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F2680" w14:textId="7D3BCC24" w:rsidR="00802293" w:rsidRPr="004D76F7" w:rsidRDefault="00802293" w:rsidP="006845B1">
      <w:pPr>
        <w:pStyle w:val="NormalWeb"/>
        <w:spacing w:before="0" w:beforeAutospacing="0" w:after="300" w:afterAutospacing="0"/>
        <w:rPr>
          <w:rFonts w:ascii="Segoe UI" w:hAnsi="Segoe UI" w:cs="Segoe UI"/>
          <w:b/>
          <w:bCs/>
          <w:color w:val="374151"/>
          <w:sz w:val="36"/>
          <w:szCs w:val="36"/>
        </w:rPr>
      </w:pPr>
      <w:r w:rsidRPr="004D76F7">
        <w:rPr>
          <w:rFonts w:ascii="Segoe UI" w:hAnsi="Segoe UI" w:cs="Segoe UI"/>
          <w:b/>
          <w:bCs/>
          <w:color w:val="374151"/>
          <w:sz w:val="36"/>
          <w:szCs w:val="36"/>
        </w:rPr>
        <w:t>Blog 1</w:t>
      </w:r>
    </w:p>
    <w:p w14:paraId="07322B91" w14:textId="173955D9" w:rsidR="006845B1" w:rsidRDefault="006845B1" w:rsidP="006845B1">
      <w:pPr>
        <w:pStyle w:val="NormalWeb"/>
        <w:spacing w:before="0" w:beforeAutospacing="0" w:after="300" w:afterAutospacing="0"/>
        <w:rPr>
          <w:rFonts w:ascii="Segoe UI" w:hAnsi="Segoe UI" w:cs="Segoe UI"/>
          <w:color w:val="374151"/>
        </w:rPr>
      </w:pPr>
      <w:r>
        <w:rPr>
          <w:rFonts w:ascii="Segoe UI" w:hAnsi="Segoe UI" w:cs="Segoe UI"/>
          <w:color w:val="374151"/>
        </w:rPr>
        <w:t>Climate change is widely recognized as one of the most significant threats facing humanity and the planet. It refers to long-term shifts in temperature patterns, precipitation, sea levels, and other indicators of Earth's climate system, primarily caused by human activities, particularly the emission of greenhouse gases (such as carbon dioxide) into the atmosphere.</w:t>
      </w:r>
    </w:p>
    <w:p w14:paraId="2ABE01EA" w14:textId="77777777" w:rsidR="006845B1" w:rsidRDefault="006845B1" w:rsidP="006845B1">
      <w:pPr>
        <w:pStyle w:val="NormalWeb"/>
        <w:spacing w:before="300" w:beforeAutospacing="0" w:after="300" w:afterAutospacing="0"/>
        <w:rPr>
          <w:rFonts w:ascii="Segoe UI" w:hAnsi="Segoe UI" w:cs="Segoe UI"/>
          <w:color w:val="374151"/>
        </w:rPr>
      </w:pPr>
      <w:r>
        <w:rPr>
          <w:rFonts w:ascii="Segoe UI" w:hAnsi="Segoe UI" w:cs="Segoe UI"/>
          <w:color w:val="374151"/>
        </w:rPr>
        <w:t>The consequences of climate change are far-reaching and can affect various aspects of life on Earth. One of the key environmental impacts of climate change is the rise in global temperatures. This leads to melting glaciers and shrinking polar ice caps, contributing to rising sea levels. As a result, coastal areas, island nations, and low-lying regions are at risk of increased flooding, erosion, and loss of habitable land. Changes in precipitation patterns can also have significant implications. Some areas may experience more frequent and intense droughts, wildfires, and desertification, while others may face increased rainfall and more frequent extreme weather events such as hurricanes and heavy storms.</w:t>
      </w:r>
    </w:p>
    <w:p w14:paraId="565C363D" w14:textId="77777777" w:rsidR="006845B1" w:rsidRDefault="006845B1" w:rsidP="006845B1">
      <w:pPr>
        <w:pStyle w:val="NormalWeb"/>
        <w:spacing w:before="300" w:beforeAutospacing="0" w:after="300" w:afterAutospacing="0"/>
        <w:rPr>
          <w:rFonts w:ascii="Segoe UI" w:hAnsi="Segoe UI" w:cs="Segoe UI"/>
          <w:color w:val="374151"/>
        </w:rPr>
      </w:pPr>
      <w:r>
        <w:rPr>
          <w:rFonts w:ascii="Segoe UI" w:hAnsi="Segoe UI" w:cs="Segoe UI"/>
          <w:color w:val="374151"/>
        </w:rPr>
        <w:t>Climate change also has profound effects on human health. It can exacerbate the spread of infectious diseases by altering the geographic range and transmission patterns of disease vectors. Disruptions in food and water supplies due to changing climate conditions can lead to malnutrition and waterborne illnesses. Moreover, heatwaves are becoming more frequent and intense, posing a direct risk to human health, particularly among vulnerable populations. Additionally, climate change contributes to air pollution, which can cause respiratory and cardiovascular problems.</w:t>
      </w:r>
    </w:p>
    <w:p w14:paraId="2A999FE6" w14:textId="77777777" w:rsidR="006845B1" w:rsidRDefault="006845B1" w:rsidP="006845B1">
      <w:pPr>
        <w:pStyle w:val="NormalWeb"/>
        <w:spacing w:before="300" w:beforeAutospacing="0" w:after="300" w:afterAutospacing="0"/>
        <w:rPr>
          <w:rFonts w:ascii="Segoe UI" w:hAnsi="Segoe UI" w:cs="Segoe UI"/>
          <w:color w:val="374151"/>
        </w:rPr>
      </w:pPr>
      <w:r>
        <w:rPr>
          <w:rFonts w:ascii="Segoe UI" w:hAnsi="Segoe UI" w:cs="Segoe UI"/>
          <w:color w:val="374151"/>
        </w:rPr>
        <w:t>Biodiversity loss is another significant consequence of climate change. Rising temperatures and habitat disruptions directly impact plant and animal species. Many species may face extinction or be forced to migrate to more suitable habitats, leading to disruptions in ecosystems and reducing overall biodiversity. This loss of biodiversity can have cascading effects on ecosystem functioning and services, such as pollination, nutrient cycling, and pest control, which are essential for human well-being and survival.</w:t>
      </w:r>
    </w:p>
    <w:p w14:paraId="6297F6F2" w14:textId="77777777" w:rsidR="006845B1" w:rsidRDefault="006845B1" w:rsidP="006845B1">
      <w:pPr>
        <w:pStyle w:val="NormalWeb"/>
        <w:spacing w:before="300" w:beforeAutospacing="0" w:after="300" w:afterAutospacing="0"/>
        <w:rPr>
          <w:rFonts w:ascii="Segoe UI" w:hAnsi="Segoe UI" w:cs="Segoe UI"/>
          <w:color w:val="374151"/>
        </w:rPr>
      </w:pPr>
      <w:r>
        <w:rPr>
          <w:rFonts w:ascii="Segoe UI" w:hAnsi="Segoe UI" w:cs="Segoe UI"/>
          <w:color w:val="374151"/>
        </w:rPr>
        <w:t>The socioeconomic impacts of climate change are substantial. Changes in climate patterns can have detrimental effects on agricultural productivity, with shifts in rainfall and temperature affecting crop yields. This poses a threat to food security, increases food prices, and can lead to social and political instability. Moreover, sea-level rise and extreme weather events can result in the displacement of communities, mass migration, and conflicts over resources, exacerbating social tensions and humanitarian crises. The costs associated with climate change mitigation and adaptation efforts, including infrastructure upgrades and disaster response, can strain economies and public budgets.</w:t>
      </w:r>
    </w:p>
    <w:p w14:paraId="7AE98B2F" w14:textId="77777777" w:rsidR="006845B1" w:rsidRDefault="006845B1" w:rsidP="006845B1">
      <w:pPr>
        <w:pStyle w:val="NormalWeb"/>
        <w:spacing w:before="300" w:beforeAutospacing="0" w:after="300" w:afterAutospacing="0"/>
        <w:rPr>
          <w:rFonts w:ascii="Segoe UI" w:hAnsi="Segoe UI" w:cs="Segoe UI"/>
          <w:color w:val="374151"/>
        </w:rPr>
      </w:pPr>
      <w:r>
        <w:rPr>
          <w:rFonts w:ascii="Segoe UI" w:hAnsi="Segoe UI" w:cs="Segoe UI"/>
          <w:color w:val="374151"/>
        </w:rPr>
        <w:lastRenderedPageBreak/>
        <w:t>Addressing climate change requires global cooperation and concerted efforts from governments, organizations, and individuals. The Paris Agreement, signed by numerous countries, sets a framework for international cooperation to limit global warming to well below 2 degrees Celsius above pre-industrial levels and pursue efforts to limit the temperature increase to 1.5 degrees Celsius. To achieve this, reducing greenhouse gas emissions is crucial. Transitioning to clean and renewable energy sources, improving energy efficiency, promoting sustainable transportation, and adopting sustainable land use practices are essential steps. Additionally, adapting to the changing climate by implementing resilient infrastructure, enhancing disaster preparedness, and supporting vulnerable communities is necessary.</w:t>
      </w:r>
    </w:p>
    <w:p w14:paraId="6C8D9224" w14:textId="77777777" w:rsidR="006845B1" w:rsidRDefault="006845B1" w:rsidP="006845B1">
      <w:pPr>
        <w:pStyle w:val="NormalWeb"/>
        <w:spacing w:before="300" w:beforeAutospacing="0" w:after="300" w:afterAutospacing="0"/>
        <w:rPr>
          <w:rFonts w:ascii="Segoe UI" w:hAnsi="Segoe UI" w:cs="Segoe UI"/>
          <w:color w:val="374151"/>
        </w:rPr>
      </w:pPr>
      <w:r>
        <w:rPr>
          <w:rFonts w:ascii="Segoe UI" w:hAnsi="Segoe UI" w:cs="Segoe UI"/>
          <w:color w:val="374151"/>
        </w:rPr>
        <w:t>Public awareness, education, and individual actions also play a vital role in addressing climate change. By making sustainable choices in daily lives, such as reducing energy consumption, recycling, and supporting sustainable businesses, individuals can contribute to mitigating climate change. Fostering international collaboration, sharing knowledge, and supporting technological innovation are equally important in finding effective solutions to this global challenge.</w:t>
      </w:r>
    </w:p>
    <w:p w14:paraId="0E2C69E4" w14:textId="77777777" w:rsidR="006845B1" w:rsidRDefault="006845B1" w:rsidP="006845B1">
      <w:pPr>
        <w:pStyle w:val="NormalWeb"/>
        <w:spacing w:before="300" w:beforeAutospacing="0" w:after="0" w:afterAutospacing="0"/>
        <w:rPr>
          <w:rFonts w:ascii="Segoe UI" w:hAnsi="Segoe UI" w:cs="Segoe UI"/>
          <w:color w:val="374151"/>
        </w:rPr>
      </w:pPr>
      <w:r>
        <w:rPr>
          <w:rFonts w:ascii="Segoe UI" w:hAnsi="Segoe UI" w:cs="Segoe UI"/>
          <w:color w:val="374151"/>
        </w:rPr>
        <w:t>Mitigating the impacts of climate change and building a more resilient future require long-term commitment, collaboration, and innovative approaches. By taking decisive action now, we can strive to safeguard the well-being of current and future generations and protect the planet's natural systems on which we all depend.</w:t>
      </w:r>
    </w:p>
    <w:p w14:paraId="263EEFB8" w14:textId="77777777" w:rsidR="00087FAA" w:rsidRDefault="00087FAA" w:rsidP="006845B1">
      <w:pPr>
        <w:pStyle w:val="NormalWeb"/>
        <w:spacing w:before="300" w:beforeAutospacing="0" w:after="0" w:afterAutospacing="0"/>
        <w:rPr>
          <w:rFonts w:ascii="Segoe UI" w:hAnsi="Segoe UI" w:cs="Segoe UI"/>
          <w:color w:val="374151"/>
        </w:rPr>
      </w:pPr>
    </w:p>
    <w:p w14:paraId="5B9CE4C4" w14:textId="25EA3D50" w:rsidR="00465BA5" w:rsidRDefault="00327D7F" w:rsidP="006845B1">
      <w:pPr>
        <w:pStyle w:val="NormalWeb"/>
        <w:spacing w:before="300" w:beforeAutospacing="0" w:after="0" w:afterAutospacing="0"/>
        <w:rPr>
          <w:rFonts w:ascii="Segoe UI" w:hAnsi="Segoe UI" w:cs="Segoe UI"/>
          <w:color w:val="374151"/>
        </w:rPr>
      </w:pPr>
      <w:r>
        <w:rPr>
          <w:rFonts w:ascii="Segoe UI" w:hAnsi="Segoe UI" w:cs="Segoe UI"/>
          <w:color w:val="374151"/>
        </w:rPr>
        <w:t xml:space="preserve">References </w:t>
      </w:r>
    </w:p>
    <w:p w14:paraId="0C5C9424" w14:textId="77777777" w:rsidR="00327D7F" w:rsidRPr="00327D7F" w:rsidRDefault="00327D7F" w:rsidP="00327D7F">
      <w:pPr>
        <w:numPr>
          <w:ilvl w:val="0"/>
          <w:numId w:val="5"/>
        </w:numPr>
        <w:spacing w:after="0" w:line="240" w:lineRule="auto"/>
        <w:rPr>
          <w:rFonts w:ascii="Segoe UI" w:eastAsia="Times New Roman" w:hAnsi="Segoe UI" w:cs="Segoe UI"/>
          <w:color w:val="374151"/>
          <w:kern w:val="0"/>
          <w:sz w:val="24"/>
          <w:szCs w:val="24"/>
          <w:lang w:eastAsia="en-GB"/>
          <w14:ligatures w14:val="none"/>
        </w:rPr>
      </w:pPr>
      <w:r w:rsidRPr="00327D7F">
        <w:rPr>
          <w:rFonts w:ascii="Segoe UI" w:eastAsia="Times New Roman" w:hAnsi="Segoe UI" w:cs="Segoe UI"/>
          <w:color w:val="374151"/>
          <w:kern w:val="0"/>
          <w:sz w:val="24"/>
          <w:szCs w:val="24"/>
          <w:lang w:eastAsia="en-GB"/>
          <w14:ligatures w14:val="none"/>
        </w:rPr>
        <w:t xml:space="preserve">IPCC (Intergovernmental Panel on Climate Change). (2018). Global warming of 1.5°C. Retrieved from </w:t>
      </w:r>
      <w:hyperlink r:id="rId5" w:tgtFrame="_new" w:history="1">
        <w:r w:rsidRPr="00327D7F">
          <w:rPr>
            <w:rFonts w:ascii="Segoe UI" w:eastAsia="Times New Roman" w:hAnsi="Segoe UI" w:cs="Segoe UI"/>
            <w:color w:val="0000FF"/>
            <w:kern w:val="0"/>
            <w:sz w:val="24"/>
            <w:szCs w:val="24"/>
            <w:u w:val="single"/>
            <w:bdr w:val="single" w:sz="2" w:space="0" w:color="D9D9E3" w:frame="1"/>
            <w:lang w:eastAsia="en-GB"/>
            <w14:ligatures w14:val="none"/>
          </w:rPr>
          <w:t>https://www.ipcc.ch/sr15/</w:t>
        </w:r>
      </w:hyperlink>
    </w:p>
    <w:p w14:paraId="56ABF055" w14:textId="77777777" w:rsidR="00327D7F" w:rsidRPr="00327D7F" w:rsidRDefault="00327D7F" w:rsidP="00327D7F">
      <w:pPr>
        <w:numPr>
          <w:ilvl w:val="1"/>
          <w:numId w:val="5"/>
        </w:numPr>
        <w:spacing w:after="0" w:line="240" w:lineRule="auto"/>
        <w:rPr>
          <w:rFonts w:ascii="Segoe UI" w:eastAsia="Times New Roman" w:hAnsi="Segoe UI" w:cs="Segoe UI"/>
          <w:color w:val="374151"/>
          <w:kern w:val="0"/>
          <w:sz w:val="24"/>
          <w:szCs w:val="24"/>
          <w:lang w:eastAsia="en-GB"/>
          <w14:ligatures w14:val="none"/>
        </w:rPr>
      </w:pPr>
      <w:r w:rsidRPr="00327D7F">
        <w:rPr>
          <w:rFonts w:ascii="Segoe UI" w:eastAsia="Times New Roman" w:hAnsi="Segoe UI" w:cs="Segoe UI"/>
          <w:color w:val="374151"/>
          <w:kern w:val="0"/>
          <w:sz w:val="24"/>
          <w:szCs w:val="24"/>
          <w:lang w:eastAsia="en-GB"/>
          <w14:ligatures w14:val="none"/>
        </w:rPr>
        <w:t>This reference is the special report published by the IPCC, providing a comprehensive assessment of the impacts of global warming of 1.5°C above pre-industrial levels and related greenhouse gas emission pathways.</w:t>
      </w:r>
    </w:p>
    <w:p w14:paraId="1D2FE31E" w14:textId="77777777" w:rsidR="00327D7F" w:rsidRPr="00327D7F" w:rsidRDefault="00327D7F" w:rsidP="00327D7F">
      <w:pPr>
        <w:numPr>
          <w:ilvl w:val="0"/>
          <w:numId w:val="5"/>
        </w:numPr>
        <w:spacing w:after="0" w:line="240" w:lineRule="auto"/>
        <w:rPr>
          <w:rFonts w:ascii="Segoe UI" w:eastAsia="Times New Roman" w:hAnsi="Segoe UI" w:cs="Segoe UI"/>
          <w:color w:val="374151"/>
          <w:kern w:val="0"/>
          <w:sz w:val="24"/>
          <w:szCs w:val="24"/>
          <w:lang w:eastAsia="en-GB"/>
          <w14:ligatures w14:val="none"/>
        </w:rPr>
      </w:pPr>
      <w:r w:rsidRPr="00327D7F">
        <w:rPr>
          <w:rFonts w:ascii="Segoe UI" w:eastAsia="Times New Roman" w:hAnsi="Segoe UI" w:cs="Segoe UI"/>
          <w:color w:val="374151"/>
          <w:kern w:val="0"/>
          <w:sz w:val="24"/>
          <w:szCs w:val="24"/>
          <w:lang w:eastAsia="en-GB"/>
          <w14:ligatures w14:val="none"/>
        </w:rPr>
        <w:t xml:space="preserve">United Nations Framework Convention on Climate Change (UNFCCC). (2015). Paris Agreement. Retrieved from </w:t>
      </w:r>
      <w:hyperlink r:id="rId6" w:tgtFrame="_new" w:history="1">
        <w:r w:rsidRPr="00327D7F">
          <w:rPr>
            <w:rFonts w:ascii="Segoe UI" w:eastAsia="Times New Roman" w:hAnsi="Segoe UI" w:cs="Segoe UI"/>
            <w:color w:val="0000FF"/>
            <w:kern w:val="0"/>
            <w:sz w:val="24"/>
            <w:szCs w:val="24"/>
            <w:u w:val="single"/>
            <w:bdr w:val="single" w:sz="2" w:space="0" w:color="D9D9E3" w:frame="1"/>
            <w:lang w:eastAsia="en-GB"/>
            <w14:ligatures w14:val="none"/>
          </w:rPr>
          <w:t>https://unfccc.int/process-and-meetings/the-paris-agreement/the-paris-agreement</w:t>
        </w:r>
      </w:hyperlink>
    </w:p>
    <w:p w14:paraId="5128C180" w14:textId="77777777" w:rsidR="00327D7F" w:rsidRPr="00327D7F" w:rsidRDefault="00327D7F" w:rsidP="00327D7F">
      <w:pPr>
        <w:numPr>
          <w:ilvl w:val="1"/>
          <w:numId w:val="5"/>
        </w:numPr>
        <w:spacing w:after="0" w:line="240" w:lineRule="auto"/>
        <w:rPr>
          <w:rFonts w:ascii="Segoe UI" w:eastAsia="Times New Roman" w:hAnsi="Segoe UI" w:cs="Segoe UI"/>
          <w:color w:val="374151"/>
          <w:kern w:val="0"/>
          <w:sz w:val="24"/>
          <w:szCs w:val="24"/>
          <w:lang w:eastAsia="en-GB"/>
          <w14:ligatures w14:val="none"/>
        </w:rPr>
      </w:pPr>
      <w:r w:rsidRPr="00327D7F">
        <w:rPr>
          <w:rFonts w:ascii="Segoe UI" w:eastAsia="Times New Roman" w:hAnsi="Segoe UI" w:cs="Segoe UI"/>
          <w:color w:val="374151"/>
          <w:kern w:val="0"/>
          <w:sz w:val="24"/>
          <w:szCs w:val="24"/>
          <w:lang w:eastAsia="en-GB"/>
          <w14:ligatures w14:val="none"/>
        </w:rPr>
        <w:t>This reference is the official text of the Paris Agreement, an international treaty under the UNFCCC that aims to combat climate change by limiting global temperature rise and enhancing adaptive capacity.</w:t>
      </w:r>
    </w:p>
    <w:p w14:paraId="23942FE8" w14:textId="77777777" w:rsidR="00327D7F" w:rsidRPr="00327D7F" w:rsidRDefault="00327D7F" w:rsidP="00327D7F">
      <w:pPr>
        <w:numPr>
          <w:ilvl w:val="0"/>
          <w:numId w:val="5"/>
        </w:numPr>
        <w:spacing w:after="0" w:line="240" w:lineRule="auto"/>
        <w:rPr>
          <w:rFonts w:ascii="Segoe UI" w:eastAsia="Times New Roman" w:hAnsi="Segoe UI" w:cs="Segoe UI"/>
          <w:color w:val="374151"/>
          <w:kern w:val="0"/>
          <w:sz w:val="24"/>
          <w:szCs w:val="24"/>
          <w:lang w:eastAsia="en-GB"/>
          <w14:ligatures w14:val="none"/>
        </w:rPr>
      </w:pPr>
      <w:proofErr w:type="spellStart"/>
      <w:r w:rsidRPr="00327D7F">
        <w:rPr>
          <w:rFonts w:ascii="Segoe UI" w:eastAsia="Times New Roman" w:hAnsi="Segoe UI" w:cs="Segoe UI"/>
          <w:color w:val="374151"/>
          <w:kern w:val="0"/>
          <w:sz w:val="24"/>
          <w:szCs w:val="24"/>
          <w:lang w:eastAsia="en-GB"/>
          <w14:ligatures w14:val="none"/>
        </w:rPr>
        <w:t>Rockström</w:t>
      </w:r>
      <w:proofErr w:type="spellEnd"/>
      <w:r w:rsidRPr="00327D7F">
        <w:rPr>
          <w:rFonts w:ascii="Segoe UI" w:eastAsia="Times New Roman" w:hAnsi="Segoe UI" w:cs="Segoe UI"/>
          <w:color w:val="374151"/>
          <w:kern w:val="0"/>
          <w:sz w:val="24"/>
          <w:szCs w:val="24"/>
          <w:lang w:eastAsia="en-GB"/>
          <w14:ligatures w14:val="none"/>
        </w:rPr>
        <w:t xml:space="preserve">, J., Gaffney, O., &amp; </w:t>
      </w:r>
      <w:proofErr w:type="spellStart"/>
      <w:r w:rsidRPr="00327D7F">
        <w:rPr>
          <w:rFonts w:ascii="Segoe UI" w:eastAsia="Times New Roman" w:hAnsi="Segoe UI" w:cs="Segoe UI"/>
          <w:color w:val="374151"/>
          <w:kern w:val="0"/>
          <w:sz w:val="24"/>
          <w:szCs w:val="24"/>
          <w:lang w:eastAsia="en-GB"/>
          <w14:ligatures w14:val="none"/>
        </w:rPr>
        <w:t>Rogelj</w:t>
      </w:r>
      <w:proofErr w:type="spellEnd"/>
      <w:r w:rsidRPr="00327D7F">
        <w:rPr>
          <w:rFonts w:ascii="Segoe UI" w:eastAsia="Times New Roman" w:hAnsi="Segoe UI" w:cs="Segoe UI"/>
          <w:color w:val="374151"/>
          <w:kern w:val="0"/>
          <w:sz w:val="24"/>
          <w:szCs w:val="24"/>
          <w:lang w:eastAsia="en-GB"/>
          <w14:ligatures w14:val="none"/>
        </w:rPr>
        <w:t>, J. (2017). A roadmap for rapid decarbonization. Science, 355(6331), 1269-1271.</w:t>
      </w:r>
    </w:p>
    <w:p w14:paraId="06FE9A0C" w14:textId="77777777" w:rsidR="00327D7F" w:rsidRPr="00327D7F" w:rsidRDefault="00327D7F" w:rsidP="00327D7F">
      <w:pPr>
        <w:numPr>
          <w:ilvl w:val="1"/>
          <w:numId w:val="5"/>
        </w:numPr>
        <w:spacing w:after="0" w:line="240" w:lineRule="auto"/>
        <w:rPr>
          <w:rFonts w:ascii="Segoe UI" w:eastAsia="Times New Roman" w:hAnsi="Segoe UI" w:cs="Segoe UI"/>
          <w:color w:val="374151"/>
          <w:kern w:val="0"/>
          <w:sz w:val="24"/>
          <w:szCs w:val="24"/>
          <w:lang w:eastAsia="en-GB"/>
          <w14:ligatures w14:val="none"/>
        </w:rPr>
      </w:pPr>
      <w:r w:rsidRPr="00327D7F">
        <w:rPr>
          <w:rFonts w:ascii="Segoe UI" w:eastAsia="Times New Roman" w:hAnsi="Segoe UI" w:cs="Segoe UI"/>
          <w:color w:val="374151"/>
          <w:kern w:val="0"/>
          <w:sz w:val="24"/>
          <w:szCs w:val="24"/>
          <w:lang w:eastAsia="en-GB"/>
          <w14:ligatures w14:val="none"/>
        </w:rPr>
        <w:lastRenderedPageBreak/>
        <w:t>This reference is a scientific article that presents a roadmap outlining key actions and strategies needed for rapid decarbonization to mitigate climate change effectively.</w:t>
      </w:r>
    </w:p>
    <w:p w14:paraId="70686BC3" w14:textId="77777777" w:rsidR="00327D7F" w:rsidRPr="00327D7F" w:rsidRDefault="00327D7F" w:rsidP="00327D7F">
      <w:pPr>
        <w:numPr>
          <w:ilvl w:val="0"/>
          <w:numId w:val="5"/>
        </w:numPr>
        <w:spacing w:after="0" w:line="240" w:lineRule="auto"/>
        <w:rPr>
          <w:rFonts w:ascii="Segoe UI" w:eastAsia="Times New Roman" w:hAnsi="Segoe UI" w:cs="Segoe UI"/>
          <w:color w:val="374151"/>
          <w:kern w:val="0"/>
          <w:sz w:val="24"/>
          <w:szCs w:val="24"/>
          <w:lang w:eastAsia="en-GB"/>
          <w14:ligatures w14:val="none"/>
        </w:rPr>
      </w:pPr>
      <w:r w:rsidRPr="00327D7F">
        <w:rPr>
          <w:rFonts w:ascii="Segoe UI" w:eastAsia="Times New Roman" w:hAnsi="Segoe UI" w:cs="Segoe UI"/>
          <w:color w:val="374151"/>
          <w:kern w:val="0"/>
          <w:sz w:val="24"/>
          <w:szCs w:val="24"/>
          <w:lang w:eastAsia="en-GB"/>
          <w14:ligatures w14:val="none"/>
        </w:rPr>
        <w:t xml:space="preserve">National Aeronautics and Space Administration (NASA). (n.d.). Climate Change: How Do We Know? Retrieved from </w:t>
      </w:r>
      <w:hyperlink r:id="rId7" w:tgtFrame="_new" w:history="1">
        <w:r w:rsidRPr="00327D7F">
          <w:rPr>
            <w:rFonts w:ascii="Segoe UI" w:eastAsia="Times New Roman" w:hAnsi="Segoe UI" w:cs="Segoe UI"/>
            <w:color w:val="0000FF"/>
            <w:kern w:val="0"/>
            <w:sz w:val="24"/>
            <w:szCs w:val="24"/>
            <w:u w:val="single"/>
            <w:bdr w:val="single" w:sz="2" w:space="0" w:color="D9D9E3" w:frame="1"/>
            <w:lang w:eastAsia="en-GB"/>
            <w14:ligatures w14:val="none"/>
          </w:rPr>
          <w:t>https://climate.nasa.gov/evidence/</w:t>
        </w:r>
      </w:hyperlink>
    </w:p>
    <w:p w14:paraId="70FB1AE3" w14:textId="77777777" w:rsidR="00327D7F" w:rsidRPr="00327D7F" w:rsidRDefault="00327D7F" w:rsidP="00327D7F">
      <w:pPr>
        <w:numPr>
          <w:ilvl w:val="1"/>
          <w:numId w:val="5"/>
        </w:numPr>
        <w:spacing w:after="0" w:line="240" w:lineRule="auto"/>
        <w:rPr>
          <w:rFonts w:ascii="Segoe UI" w:eastAsia="Times New Roman" w:hAnsi="Segoe UI" w:cs="Segoe UI"/>
          <w:color w:val="374151"/>
          <w:kern w:val="0"/>
          <w:sz w:val="24"/>
          <w:szCs w:val="24"/>
          <w:lang w:eastAsia="en-GB"/>
          <w14:ligatures w14:val="none"/>
        </w:rPr>
      </w:pPr>
      <w:r w:rsidRPr="00327D7F">
        <w:rPr>
          <w:rFonts w:ascii="Segoe UI" w:eastAsia="Times New Roman" w:hAnsi="Segoe UI" w:cs="Segoe UI"/>
          <w:color w:val="374151"/>
          <w:kern w:val="0"/>
          <w:sz w:val="24"/>
          <w:szCs w:val="24"/>
          <w:lang w:eastAsia="en-GB"/>
          <w14:ligatures w14:val="none"/>
        </w:rPr>
        <w:t>This reference is a webpage from NASA's official website, providing evidence and scientific consensus on climate change, including data on global temperature rise, sea-level rise, and the role of greenhouse gases.</w:t>
      </w:r>
    </w:p>
    <w:p w14:paraId="6C436AD3" w14:textId="77777777" w:rsidR="00327D7F" w:rsidRPr="00327D7F" w:rsidRDefault="00327D7F" w:rsidP="00327D7F">
      <w:pPr>
        <w:numPr>
          <w:ilvl w:val="0"/>
          <w:numId w:val="5"/>
        </w:numPr>
        <w:spacing w:after="0" w:line="240" w:lineRule="auto"/>
        <w:rPr>
          <w:rFonts w:ascii="Segoe UI" w:eastAsia="Times New Roman" w:hAnsi="Segoe UI" w:cs="Segoe UI"/>
          <w:color w:val="374151"/>
          <w:kern w:val="0"/>
          <w:sz w:val="24"/>
          <w:szCs w:val="24"/>
          <w:lang w:eastAsia="en-GB"/>
          <w14:ligatures w14:val="none"/>
        </w:rPr>
      </w:pPr>
      <w:r w:rsidRPr="00327D7F">
        <w:rPr>
          <w:rFonts w:ascii="Segoe UI" w:eastAsia="Times New Roman" w:hAnsi="Segoe UI" w:cs="Segoe UI"/>
          <w:color w:val="374151"/>
          <w:kern w:val="0"/>
          <w:sz w:val="24"/>
          <w:szCs w:val="24"/>
          <w:lang w:eastAsia="en-GB"/>
          <w14:ligatures w14:val="none"/>
        </w:rPr>
        <w:t>Stern, N. (2006). The economics of climate change. The American Economic Review, 96(2), 1-37.</w:t>
      </w:r>
    </w:p>
    <w:p w14:paraId="7166244C" w14:textId="77777777" w:rsidR="00327D7F" w:rsidRPr="00327D7F" w:rsidRDefault="00327D7F" w:rsidP="00327D7F">
      <w:pPr>
        <w:numPr>
          <w:ilvl w:val="1"/>
          <w:numId w:val="5"/>
        </w:numPr>
        <w:spacing w:after="0" w:line="240" w:lineRule="auto"/>
        <w:rPr>
          <w:rFonts w:ascii="Segoe UI" w:eastAsia="Times New Roman" w:hAnsi="Segoe UI" w:cs="Segoe UI"/>
          <w:color w:val="374151"/>
          <w:kern w:val="0"/>
          <w:sz w:val="24"/>
          <w:szCs w:val="24"/>
          <w:lang w:eastAsia="en-GB"/>
          <w14:ligatures w14:val="none"/>
        </w:rPr>
      </w:pPr>
      <w:r w:rsidRPr="00327D7F">
        <w:rPr>
          <w:rFonts w:ascii="Segoe UI" w:eastAsia="Times New Roman" w:hAnsi="Segoe UI" w:cs="Segoe UI"/>
          <w:color w:val="374151"/>
          <w:kern w:val="0"/>
          <w:sz w:val="24"/>
          <w:szCs w:val="24"/>
          <w:lang w:eastAsia="en-GB"/>
          <w14:ligatures w14:val="none"/>
        </w:rPr>
        <w:t>This reference is a seminal article by Nicholas Stern, presenting the economic analysis of climate change, its impacts, and the cost-effectiveness of mitigation and adaptation measures.</w:t>
      </w:r>
    </w:p>
    <w:p w14:paraId="5DF28C0B" w14:textId="77777777" w:rsidR="00327D7F" w:rsidRDefault="00327D7F" w:rsidP="00327D7F">
      <w:pPr>
        <w:pStyle w:val="NormalWeb"/>
        <w:spacing w:before="300" w:beforeAutospacing="0" w:after="0" w:afterAutospacing="0"/>
        <w:rPr>
          <w:rFonts w:ascii="Segoe UI" w:hAnsi="Segoe UI" w:cs="Segoe UI"/>
          <w:color w:val="374151"/>
        </w:rPr>
      </w:pPr>
    </w:p>
    <w:p w14:paraId="23F63561" w14:textId="77777777" w:rsidR="00A26D1D" w:rsidRDefault="00A26D1D" w:rsidP="00327D7F"/>
    <w:p w14:paraId="5CA71ED9" w14:textId="77777777" w:rsidR="00A265D0" w:rsidRDefault="00A265D0" w:rsidP="00327D7F"/>
    <w:p w14:paraId="3A9E98E3" w14:textId="77777777" w:rsidR="00A265D0" w:rsidRDefault="00A265D0" w:rsidP="00327D7F"/>
    <w:p w14:paraId="74B6A12B" w14:textId="77777777" w:rsidR="00A265D0" w:rsidRDefault="00A265D0"/>
    <w:p w14:paraId="6B04A93E" w14:textId="77777777" w:rsidR="00A265D0" w:rsidRDefault="00A265D0"/>
    <w:p w14:paraId="4CFC4327" w14:textId="77777777" w:rsidR="00A265D0" w:rsidRDefault="00A265D0"/>
    <w:p w14:paraId="61DA19C5" w14:textId="77777777" w:rsidR="00A265D0" w:rsidRDefault="00A265D0"/>
    <w:p w14:paraId="4697C58F" w14:textId="77777777" w:rsidR="00A265D0" w:rsidRDefault="00A265D0"/>
    <w:p w14:paraId="04B78D0C" w14:textId="77777777" w:rsidR="00A265D0" w:rsidRDefault="00A265D0"/>
    <w:p w14:paraId="7EFDACDF" w14:textId="77777777" w:rsidR="00A265D0" w:rsidRDefault="00A265D0"/>
    <w:p w14:paraId="2D0DBC8F" w14:textId="77777777" w:rsidR="00A265D0" w:rsidRDefault="00A265D0"/>
    <w:p w14:paraId="5139C688" w14:textId="77777777" w:rsidR="00A265D0" w:rsidRDefault="00A265D0"/>
    <w:p w14:paraId="0FF8F616" w14:textId="77777777" w:rsidR="00A265D0" w:rsidRDefault="00A265D0"/>
    <w:p w14:paraId="329D4DBB" w14:textId="77777777" w:rsidR="00A265D0" w:rsidRDefault="00A265D0"/>
    <w:p w14:paraId="5BE27C53" w14:textId="77777777" w:rsidR="00A265D0" w:rsidRDefault="00A265D0"/>
    <w:p w14:paraId="7357F3ED" w14:textId="77777777" w:rsidR="00327D7F" w:rsidRDefault="00327D7F">
      <w:pPr>
        <w:rPr>
          <w:b/>
          <w:bCs/>
          <w:sz w:val="36"/>
          <w:szCs w:val="36"/>
        </w:rPr>
      </w:pPr>
    </w:p>
    <w:p w14:paraId="78A2F34A" w14:textId="77777777" w:rsidR="00327D7F" w:rsidRDefault="00327D7F">
      <w:pPr>
        <w:rPr>
          <w:b/>
          <w:bCs/>
          <w:sz w:val="36"/>
          <w:szCs w:val="36"/>
        </w:rPr>
      </w:pPr>
    </w:p>
    <w:p w14:paraId="56283F78" w14:textId="77777777" w:rsidR="00327D7F" w:rsidRDefault="00327D7F">
      <w:pPr>
        <w:rPr>
          <w:b/>
          <w:bCs/>
          <w:sz w:val="36"/>
          <w:szCs w:val="36"/>
        </w:rPr>
      </w:pPr>
    </w:p>
    <w:p w14:paraId="6686E66F" w14:textId="77777777" w:rsidR="00327D7F" w:rsidRDefault="00327D7F">
      <w:pPr>
        <w:rPr>
          <w:b/>
          <w:bCs/>
          <w:sz w:val="36"/>
          <w:szCs w:val="36"/>
        </w:rPr>
      </w:pPr>
    </w:p>
    <w:p w14:paraId="15E4DCED" w14:textId="6117BBA7" w:rsidR="00A265D0" w:rsidRPr="004D76F7" w:rsidRDefault="004D76F7">
      <w:pPr>
        <w:rPr>
          <w:b/>
          <w:bCs/>
          <w:sz w:val="36"/>
          <w:szCs w:val="36"/>
        </w:rPr>
      </w:pPr>
      <w:r w:rsidRPr="004D76F7">
        <w:rPr>
          <w:b/>
          <w:bCs/>
          <w:sz w:val="36"/>
          <w:szCs w:val="36"/>
        </w:rPr>
        <w:t>Blog 2</w:t>
      </w:r>
    </w:p>
    <w:p w14:paraId="7143752C" w14:textId="77777777" w:rsidR="00A265D0" w:rsidRDefault="00A265D0"/>
    <w:p w14:paraId="2CF6D8D7" w14:textId="77777777" w:rsidR="00041B8B" w:rsidRDefault="00041B8B" w:rsidP="00041B8B">
      <w:pPr>
        <w:pStyle w:val="NormalWeb"/>
        <w:spacing w:before="0" w:beforeAutospacing="0" w:after="300" w:afterAutospacing="0"/>
        <w:rPr>
          <w:rFonts w:ascii="Segoe UI" w:hAnsi="Segoe UI" w:cs="Segoe UI"/>
          <w:color w:val="374151"/>
        </w:rPr>
      </w:pPr>
      <w:r>
        <w:rPr>
          <w:rFonts w:ascii="Segoe UI" w:hAnsi="Segoe UI" w:cs="Segoe UI"/>
          <w:color w:val="374151"/>
        </w:rPr>
        <w:t>The role of a Sustainable Energy Engineer is critical in driving the transition towards a sustainable future. To excel in this role, several key skills are necessary, including technical expertise, analytical and problem-solving skills, project management abilities, effective communication, and systems thinking. While each skill contributes to an engineer's effectiveness, systems thinking stands out as the most crucial skill.</w:t>
      </w:r>
    </w:p>
    <w:p w14:paraId="14E980F5" w14:textId="77777777" w:rsidR="00041B8B" w:rsidRDefault="00041B8B" w:rsidP="00041B8B">
      <w:pPr>
        <w:pStyle w:val="NormalWeb"/>
        <w:spacing w:before="300" w:beforeAutospacing="0" w:after="300" w:afterAutospacing="0"/>
        <w:rPr>
          <w:rFonts w:ascii="Segoe UI" w:hAnsi="Segoe UI" w:cs="Segoe UI"/>
          <w:color w:val="374151"/>
        </w:rPr>
      </w:pPr>
      <w:r>
        <w:rPr>
          <w:rFonts w:ascii="Segoe UI" w:hAnsi="Segoe UI" w:cs="Segoe UI"/>
          <w:color w:val="374151"/>
        </w:rPr>
        <w:t>Technical expertise is fundamental for a Sustainable Energy Engineer. They need a deep understanding of renewable energy technologies and energy conversion processes. Proficiency in system integration and electrical systems is necessary for designing efficient and effective renewable energy systems. Staying updated with emerging technologies and industry trends allows engineers to incorporate innovative solutions and drive continuous improvement in sustainable energy practices.</w:t>
      </w:r>
    </w:p>
    <w:p w14:paraId="5D04EA1B" w14:textId="252447F0" w:rsidR="00041B8B" w:rsidRDefault="00041B8B" w:rsidP="00041B8B">
      <w:pPr>
        <w:pStyle w:val="NormalWeb"/>
        <w:spacing w:before="300" w:beforeAutospacing="0" w:after="300" w:afterAutospacing="0"/>
        <w:rPr>
          <w:rFonts w:ascii="Segoe UI" w:hAnsi="Segoe UI" w:cs="Segoe UI"/>
          <w:color w:val="374151"/>
        </w:rPr>
      </w:pPr>
      <w:r>
        <w:rPr>
          <w:rFonts w:ascii="Segoe UI" w:hAnsi="Segoe UI" w:cs="Segoe UI"/>
          <w:color w:val="374151"/>
        </w:rPr>
        <w:t xml:space="preserve">Analytical and problem-solving skills are vital for evaluating the potential of renewable energy projects and assessing risks. Sustainable Energy Engineers </w:t>
      </w:r>
      <w:r w:rsidR="00A967B2">
        <w:rPr>
          <w:rFonts w:ascii="Segoe UI" w:hAnsi="Segoe UI" w:cs="Segoe UI"/>
          <w:color w:val="374151"/>
        </w:rPr>
        <w:t>analyse</w:t>
      </w:r>
      <w:r>
        <w:rPr>
          <w:rFonts w:ascii="Segoe UI" w:hAnsi="Segoe UI" w:cs="Segoe UI"/>
          <w:color w:val="374151"/>
        </w:rPr>
        <w:t xml:space="preserve"> complex energy data, conduct feasibility studies, and optimize system performance. Their ability to identify optimal solutions, overcome technical and financial challenges, and improve energy efficiency is crucial for successful project implementation.</w:t>
      </w:r>
    </w:p>
    <w:p w14:paraId="2095E301" w14:textId="77777777" w:rsidR="00041B8B" w:rsidRDefault="00041B8B" w:rsidP="00041B8B">
      <w:pPr>
        <w:pStyle w:val="NormalWeb"/>
        <w:spacing w:before="300" w:beforeAutospacing="0" w:after="300" w:afterAutospacing="0"/>
        <w:rPr>
          <w:rFonts w:ascii="Segoe UI" w:hAnsi="Segoe UI" w:cs="Segoe UI"/>
          <w:color w:val="374151"/>
        </w:rPr>
      </w:pPr>
      <w:r>
        <w:rPr>
          <w:rFonts w:ascii="Segoe UI" w:hAnsi="Segoe UI" w:cs="Segoe UI"/>
          <w:color w:val="374151"/>
        </w:rPr>
        <w:t>Project management skills are essential for overseeing the entire lifecycle of renewable energy projects. Engineers need to plan, budget, allocate resources, and manage risks effectively. The ability to lead teams, coordinate with stakeholders, and adapt to changing circumstances ensures project success and timely delivery of sustainable energy solutions.</w:t>
      </w:r>
    </w:p>
    <w:p w14:paraId="313264FF" w14:textId="77777777" w:rsidR="00041B8B" w:rsidRDefault="00041B8B" w:rsidP="00041B8B">
      <w:pPr>
        <w:pStyle w:val="NormalWeb"/>
        <w:spacing w:before="300" w:beforeAutospacing="0" w:after="300" w:afterAutospacing="0"/>
        <w:rPr>
          <w:rFonts w:ascii="Segoe UI" w:hAnsi="Segoe UI" w:cs="Segoe UI"/>
          <w:color w:val="374151"/>
        </w:rPr>
      </w:pPr>
      <w:r>
        <w:rPr>
          <w:rFonts w:ascii="Segoe UI" w:hAnsi="Segoe UI" w:cs="Segoe UI"/>
          <w:color w:val="374151"/>
        </w:rPr>
        <w:t>Effective communication and stakeholder engagement are crucial skills for Sustainable Energy Engineers. They interact with diverse stakeholders, including clients, regulatory bodies, suppliers, and communities. The ability to convey complex technical information in a clear and accessible manner is essential for gaining support and buy-in for renewable energy projects. Collaborating with stakeholders, building relationships, and addressing concerns fosters successful project implementation and long-term sustainability.</w:t>
      </w:r>
    </w:p>
    <w:p w14:paraId="755956FC" w14:textId="77777777" w:rsidR="00041B8B" w:rsidRDefault="00041B8B" w:rsidP="00041B8B">
      <w:pPr>
        <w:pStyle w:val="NormalWeb"/>
        <w:spacing w:before="300" w:beforeAutospacing="0" w:after="300" w:afterAutospacing="0"/>
        <w:rPr>
          <w:rFonts w:ascii="Segoe UI" w:hAnsi="Segoe UI" w:cs="Segoe UI"/>
          <w:color w:val="374151"/>
        </w:rPr>
      </w:pPr>
      <w:r>
        <w:rPr>
          <w:rFonts w:ascii="Segoe UI" w:hAnsi="Segoe UI" w:cs="Segoe UI"/>
          <w:color w:val="374151"/>
        </w:rPr>
        <w:t xml:space="preserve">However, the most important skill for a Sustainable Energy Engineer is systems thinking. Renewable energy systems are interconnected with various sectors, such as energy grids, transportation, buildings, and industries. Systems thinking allows </w:t>
      </w:r>
      <w:r>
        <w:rPr>
          <w:rFonts w:ascii="Segoe UI" w:hAnsi="Segoe UI" w:cs="Segoe UI"/>
          <w:color w:val="374151"/>
        </w:rPr>
        <w:lastRenderedPageBreak/>
        <w:t>engineers to understand the broader energy landscape and consider the interdependencies and interactions between renewable energy technologies and infrastructure. By adopting a systems approach, engineers can identify potential synergies, address challenges related to grid integration, and design comprehensive and integrated sustainable energy solutions.</w:t>
      </w:r>
    </w:p>
    <w:p w14:paraId="7F6B0544" w14:textId="25718D52" w:rsidR="00041B8B" w:rsidRDefault="00041B8B" w:rsidP="00041B8B">
      <w:pPr>
        <w:pStyle w:val="NormalWeb"/>
        <w:spacing w:before="300" w:beforeAutospacing="0" w:after="300" w:afterAutospacing="0"/>
        <w:rPr>
          <w:rFonts w:ascii="Segoe UI" w:hAnsi="Segoe UI" w:cs="Segoe UI"/>
          <w:color w:val="374151"/>
        </w:rPr>
      </w:pPr>
      <w:r>
        <w:rPr>
          <w:rFonts w:ascii="Segoe UI" w:hAnsi="Segoe UI" w:cs="Segoe UI"/>
          <w:color w:val="374151"/>
        </w:rPr>
        <w:t xml:space="preserve">Systems thinking enables Sustainable Energy Engineers to optimize energy efficiency, reduce greenhouse gas emissions, and support the transition to a sustainable energy future. By </w:t>
      </w:r>
      <w:r w:rsidR="00A967B2">
        <w:rPr>
          <w:rFonts w:ascii="Segoe UI" w:hAnsi="Segoe UI" w:cs="Segoe UI"/>
          <w:color w:val="374151"/>
        </w:rPr>
        <w:t>analysing</w:t>
      </w:r>
      <w:r>
        <w:rPr>
          <w:rFonts w:ascii="Segoe UI" w:hAnsi="Segoe UI" w:cs="Segoe UI"/>
          <w:color w:val="374151"/>
        </w:rPr>
        <w:t xml:space="preserve"> the interconnections between various sectors and considering the broader context, engineers can develop holistic solutions that have positive impacts across multiple domains. This skill is crucial for overcoming the complexities and challenges associated with renewable energy implementation.</w:t>
      </w:r>
    </w:p>
    <w:p w14:paraId="47B60E7E" w14:textId="77777777" w:rsidR="00041B8B" w:rsidRDefault="00041B8B" w:rsidP="00041B8B">
      <w:pPr>
        <w:pStyle w:val="NormalWeb"/>
        <w:spacing w:before="300" w:beforeAutospacing="0" w:after="0" w:afterAutospacing="0"/>
        <w:rPr>
          <w:rFonts w:ascii="Segoe UI" w:hAnsi="Segoe UI" w:cs="Segoe UI"/>
          <w:color w:val="374151"/>
        </w:rPr>
      </w:pPr>
      <w:r>
        <w:rPr>
          <w:rFonts w:ascii="Segoe UI" w:hAnsi="Segoe UI" w:cs="Segoe UI"/>
          <w:color w:val="374151"/>
        </w:rPr>
        <w:t>In conclusion, being a successful Sustainable Energy Engineer requires a combination of technical expertise, analytical skills, project management abilities, effective communication, and systems thinking. While all these skills contribute to an engineer's effectiveness, systems thinking is the most crucial skill. By embracing systems thinking, Sustainable Energy Engineers can design and implement sustainable energy systems that maximize efficiency, mitigate climate change, and contribute to a clean and resilient energy future.</w:t>
      </w:r>
    </w:p>
    <w:p w14:paraId="2E2F9E87" w14:textId="77777777" w:rsidR="00A265D0" w:rsidRDefault="00A265D0" w:rsidP="00802293"/>
    <w:p w14:paraId="4528ABDD" w14:textId="77777777" w:rsidR="00087FAA" w:rsidRDefault="00087FAA" w:rsidP="00802293"/>
    <w:p w14:paraId="5948581F" w14:textId="577F2E86" w:rsidR="004D76F7" w:rsidRDefault="00087FAA" w:rsidP="00802293">
      <w:r>
        <w:t xml:space="preserve">References </w:t>
      </w:r>
    </w:p>
    <w:p w14:paraId="266F4A64" w14:textId="77777777" w:rsidR="00087FAA" w:rsidRDefault="00087FAA" w:rsidP="00087FAA">
      <w:pPr>
        <w:pStyle w:val="NormalWeb"/>
        <w:numPr>
          <w:ilvl w:val="0"/>
          <w:numId w:val="6"/>
        </w:numPr>
        <w:spacing w:before="0" w:beforeAutospacing="0" w:after="0" w:afterAutospacing="0"/>
        <w:rPr>
          <w:rFonts w:ascii="Segoe UI" w:hAnsi="Segoe UI" w:cs="Segoe UI"/>
          <w:color w:val="374151"/>
        </w:rPr>
      </w:pPr>
      <w:proofErr w:type="spellStart"/>
      <w:r>
        <w:rPr>
          <w:rFonts w:ascii="Segoe UI" w:hAnsi="Segoe UI" w:cs="Segoe UI"/>
          <w:color w:val="374151"/>
        </w:rPr>
        <w:t>Rogelj</w:t>
      </w:r>
      <w:proofErr w:type="spellEnd"/>
      <w:r>
        <w:rPr>
          <w:rFonts w:ascii="Segoe UI" w:hAnsi="Segoe UI" w:cs="Segoe UI"/>
          <w:color w:val="374151"/>
        </w:rPr>
        <w:t>, J., et al. (2018). Global warming under old and new scenarios using IPCC climate sensitivity range estimates. Nature Climate Change, 8(10), 1-6.</w:t>
      </w:r>
    </w:p>
    <w:p w14:paraId="16859301" w14:textId="77777777" w:rsidR="00087FAA" w:rsidRDefault="00087FAA" w:rsidP="00087FAA">
      <w:pPr>
        <w:pStyle w:val="NormalWeb"/>
        <w:numPr>
          <w:ilvl w:val="0"/>
          <w:numId w:val="6"/>
        </w:numPr>
        <w:spacing w:before="0" w:beforeAutospacing="0" w:after="0" w:afterAutospacing="0"/>
        <w:rPr>
          <w:rFonts w:ascii="Segoe UI" w:hAnsi="Segoe UI" w:cs="Segoe UI"/>
          <w:color w:val="374151"/>
        </w:rPr>
      </w:pPr>
      <w:r>
        <w:rPr>
          <w:rFonts w:ascii="Segoe UI" w:hAnsi="Segoe UI" w:cs="Segoe UI"/>
          <w:color w:val="374151"/>
        </w:rPr>
        <w:t>Hargreaves, T., et al. (2013). Keeping energy visible? Exploring how householders interact with feedback from smart energy monitors in the longer term. Energy Policy, 52, 126-134.</w:t>
      </w:r>
    </w:p>
    <w:p w14:paraId="1D655B71" w14:textId="77777777" w:rsidR="00087FAA" w:rsidRDefault="00087FAA" w:rsidP="00087FAA">
      <w:pPr>
        <w:pStyle w:val="NormalWeb"/>
        <w:numPr>
          <w:ilvl w:val="0"/>
          <w:numId w:val="6"/>
        </w:numPr>
        <w:spacing w:before="0" w:beforeAutospacing="0" w:after="0" w:afterAutospacing="0"/>
        <w:rPr>
          <w:rFonts w:ascii="Segoe UI" w:hAnsi="Segoe UI" w:cs="Segoe UI"/>
          <w:color w:val="374151"/>
        </w:rPr>
      </w:pPr>
      <w:proofErr w:type="spellStart"/>
      <w:r>
        <w:rPr>
          <w:rFonts w:ascii="Segoe UI" w:hAnsi="Segoe UI" w:cs="Segoe UI"/>
          <w:color w:val="374151"/>
        </w:rPr>
        <w:t>Linnenluecke</w:t>
      </w:r>
      <w:proofErr w:type="spellEnd"/>
      <w:r>
        <w:rPr>
          <w:rFonts w:ascii="Segoe UI" w:hAnsi="Segoe UI" w:cs="Segoe UI"/>
          <w:color w:val="374151"/>
        </w:rPr>
        <w:t>, M. K., &amp; Griffiths, A. (2010). Corporate sustainability and organizational culture. Journal of World Business, 45(4), 357-366.</w:t>
      </w:r>
    </w:p>
    <w:p w14:paraId="5471BBDE" w14:textId="77777777" w:rsidR="00087FAA" w:rsidRDefault="00087FAA" w:rsidP="00087FAA">
      <w:pPr>
        <w:pStyle w:val="NormalWeb"/>
        <w:numPr>
          <w:ilvl w:val="0"/>
          <w:numId w:val="6"/>
        </w:numPr>
        <w:spacing w:before="0" w:beforeAutospacing="0" w:after="0" w:afterAutospacing="0"/>
        <w:rPr>
          <w:rFonts w:ascii="Segoe UI" w:hAnsi="Segoe UI" w:cs="Segoe UI"/>
          <w:color w:val="374151"/>
        </w:rPr>
      </w:pPr>
      <w:r>
        <w:rPr>
          <w:rFonts w:ascii="Segoe UI" w:hAnsi="Segoe UI" w:cs="Segoe UI"/>
          <w:color w:val="374151"/>
        </w:rPr>
        <w:t>Sterling, S. (2010). Sustainable education: Re-visioning learning and change. Schumacher College.</w:t>
      </w:r>
    </w:p>
    <w:p w14:paraId="2A4107DF" w14:textId="77777777" w:rsidR="00087FAA" w:rsidRDefault="00087FAA" w:rsidP="00087FAA">
      <w:pPr>
        <w:pStyle w:val="NormalWeb"/>
        <w:numPr>
          <w:ilvl w:val="0"/>
          <w:numId w:val="6"/>
        </w:numPr>
        <w:spacing w:before="0" w:beforeAutospacing="0" w:after="0" w:afterAutospacing="0"/>
        <w:rPr>
          <w:rFonts w:ascii="Segoe UI" w:hAnsi="Segoe UI" w:cs="Segoe UI"/>
          <w:color w:val="374151"/>
        </w:rPr>
      </w:pPr>
      <w:r>
        <w:rPr>
          <w:rFonts w:ascii="Segoe UI" w:hAnsi="Segoe UI" w:cs="Segoe UI"/>
          <w:color w:val="374151"/>
        </w:rPr>
        <w:t>Osterwalder, A., &amp; Pigneur, Y. (2010). Business model generation: A handbook for visionaries, game changers, and challengers. John Wiley &amp; Sons.</w:t>
      </w:r>
    </w:p>
    <w:p w14:paraId="5E14976F" w14:textId="77777777" w:rsidR="00087FAA" w:rsidRDefault="00087FAA" w:rsidP="00087FAA"/>
    <w:p w14:paraId="37BCA792" w14:textId="77777777" w:rsidR="004D76F7" w:rsidRDefault="004D76F7" w:rsidP="00087FAA"/>
    <w:p w14:paraId="3FC9F1D2" w14:textId="77777777" w:rsidR="004D76F7" w:rsidRDefault="004D76F7" w:rsidP="00802293"/>
    <w:p w14:paraId="068E4C4C" w14:textId="77777777" w:rsidR="004D76F7" w:rsidRDefault="004D76F7" w:rsidP="00802293"/>
    <w:p w14:paraId="6F7D343D" w14:textId="77777777" w:rsidR="004D76F7" w:rsidRDefault="004D76F7" w:rsidP="00802293"/>
    <w:p w14:paraId="39861240" w14:textId="77777777" w:rsidR="00A967B2" w:rsidRDefault="00A967B2" w:rsidP="00802293">
      <w:pPr>
        <w:rPr>
          <w:b/>
          <w:bCs/>
          <w:sz w:val="36"/>
          <w:szCs w:val="36"/>
        </w:rPr>
      </w:pPr>
    </w:p>
    <w:p w14:paraId="644F3800" w14:textId="7FA008FF" w:rsidR="004D76F7" w:rsidRDefault="00AA01E1" w:rsidP="00802293">
      <w:pPr>
        <w:rPr>
          <w:b/>
          <w:bCs/>
          <w:sz w:val="36"/>
          <w:szCs w:val="36"/>
        </w:rPr>
      </w:pPr>
      <w:r w:rsidRPr="00AA01E1">
        <w:rPr>
          <w:b/>
          <w:bCs/>
          <w:sz w:val="36"/>
          <w:szCs w:val="36"/>
        </w:rPr>
        <w:lastRenderedPageBreak/>
        <w:t>Blog 3</w:t>
      </w:r>
    </w:p>
    <w:p w14:paraId="2EE00931" w14:textId="77777777" w:rsidR="00C46AC1" w:rsidRDefault="00C46AC1" w:rsidP="00C46AC1">
      <w:pPr>
        <w:pStyle w:val="NormalWeb"/>
        <w:spacing w:before="0" w:beforeAutospacing="0" w:after="300" w:afterAutospacing="0"/>
        <w:rPr>
          <w:rFonts w:ascii="Segoe UI" w:hAnsi="Segoe UI" w:cs="Segoe UI"/>
          <w:color w:val="374151"/>
        </w:rPr>
      </w:pPr>
      <w:r>
        <w:rPr>
          <w:rFonts w:ascii="Segoe UI" w:hAnsi="Segoe UI" w:cs="Segoe UI"/>
          <w:color w:val="374151"/>
        </w:rPr>
        <w:t>Title: Exploring the Benefits and Drawbacks of Design Thinking in Business Strategy Development</w:t>
      </w:r>
    </w:p>
    <w:p w14:paraId="63CD74EA" w14:textId="08CF05B1" w:rsidR="00C46AC1" w:rsidRDefault="00C46AC1" w:rsidP="00C46AC1">
      <w:pPr>
        <w:pStyle w:val="NormalWeb"/>
        <w:spacing w:before="300" w:beforeAutospacing="0" w:after="300" w:afterAutospacing="0"/>
        <w:rPr>
          <w:rFonts w:ascii="Segoe UI" w:hAnsi="Segoe UI" w:cs="Segoe UI"/>
          <w:color w:val="374151"/>
        </w:rPr>
      </w:pPr>
      <w:r>
        <w:rPr>
          <w:rFonts w:ascii="Segoe UI" w:hAnsi="Segoe UI" w:cs="Segoe UI"/>
          <w:color w:val="374151"/>
        </w:rPr>
        <w:t>Introduction: Design thinking, an iterative and human-</w:t>
      </w:r>
      <w:r>
        <w:rPr>
          <w:rFonts w:ascii="Segoe UI" w:hAnsi="Segoe UI" w:cs="Segoe UI"/>
          <w:color w:val="374151"/>
        </w:rPr>
        <w:t>cantered</w:t>
      </w:r>
      <w:r>
        <w:rPr>
          <w:rFonts w:ascii="Segoe UI" w:hAnsi="Segoe UI" w:cs="Segoe UI"/>
          <w:color w:val="374151"/>
        </w:rPr>
        <w:t xml:space="preserve"> approach to problem-solving, has gained popularity in various industries. In the realm of business strategy development, design thinking offers both benefits and drawbacks. This article will delve into a specific business area, marketing strategy, and examine how design thinking can be advantageous while also considering its potential drawbacks.</w:t>
      </w:r>
    </w:p>
    <w:p w14:paraId="5C0B2639" w14:textId="77777777" w:rsidR="00C46AC1" w:rsidRDefault="00C46AC1" w:rsidP="00C46AC1">
      <w:pPr>
        <w:pStyle w:val="NormalWeb"/>
        <w:spacing w:before="300" w:beforeAutospacing="0" w:after="300" w:afterAutospacing="0"/>
        <w:rPr>
          <w:rFonts w:ascii="Segoe UI" w:hAnsi="Segoe UI" w:cs="Segoe UI"/>
          <w:color w:val="374151"/>
        </w:rPr>
      </w:pPr>
      <w:r>
        <w:rPr>
          <w:rFonts w:ascii="Segoe UI" w:hAnsi="Segoe UI" w:cs="Segoe UI"/>
          <w:color w:val="374151"/>
        </w:rPr>
        <w:t>Benefits of Design Thinking in Marketing Strategy:</w:t>
      </w:r>
    </w:p>
    <w:p w14:paraId="32C64428" w14:textId="77777777" w:rsidR="00C46AC1" w:rsidRDefault="00C46AC1" w:rsidP="00C46AC1">
      <w:pPr>
        <w:pStyle w:val="NormalWeb"/>
        <w:numPr>
          <w:ilvl w:val="0"/>
          <w:numId w:val="7"/>
        </w:numPr>
        <w:spacing w:before="0" w:beforeAutospacing="0" w:after="0" w:afterAutospacing="0"/>
        <w:rPr>
          <w:rFonts w:ascii="Segoe UI" w:hAnsi="Segoe UI" w:cs="Segoe UI"/>
          <w:color w:val="374151"/>
        </w:rPr>
      </w:pPr>
      <w:r>
        <w:rPr>
          <w:rFonts w:ascii="Segoe UI" w:hAnsi="Segoe UI" w:cs="Segoe UI"/>
          <w:color w:val="374151"/>
        </w:rPr>
        <w:t>Customer-Centric Approach: Design thinking places a strong emphasis on understanding customer needs and preferences. Applying this approach to marketing strategy enables businesses to gain deeper insights into their target audience, identify pain points, and develop tailored solutions. By empathizing with customers, businesses can create more meaningful and engaging marketing campaigns that resonate with their audience, leading to improved customer satisfaction and loyalty.</w:t>
      </w:r>
    </w:p>
    <w:p w14:paraId="7B317823" w14:textId="77777777" w:rsidR="00C46AC1" w:rsidRDefault="00C46AC1" w:rsidP="00C46AC1">
      <w:pPr>
        <w:pStyle w:val="NormalWeb"/>
        <w:numPr>
          <w:ilvl w:val="0"/>
          <w:numId w:val="7"/>
        </w:numPr>
        <w:spacing w:before="0" w:beforeAutospacing="0" w:after="0" w:afterAutospacing="0"/>
        <w:rPr>
          <w:rFonts w:ascii="Segoe UI" w:hAnsi="Segoe UI" w:cs="Segoe UI"/>
          <w:color w:val="374151"/>
        </w:rPr>
      </w:pPr>
      <w:r>
        <w:rPr>
          <w:rFonts w:ascii="Segoe UI" w:hAnsi="Segoe UI" w:cs="Segoe UI"/>
          <w:color w:val="374151"/>
        </w:rPr>
        <w:t>Innovation and Creativity: Design thinking encourages creativity and the exploration of alternative perspectives. This mindset can lead to innovative marketing strategies that differentiate businesses from competitors. By fostering a culture of creative problem-solving, design thinking opens avenues for new ideas, unique approaches, and unconventional marketing tactics. This can help businesses capture attention, stand out in crowded markets, and drive growth.</w:t>
      </w:r>
    </w:p>
    <w:p w14:paraId="33DACD1A" w14:textId="77777777" w:rsidR="00C46AC1" w:rsidRDefault="00C46AC1" w:rsidP="00C46AC1">
      <w:pPr>
        <w:pStyle w:val="NormalWeb"/>
        <w:numPr>
          <w:ilvl w:val="0"/>
          <w:numId w:val="7"/>
        </w:numPr>
        <w:spacing w:before="0" w:beforeAutospacing="0" w:after="0" w:afterAutospacing="0"/>
        <w:rPr>
          <w:rFonts w:ascii="Segoe UI" w:hAnsi="Segoe UI" w:cs="Segoe UI"/>
          <w:color w:val="374151"/>
        </w:rPr>
      </w:pPr>
      <w:r>
        <w:rPr>
          <w:rFonts w:ascii="Segoe UI" w:hAnsi="Segoe UI" w:cs="Segoe UI"/>
          <w:color w:val="374151"/>
        </w:rPr>
        <w:t>Iterative Development and Adaptability: Design thinking promotes an iterative process of prototyping, testing, and refining ideas. In marketing strategy, this iterative approach allows businesses to gather feedback and adjust their campaigns or messaging accordingly. By continuously evaluating and adapting marketing efforts, businesses can respond more effectively to market dynamics, changing customer preferences, and emerging trends, ensuring their strategies remain relevant and effective.</w:t>
      </w:r>
    </w:p>
    <w:p w14:paraId="6BFB37FB" w14:textId="77777777" w:rsidR="00C46AC1" w:rsidRDefault="00C46AC1" w:rsidP="00C46AC1">
      <w:pPr>
        <w:pStyle w:val="NormalWeb"/>
        <w:numPr>
          <w:ilvl w:val="0"/>
          <w:numId w:val="7"/>
        </w:numPr>
        <w:spacing w:before="0" w:beforeAutospacing="0" w:after="0" w:afterAutospacing="0"/>
        <w:rPr>
          <w:rFonts w:ascii="Segoe UI" w:hAnsi="Segoe UI" w:cs="Segoe UI"/>
          <w:color w:val="374151"/>
        </w:rPr>
      </w:pPr>
      <w:r>
        <w:rPr>
          <w:rFonts w:ascii="Segoe UI" w:hAnsi="Segoe UI" w:cs="Segoe UI"/>
          <w:color w:val="374151"/>
        </w:rPr>
        <w:t>Collaboration and Cross-Functional Teams: Design thinking encourages collaboration and the involvement of diverse perspectives. In marketing strategy, this collaborative approach brings together individuals from various departments, such as marketing, product development, and customer service. By involving cross-functional teams in the strategy development process, businesses can benefit from a broader range of expertise, foster innovation, and ensure alignment across departments.</w:t>
      </w:r>
    </w:p>
    <w:p w14:paraId="7A9152D3" w14:textId="77777777" w:rsidR="007737E6" w:rsidRDefault="007737E6" w:rsidP="00C46AC1">
      <w:pPr>
        <w:pStyle w:val="NormalWeb"/>
        <w:spacing w:before="300" w:beforeAutospacing="0" w:after="300" w:afterAutospacing="0"/>
        <w:rPr>
          <w:rFonts w:ascii="Segoe UI" w:hAnsi="Segoe UI" w:cs="Segoe UI"/>
          <w:color w:val="374151"/>
        </w:rPr>
      </w:pPr>
    </w:p>
    <w:p w14:paraId="1F9F9AB6" w14:textId="3A30BB61" w:rsidR="00C46AC1" w:rsidRDefault="00C46AC1" w:rsidP="00C46AC1">
      <w:pPr>
        <w:pStyle w:val="NormalWeb"/>
        <w:spacing w:before="300" w:beforeAutospacing="0" w:after="300" w:afterAutospacing="0"/>
        <w:rPr>
          <w:rFonts w:ascii="Segoe UI" w:hAnsi="Segoe UI" w:cs="Segoe UI"/>
          <w:color w:val="374151"/>
        </w:rPr>
      </w:pPr>
      <w:r>
        <w:rPr>
          <w:rFonts w:ascii="Segoe UI" w:hAnsi="Segoe UI" w:cs="Segoe UI"/>
          <w:color w:val="374151"/>
        </w:rPr>
        <w:lastRenderedPageBreak/>
        <w:t>Drawbacks of Design Thinking in Marketing Strategy:</w:t>
      </w:r>
    </w:p>
    <w:p w14:paraId="48FEFBC7" w14:textId="4DA8ACC2" w:rsidR="00C46AC1" w:rsidRDefault="00C46AC1" w:rsidP="00C46AC1">
      <w:pPr>
        <w:pStyle w:val="NormalWeb"/>
        <w:numPr>
          <w:ilvl w:val="0"/>
          <w:numId w:val="8"/>
        </w:numPr>
        <w:spacing w:before="0" w:beforeAutospacing="0" w:after="0" w:afterAutospacing="0"/>
        <w:rPr>
          <w:rFonts w:ascii="Segoe UI" w:hAnsi="Segoe UI" w:cs="Segoe UI"/>
          <w:color w:val="374151"/>
        </w:rPr>
      </w:pPr>
      <w:r>
        <w:rPr>
          <w:rFonts w:ascii="Segoe UI" w:hAnsi="Segoe UI" w:cs="Segoe UI"/>
          <w:color w:val="374151"/>
        </w:rPr>
        <w:t xml:space="preserve">Time and Resource Intensive: The iterative nature of design thinking can be time-consuming and </w:t>
      </w:r>
      <w:r>
        <w:rPr>
          <w:rFonts w:ascii="Segoe UI" w:hAnsi="Segoe UI" w:cs="Segoe UI"/>
          <w:color w:val="374151"/>
        </w:rPr>
        <w:t>resource intensive</w:t>
      </w:r>
      <w:r>
        <w:rPr>
          <w:rFonts w:ascii="Segoe UI" w:hAnsi="Segoe UI" w:cs="Segoe UI"/>
          <w:color w:val="374151"/>
        </w:rPr>
        <w:t>. The process of conducting user research, ideation, prototyping, and testing can extend the timeline for developing marketing strategies. This may pose challenges in fast-paced industries where businesses need to quickly respond to market opportunities or launch time-sensitive campaigns.</w:t>
      </w:r>
    </w:p>
    <w:p w14:paraId="790DDBF4" w14:textId="77777777" w:rsidR="00C46AC1" w:rsidRDefault="00C46AC1" w:rsidP="00C46AC1">
      <w:pPr>
        <w:pStyle w:val="NormalWeb"/>
        <w:numPr>
          <w:ilvl w:val="0"/>
          <w:numId w:val="8"/>
        </w:numPr>
        <w:spacing w:before="0" w:beforeAutospacing="0" w:after="0" w:afterAutospacing="0"/>
        <w:rPr>
          <w:rFonts w:ascii="Segoe UI" w:hAnsi="Segoe UI" w:cs="Segoe UI"/>
          <w:color w:val="374151"/>
        </w:rPr>
      </w:pPr>
      <w:r>
        <w:rPr>
          <w:rFonts w:ascii="Segoe UI" w:hAnsi="Segoe UI" w:cs="Segoe UI"/>
          <w:color w:val="374151"/>
        </w:rPr>
        <w:t>Risk of Over-Reliance on Qualitative Insights: Design thinking emphasizes qualitative research methods to gain customer insights, such as observations, interviews, and empathy-building exercises. While qualitative research provides valuable understanding, it may not capture the entire customer landscape. Relying solely on qualitative insights may lead to biases or limited perspectives, potentially missing quantitative data-driven insights that can provide a more comprehensive understanding of the market.</w:t>
      </w:r>
    </w:p>
    <w:p w14:paraId="23BC179A" w14:textId="77777777" w:rsidR="00C46AC1" w:rsidRDefault="00C46AC1" w:rsidP="00C46AC1">
      <w:pPr>
        <w:pStyle w:val="NormalWeb"/>
        <w:numPr>
          <w:ilvl w:val="0"/>
          <w:numId w:val="8"/>
        </w:numPr>
        <w:spacing w:before="0" w:beforeAutospacing="0" w:after="0" w:afterAutospacing="0"/>
        <w:rPr>
          <w:rFonts w:ascii="Segoe UI" w:hAnsi="Segoe UI" w:cs="Segoe UI"/>
          <w:color w:val="374151"/>
        </w:rPr>
      </w:pPr>
      <w:r>
        <w:rPr>
          <w:rFonts w:ascii="Segoe UI" w:hAnsi="Segoe UI" w:cs="Segoe UI"/>
          <w:color w:val="374151"/>
        </w:rPr>
        <w:t>Potential Disconnect from Business Objectives: Design thinking's exploratory and user-centric approach may occasionally lead to a disconnect from broader business objectives. While understanding customer needs is important, businesses must also consider their own strategic goals and financial viability. Overemphasizing user preferences without aligning them with the overall business strategy may result in marketing strategies that are misaligned with the organization's long-term objectives.</w:t>
      </w:r>
    </w:p>
    <w:p w14:paraId="01E24172" w14:textId="5172559D" w:rsidR="00C46AC1" w:rsidRDefault="00C46AC1" w:rsidP="00C46AC1">
      <w:pPr>
        <w:pStyle w:val="NormalWeb"/>
        <w:numPr>
          <w:ilvl w:val="0"/>
          <w:numId w:val="8"/>
        </w:numPr>
        <w:spacing w:before="0" w:beforeAutospacing="0" w:after="0" w:afterAutospacing="0"/>
        <w:rPr>
          <w:rFonts w:ascii="Segoe UI" w:hAnsi="Segoe UI" w:cs="Segoe UI"/>
          <w:color w:val="374151"/>
        </w:rPr>
      </w:pPr>
      <w:r>
        <w:rPr>
          <w:rFonts w:ascii="Segoe UI" w:hAnsi="Segoe UI" w:cs="Segoe UI"/>
          <w:color w:val="374151"/>
        </w:rPr>
        <w:t xml:space="preserve">Limited Scalability: Design thinking often relies on a small sample size and specific customer segments for research and ideation. This approach may work well for localized or niche markets, but it may present challenges when scaling marketing strategies to larger or more diverse audiences. Adapting design thinking principles to accommodate scalability can be a complex </w:t>
      </w:r>
      <w:r>
        <w:rPr>
          <w:rFonts w:ascii="Segoe UI" w:hAnsi="Segoe UI" w:cs="Segoe UI"/>
          <w:color w:val="374151"/>
        </w:rPr>
        <w:t>endeavour</w:t>
      </w:r>
      <w:r>
        <w:rPr>
          <w:rFonts w:ascii="Segoe UI" w:hAnsi="Segoe UI" w:cs="Segoe UI"/>
          <w:color w:val="374151"/>
        </w:rPr>
        <w:t>, requiring additional considerations and adjustments.</w:t>
      </w:r>
    </w:p>
    <w:p w14:paraId="5FF5655D" w14:textId="77777777" w:rsidR="00C46AC1" w:rsidRDefault="00C46AC1" w:rsidP="00C46AC1">
      <w:pPr>
        <w:pStyle w:val="NormalWeb"/>
        <w:spacing w:before="300" w:beforeAutospacing="0" w:after="0" w:afterAutospacing="0"/>
        <w:rPr>
          <w:rFonts w:ascii="Segoe UI" w:hAnsi="Segoe UI" w:cs="Segoe UI"/>
          <w:color w:val="374151"/>
        </w:rPr>
      </w:pPr>
      <w:r>
        <w:rPr>
          <w:rFonts w:ascii="Segoe UI" w:hAnsi="Segoe UI" w:cs="Segoe UI"/>
          <w:color w:val="374151"/>
        </w:rPr>
        <w:t>Conclusion: Design thinking brings valuable benefits to marketing strategy development, such as a customer-centric approach, innovation, iterative development, and collaboration. However, it is essential to be mindful of its potential drawbacks, including time and resource intensiveness, over-reliance on qualitative insights, potential disconnect from business objectives, and limitations in scalability. Businesses can leverage design thinking effectively by striking a balance between user-centeredness and alignment with organizational goals, complementing qualitative insights with quantitative data, and adapting the approach to suit the specific needs of the marketing context. By doing so, businesses can harness the power of design thinking to create impactful and successful marketing strategies that resonate with their target audience while driving business growth.</w:t>
      </w:r>
    </w:p>
    <w:p w14:paraId="685F4047" w14:textId="77777777" w:rsidR="00AA01E1" w:rsidRDefault="00AA01E1" w:rsidP="00C46AC1">
      <w:pPr>
        <w:pStyle w:val="NormalWeb"/>
        <w:spacing w:before="0" w:beforeAutospacing="0" w:after="300" w:afterAutospacing="0"/>
        <w:rPr>
          <w:b/>
          <w:bCs/>
          <w:sz w:val="36"/>
          <w:szCs w:val="36"/>
        </w:rPr>
      </w:pPr>
    </w:p>
    <w:p w14:paraId="3298E48C" w14:textId="77777777" w:rsidR="00977B80" w:rsidRDefault="00977B80" w:rsidP="00C46AC1">
      <w:pPr>
        <w:pStyle w:val="NormalWeb"/>
        <w:spacing w:before="0" w:beforeAutospacing="0" w:after="300" w:afterAutospacing="0"/>
        <w:rPr>
          <w:b/>
          <w:bCs/>
          <w:sz w:val="36"/>
          <w:szCs w:val="36"/>
        </w:rPr>
      </w:pPr>
    </w:p>
    <w:p w14:paraId="7C021438" w14:textId="2F6436D9" w:rsidR="00E052E2" w:rsidRPr="00977B80" w:rsidRDefault="00977B80" w:rsidP="00C46AC1">
      <w:pPr>
        <w:pStyle w:val="NormalWeb"/>
        <w:spacing w:before="0" w:beforeAutospacing="0" w:after="300" w:afterAutospacing="0"/>
      </w:pPr>
      <w:r w:rsidRPr="00977B80">
        <w:lastRenderedPageBreak/>
        <w:t>R</w:t>
      </w:r>
      <w:r w:rsidR="00E052E2" w:rsidRPr="00977B80">
        <w:t>e</w:t>
      </w:r>
      <w:r w:rsidRPr="00977B80">
        <w:t xml:space="preserve">ferences </w:t>
      </w:r>
    </w:p>
    <w:p w14:paraId="07149D7E" w14:textId="77777777" w:rsidR="00977B80" w:rsidRDefault="00977B80" w:rsidP="00977B80">
      <w:pPr>
        <w:pStyle w:val="NormalWeb"/>
        <w:numPr>
          <w:ilvl w:val="0"/>
          <w:numId w:val="9"/>
        </w:numPr>
        <w:spacing w:before="0" w:beforeAutospacing="0" w:after="0" w:afterAutospacing="0"/>
        <w:rPr>
          <w:rFonts w:ascii="Segoe UI" w:hAnsi="Segoe UI" w:cs="Segoe UI"/>
          <w:color w:val="374151"/>
        </w:rPr>
      </w:pPr>
      <w:r>
        <w:rPr>
          <w:rFonts w:ascii="Segoe UI" w:hAnsi="Segoe UI" w:cs="Segoe UI"/>
          <w:color w:val="374151"/>
        </w:rPr>
        <w:t>Brown, T. (2008). Design thinking. Harvard Business Review, 86(6), 84-92.</w:t>
      </w:r>
    </w:p>
    <w:p w14:paraId="3CEA9196" w14:textId="77777777" w:rsidR="00977B80" w:rsidRDefault="00977B80" w:rsidP="00977B80">
      <w:pPr>
        <w:pStyle w:val="NormalWeb"/>
        <w:numPr>
          <w:ilvl w:val="0"/>
          <w:numId w:val="9"/>
        </w:numPr>
        <w:spacing w:before="0" w:beforeAutospacing="0" w:after="0" w:afterAutospacing="0"/>
        <w:rPr>
          <w:rFonts w:ascii="Segoe UI" w:hAnsi="Segoe UI" w:cs="Segoe UI"/>
          <w:color w:val="374151"/>
        </w:rPr>
      </w:pPr>
      <w:r>
        <w:rPr>
          <w:rFonts w:ascii="Segoe UI" w:hAnsi="Segoe UI" w:cs="Segoe UI"/>
          <w:color w:val="374151"/>
        </w:rPr>
        <w:t>Kelley, T., &amp; Kelley, D. (2013). Creative confidence: Unleashing the creative potential within us all. Crown Business.</w:t>
      </w:r>
    </w:p>
    <w:p w14:paraId="0DE004C8" w14:textId="77777777" w:rsidR="00977B80" w:rsidRDefault="00977B80" w:rsidP="00977B80">
      <w:pPr>
        <w:pStyle w:val="NormalWeb"/>
        <w:numPr>
          <w:ilvl w:val="0"/>
          <w:numId w:val="9"/>
        </w:numPr>
        <w:spacing w:before="0" w:beforeAutospacing="0" w:after="0" w:afterAutospacing="0"/>
        <w:rPr>
          <w:rFonts w:ascii="Segoe UI" w:hAnsi="Segoe UI" w:cs="Segoe UI"/>
          <w:color w:val="374151"/>
        </w:rPr>
      </w:pPr>
      <w:r>
        <w:rPr>
          <w:rFonts w:ascii="Segoe UI" w:hAnsi="Segoe UI" w:cs="Segoe UI"/>
          <w:color w:val="374151"/>
        </w:rPr>
        <w:t>Martin, R. L. (2009). The design of business: Why design thinking is the next competitive advantage. Harvard Business Press.</w:t>
      </w:r>
    </w:p>
    <w:p w14:paraId="6624259A" w14:textId="77777777" w:rsidR="00977B80" w:rsidRDefault="00977B80" w:rsidP="00977B80">
      <w:pPr>
        <w:pStyle w:val="NormalWeb"/>
        <w:numPr>
          <w:ilvl w:val="0"/>
          <w:numId w:val="9"/>
        </w:numPr>
        <w:spacing w:before="0" w:beforeAutospacing="0" w:after="0" w:afterAutospacing="0"/>
        <w:rPr>
          <w:rFonts w:ascii="Segoe UI" w:hAnsi="Segoe UI" w:cs="Segoe UI"/>
          <w:color w:val="374151"/>
        </w:rPr>
      </w:pPr>
      <w:proofErr w:type="spellStart"/>
      <w:r>
        <w:rPr>
          <w:rFonts w:ascii="Segoe UI" w:hAnsi="Segoe UI" w:cs="Segoe UI"/>
          <w:color w:val="374151"/>
        </w:rPr>
        <w:t>Liedtka</w:t>
      </w:r>
      <w:proofErr w:type="spellEnd"/>
      <w:r>
        <w:rPr>
          <w:rFonts w:ascii="Segoe UI" w:hAnsi="Segoe UI" w:cs="Segoe UI"/>
          <w:color w:val="374151"/>
        </w:rPr>
        <w:t>, J. (2015). Perspective: Linking design thinking with innovation outcomes through cognitive bias reduction. Journal of Product Innovation Management, 32(6), 925-938.</w:t>
      </w:r>
    </w:p>
    <w:p w14:paraId="13C36096" w14:textId="77777777" w:rsidR="00977B80" w:rsidRDefault="00977B80" w:rsidP="00977B80">
      <w:pPr>
        <w:pStyle w:val="NormalWeb"/>
        <w:numPr>
          <w:ilvl w:val="0"/>
          <w:numId w:val="9"/>
        </w:numPr>
        <w:spacing w:before="0" w:beforeAutospacing="0" w:after="0" w:afterAutospacing="0"/>
        <w:rPr>
          <w:rFonts w:ascii="Segoe UI" w:hAnsi="Segoe UI" w:cs="Segoe UI"/>
          <w:color w:val="374151"/>
        </w:rPr>
      </w:pPr>
      <w:r>
        <w:rPr>
          <w:rFonts w:ascii="Segoe UI" w:hAnsi="Segoe UI" w:cs="Segoe UI"/>
          <w:color w:val="374151"/>
        </w:rPr>
        <w:t>Kimbell, L. (2011). Rethinking design thinking: Part I. Design and Culture, 3(3), 285-306.</w:t>
      </w:r>
    </w:p>
    <w:p w14:paraId="2E40BB21" w14:textId="77777777" w:rsidR="00977B80" w:rsidRDefault="00977B80" w:rsidP="00977B80">
      <w:pPr>
        <w:pStyle w:val="NormalWeb"/>
        <w:spacing w:before="0" w:beforeAutospacing="0" w:after="300" w:afterAutospacing="0"/>
        <w:rPr>
          <w:b/>
          <w:bCs/>
          <w:sz w:val="36"/>
          <w:szCs w:val="36"/>
        </w:rPr>
      </w:pPr>
    </w:p>
    <w:p w14:paraId="05C34615" w14:textId="77777777" w:rsidR="00977B80" w:rsidRPr="00AA01E1" w:rsidRDefault="00977B80" w:rsidP="00977B80">
      <w:pPr>
        <w:pStyle w:val="NormalWeb"/>
        <w:spacing w:before="0" w:beforeAutospacing="0" w:after="300" w:afterAutospacing="0"/>
        <w:rPr>
          <w:b/>
          <w:bCs/>
          <w:sz w:val="36"/>
          <w:szCs w:val="36"/>
        </w:rPr>
      </w:pPr>
    </w:p>
    <w:sectPr w:rsidR="00977B80" w:rsidRPr="00AA01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56297"/>
    <w:multiLevelType w:val="multilevel"/>
    <w:tmpl w:val="FB406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9A0BDB"/>
    <w:multiLevelType w:val="multilevel"/>
    <w:tmpl w:val="2AB86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5F29AE"/>
    <w:multiLevelType w:val="multilevel"/>
    <w:tmpl w:val="748EE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CA1D87"/>
    <w:multiLevelType w:val="multilevel"/>
    <w:tmpl w:val="DC9E1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F7F7A74"/>
    <w:multiLevelType w:val="multilevel"/>
    <w:tmpl w:val="F35A54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7B57DD"/>
    <w:multiLevelType w:val="multilevel"/>
    <w:tmpl w:val="0BC4A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D36F50"/>
    <w:multiLevelType w:val="multilevel"/>
    <w:tmpl w:val="5D7CB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FD4F91"/>
    <w:multiLevelType w:val="multilevel"/>
    <w:tmpl w:val="4320B31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15E721A"/>
    <w:multiLevelType w:val="multilevel"/>
    <w:tmpl w:val="52A63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5426837">
    <w:abstractNumId w:val="4"/>
  </w:num>
  <w:num w:numId="2" w16cid:durableId="379977918">
    <w:abstractNumId w:val="2"/>
  </w:num>
  <w:num w:numId="3" w16cid:durableId="146558431">
    <w:abstractNumId w:val="8"/>
  </w:num>
  <w:num w:numId="4" w16cid:durableId="435171307">
    <w:abstractNumId w:val="1"/>
  </w:num>
  <w:num w:numId="5" w16cid:durableId="225919792">
    <w:abstractNumId w:val="7"/>
  </w:num>
  <w:num w:numId="6" w16cid:durableId="1822116732">
    <w:abstractNumId w:val="3"/>
  </w:num>
  <w:num w:numId="7" w16cid:durableId="1567763408">
    <w:abstractNumId w:val="0"/>
  </w:num>
  <w:num w:numId="8" w16cid:durableId="417949089">
    <w:abstractNumId w:val="5"/>
  </w:num>
  <w:num w:numId="9" w16cid:durableId="11213417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028"/>
    <w:rsid w:val="00041B8B"/>
    <w:rsid w:val="00087FAA"/>
    <w:rsid w:val="00225E6E"/>
    <w:rsid w:val="00327D7F"/>
    <w:rsid w:val="00465BA5"/>
    <w:rsid w:val="004D76F7"/>
    <w:rsid w:val="004F32F3"/>
    <w:rsid w:val="00561F64"/>
    <w:rsid w:val="006220B5"/>
    <w:rsid w:val="006845B1"/>
    <w:rsid w:val="006A1028"/>
    <w:rsid w:val="007737E6"/>
    <w:rsid w:val="007829D8"/>
    <w:rsid w:val="00797479"/>
    <w:rsid w:val="00802293"/>
    <w:rsid w:val="0096337D"/>
    <w:rsid w:val="00977B80"/>
    <w:rsid w:val="00A265D0"/>
    <w:rsid w:val="00A26D1D"/>
    <w:rsid w:val="00A967B2"/>
    <w:rsid w:val="00AA01E1"/>
    <w:rsid w:val="00AC6DA2"/>
    <w:rsid w:val="00C46AC1"/>
    <w:rsid w:val="00E052E2"/>
    <w:rsid w:val="00EC6C86"/>
    <w:rsid w:val="00FB63C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E468D"/>
  <w15:chartTrackingRefBased/>
  <w15:docId w15:val="{D4ACEBDA-99F0-4CBF-A220-67AD6D541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845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61F64"/>
    <w:rPr>
      <w:b/>
      <w:bCs/>
    </w:rPr>
  </w:style>
  <w:style w:type="character" w:styleId="Hyperlink">
    <w:name w:val="Hyperlink"/>
    <w:basedOn w:val="DefaultParagraphFont"/>
    <w:uiPriority w:val="99"/>
    <w:semiHidden/>
    <w:unhideWhenUsed/>
    <w:rsid w:val="00327D7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52261">
      <w:bodyDiv w:val="1"/>
      <w:marLeft w:val="0"/>
      <w:marRight w:val="0"/>
      <w:marTop w:val="0"/>
      <w:marBottom w:val="0"/>
      <w:divBdr>
        <w:top w:val="none" w:sz="0" w:space="0" w:color="auto"/>
        <w:left w:val="none" w:sz="0" w:space="0" w:color="auto"/>
        <w:bottom w:val="none" w:sz="0" w:space="0" w:color="auto"/>
        <w:right w:val="none" w:sz="0" w:space="0" w:color="auto"/>
      </w:divBdr>
    </w:div>
    <w:div w:id="168638370">
      <w:bodyDiv w:val="1"/>
      <w:marLeft w:val="0"/>
      <w:marRight w:val="0"/>
      <w:marTop w:val="0"/>
      <w:marBottom w:val="0"/>
      <w:divBdr>
        <w:top w:val="none" w:sz="0" w:space="0" w:color="auto"/>
        <w:left w:val="none" w:sz="0" w:space="0" w:color="auto"/>
        <w:bottom w:val="none" w:sz="0" w:space="0" w:color="auto"/>
        <w:right w:val="none" w:sz="0" w:space="0" w:color="auto"/>
      </w:divBdr>
    </w:div>
    <w:div w:id="441655320">
      <w:bodyDiv w:val="1"/>
      <w:marLeft w:val="0"/>
      <w:marRight w:val="0"/>
      <w:marTop w:val="0"/>
      <w:marBottom w:val="0"/>
      <w:divBdr>
        <w:top w:val="none" w:sz="0" w:space="0" w:color="auto"/>
        <w:left w:val="none" w:sz="0" w:space="0" w:color="auto"/>
        <w:bottom w:val="none" w:sz="0" w:space="0" w:color="auto"/>
        <w:right w:val="none" w:sz="0" w:space="0" w:color="auto"/>
      </w:divBdr>
    </w:div>
    <w:div w:id="1012025741">
      <w:bodyDiv w:val="1"/>
      <w:marLeft w:val="0"/>
      <w:marRight w:val="0"/>
      <w:marTop w:val="0"/>
      <w:marBottom w:val="0"/>
      <w:divBdr>
        <w:top w:val="none" w:sz="0" w:space="0" w:color="auto"/>
        <w:left w:val="none" w:sz="0" w:space="0" w:color="auto"/>
        <w:bottom w:val="none" w:sz="0" w:space="0" w:color="auto"/>
        <w:right w:val="none" w:sz="0" w:space="0" w:color="auto"/>
      </w:divBdr>
    </w:div>
    <w:div w:id="1056126495">
      <w:bodyDiv w:val="1"/>
      <w:marLeft w:val="0"/>
      <w:marRight w:val="0"/>
      <w:marTop w:val="0"/>
      <w:marBottom w:val="0"/>
      <w:divBdr>
        <w:top w:val="none" w:sz="0" w:space="0" w:color="auto"/>
        <w:left w:val="none" w:sz="0" w:space="0" w:color="auto"/>
        <w:bottom w:val="none" w:sz="0" w:space="0" w:color="auto"/>
        <w:right w:val="none" w:sz="0" w:space="0" w:color="auto"/>
      </w:divBdr>
    </w:div>
    <w:div w:id="1523740636">
      <w:bodyDiv w:val="1"/>
      <w:marLeft w:val="0"/>
      <w:marRight w:val="0"/>
      <w:marTop w:val="0"/>
      <w:marBottom w:val="0"/>
      <w:divBdr>
        <w:top w:val="none" w:sz="0" w:space="0" w:color="auto"/>
        <w:left w:val="none" w:sz="0" w:space="0" w:color="auto"/>
        <w:bottom w:val="none" w:sz="0" w:space="0" w:color="auto"/>
        <w:right w:val="none" w:sz="0" w:space="0" w:color="auto"/>
      </w:divBdr>
    </w:div>
    <w:div w:id="1571309240">
      <w:bodyDiv w:val="1"/>
      <w:marLeft w:val="0"/>
      <w:marRight w:val="0"/>
      <w:marTop w:val="0"/>
      <w:marBottom w:val="0"/>
      <w:divBdr>
        <w:top w:val="none" w:sz="0" w:space="0" w:color="auto"/>
        <w:left w:val="none" w:sz="0" w:space="0" w:color="auto"/>
        <w:bottom w:val="none" w:sz="0" w:space="0" w:color="auto"/>
        <w:right w:val="none" w:sz="0" w:space="0" w:color="auto"/>
      </w:divBdr>
    </w:div>
    <w:div w:id="1982346464">
      <w:bodyDiv w:val="1"/>
      <w:marLeft w:val="0"/>
      <w:marRight w:val="0"/>
      <w:marTop w:val="0"/>
      <w:marBottom w:val="0"/>
      <w:divBdr>
        <w:top w:val="none" w:sz="0" w:space="0" w:color="auto"/>
        <w:left w:val="none" w:sz="0" w:space="0" w:color="auto"/>
        <w:bottom w:val="none" w:sz="0" w:space="0" w:color="auto"/>
        <w:right w:val="none" w:sz="0" w:space="0" w:color="auto"/>
      </w:divBdr>
    </w:div>
    <w:div w:id="2105883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limate.nasa.gov/evide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nfccc.int/process-and-meetings/the-paris-agreement/the-paris-agreement" TargetMode="External"/><Relationship Id="rId5" Type="http://schemas.openxmlformats.org/officeDocument/2006/relationships/hyperlink" Target="https://www.ipcc.ch/sr15/"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37667</TotalTime>
  <Pages>8</Pages>
  <Words>2510</Words>
  <Characters>14309</Characters>
  <Application>Microsoft Office Word</Application>
  <DocSecurity>0</DocSecurity>
  <Lines>119</Lines>
  <Paragraphs>33</Paragraphs>
  <ScaleCrop>false</ScaleCrop>
  <Company/>
  <LinksUpToDate>false</LinksUpToDate>
  <CharactersWithSpaces>16786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Waleed Sulaiman</dc:creator>
  <cp:keywords/>
  <dc:description/>
  <cp:lastModifiedBy>Waleed Sulaiman</cp:lastModifiedBy>
  <cp:revision>21</cp:revision>
  <dcterms:created xsi:type="dcterms:W3CDTF">2023-06-21T18:03:00Z</dcterms:created>
  <dcterms:modified xsi:type="dcterms:W3CDTF">2023-07-17T22:09:00Z</dcterms:modified>
</cp:coreProperties>
</file>