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377DB" w14:textId="31BAC27A" w:rsidR="00DA0E72" w:rsidRDefault="00C01CAF">
      <w:r>
        <w:t>CONTRACT LAW DRAFT 1 FINAL</w:t>
      </w:r>
    </w:p>
    <w:p w14:paraId="64C39D5B" w14:textId="77777777" w:rsidR="00A22711" w:rsidRDefault="00A22711"/>
    <w:p w14:paraId="5445AF3E" w14:textId="77777777" w:rsidR="0081032A" w:rsidRPr="00A22711" w:rsidRDefault="0081032A" w:rsidP="0081032A">
      <w:pPr>
        <w:numPr>
          <w:ilvl w:val="0"/>
          <w:numId w:val="2"/>
        </w:numPr>
        <w:spacing w:after="0" w:line="240" w:lineRule="auto"/>
        <w:contextualSpacing/>
        <w:jc w:val="both"/>
        <w:rPr>
          <w:rFonts w:ascii="Times New Roman" w:eastAsia="Times New Roman" w:hAnsi="Times New Roman" w:cs="Times New Roman"/>
          <w:b/>
          <w:bCs/>
          <w:kern w:val="0"/>
          <w:sz w:val="24"/>
          <w:szCs w:val="24"/>
          <w:lang w:eastAsia="en-GB"/>
          <w14:ligatures w14:val="none"/>
        </w:rPr>
      </w:pPr>
      <w:r w:rsidRPr="00A22711">
        <w:rPr>
          <w:rFonts w:ascii="Times New Roman" w:eastAsia="Times New Roman" w:hAnsi="Times New Roman" w:cs="Times New Roman"/>
          <w:b/>
          <w:bCs/>
          <w:kern w:val="0"/>
          <w:sz w:val="24"/>
          <w:szCs w:val="24"/>
          <w:lang w:eastAsia="en-GB"/>
          <w14:ligatures w14:val="none"/>
        </w:rPr>
        <w:t xml:space="preserve">Introduction </w:t>
      </w:r>
    </w:p>
    <w:p w14:paraId="1060C29B" w14:textId="77777777" w:rsidR="0081032A" w:rsidRPr="0081032A" w:rsidRDefault="0081032A" w:rsidP="0081032A">
      <w:pPr>
        <w:spacing w:after="0" w:line="240" w:lineRule="auto"/>
        <w:ind w:left="360"/>
        <w:contextualSpacing/>
        <w:jc w:val="both"/>
        <w:rPr>
          <w:rFonts w:ascii="Times New Roman" w:eastAsia="Times New Roman" w:hAnsi="Times New Roman" w:cs="Times New Roman"/>
          <w:kern w:val="0"/>
          <w:sz w:val="24"/>
          <w:szCs w:val="24"/>
          <w:lang w:eastAsia="en-GB"/>
          <w14:ligatures w14:val="none"/>
        </w:rPr>
      </w:pPr>
    </w:p>
    <w:p w14:paraId="6B16690E" w14:textId="77777777" w:rsidR="0081032A" w:rsidRPr="0081032A" w:rsidRDefault="0081032A" w:rsidP="0081032A">
      <w:pPr>
        <w:spacing w:line="360" w:lineRule="auto"/>
        <w:jc w:val="both"/>
        <w:rPr>
          <w:rFonts w:ascii="Times New Roman" w:eastAsia="Times New Roman" w:hAnsi="Times New Roman" w:cs="Times New Roman"/>
          <w:color w:val="FF0000"/>
          <w:kern w:val="0"/>
          <w:sz w:val="24"/>
          <w:szCs w:val="24"/>
          <w:lang w:val="en-GB" w:eastAsia="en-GB"/>
          <w14:ligatures w14:val="none"/>
        </w:rPr>
      </w:pPr>
      <w:r w:rsidRPr="0081032A">
        <w:rPr>
          <w:rFonts w:ascii="Times New Roman" w:eastAsia="Times New Roman" w:hAnsi="Times New Roman" w:cs="Times New Roman"/>
          <w:kern w:val="0"/>
          <w:sz w:val="24"/>
          <w:szCs w:val="24"/>
          <w:lang w:eastAsia="en-GB"/>
          <w14:ligatures w14:val="none"/>
        </w:rPr>
        <w:t xml:space="preserve">An essential component of the establishment of a legally binding contract is the purpose to establish legal relations. The court considers a number of factors to determine whether the parties intended to be legally bound by their agreement, including the language and wording used in the agreement, the parties' relationship and the circumstances surrounding the agreement </w:t>
      </w:r>
      <w:r w:rsidRPr="0081032A">
        <w:rPr>
          <w:rFonts w:ascii="Times New Roman" w:eastAsia="Times New Roman" w:hAnsi="Times New Roman" w:cs="Times New Roman"/>
          <w:kern w:val="0"/>
          <w:sz w:val="24"/>
          <w:szCs w:val="24"/>
          <w:lang w:val="en-GB" w:eastAsia="en-GB"/>
          <w14:ligatures w14:val="none"/>
        </w:rPr>
        <w:t>(</w:t>
      </w:r>
      <w:proofErr w:type="spellStart"/>
      <w:r w:rsidRPr="0081032A">
        <w:rPr>
          <w:rFonts w:ascii="Times New Roman" w:eastAsia="Times New Roman" w:hAnsi="Times New Roman" w:cs="Times New Roman"/>
          <w:kern w:val="0"/>
          <w:sz w:val="24"/>
          <w:szCs w:val="24"/>
          <w:lang w:val="en-GB" w:eastAsia="en-GB"/>
          <w14:ligatures w14:val="none"/>
        </w:rPr>
        <w:t>Hepple</w:t>
      </w:r>
      <w:proofErr w:type="spellEnd"/>
      <w:r w:rsidRPr="0081032A">
        <w:rPr>
          <w:rFonts w:ascii="Times New Roman" w:eastAsia="Times New Roman" w:hAnsi="Times New Roman" w:cs="Times New Roman"/>
          <w:kern w:val="0"/>
          <w:sz w:val="24"/>
          <w:szCs w:val="24"/>
          <w:lang w:val="en-GB" w:eastAsia="en-GB"/>
          <w14:ligatures w14:val="none"/>
        </w:rPr>
        <w:t xml:space="preserve">, 1970). This intention is critical in determining whether an agreement between the parties is enforceable or not. If the court finds that the parties intended to create legal relations, the agreement will be binding and enforceable </w:t>
      </w:r>
      <w:r w:rsidRPr="0081032A">
        <w:rPr>
          <w:rFonts w:ascii="Times New Roman" w:eastAsia="Times New Roman" w:hAnsi="Times New Roman" w:cs="Times New Roman"/>
          <w:color w:val="FF0000"/>
          <w:kern w:val="0"/>
          <w:sz w:val="24"/>
          <w:szCs w:val="24"/>
          <w:lang w:val="en-GB" w:eastAsia="en-GB"/>
          <w14:ligatures w14:val="none"/>
        </w:rPr>
        <w:t>(Brown, 2020). On the other hand, if the court determines that there was no intention to create legal relations, the agreement will not be legally binding, and the parties will not be bound to perform their obligations under the agreement (Taylor, 2019). The intention to create legal relations is a crucial element in the formation of legally binding contracts and should be established to determine the enforceability of the agreement (Johnson, 2016).</w:t>
      </w:r>
    </w:p>
    <w:p w14:paraId="55C9397E" w14:textId="3BB055F0" w:rsidR="0081032A" w:rsidRPr="00A22711" w:rsidRDefault="0081032A" w:rsidP="0081032A">
      <w:pPr>
        <w:keepNext/>
        <w:keepLines/>
        <w:numPr>
          <w:ilvl w:val="0"/>
          <w:numId w:val="1"/>
        </w:numPr>
        <w:spacing w:before="400" w:after="120" w:line="360" w:lineRule="auto"/>
        <w:outlineLvl w:val="0"/>
        <w:rPr>
          <w:rFonts w:ascii="Times New Roman" w:eastAsia="Times New Roman" w:hAnsi="Times New Roman" w:cs="Times New Roman"/>
          <w:b/>
          <w:kern w:val="0"/>
          <w:sz w:val="24"/>
          <w:szCs w:val="24"/>
          <w:lang w:val="en-US" w:eastAsia="en-US"/>
          <w14:ligatures w14:val="none"/>
        </w:rPr>
      </w:pPr>
      <w:bookmarkStart w:id="0" w:name="_Toc128510177"/>
      <w:r w:rsidRPr="00A22711">
        <w:rPr>
          <w:rFonts w:ascii="Times New Roman" w:eastAsia="Times New Roman" w:hAnsi="Times New Roman" w:cs="Times New Roman"/>
          <w:b/>
          <w:kern w:val="0"/>
          <w:sz w:val="24"/>
          <w:szCs w:val="24"/>
          <w:lang w:val="en-US" w:eastAsia="en-US"/>
          <w14:ligatures w14:val="none"/>
        </w:rPr>
        <w:t xml:space="preserve"> </w:t>
      </w:r>
      <w:r w:rsidR="00A22711">
        <w:rPr>
          <w:rFonts w:ascii="Times New Roman" w:eastAsia="Times New Roman" w:hAnsi="Times New Roman" w:cs="Times New Roman"/>
          <w:b/>
          <w:kern w:val="0"/>
          <w:sz w:val="24"/>
          <w:szCs w:val="24"/>
          <w:lang w:val="en-US" w:eastAsia="en-US"/>
          <w14:ligatures w14:val="none"/>
        </w:rPr>
        <w:t xml:space="preserve">Agreements within </w:t>
      </w:r>
      <w:r w:rsidRPr="00A22711">
        <w:rPr>
          <w:rFonts w:ascii="Times New Roman" w:eastAsia="Times New Roman" w:hAnsi="Times New Roman" w:cs="Times New Roman"/>
          <w:b/>
          <w:kern w:val="0"/>
          <w:sz w:val="24"/>
          <w:szCs w:val="24"/>
          <w:lang w:val="en-US" w:eastAsia="en-US"/>
          <w14:ligatures w14:val="none"/>
        </w:rPr>
        <w:t>Social/Domestic Context</w:t>
      </w:r>
      <w:bookmarkEnd w:id="0"/>
      <w:r w:rsidRPr="00A22711">
        <w:rPr>
          <w:rFonts w:ascii="Times New Roman" w:eastAsia="Times New Roman" w:hAnsi="Times New Roman" w:cs="Times New Roman"/>
          <w:b/>
          <w:kern w:val="0"/>
          <w:sz w:val="24"/>
          <w:szCs w:val="24"/>
          <w:lang w:val="en-US" w:eastAsia="en-US"/>
          <w14:ligatures w14:val="none"/>
        </w:rPr>
        <w:t xml:space="preserve"> </w:t>
      </w:r>
    </w:p>
    <w:p w14:paraId="23AF76E9" w14:textId="77777777" w:rsidR="0081032A" w:rsidRPr="0081032A" w:rsidRDefault="0081032A" w:rsidP="0081032A">
      <w:pPr>
        <w:spacing w:after="0" w:line="276" w:lineRule="auto"/>
        <w:jc w:val="both"/>
        <w:rPr>
          <w:rFonts w:ascii="Times New Roman" w:eastAsia="Times New Roman" w:hAnsi="Times New Roman" w:cs="Times New Roman"/>
          <w:kern w:val="0"/>
          <w:sz w:val="24"/>
          <w:szCs w:val="24"/>
          <w:lang w:eastAsia="en-US"/>
          <w14:ligatures w14:val="none"/>
        </w:rPr>
      </w:pPr>
      <w:r w:rsidRPr="0081032A">
        <w:rPr>
          <w:rFonts w:ascii="Times New Roman" w:eastAsia="Times New Roman" w:hAnsi="Times New Roman" w:cs="Times New Roman"/>
          <w:kern w:val="0"/>
          <w:sz w:val="24"/>
          <w:szCs w:val="24"/>
          <w:lang w:eastAsia="en-US"/>
          <w14:ligatures w14:val="none"/>
        </w:rPr>
        <w:t xml:space="preserve">In a domestic context, it </w:t>
      </w:r>
      <w:r w:rsidRPr="0081032A">
        <w:rPr>
          <w:rFonts w:ascii="Times New Roman" w:eastAsia="Times New Roman" w:hAnsi="Times New Roman" w:cs="Times New Roman"/>
          <w:kern w:val="0"/>
          <w:sz w:val="24"/>
          <w:szCs w:val="24"/>
          <w:highlight w:val="cyan"/>
          <w:lang w:eastAsia="en-US"/>
          <w14:ligatures w14:val="none"/>
        </w:rPr>
        <w:t>is generally presumed that the parties did not intend to create legal relations unless there is evidence to the contrary.</w:t>
      </w:r>
      <w:r w:rsidRPr="0081032A">
        <w:rPr>
          <w:rFonts w:ascii="Times New Roman" w:eastAsia="Times New Roman" w:hAnsi="Times New Roman" w:cs="Times New Roman"/>
          <w:kern w:val="0"/>
          <w:sz w:val="24"/>
          <w:szCs w:val="24"/>
          <w:lang w:eastAsia="en-US"/>
          <w14:ligatures w14:val="none"/>
        </w:rPr>
        <w:t xml:space="preserve"> This approach appears to be a matter of public policy and was established in the landmark case of </w:t>
      </w:r>
      <w:r w:rsidRPr="0081032A">
        <w:rPr>
          <w:rFonts w:ascii="Times New Roman" w:eastAsia="Times New Roman" w:hAnsi="Times New Roman" w:cs="Times New Roman"/>
          <w:kern w:val="0"/>
          <w:sz w:val="24"/>
          <w:szCs w:val="24"/>
          <w:highlight w:val="red"/>
          <w:lang w:eastAsia="en-US"/>
          <w14:ligatures w14:val="none"/>
        </w:rPr>
        <w:t>Balfour v Balfour (1919) 2 KB 571</w:t>
      </w:r>
      <w:r w:rsidRPr="0081032A">
        <w:rPr>
          <w:rFonts w:ascii="Times New Roman" w:eastAsia="Times New Roman" w:hAnsi="Times New Roman" w:cs="Times New Roman"/>
          <w:kern w:val="0"/>
          <w:sz w:val="24"/>
          <w:szCs w:val="24"/>
          <w:lang w:eastAsia="en-US"/>
          <w14:ligatures w14:val="none"/>
        </w:rPr>
        <w:t xml:space="preserve">, where it was held that the agreement between the husband and wife was not enforceable as there was no intention to create legal relations. The court held that the agreement for the husband to fund his wife monthly was a domestic arrangement and did not create a legally binding contract. The case of </w:t>
      </w:r>
      <w:proofErr w:type="spellStart"/>
      <w:r w:rsidRPr="0081032A">
        <w:rPr>
          <w:rFonts w:ascii="Times New Roman" w:eastAsia="Times New Roman" w:hAnsi="Times New Roman" w:cs="Times New Roman"/>
          <w:kern w:val="0"/>
          <w:sz w:val="24"/>
          <w:szCs w:val="24"/>
          <w:highlight w:val="red"/>
          <w:lang w:eastAsia="en-US"/>
          <w14:ligatures w14:val="none"/>
        </w:rPr>
        <w:t>Windeler</w:t>
      </w:r>
      <w:proofErr w:type="spellEnd"/>
      <w:r w:rsidRPr="0081032A">
        <w:rPr>
          <w:rFonts w:ascii="Times New Roman" w:eastAsia="Times New Roman" w:hAnsi="Times New Roman" w:cs="Times New Roman"/>
          <w:kern w:val="0"/>
          <w:sz w:val="24"/>
          <w:szCs w:val="24"/>
          <w:highlight w:val="red"/>
          <w:lang w:eastAsia="en-US"/>
          <w14:ligatures w14:val="none"/>
        </w:rPr>
        <w:t xml:space="preserve"> v Whitehall [1990] 2 FLR 505</w:t>
      </w:r>
      <w:r w:rsidRPr="0081032A">
        <w:rPr>
          <w:rFonts w:ascii="Times New Roman" w:eastAsia="Times New Roman" w:hAnsi="Times New Roman" w:cs="Times New Roman"/>
          <w:kern w:val="0"/>
          <w:sz w:val="24"/>
          <w:szCs w:val="24"/>
          <w:lang w:eastAsia="en-US"/>
          <w14:ligatures w14:val="none"/>
        </w:rPr>
        <w:t xml:space="preserve"> was significant in showing that the existence of a relationship does not necessarily entail a desire to form legal relations from the perspective of the intention to create legal relations. Similar to this, it was said in </w:t>
      </w:r>
      <w:r w:rsidRPr="0081032A">
        <w:rPr>
          <w:rFonts w:ascii="Times New Roman" w:eastAsia="Times New Roman" w:hAnsi="Times New Roman" w:cs="Times New Roman"/>
          <w:kern w:val="0"/>
          <w:sz w:val="24"/>
          <w:szCs w:val="24"/>
          <w:highlight w:val="red"/>
          <w:lang w:eastAsia="en-US"/>
          <w14:ligatures w14:val="none"/>
        </w:rPr>
        <w:t>Fleming v Beeves (1994)</w:t>
      </w:r>
      <w:r w:rsidRPr="0081032A">
        <w:rPr>
          <w:rFonts w:ascii="Times New Roman" w:eastAsia="Times New Roman" w:hAnsi="Times New Roman" w:cs="Times New Roman"/>
          <w:kern w:val="0"/>
          <w:sz w:val="24"/>
          <w:szCs w:val="24"/>
          <w:lang w:eastAsia="en-US"/>
          <w14:ligatures w14:val="none"/>
        </w:rPr>
        <w:t xml:space="preserve"> that a parent's pledge to give their child an allowance while they attend college typically generates a moral, but not legal, responsibility. </w:t>
      </w:r>
    </w:p>
    <w:p w14:paraId="1D717DD9" w14:textId="77777777" w:rsidR="0081032A" w:rsidRPr="0081032A" w:rsidRDefault="0081032A" w:rsidP="0081032A">
      <w:pPr>
        <w:spacing w:after="0" w:line="276" w:lineRule="auto"/>
        <w:jc w:val="both"/>
        <w:rPr>
          <w:rFonts w:ascii="Times New Roman" w:eastAsia="Times New Roman" w:hAnsi="Times New Roman" w:cs="Times New Roman"/>
          <w:kern w:val="0"/>
          <w:sz w:val="24"/>
          <w:szCs w:val="24"/>
          <w:lang w:eastAsia="en-US"/>
          <w14:ligatures w14:val="none"/>
        </w:rPr>
      </w:pPr>
    </w:p>
    <w:p w14:paraId="25F59FF6" w14:textId="77777777" w:rsidR="0081032A" w:rsidRPr="0081032A" w:rsidRDefault="0081032A" w:rsidP="00D46F76">
      <w:pPr>
        <w:spacing w:after="0" w:line="276" w:lineRule="auto"/>
        <w:ind w:firstLine="720"/>
        <w:jc w:val="both"/>
        <w:rPr>
          <w:rFonts w:ascii="Times New Roman" w:eastAsia="Times New Roman" w:hAnsi="Times New Roman" w:cs="Times New Roman"/>
          <w:kern w:val="0"/>
          <w:sz w:val="24"/>
          <w:szCs w:val="24"/>
          <w:lang w:eastAsia="en-US"/>
          <w14:ligatures w14:val="none"/>
        </w:rPr>
      </w:pPr>
      <w:r w:rsidRPr="0081032A">
        <w:rPr>
          <w:rFonts w:ascii="Times New Roman" w:eastAsia="Times New Roman" w:hAnsi="Times New Roman" w:cs="Times New Roman"/>
          <w:kern w:val="0"/>
          <w:sz w:val="24"/>
          <w:szCs w:val="24"/>
          <w:lang w:eastAsia="en-US"/>
          <w14:ligatures w14:val="none"/>
        </w:rPr>
        <w:t xml:space="preserve">This presumption was further confirmed in </w:t>
      </w:r>
      <w:r w:rsidRPr="0081032A">
        <w:rPr>
          <w:rFonts w:ascii="Times New Roman" w:eastAsia="Times New Roman" w:hAnsi="Times New Roman" w:cs="Times New Roman"/>
          <w:kern w:val="0"/>
          <w:sz w:val="24"/>
          <w:szCs w:val="24"/>
          <w:highlight w:val="red"/>
          <w:lang w:eastAsia="en-US"/>
          <w14:ligatures w14:val="none"/>
        </w:rPr>
        <w:t xml:space="preserve">Jones v </w:t>
      </w:r>
      <w:proofErr w:type="spellStart"/>
      <w:r w:rsidRPr="0081032A">
        <w:rPr>
          <w:rFonts w:ascii="Times New Roman" w:eastAsia="Times New Roman" w:hAnsi="Times New Roman" w:cs="Times New Roman"/>
          <w:kern w:val="0"/>
          <w:sz w:val="24"/>
          <w:szCs w:val="24"/>
          <w:highlight w:val="red"/>
          <w:lang w:eastAsia="en-US"/>
          <w14:ligatures w14:val="none"/>
        </w:rPr>
        <w:t>Padavatton</w:t>
      </w:r>
      <w:proofErr w:type="spellEnd"/>
      <w:r w:rsidRPr="0081032A">
        <w:rPr>
          <w:rFonts w:ascii="Times New Roman" w:eastAsia="Times New Roman" w:hAnsi="Times New Roman" w:cs="Times New Roman"/>
          <w:kern w:val="0"/>
          <w:sz w:val="24"/>
          <w:szCs w:val="24"/>
          <w:highlight w:val="red"/>
          <w:lang w:eastAsia="en-US"/>
          <w14:ligatures w14:val="none"/>
        </w:rPr>
        <w:t xml:space="preserve"> (1969) 1 WLR 328</w:t>
      </w:r>
      <w:r w:rsidRPr="0081032A">
        <w:rPr>
          <w:rFonts w:ascii="Times New Roman" w:eastAsia="Times New Roman" w:hAnsi="Times New Roman" w:cs="Times New Roman"/>
          <w:kern w:val="0"/>
          <w:sz w:val="24"/>
          <w:szCs w:val="24"/>
          <w:lang w:eastAsia="en-US"/>
          <w14:ligatures w14:val="none"/>
        </w:rPr>
        <w:t xml:space="preserve">, where it was held that there was no intention to create legal relations between a mother and her daughter in relation to a promise to pay the daughter an allowance for her studies. </w:t>
      </w:r>
      <w:r w:rsidRPr="0081032A">
        <w:rPr>
          <w:rFonts w:ascii="Times New Roman" w:eastAsia="Times New Roman" w:hAnsi="Times New Roman" w:cs="Times New Roman"/>
          <w:kern w:val="0"/>
          <w:sz w:val="24"/>
          <w:szCs w:val="24"/>
          <w:highlight w:val="yellow"/>
          <w:lang w:eastAsia="en-US"/>
          <w14:ligatures w14:val="none"/>
        </w:rPr>
        <w:t>The court stated that in social or domestic arrangements, there is a rebuttable presumption that the parties did not intend to create legal relations.</w:t>
      </w:r>
      <w:r w:rsidRPr="0081032A">
        <w:rPr>
          <w:rFonts w:ascii="Times New Roman" w:eastAsia="Times New Roman" w:hAnsi="Times New Roman" w:cs="Times New Roman"/>
          <w:kern w:val="0"/>
          <w:sz w:val="24"/>
          <w:szCs w:val="24"/>
          <w:lang w:eastAsia="en-US"/>
          <w14:ligatures w14:val="none"/>
        </w:rPr>
        <w:t xml:space="preserve"> From the aftermath of this case, reasoning from Salmon LJ suggests that while families’ trivial agreements are beyond the scope of law, when families come to agreements that will have a serious impact on the lives of their members, they are entitled to the remedies of the courts as everybody else. An example is provided by </w:t>
      </w:r>
      <w:proofErr w:type="spellStart"/>
      <w:r w:rsidRPr="0081032A">
        <w:rPr>
          <w:rFonts w:ascii="Times New Roman" w:eastAsia="Times New Roman" w:hAnsi="Times New Roman" w:cs="Times New Roman"/>
          <w:kern w:val="0"/>
          <w:sz w:val="24"/>
          <w:szCs w:val="24"/>
          <w:highlight w:val="red"/>
          <w:lang w:eastAsia="en-US"/>
          <w14:ligatures w14:val="none"/>
        </w:rPr>
        <w:t>Granatino</w:t>
      </w:r>
      <w:proofErr w:type="spellEnd"/>
      <w:r w:rsidRPr="0081032A">
        <w:rPr>
          <w:rFonts w:ascii="Times New Roman" w:eastAsia="Times New Roman" w:hAnsi="Times New Roman" w:cs="Times New Roman"/>
          <w:kern w:val="0"/>
          <w:sz w:val="24"/>
          <w:szCs w:val="24"/>
          <w:highlight w:val="red"/>
          <w:lang w:eastAsia="en-US"/>
          <w14:ligatures w14:val="none"/>
        </w:rPr>
        <w:t xml:space="preserve"> </w:t>
      </w:r>
      <w:r w:rsidRPr="0081032A">
        <w:rPr>
          <w:rFonts w:ascii="Times New Roman" w:eastAsia="Times New Roman" w:hAnsi="Times New Roman" w:cs="Times New Roman"/>
          <w:kern w:val="0"/>
          <w:sz w:val="24"/>
          <w:szCs w:val="24"/>
          <w:highlight w:val="red"/>
          <w:lang w:eastAsia="en-US"/>
          <w14:ligatures w14:val="none"/>
        </w:rPr>
        <w:lastRenderedPageBreak/>
        <w:t xml:space="preserve">v </w:t>
      </w:r>
      <w:proofErr w:type="spellStart"/>
      <w:r w:rsidRPr="0081032A">
        <w:rPr>
          <w:rFonts w:ascii="Times New Roman" w:eastAsia="Times New Roman" w:hAnsi="Times New Roman" w:cs="Times New Roman"/>
          <w:kern w:val="0"/>
          <w:sz w:val="24"/>
          <w:szCs w:val="24"/>
          <w:highlight w:val="red"/>
          <w:lang w:eastAsia="en-US"/>
          <w14:ligatures w14:val="none"/>
        </w:rPr>
        <w:t>Radmacher</w:t>
      </w:r>
      <w:proofErr w:type="spellEnd"/>
      <w:r w:rsidRPr="0081032A">
        <w:rPr>
          <w:rFonts w:ascii="Times New Roman" w:eastAsia="Times New Roman" w:hAnsi="Times New Roman" w:cs="Times New Roman"/>
          <w:kern w:val="0"/>
          <w:sz w:val="24"/>
          <w:szCs w:val="24"/>
          <w:highlight w:val="red"/>
          <w:lang w:eastAsia="en-US"/>
          <w14:ligatures w14:val="none"/>
        </w:rPr>
        <w:t xml:space="preserve"> [2010] UKSC 21, [2011] 1 AC 534</w:t>
      </w:r>
      <w:r w:rsidRPr="0081032A">
        <w:rPr>
          <w:rFonts w:ascii="Times New Roman" w:eastAsia="Times New Roman" w:hAnsi="Times New Roman" w:cs="Times New Roman"/>
          <w:kern w:val="0"/>
          <w:sz w:val="24"/>
          <w:szCs w:val="24"/>
          <w:lang w:eastAsia="en-US"/>
          <w14:ligatures w14:val="none"/>
        </w:rPr>
        <w:t xml:space="preserve">, which concerned a prenuptial agreement between a husband and wife over ownership of assets. There is nothing to stop a husband and wife from making a legally binding agreement to regulate their property and affairs while still together. Compared to this case, Balfour v Balfour was not sufficiently serious for creating legal intentions as it was an agreement for housekeeping. </w:t>
      </w:r>
    </w:p>
    <w:p w14:paraId="5B0667B3" w14:textId="77777777" w:rsidR="0081032A" w:rsidRPr="0081032A" w:rsidRDefault="0081032A" w:rsidP="0081032A">
      <w:pPr>
        <w:spacing w:after="0" w:line="276" w:lineRule="auto"/>
        <w:jc w:val="both"/>
        <w:rPr>
          <w:rFonts w:ascii="Times New Roman" w:eastAsia="Times New Roman" w:hAnsi="Times New Roman" w:cs="Times New Roman"/>
          <w:kern w:val="0"/>
          <w:sz w:val="24"/>
          <w:szCs w:val="24"/>
          <w:lang w:eastAsia="en-US"/>
          <w14:ligatures w14:val="none"/>
        </w:rPr>
      </w:pPr>
    </w:p>
    <w:p w14:paraId="1FC514DF" w14:textId="77777777" w:rsidR="0081032A" w:rsidRPr="0081032A" w:rsidRDefault="0081032A" w:rsidP="0081032A">
      <w:pPr>
        <w:spacing w:after="0" w:line="276" w:lineRule="auto"/>
        <w:jc w:val="both"/>
        <w:rPr>
          <w:rFonts w:ascii="Times New Roman" w:eastAsia="Times New Roman" w:hAnsi="Times New Roman" w:cs="Times New Roman"/>
          <w:kern w:val="0"/>
          <w:sz w:val="24"/>
          <w:szCs w:val="24"/>
          <w:lang w:eastAsia="en-US"/>
          <w14:ligatures w14:val="none"/>
        </w:rPr>
      </w:pPr>
    </w:p>
    <w:p w14:paraId="0E75762F" w14:textId="5AE72F26" w:rsidR="0081032A" w:rsidRPr="007F45A2" w:rsidRDefault="0081032A" w:rsidP="00D46F76">
      <w:pPr>
        <w:spacing w:after="0" w:line="276" w:lineRule="auto"/>
        <w:ind w:firstLine="720"/>
        <w:jc w:val="both"/>
        <w:rPr>
          <w:rFonts w:ascii="Times New Roman" w:eastAsia="Times New Roman" w:hAnsi="Times New Roman" w:cs="Times New Roman"/>
          <w:kern w:val="0"/>
          <w:sz w:val="24"/>
          <w:szCs w:val="24"/>
          <w:lang w:eastAsia="en-US"/>
          <w14:ligatures w14:val="none"/>
        </w:rPr>
      </w:pPr>
      <w:r w:rsidRPr="0081032A">
        <w:rPr>
          <w:rFonts w:ascii="Times New Roman" w:eastAsia="Times New Roman" w:hAnsi="Times New Roman" w:cs="Times New Roman"/>
          <w:kern w:val="0"/>
          <w:sz w:val="24"/>
          <w:szCs w:val="24"/>
          <w:lang w:eastAsia="en-US"/>
          <w14:ligatures w14:val="none"/>
        </w:rPr>
        <w:t xml:space="preserve">Social arrangements are subject to the same presumption against enforcement as domestic agreements. It is not enforceable to make plans to meet for a date, movie, a walk, or a lunch. Situations like making plans to split the expense of gas for a trip </w:t>
      </w:r>
      <w:r w:rsidRPr="0081032A">
        <w:rPr>
          <w:rFonts w:ascii="Times New Roman" w:eastAsia="Times New Roman" w:hAnsi="Times New Roman" w:cs="Times New Roman"/>
          <w:kern w:val="0"/>
          <w:sz w:val="24"/>
          <w:szCs w:val="24"/>
          <w:highlight w:val="red"/>
          <w:lang w:eastAsia="en-US"/>
          <w14:ligatures w14:val="none"/>
        </w:rPr>
        <w:t>(Coward v. Motor Insurer's Bureau [1963])</w:t>
      </w:r>
      <w:r w:rsidRPr="0081032A">
        <w:rPr>
          <w:rFonts w:ascii="Times New Roman" w:eastAsia="Times New Roman" w:hAnsi="Times New Roman" w:cs="Times New Roman"/>
          <w:kern w:val="0"/>
          <w:sz w:val="24"/>
          <w:szCs w:val="24"/>
          <w:lang w:eastAsia="en-US"/>
          <w14:ligatures w14:val="none"/>
        </w:rPr>
        <w:t xml:space="preserve"> or to play in a golf club competition </w:t>
      </w:r>
      <w:r w:rsidRPr="0081032A">
        <w:rPr>
          <w:rFonts w:ascii="Times New Roman" w:eastAsia="Times New Roman" w:hAnsi="Times New Roman" w:cs="Times New Roman"/>
          <w:kern w:val="0"/>
          <w:sz w:val="24"/>
          <w:szCs w:val="24"/>
          <w:highlight w:val="red"/>
          <w:lang w:eastAsia="en-US"/>
          <w14:ligatures w14:val="none"/>
        </w:rPr>
        <w:t>(Lens v Devonshire Club [1914])</w:t>
      </w:r>
      <w:r w:rsidRPr="0081032A">
        <w:rPr>
          <w:rFonts w:ascii="Times New Roman" w:eastAsia="Times New Roman" w:hAnsi="Times New Roman" w:cs="Times New Roman"/>
          <w:kern w:val="0"/>
          <w:sz w:val="24"/>
          <w:szCs w:val="24"/>
          <w:lang w:eastAsia="en-US"/>
          <w14:ligatures w14:val="none"/>
        </w:rPr>
        <w:t xml:space="preserve">. This can also be seen in Hadley v Kemp [1999] EMLR 589 where the court determined that, based on the evidence, the parties had not established beyond a reasonable doubt that Mr. Kemp was contractually obligated to pay other band members in perpetuity as a result of the oral talks. This is due to the nature of the band members’ relationship was simply not one of business. </w:t>
      </w:r>
      <w:r w:rsidR="007F45A2">
        <w:rPr>
          <w:rFonts w:ascii="Times New Roman" w:eastAsia="Times New Roman" w:hAnsi="Times New Roman" w:cs="Times New Roman"/>
          <w:kern w:val="0"/>
          <w:sz w:val="24"/>
          <w:szCs w:val="24"/>
          <w:lang w:eastAsia="en-US"/>
          <w14:ligatures w14:val="none"/>
        </w:rPr>
        <w:t xml:space="preserve"> </w:t>
      </w:r>
      <w:r w:rsidRPr="0081032A">
        <w:rPr>
          <w:rFonts w:ascii="Times New Roman" w:eastAsia="Times New Roman" w:hAnsi="Times New Roman" w:cs="Times New Roman"/>
          <w:kern w:val="0"/>
          <w:sz w:val="24"/>
          <w:szCs w:val="24"/>
          <w:lang w:eastAsia="en-US"/>
          <w14:ligatures w14:val="none"/>
        </w:rPr>
        <w:t xml:space="preserve">However, this presumption can be rebutted if there is evidence to the contrary, as seen in </w:t>
      </w:r>
      <w:r w:rsidRPr="0081032A">
        <w:rPr>
          <w:rFonts w:ascii="Times New Roman" w:eastAsia="Times New Roman" w:hAnsi="Times New Roman" w:cs="Times New Roman"/>
          <w:kern w:val="0"/>
          <w:sz w:val="24"/>
          <w:szCs w:val="24"/>
          <w:highlight w:val="red"/>
          <w:lang w:eastAsia="en-US"/>
          <w14:ligatures w14:val="none"/>
        </w:rPr>
        <w:t>Merritt v Merritt (1970) 2 All ER 760</w:t>
      </w:r>
      <w:r w:rsidRPr="0081032A">
        <w:rPr>
          <w:rFonts w:ascii="Times New Roman" w:eastAsia="Times New Roman" w:hAnsi="Times New Roman" w:cs="Times New Roman"/>
          <w:kern w:val="0"/>
          <w:sz w:val="24"/>
          <w:szCs w:val="24"/>
          <w:lang w:eastAsia="en-US"/>
          <w14:ligatures w14:val="none"/>
        </w:rPr>
        <w:t xml:space="preserve">. In this case the court held that there was an intention to create legal relations between a separated husband and wife in relation to an agreement for the wife to pay off the mortgage on the family home. </w:t>
      </w:r>
      <w:r w:rsidRPr="0081032A">
        <w:rPr>
          <w:rFonts w:ascii="Times New Roman" w:eastAsia="Times New Roman" w:hAnsi="Times New Roman" w:cs="Times New Roman"/>
          <w:kern w:val="0"/>
          <w:sz w:val="24"/>
          <w:szCs w:val="24"/>
          <w:highlight w:val="yellow"/>
          <w:lang w:eastAsia="en-US"/>
          <w14:ligatures w14:val="none"/>
        </w:rPr>
        <w:t>The court found that the agreement was made with the intention of being legally binding, as it was made after the couple had separated and had been reduced to writing and signed.</w:t>
      </w:r>
      <w:r w:rsidRPr="0081032A">
        <w:rPr>
          <w:rFonts w:ascii="Times New Roman" w:eastAsia="Times New Roman" w:hAnsi="Times New Roman" w:cs="Times New Roman"/>
          <w:kern w:val="0"/>
          <w:sz w:val="24"/>
          <w:szCs w:val="24"/>
          <w:lang w:eastAsia="en-US"/>
          <w14:ligatures w14:val="none"/>
        </w:rPr>
        <w:t xml:space="preserve"> The importance of a written agreement for a domestic agreement can be seen in </w:t>
      </w:r>
      <w:r w:rsidRPr="0081032A">
        <w:rPr>
          <w:rFonts w:ascii="Times New Roman" w:eastAsia="Times New Roman" w:hAnsi="Times New Roman" w:cs="Times New Roman"/>
          <w:kern w:val="0"/>
          <w:sz w:val="24"/>
          <w:szCs w:val="24"/>
          <w:highlight w:val="red"/>
          <w:lang w:eastAsia="en-US"/>
          <w14:ligatures w14:val="none"/>
        </w:rPr>
        <w:t>Layton v Martin [1986] 2 FLR 227</w:t>
      </w:r>
      <w:r w:rsidRPr="0081032A">
        <w:rPr>
          <w:rFonts w:ascii="Times New Roman" w:eastAsia="Times New Roman" w:hAnsi="Times New Roman" w:cs="Times New Roman"/>
          <w:kern w:val="0"/>
          <w:sz w:val="24"/>
          <w:szCs w:val="24"/>
          <w:lang w:eastAsia="en-US"/>
          <w14:ligatures w14:val="none"/>
        </w:rPr>
        <w:t xml:space="preserve">. The court states that for cohabitants it is crucial that the terms of their financial relationship must be included in a formal written agreement.  </w:t>
      </w:r>
      <w:r w:rsidR="007F45A2">
        <w:rPr>
          <w:rFonts w:ascii="Times New Roman" w:eastAsia="Times New Roman" w:hAnsi="Times New Roman" w:cs="Times New Roman"/>
          <w:color w:val="FF0000"/>
          <w:kern w:val="0"/>
          <w:sz w:val="24"/>
          <w:szCs w:val="24"/>
          <w:lang w:eastAsia="en-US"/>
          <w14:ligatures w14:val="none"/>
        </w:rPr>
        <w:t>I</w:t>
      </w:r>
      <w:r w:rsidRPr="0081032A">
        <w:rPr>
          <w:rFonts w:ascii="Times New Roman" w:eastAsia="Times New Roman" w:hAnsi="Times New Roman" w:cs="Times New Roman"/>
          <w:color w:val="FF0000"/>
          <w:kern w:val="0"/>
          <w:sz w:val="24"/>
          <w:szCs w:val="24"/>
          <w:lang w:eastAsia="en-US"/>
          <w14:ligatures w14:val="none"/>
        </w:rPr>
        <w:t xml:space="preserve">t may be difficult to demonstrate an intention to form a legal relationship between cohabitants in the absence of a written agreement </w:t>
      </w:r>
      <w:r w:rsidRPr="0081032A">
        <w:rPr>
          <w:rFonts w:ascii="Times New Roman" w:eastAsia="Times New Roman" w:hAnsi="Times New Roman" w:cs="Times New Roman"/>
          <w:kern w:val="0"/>
          <w:sz w:val="24"/>
          <w:szCs w:val="24"/>
          <w:bdr w:val="none" w:sz="0" w:space="0" w:color="auto" w:frame="1"/>
          <w:lang w:val="en-GB" w:eastAsia="en-GB"/>
          <w14:ligatures w14:val="none"/>
        </w:rPr>
        <w:t>(</w:t>
      </w:r>
      <w:proofErr w:type="spellStart"/>
      <w:r w:rsidRPr="0081032A">
        <w:rPr>
          <w:rFonts w:ascii="Times New Roman" w:eastAsia="Times New Roman" w:hAnsi="Times New Roman" w:cs="Times New Roman"/>
          <w:kern w:val="0"/>
          <w:sz w:val="24"/>
          <w:szCs w:val="24"/>
          <w:bdr w:val="none" w:sz="0" w:space="0" w:color="auto" w:frame="1"/>
          <w:lang w:val="en-GB" w:eastAsia="en-GB"/>
          <w14:ligatures w14:val="none"/>
        </w:rPr>
        <w:t>Bevon</w:t>
      </w:r>
      <w:proofErr w:type="spellEnd"/>
      <w:r w:rsidRPr="0081032A">
        <w:rPr>
          <w:rFonts w:ascii="Times New Roman" w:eastAsia="Times New Roman" w:hAnsi="Times New Roman" w:cs="Times New Roman"/>
          <w:kern w:val="0"/>
          <w:sz w:val="24"/>
          <w:szCs w:val="24"/>
          <w:bdr w:val="none" w:sz="0" w:space="0" w:color="auto" w:frame="1"/>
          <w:lang w:val="en-GB" w:eastAsia="en-GB"/>
          <w14:ligatures w14:val="none"/>
        </w:rPr>
        <w:t xml:space="preserve"> </w:t>
      </w:r>
      <w:r w:rsidRPr="0081032A">
        <w:rPr>
          <w:rFonts w:ascii="Times New Roman" w:eastAsia="Times New Roman" w:hAnsi="Times New Roman" w:cs="Times New Roman"/>
          <w:i/>
          <w:iCs/>
          <w:kern w:val="0"/>
          <w:sz w:val="24"/>
          <w:szCs w:val="24"/>
          <w:bdr w:val="none" w:sz="0" w:space="0" w:color="auto" w:frame="1"/>
          <w:lang w:val="en-GB" w:eastAsia="en-GB"/>
          <w14:ligatures w14:val="none"/>
        </w:rPr>
        <w:t>et.al</w:t>
      </w:r>
      <w:r w:rsidRPr="0081032A">
        <w:rPr>
          <w:rFonts w:ascii="Times New Roman" w:eastAsia="Times New Roman" w:hAnsi="Times New Roman" w:cs="Times New Roman"/>
          <w:kern w:val="0"/>
          <w:sz w:val="24"/>
          <w:szCs w:val="24"/>
          <w:bdr w:val="none" w:sz="0" w:space="0" w:color="auto" w:frame="1"/>
          <w:lang w:val="en-GB" w:eastAsia="en-GB"/>
          <w14:ligatures w14:val="none"/>
        </w:rPr>
        <w:t xml:space="preserve">, 2022). </w:t>
      </w:r>
    </w:p>
    <w:p w14:paraId="4B43A158" w14:textId="77777777" w:rsidR="0081032A" w:rsidRPr="0081032A" w:rsidRDefault="0081032A" w:rsidP="0081032A">
      <w:pPr>
        <w:spacing w:after="0" w:line="276" w:lineRule="auto"/>
        <w:jc w:val="both"/>
        <w:rPr>
          <w:rFonts w:ascii="Times New Roman" w:eastAsia="Times New Roman" w:hAnsi="Times New Roman" w:cs="Times New Roman"/>
          <w:kern w:val="0"/>
          <w:sz w:val="24"/>
          <w:szCs w:val="24"/>
          <w:bdr w:val="none" w:sz="0" w:space="0" w:color="auto" w:frame="1"/>
          <w:lang w:val="en-GB" w:eastAsia="en-GB"/>
          <w14:ligatures w14:val="none"/>
        </w:rPr>
      </w:pPr>
    </w:p>
    <w:p w14:paraId="7C91969D" w14:textId="77777777" w:rsidR="0081032A" w:rsidRPr="0081032A" w:rsidRDefault="0081032A" w:rsidP="0081032A">
      <w:pPr>
        <w:spacing w:after="0" w:line="276" w:lineRule="auto"/>
        <w:jc w:val="both"/>
        <w:rPr>
          <w:rFonts w:ascii="Times New Roman" w:eastAsia="Times New Roman" w:hAnsi="Times New Roman" w:cs="Times New Roman"/>
          <w:kern w:val="0"/>
          <w:sz w:val="24"/>
          <w:szCs w:val="24"/>
          <w:lang w:eastAsia="en-US"/>
          <w14:ligatures w14:val="none"/>
        </w:rPr>
      </w:pPr>
    </w:p>
    <w:p w14:paraId="19485E26" w14:textId="7535AE2F" w:rsidR="0081032A" w:rsidRDefault="0081032A" w:rsidP="00D46F76">
      <w:pPr>
        <w:spacing w:after="0" w:line="276" w:lineRule="auto"/>
        <w:ind w:firstLine="720"/>
        <w:jc w:val="both"/>
        <w:rPr>
          <w:rFonts w:ascii="Times New Roman" w:eastAsia="Times New Roman" w:hAnsi="Times New Roman" w:cs="Times New Roman"/>
          <w:kern w:val="0"/>
          <w:sz w:val="24"/>
          <w:szCs w:val="24"/>
          <w:lang w:eastAsia="en-US"/>
          <w14:ligatures w14:val="none"/>
        </w:rPr>
      </w:pPr>
      <w:r w:rsidRPr="0081032A">
        <w:rPr>
          <w:rFonts w:ascii="Times New Roman" w:eastAsia="Times New Roman" w:hAnsi="Times New Roman" w:cs="Times New Roman"/>
          <w:kern w:val="0"/>
          <w:sz w:val="24"/>
          <w:szCs w:val="24"/>
          <w:lang w:eastAsia="en-US"/>
          <w14:ligatures w14:val="none"/>
        </w:rPr>
        <w:t xml:space="preserve">Because it can be challenging to identify a shared intention and because the presumption is founded on policy rather than intention, courts frequently employ policy consideration to assess whether the presumption is rebutted in social and domestic cases. The policy consideration reliance denotes that courts are more than willing to find intention to be bound where one party has detrimentally relied upon the agreement. This can be seen in domestic case </w:t>
      </w:r>
      <w:r w:rsidRPr="0081032A">
        <w:rPr>
          <w:rFonts w:ascii="Times New Roman" w:eastAsia="Times New Roman" w:hAnsi="Times New Roman" w:cs="Times New Roman"/>
          <w:kern w:val="0"/>
          <w:sz w:val="24"/>
          <w:szCs w:val="24"/>
          <w:highlight w:val="red"/>
          <w:lang w:eastAsia="en-US"/>
          <w14:ligatures w14:val="none"/>
        </w:rPr>
        <w:t>Parker v Clark [1960] 1 WLR 286</w:t>
      </w:r>
      <w:r w:rsidRPr="0081032A">
        <w:rPr>
          <w:rFonts w:ascii="Times New Roman" w:eastAsia="Times New Roman" w:hAnsi="Times New Roman" w:cs="Times New Roman"/>
          <w:kern w:val="0"/>
          <w:sz w:val="24"/>
          <w:szCs w:val="24"/>
          <w:lang w:eastAsia="en-US"/>
          <w14:ligatures w14:val="none"/>
        </w:rPr>
        <w:t xml:space="preserve">. In contrast, an arrangement between family members, friends or colleagues to share prizes or competition winnings would not be sufficient to rebut the presumption of no intention in the absence of written document recording terms thus showing intent. An example of this can be seen in the case of </w:t>
      </w:r>
      <w:r w:rsidRPr="0081032A">
        <w:rPr>
          <w:rFonts w:ascii="Times New Roman" w:eastAsia="Times New Roman" w:hAnsi="Times New Roman" w:cs="Times New Roman"/>
          <w:kern w:val="0"/>
          <w:sz w:val="24"/>
          <w:szCs w:val="24"/>
          <w:highlight w:val="red"/>
          <w:lang w:eastAsia="en-US"/>
          <w14:ligatures w14:val="none"/>
        </w:rPr>
        <w:t xml:space="preserve">Wilson v Burnett [2007] EWCA </w:t>
      </w:r>
      <w:proofErr w:type="spellStart"/>
      <w:r w:rsidRPr="0081032A">
        <w:rPr>
          <w:rFonts w:ascii="Times New Roman" w:eastAsia="Times New Roman" w:hAnsi="Times New Roman" w:cs="Times New Roman"/>
          <w:kern w:val="0"/>
          <w:sz w:val="24"/>
          <w:szCs w:val="24"/>
          <w:highlight w:val="red"/>
          <w:lang w:eastAsia="en-US"/>
          <w14:ligatures w14:val="none"/>
        </w:rPr>
        <w:t>Civ</w:t>
      </w:r>
      <w:proofErr w:type="spellEnd"/>
      <w:r w:rsidRPr="0081032A">
        <w:rPr>
          <w:rFonts w:ascii="Times New Roman" w:eastAsia="Times New Roman" w:hAnsi="Times New Roman" w:cs="Times New Roman"/>
          <w:kern w:val="0"/>
          <w:sz w:val="24"/>
          <w:szCs w:val="24"/>
          <w:highlight w:val="red"/>
          <w:lang w:eastAsia="en-US"/>
          <w14:ligatures w14:val="none"/>
        </w:rPr>
        <w:t xml:space="preserve"> 1170</w:t>
      </w:r>
      <w:r w:rsidRPr="0081032A">
        <w:rPr>
          <w:rFonts w:ascii="Times New Roman" w:eastAsia="Times New Roman" w:hAnsi="Times New Roman" w:cs="Times New Roman"/>
          <w:kern w:val="0"/>
          <w:sz w:val="24"/>
          <w:szCs w:val="24"/>
          <w:lang w:eastAsia="en-US"/>
          <w14:ligatures w14:val="none"/>
        </w:rPr>
        <w:t xml:space="preserve">, where there was no binding agreement to share the winnings. However, in the case of </w:t>
      </w:r>
      <w:r w:rsidRPr="0081032A">
        <w:rPr>
          <w:rFonts w:ascii="Times New Roman" w:eastAsia="Times New Roman" w:hAnsi="Times New Roman" w:cs="Times New Roman"/>
          <w:kern w:val="0"/>
          <w:sz w:val="24"/>
          <w:szCs w:val="24"/>
          <w:highlight w:val="red"/>
          <w:lang w:eastAsia="en-US"/>
          <w14:ligatures w14:val="none"/>
        </w:rPr>
        <w:t>Simpkins v Pays [1955] 1 WLR 915,</w:t>
      </w:r>
      <w:r w:rsidRPr="0081032A">
        <w:rPr>
          <w:rFonts w:ascii="Times New Roman" w:eastAsia="Times New Roman" w:hAnsi="Times New Roman" w:cs="Times New Roman"/>
          <w:kern w:val="0"/>
          <w:sz w:val="24"/>
          <w:szCs w:val="24"/>
          <w:lang w:eastAsia="en-US"/>
          <w14:ligatures w14:val="none"/>
        </w:rPr>
        <w:t xml:space="preserve"> where three parties who lived in the same house filled out a coupon containing forecasts and agreed to share any winnings, the claimant was able to establish that the parties had intended legal consequences.  </w:t>
      </w:r>
      <w:r w:rsidRPr="0081032A">
        <w:rPr>
          <w:rFonts w:ascii="Times New Roman" w:eastAsia="Times New Roman" w:hAnsi="Times New Roman" w:cs="Times New Roman"/>
          <w:kern w:val="0"/>
          <w:sz w:val="24"/>
          <w:szCs w:val="24"/>
          <w:highlight w:val="red"/>
          <w:lang w:eastAsia="en-US"/>
          <w14:ligatures w14:val="none"/>
        </w:rPr>
        <w:t>John Saddler v George Reynolds [2005]</w:t>
      </w:r>
      <w:r w:rsidRPr="0081032A">
        <w:rPr>
          <w:rFonts w:ascii="Times New Roman" w:eastAsia="Times New Roman" w:hAnsi="Times New Roman" w:cs="Times New Roman"/>
          <w:kern w:val="0"/>
          <w:sz w:val="24"/>
          <w:szCs w:val="24"/>
          <w:lang w:eastAsia="en-US"/>
          <w14:ligatures w14:val="none"/>
        </w:rPr>
        <w:t xml:space="preserve"> also falls under this consideration where the claimant detrimentally relied on the expressed terms of the agreement made.</w:t>
      </w:r>
    </w:p>
    <w:p w14:paraId="27683A4F" w14:textId="7208A23D" w:rsidR="0081032A" w:rsidRDefault="0081032A" w:rsidP="0081032A">
      <w:pPr>
        <w:spacing w:after="0" w:line="276" w:lineRule="auto"/>
        <w:jc w:val="both"/>
        <w:rPr>
          <w:rFonts w:ascii="Times New Roman" w:eastAsia="Times New Roman" w:hAnsi="Times New Roman" w:cs="Times New Roman"/>
          <w:kern w:val="0"/>
          <w:sz w:val="24"/>
          <w:szCs w:val="24"/>
          <w:lang w:eastAsia="en-US"/>
          <w14:ligatures w14:val="none"/>
        </w:rPr>
      </w:pPr>
    </w:p>
    <w:p w14:paraId="5044EB68" w14:textId="7F07C853" w:rsidR="007F45A2" w:rsidRDefault="007F45A2" w:rsidP="0081032A">
      <w:pPr>
        <w:spacing w:after="0" w:line="276" w:lineRule="auto"/>
        <w:jc w:val="both"/>
        <w:rPr>
          <w:rFonts w:ascii="Times New Roman" w:eastAsia="Times New Roman" w:hAnsi="Times New Roman" w:cs="Times New Roman"/>
          <w:kern w:val="0"/>
          <w:sz w:val="24"/>
          <w:szCs w:val="24"/>
          <w:lang w:eastAsia="en-US"/>
          <w14:ligatures w14:val="none"/>
        </w:rPr>
      </w:pPr>
    </w:p>
    <w:p w14:paraId="689D064B" w14:textId="77777777" w:rsidR="007F45A2" w:rsidRDefault="007F45A2" w:rsidP="0081032A">
      <w:pPr>
        <w:spacing w:after="0" w:line="276" w:lineRule="auto"/>
        <w:jc w:val="both"/>
        <w:rPr>
          <w:rFonts w:ascii="Times New Roman" w:eastAsia="Times New Roman" w:hAnsi="Times New Roman" w:cs="Times New Roman"/>
          <w:kern w:val="0"/>
          <w:sz w:val="24"/>
          <w:szCs w:val="24"/>
          <w:lang w:eastAsia="en-US"/>
          <w14:ligatures w14:val="none"/>
        </w:rPr>
      </w:pPr>
    </w:p>
    <w:p w14:paraId="5D222A0E" w14:textId="5496E899" w:rsidR="0081032A" w:rsidRPr="00A22711" w:rsidRDefault="0081032A" w:rsidP="0081032A">
      <w:pPr>
        <w:spacing w:after="0" w:line="276" w:lineRule="auto"/>
        <w:jc w:val="both"/>
        <w:rPr>
          <w:rFonts w:ascii="Times New Roman" w:eastAsia="Times New Roman" w:hAnsi="Times New Roman" w:cs="Times New Roman"/>
          <w:b/>
          <w:bCs/>
          <w:kern w:val="0"/>
          <w:sz w:val="24"/>
          <w:szCs w:val="24"/>
          <w:lang w:eastAsia="en-US"/>
          <w14:ligatures w14:val="none"/>
        </w:rPr>
      </w:pPr>
      <w:r w:rsidRPr="00A22711">
        <w:rPr>
          <w:rFonts w:ascii="Times New Roman" w:eastAsia="Times New Roman" w:hAnsi="Times New Roman" w:cs="Times New Roman"/>
          <w:b/>
          <w:bCs/>
          <w:kern w:val="0"/>
          <w:sz w:val="24"/>
          <w:szCs w:val="24"/>
          <w:lang w:eastAsia="en-US"/>
          <w14:ligatures w14:val="none"/>
        </w:rPr>
        <w:t xml:space="preserve">3.0 </w:t>
      </w:r>
      <w:r w:rsidR="00A22711">
        <w:rPr>
          <w:rFonts w:ascii="Times New Roman" w:eastAsia="Times New Roman" w:hAnsi="Times New Roman" w:cs="Times New Roman"/>
          <w:b/>
          <w:bCs/>
          <w:kern w:val="0"/>
          <w:sz w:val="24"/>
          <w:szCs w:val="24"/>
          <w:lang w:eastAsia="en-US"/>
          <w14:ligatures w14:val="none"/>
        </w:rPr>
        <w:t xml:space="preserve">Agreements within </w:t>
      </w:r>
      <w:r w:rsidRPr="00A22711">
        <w:rPr>
          <w:rFonts w:ascii="Times New Roman" w:eastAsia="Times New Roman" w:hAnsi="Times New Roman" w:cs="Times New Roman"/>
          <w:b/>
          <w:bCs/>
          <w:kern w:val="0"/>
          <w:sz w:val="24"/>
          <w:szCs w:val="24"/>
          <w:lang w:eastAsia="en-US"/>
          <w14:ligatures w14:val="none"/>
        </w:rPr>
        <w:t>Commercial/Business Context</w:t>
      </w:r>
    </w:p>
    <w:p w14:paraId="40661F20" w14:textId="77777777" w:rsidR="0081032A" w:rsidRPr="0081032A" w:rsidRDefault="0081032A" w:rsidP="0081032A">
      <w:pPr>
        <w:spacing w:after="0" w:line="276" w:lineRule="auto"/>
        <w:jc w:val="both"/>
        <w:rPr>
          <w:rFonts w:ascii="Times New Roman" w:eastAsia="Times New Roman" w:hAnsi="Times New Roman" w:cs="Times New Roman"/>
          <w:kern w:val="0"/>
          <w:sz w:val="24"/>
          <w:szCs w:val="24"/>
          <w:lang w:eastAsia="en-US"/>
          <w14:ligatures w14:val="none"/>
        </w:rPr>
      </w:pPr>
    </w:p>
    <w:p w14:paraId="02B44BB5" w14:textId="77777777" w:rsidR="0081032A" w:rsidRPr="0081032A" w:rsidRDefault="0081032A" w:rsidP="0081032A">
      <w:pPr>
        <w:spacing w:line="276" w:lineRule="auto"/>
        <w:jc w:val="both"/>
        <w:rPr>
          <w:rFonts w:ascii="Times New Roman" w:hAnsi="Times New Roman" w:cs="Times New Roman"/>
          <w:sz w:val="24"/>
          <w:szCs w:val="24"/>
          <w:lang w:eastAsia="en-US"/>
        </w:rPr>
      </w:pPr>
      <w:r w:rsidRPr="0081032A">
        <w:rPr>
          <w:rFonts w:ascii="Times New Roman" w:hAnsi="Times New Roman" w:cs="Times New Roman"/>
          <w:sz w:val="24"/>
          <w:szCs w:val="24"/>
          <w:lang w:eastAsia="en-US"/>
        </w:rPr>
        <w:t xml:space="preserve">In a commercial/business context, it is generally presumed that the parties did intend to create legal relations, unless there is evidence to the contrary. This approach was established in the case of </w:t>
      </w:r>
      <w:r w:rsidRPr="0081032A">
        <w:rPr>
          <w:rFonts w:ascii="Times New Roman" w:hAnsi="Times New Roman" w:cs="Times New Roman"/>
          <w:sz w:val="24"/>
          <w:szCs w:val="24"/>
          <w:highlight w:val="red"/>
          <w:lang w:eastAsia="en-US"/>
        </w:rPr>
        <w:t>Edwards v Skyways Ltd (1964) 1 QB 394</w:t>
      </w:r>
      <w:r w:rsidRPr="0081032A">
        <w:rPr>
          <w:rFonts w:ascii="Times New Roman" w:hAnsi="Times New Roman" w:cs="Times New Roman"/>
          <w:sz w:val="24"/>
          <w:szCs w:val="24"/>
          <w:lang w:eastAsia="en-US"/>
        </w:rPr>
        <w:t xml:space="preserve">, where it was held that the agreement between an employee and his employer was a legally binding contract. The court stated that in a commercial context, the presumption is that parties do intend to create legal relations unless there is evidence to the contrary. This approach was further confirmed in the case of </w:t>
      </w:r>
      <w:r w:rsidRPr="0081032A">
        <w:rPr>
          <w:rFonts w:ascii="Times New Roman" w:hAnsi="Times New Roman" w:cs="Times New Roman"/>
          <w:sz w:val="24"/>
          <w:szCs w:val="24"/>
          <w:highlight w:val="red"/>
          <w:lang w:eastAsia="en-US"/>
        </w:rPr>
        <w:t>Rose and Frank Co v JR Crompton &amp; Bros Ltd [1925] AC 445</w:t>
      </w:r>
      <w:r w:rsidRPr="0081032A">
        <w:rPr>
          <w:rFonts w:ascii="Times New Roman" w:hAnsi="Times New Roman" w:cs="Times New Roman"/>
          <w:sz w:val="24"/>
          <w:szCs w:val="24"/>
          <w:lang w:eastAsia="en-US"/>
        </w:rPr>
        <w:t xml:space="preserve">, where it was held that the agreement between two companies was not legally binding, as it was a gentlemen's agreement and not intended to create legal relations. The court stated that in commercial agreements, there is a presumption that the parties intended to create legal relations unless the agreement was a mere statement of. </w:t>
      </w:r>
    </w:p>
    <w:p w14:paraId="5301C0DF" w14:textId="6C258548" w:rsidR="0081032A" w:rsidRDefault="00265E1A" w:rsidP="00D46F76">
      <w:pPr>
        <w:ind w:firstLine="720"/>
        <w:jc w:val="both"/>
        <w:rPr>
          <w:rFonts w:ascii="Times New Roman" w:hAnsi="Times New Roman" w:cs="Times New Roman"/>
          <w:sz w:val="24"/>
          <w:szCs w:val="24"/>
          <w:lang w:eastAsia="en-US"/>
        </w:rPr>
      </w:pPr>
      <w:r>
        <w:rPr>
          <w:rFonts w:ascii="Times New Roman" w:hAnsi="Times New Roman" w:cs="Times New Roman"/>
          <w:sz w:val="24"/>
          <w:szCs w:val="24"/>
          <w:lang w:eastAsia="en-US"/>
        </w:rPr>
        <w:t>Similarly,</w:t>
      </w:r>
      <w:r w:rsidR="00161812">
        <w:rPr>
          <w:rFonts w:ascii="Times New Roman" w:hAnsi="Times New Roman" w:cs="Times New Roman"/>
          <w:sz w:val="24"/>
          <w:szCs w:val="24"/>
          <w:lang w:eastAsia="en-US"/>
        </w:rPr>
        <w:t xml:space="preserve"> to the case of </w:t>
      </w:r>
      <w:proofErr w:type="spellStart"/>
      <w:r w:rsidR="00161812">
        <w:rPr>
          <w:rFonts w:ascii="Times New Roman" w:hAnsi="Times New Roman" w:cs="Times New Roman"/>
          <w:sz w:val="24"/>
          <w:szCs w:val="24"/>
          <w:lang w:eastAsia="en-US"/>
        </w:rPr>
        <w:t>Carlil</w:t>
      </w:r>
      <w:proofErr w:type="spellEnd"/>
      <w:r w:rsidR="00161812">
        <w:rPr>
          <w:rFonts w:ascii="Times New Roman" w:hAnsi="Times New Roman" w:cs="Times New Roman"/>
          <w:sz w:val="24"/>
          <w:szCs w:val="24"/>
          <w:lang w:eastAsia="en-US"/>
        </w:rPr>
        <w:t xml:space="preserve"> v Carbolic Smokeball Co. [189</w:t>
      </w:r>
      <w:r w:rsidR="0004527C">
        <w:rPr>
          <w:rFonts w:ascii="Times New Roman" w:hAnsi="Times New Roman" w:cs="Times New Roman"/>
          <w:sz w:val="24"/>
          <w:szCs w:val="24"/>
          <w:lang w:eastAsia="en-US"/>
        </w:rPr>
        <w:t>3</w:t>
      </w:r>
      <w:r w:rsidR="00161812">
        <w:rPr>
          <w:rFonts w:ascii="Times New Roman" w:hAnsi="Times New Roman" w:cs="Times New Roman"/>
          <w:sz w:val="24"/>
          <w:szCs w:val="24"/>
          <w:lang w:eastAsia="en-US"/>
        </w:rPr>
        <w:t>]</w:t>
      </w:r>
      <w:r>
        <w:rPr>
          <w:rFonts w:ascii="Times New Roman" w:hAnsi="Times New Roman" w:cs="Times New Roman"/>
          <w:sz w:val="24"/>
          <w:szCs w:val="24"/>
          <w:lang w:eastAsia="en-US"/>
        </w:rPr>
        <w:t xml:space="preserve"> whereby an advertisement can be seen as a promise with evidence to be legally bound</w:t>
      </w:r>
      <w:r w:rsidR="00161812">
        <w:rPr>
          <w:rFonts w:ascii="Times New Roman" w:hAnsi="Times New Roman" w:cs="Times New Roman"/>
          <w:sz w:val="24"/>
          <w:szCs w:val="24"/>
          <w:lang w:eastAsia="en-US"/>
        </w:rPr>
        <w:t xml:space="preserve">, in </w:t>
      </w:r>
      <w:r w:rsidRPr="00265E1A">
        <w:rPr>
          <w:rFonts w:ascii="Times New Roman" w:hAnsi="Times New Roman" w:cs="Times New Roman"/>
          <w:sz w:val="24"/>
          <w:szCs w:val="24"/>
          <w:lang w:eastAsia="en-US"/>
        </w:rPr>
        <w:t>Bowerman and Another v Association of British Travel Agents Ltd</w:t>
      </w:r>
      <w:r>
        <w:rPr>
          <w:rFonts w:ascii="Times New Roman" w:hAnsi="Times New Roman" w:cs="Times New Roman"/>
          <w:sz w:val="24"/>
          <w:szCs w:val="24"/>
          <w:lang w:eastAsia="en-US"/>
        </w:rPr>
        <w:t xml:space="preserve"> [1995], the notice clearly intended to have an effect on the reader and to lead him to believe that he is getting something of value. </w:t>
      </w:r>
      <w:r w:rsidRPr="00265E1A">
        <w:rPr>
          <w:rFonts w:ascii="Times New Roman" w:hAnsi="Times New Roman" w:cs="Times New Roman"/>
          <w:sz w:val="24"/>
          <w:szCs w:val="24"/>
          <w:lang w:eastAsia="en-US"/>
        </w:rPr>
        <w:t>The display of the ABTA notice in the travel agent's offices resulted in a contract between ABTA and the client</w:t>
      </w:r>
      <w:r>
        <w:rPr>
          <w:rFonts w:ascii="Times New Roman" w:hAnsi="Times New Roman" w:cs="Times New Roman"/>
          <w:sz w:val="24"/>
          <w:szCs w:val="24"/>
          <w:lang w:eastAsia="en-US"/>
        </w:rPr>
        <w:t>. T</w:t>
      </w:r>
      <w:r w:rsidRPr="00265E1A">
        <w:rPr>
          <w:rFonts w:ascii="Times New Roman" w:hAnsi="Times New Roman" w:cs="Times New Roman"/>
          <w:sz w:val="24"/>
          <w:szCs w:val="24"/>
          <w:lang w:eastAsia="en-US"/>
        </w:rPr>
        <w:t>he advertisement stating 'ABTA arranges reimbursement' was considered a one-sided offer to enter into a contract. This notice established legal obligations between the parties involved, meeting the requirements set out in the legal case of Carlill.</w:t>
      </w:r>
      <w:r>
        <w:rPr>
          <w:rFonts w:ascii="Times New Roman" w:hAnsi="Times New Roman" w:cs="Times New Roman"/>
          <w:sz w:val="24"/>
          <w:szCs w:val="24"/>
          <w:lang w:eastAsia="en-US"/>
        </w:rPr>
        <w:t xml:space="preserve"> If ABTA had wished to deny legal effects, it should have done so by the use of express words to this effect. </w:t>
      </w:r>
      <w:r w:rsidR="00034B69">
        <w:rPr>
          <w:rFonts w:ascii="Times New Roman" w:hAnsi="Times New Roman" w:cs="Times New Roman"/>
          <w:sz w:val="24"/>
          <w:szCs w:val="24"/>
          <w:lang w:eastAsia="en-US"/>
        </w:rPr>
        <w:t xml:space="preserve">Hobhouse LJ </w:t>
      </w:r>
      <w:r w:rsidR="00034B69" w:rsidRPr="00034B69">
        <w:rPr>
          <w:rFonts w:ascii="Times New Roman" w:hAnsi="Times New Roman" w:cs="Times New Roman"/>
          <w:sz w:val="24"/>
          <w:szCs w:val="24"/>
          <w:lang w:eastAsia="en-US"/>
        </w:rPr>
        <w:t>decided that this alternative would be detrimental to ABTA since it would undermine public confidence in the organisation.</w:t>
      </w:r>
    </w:p>
    <w:p w14:paraId="2B2C16A9" w14:textId="77777777" w:rsidR="00A22711" w:rsidRDefault="00034B69" w:rsidP="00D46F76">
      <w:pPr>
        <w:ind w:firstLine="720"/>
        <w:jc w:val="both"/>
        <w:rPr>
          <w:rFonts w:ascii="Times New Roman" w:hAnsi="Times New Roman" w:cs="Times New Roman"/>
          <w:sz w:val="24"/>
          <w:szCs w:val="24"/>
          <w:lang w:eastAsia="en-US"/>
        </w:rPr>
      </w:pPr>
      <w:r w:rsidRPr="00034B69">
        <w:rPr>
          <w:rFonts w:ascii="Times New Roman" w:hAnsi="Times New Roman" w:cs="Times New Roman"/>
          <w:sz w:val="24"/>
          <w:szCs w:val="24"/>
          <w:lang w:eastAsia="en-US"/>
        </w:rPr>
        <w:t>Th</w:t>
      </w:r>
      <w:r w:rsidR="00537ECF">
        <w:rPr>
          <w:rFonts w:ascii="Times New Roman" w:hAnsi="Times New Roman" w:cs="Times New Roman"/>
          <w:sz w:val="24"/>
          <w:szCs w:val="24"/>
          <w:lang w:eastAsia="en-US"/>
        </w:rPr>
        <w:t>e</w:t>
      </w:r>
      <w:r w:rsidRPr="00034B69">
        <w:rPr>
          <w:rFonts w:ascii="Times New Roman" w:hAnsi="Times New Roman" w:cs="Times New Roman"/>
          <w:sz w:val="24"/>
          <w:szCs w:val="24"/>
          <w:lang w:eastAsia="en-US"/>
        </w:rPr>
        <w:t xml:space="preserve"> approach </w:t>
      </w:r>
      <w:r w:rsidR="00537ECF">
        <w:rPr>
          <w:rFonts w:ascii="Times New Roman" w:hAnsi="Times New Roman" w:cs="Times New Roman"/>
          <w:sz w:val="24"/>
          <w:szCs w:val="24"/>
          <w:lang w:eastAsia="en-US"/>
        </w:rPr>
        <w:t xml:space="preserve">by Hobhouse LJ </w:t>
      </w:r>
      <w:r w:rsidRPr="00034B69">
        <w:rPr>
          <w:rFonts w:ascii="Times New Roman" w:hAnsi="Times New Roman" w:cs="Times New Roman"/>
          <w:sz w:val="24"/>
          <w:szCs w:val="24"/>
          <w:lang w:eastAsia="en-US"/>
        </w:rPr>
        <w:t xml:space="preserve">can be contrasted with the opposing opinion of Hirst LJ, who believed that the notice was not intended to create a promise and therefore lacked legal effect. Hirst LJ focused on the language used in the notice to argue that there was no intention to create a legally binding commitment, and cited the </w:t>
      </w:r>
      <w:r w:rsidRPr="00537ECF">
        <w:rPr>
          <w:rFonts w:ascii="Times New Roman" w:hAnsi="Times New Roman" w:cs="Times New Roman"/>
          <w:sz w:val="24"/>
          <w:szCs w:val="24"/>
          <w:highlight w:val="red"/>
          <w:lang w:eastAsia="en-US"/>
        </w:rPr>
        <w:t xml:space="preserve">Kleinwort Benson v Malaysia Mining Corporation </w:t>
      </w:r>
      <w:proofErr w:type="spellStart"/>
      <w:r w:rsidRPr="00537ECF">
        <w:rPr>
          <w:rFonts w:ascii="Times New Roman" w:hAnsi="Times New Roman" w:cs="Times New Roman"/>
          <w:sz w:val="24"/>
          <w:szCs w:val="24"/>
          <w:highlight w:val="red"/>
          <w:lang w:eastAsia="en-US"/>
        </w:rPr>
        <w:t>Bhd</w:t>
      </w:r>
      <w:proofErr w:type="spellEnd"/>
      <w:r w:rsidR="007F45A2">
        <w:rPr>
          <w:rFonts w:ascii="Times New Roman" w:hAnsi="Times New Roman" w:cs="Times New Roman"/>
          <w:sz w:val="24"/>
          <w:szCs w:val="24"/>
          <w:lang w:eastAsia="en-US"/>
        </w:rPr>
        <w:t xml:space="preserve"> [1989]</w:t>
      </w:r>
      <w:r w:rsidRPr="00034B69">
        <w:rPr>
          <w:rFonts w:ascii="Times New Roman" w:hAnsi="Times New Roman" w:cs="Times New Roman"/>
          <w:sz w:val="24"/>
          <w:szCs w:val="24"/>
          <w:lang w:eastAsia="en-US"/>
        </w:rPr>
        <w:t xml:space="preserve"> case to support this position. These cases demonstrate that whether an advertisement is considered a promise and intended to have legal consequences will depend on the specific circumstances. It appears that a "promissory hurdle" must be met before there is a presumption of an intention to be legally bound in a commercial context.</w:t>
      </w:r>
      <w:r w:rsidR="00537ECF">
        <w:rPr>
          <w:rFonts w:ascii="Times New Roman" w:hAnsi="Times New Roman" w:cs="Times New Roman"/>
          <w:sz w:val="24"/>
          <w:szCs w:val="24"/>
          <w:lang w:eastAsia="en-US"/>
        </w:rPr>
        <w:t xml:space="preserve"> As the difference in opinion in </w:t>
      </w:r>
      <w:r w:rsidR="00537ECF" w:rsidRPr="00537ECF">
        <w:rPr>
          <w:rFonts w:ascii="Times New Roman" w:hAnsi="Times New Roman" w:cs="Times New Roman"/>
          <w:sz w:val="24"/>
          <w:szCs w:val="24"/>
          <w:lang w:eastAsia="en-US"/>
        </w:rPr>
        <w:t>Bowerman</w:t>
      </w:r>
      <w:r w:rsidR="00537ECF">
        <w:rPr>
          <w:rFonts w:ascii="Times New Roman" w:hAnsi="Times New Roman" w:cs="Times New Roman"/>
          <w:i/>
          <w:iCs/>
          <w:sz w:val="24"/>
          <w:szCs w:val="24"/>
          <w:lang w:eastAsia="en-US"/>
        </w:rPr>
        <w:t xml:space="preserve"> </w:t>
      </w:r>
      <w:r w:rsidR="00537ECF" w:rsidRPr="00537ECF">
        <w:rPr>
          <w:rFonts w:ascii="Times New Roman" w:hAnsi="Times New Roman" w:cs="Times New Roman"/>
          <w:sz w:val="24"/>
          <w:szCs w:val="24"/>
          <w:lang w:eastAsia="en-US"/>
        </w:rPr>
        <w:t>illustrates</w:t>
      </w:r>
      <w:r w:rsidR="00537ECF">
        <w:rPr>
          <w:rFonts w:ascii="Times New Roman" w:hAnsi="Times New Roman" w:cs="Times New Roman"/>
          <w:sz w:val="24"/>
          <w:szCs w:val="24"/>
          <w:lang w:eastAsia="en-US"/>
        </w:rPr>
        <w:t xml:space="preserve">, judges may be in total agreement about the law applicable, but unable to agree upon its application to the facts. A similar difference of opinion occurred in the House of Lords in </w:t>
      </w:r>
      <w:r w:rsidR="00537ECF" w:rsidRPr="007F45A2">
        <w:rPr>
          <w:rFonts w:ascii="Times New Roman" w:hAnsi="Times New Roman" w:cs="Times New Roman"/>
          <w:sz w:val="24"/>
          <w:szCs w:val="24"/>
          <w:highlight w:val="red"/>
          <w:lang w:eastAsia="en-US"/>
        </w:rPr>
        <w:t>Esso Petroleum Co. Ltd v Commissioners of Customs and Excise [197</w:t>
      </w:r>
      <w:r w:rsidR="007F45A2">
        <w:rPr>
          <w:rFonts w:ascii="Times New Roman" w:hAnsi="Times New Roman" w:cs="Times New Roman"/>
          <w:sz w:val="24"/>
          <w:szCs w:val="24"/>
          <w:highlight w:val="red"/>
          <w:lang w:eastAsia="en-US"/>
        </w:rPr>
        <w:t>5</w:t>
      </w:r>
      <w:r w:rsidR="00537ECF" w:rsidRPr="007F45A2">
        <w:rPr>
          <w:rFonts w:ascii="Times New Roman" w:hAnsi="Times New Roman" w:cs="Times New Roman"/>
          <w:sz w:val="24"/>
          <w:szCs w:val="24"/>
          <w:highlight w:val="red"/>
          <w:lang w:eastAsia="en-US"/>
        </w:rPr>
        <w:t>].</w:t>
      </w:r>
    </w:p>
    <w:p w14:paraId="10D810E6" w14:textId="5745CC2A" w:rsidR="007F45A2" w:rsidRPr="00A22711" w:rsidRDefault="00A22711" w:rsidP="00D46F76">
      <w:pPr>
        <w:ind w:firstLine="720"/>
        <w:jc w:val="both"/>
        <w:rPr>
          <w:rFonts w:ascii="Times New Roman" w:hAnsi="Times New Roman" w:cs="Times New Roman"/>
          <w:sz w:val="24"/>
          <w:szCs w:val="24"/>
          <w:lang w:eastAsia="en-US"/>
        </w:rPr>
      </w:pPr>
      <w:r w:rsidRPr="00A22711">
        <w:rPr>
          <w:rFonts w:ascii="Times New Roman" w:hAnsi="Times New Roman" w:cs="Times New Roman"/>
          <w:sz w:val="24"/>
          <w:szCs w:val="24"/>
        </w:rPr>
        <w:t>There are two instances where the presumption of enforceability can be rebutted. The first is in the case of collective agreements between employers and trade unions. It is generally assumed that these agreements were not intended to create a legally binding relationship unless they are in writing and specifically state otherwise, as established in the Ford Motor Co Ltd v AEF case</w:t>
      </w:r>
      <w:r>
        <w:rPr>
          <w:rFonts w:ascii="Times New Roman" w:hAnsi="Times New Roman" w:cs="Times New Roman"/>
          <w:sz w:val="24"/>
          <w:szCs w:val="24"/>
        </w:rPr>
        <w:t xml:space="preserve"> [</w:t>
      </w:r>
      <w:r w:rsidRPr="00A22711">
        <w:rPr>
          <w:rFonts w:ascii="Times New Roman" w:hAnsi="Times New Roman" w:cs="Times New Roman"/>
          <w:sz w:val="24"/>
          <w:szCs w:val="24"/>
        </w:rPr>
        <w:t>1969</w:t>
      </w:r>
      <w:r>
        <w:rPr>
          <w:rFonts w:ascii="Times New Roman" w:hAnsi="Times New Roman" w:cs="Times New Roman"/>
          <w:sz w:val="24"/>
          <w:szCs w:val="24"/>
        </w:rPr>
        <w:t>]</w:t>
      </w:r>
      <w:r w:rsidRPr="00A22711">
        <w:rPr>
          <w:rFonts w:ascii="Times New Roman" w:hAnsi="Times New Roman" w:cs="Times New Roman"/>
          <w:sz w:val="24"/>
          <w:szCs w:val="24"/>
        </w:rPr>
        <w:t>. This presumption is now included in section 179 of the Trade Union and Labour Relations (Consolidation) Act 1992.</w:t>
      </w:r>
      <w:r>
        <w:rPr>
          <w:rFonts w:ascii="Times New Roman" w:hAnsi="Times New Roman" w:cs="Times New Roman"/>
          <w:sz w:val="24"/>
          <w:szCs w:val="24"/>
        </w:rPr>
        <w:t xml:space="preserve"> </w:t>
      </w:r>
      <w:r w:rsidRPr="00A22711">
        <w:rPr>
          <w:rFonts w:ascii="Times New Roman" w:hAnsi="Times New Roman" w:cs="Times New Roman"/>
          <w:sz w:val="24"/>
          <w:szCs w:val="24"/>
        </w:rPr>
        <w:t xml:space="preserve">The second instance is when agreements are </w:t>
      </w:r>
      <w:r w:rsidRPr="00A22711">
        <w:rPr>
          <w:rFonts w:ascii="Times New Roman" w:hAnsi="Times New Roman" w:cs="Times New Roman"/>
          <w:sz w:val="24"/>
          <w:szCs w:val="24"/>
        </w:rPr>
        <w:lastRenderedPageBreak/>
        <w:t xml:space="preserve">expressly stated to have no intention of being legally bound, such as those made "subject to contract", letters of intent, letters of comfort, and honour clauses. Generally, these types of agreements are unenforceable. In the case of Kleinwort Benson v Malaysia Mining Corporation </w:t>
      </w:r>
      <w:proofErr w:type="spellStart"/>
      <w:r w:rsidRPr="00A22711">
        <w:rPr>
          <w:rFonts w:ascii="Times New Roman" w:hAnsi="Times New Roman" w:cs="Times New Roman"/>
          <w:sz w:val="24"/>
          <w:szCs w:val="24"/>
        </w:rPr>
        <w:t>Bhd</w:t>
      </w:r>
      <w:proofErr w:type="spellEnd"/>
      <w:r>
        <w:rPr>
          <w:rFonts w:ascii="Times New Roman" w:hAnsi="Times New Roman" w:cs="Times New Roman"/>
          <w:sz w:val="24"/>
          <w:szCs w:val="24"/>
        </w:rPr>
        <w:t xml:space="preserve"> [</w:t>
      </w:r>
      <w:r w:rsidRPr="00A22711">
        <w:rPr>
          <w:rFonts w:ascii="Times New Roman" w:hAnsi="Times New Roman" w:cs="Times New Roman"/>
          <w:sz w:val="24"/>
          <w:szCs w:val="24"/>
        </w:rPr>
        <w:t>1989</w:t>
      </w:r>
      <w:r>
        <w:rPr>
          <w:rFonts w:ascii="Times New Roman" w:hAnsi="Times New Roman" w:cs="Times New Roman"/>
          <w:sz w:val="24"/>
          <w:szCs w:val="24"/>
        </w:rPr>
        <w:t>]</w:t>
      </w:r>
      <w:r w:rsidRPr="00A22711">
        <w:rPr>
          <w:rFonts w:ascii="Times New Roman" w:hAnsi="Times New Roman" w:cs="Times New Roman"/>
          <w:sz w:val="24"/>
          <w:szCs w:val="24"/>
        </w:rPr>
        <w:t xml:space="preserve">, it was ruled that a letter of comfort was simply an honest statement of the company's policy at that time, and not an intention to be legally bound. However, in the case of ERDC Group Ltd v Brunel University </w:t>
      </w:r>
      <w:r>
        <w:rPr>
          <w:rFonts w:ascii="Times New Roman" w:hAnsi="Times New Roman" w:cs="Times New Roman"/>
          <w:sz w:val="24"/>
          <w:szCs w:val="24"/>
        </w:rPr>
        <w:t>[</w:t>
      </w:r>
      <w:r w:rsidRPr="00A22711">
        <w:rPr>
          <w:rFonts w:ascii="Times New Roman" w:hAnsi="Times New Roman" w:cs="Times New Roman"/>
          <w:sz w:val="24"/>
          <w:szCs w:val="24"/>
        </w:rPr>
        <w:t>2006</w:t>
      </w:r>
      <w:r>
        <w:rPr>
          <w:rFonts w:ascii="Times New Roman" w:hAnsi="Times New Roman" w:cs="Times New Roman"/>
          <w:sz w:val="24"/>
          <w:szCs w:val="24"/>
        </w:rPr>
        <w:t>]</w:t>
      </w:r>
      <w:r w:rsidRPr="00A22711">
        <w:rPr>
          <w:rFonts w:ascii="Times New Roman" w:hAnsi="Times New Roman" w:cs="Times New Roman"/>
          <w:sz w:val="24"/>
          <w:szCs w:val="24"/>
        </w:rPr>
        <w:t>, it was warned that letters of intent can take various forms, some of which may be considered equivalent to an agreement "subject to contract", while others may only express hope.</w:t>
      </w:r>
    </w:p>
    <w:p w14:paraId="2B519932" w14:textId="77777777" w:rsidR="007F45A2" w:rsidRPr="00A22711" w:rsidRDefault="007F45A2" w:rsidP="0081032A">
      <w:pPr>
        <w:pStyle w:val="ListParagraph"/>
        <w:ind w:left="0"/>
        <w:rPr>
          <w:b/>
          <w:bCs/>
          <w:sz w:val="28"/>
          <w:szCs w:val="28"/>
        </w:rPr>
      </w:pPr>
    </w:p>
    <w:p w14:paraId="2111DE92" w14:textId="216D1F65" w:rsidR="0081032A" w:rsidRDefault="00A22711"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r w:rsidRPr="00A22711">
        <w:rPr>
          <w:rFonts w:ascii="Times New Roman" w:eastAsia="Times New Roman" w:hAnsi="Times New Roman" w:cs="Times New Roman"/>
          <w:b/>
          <w:bCs/>
          <w:kern w:val="0"/>
          <w:sz w:val="24"/>
          <w:szCs w:val="24"/>
          <w:lang w:val="en-GB" w:eastAsia="en-US"/>
          <w14:ligatures w14:val="none"/>
        </w:rPr>
        <w:t xml:space="preserve">4.0 </w:t>
      </w:r>
      <w:r>
        <w:rPr>
          <w:rFonts w:ascii="Times New Roman" w:eastAsia="Times New Roman" w:hAnsi="Times New Roman" w:cs="Times New Roman"/>
          <w:b/>
          <w:bCs/>
          <w:kern w:val="0"/>
          <w:sz w:val="24"/>
          <w:szCs w:val="24"/>
          <w:lang w:val="en-GB" w:eastAsia="en-US"/>
          <w14:ligatures w14:val="none"/>
        </w:rPr>
        <w:t xml:space="preserve">Agreements within </w:t>
      </w:r>
      <w:r w:rsidRPr="00A22711">
        <w:rPr>
          <w:rFonts w:ascii="Times New Roman" w:eastAsia="Times New Roman" w:hAnsi="Times New Roman" w:cs="Times New Roman"/>
          <w:b/>
          <w:bCs/>
          <w:kern w:val="0"/>
          <w:sz w:val="24"/>
          <w:szCs w:val="24"/>
          <w:lang w:val="en-GB" w:eastAsia="en-US"/>
          <w14:ligatures w14:val="none"/>
        </w:rPr>
        <w:t>Public Bodies Context</w:t>
      </w:r>
    </w:p>
    <w:p w14:paraId="725A296D" w14:textId="07F41C3C" w:rsidR="00A22711" w:rsidRDefault="00A22711"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p>
    <w:p w14:paraId="26F874FB" w14:textId="6EE9B448" w:rsidR="00A22711" w:rsidRPr="00E575E8" w:rsidRDefault="00D46F76" w:rsidP="00E575E8">
      <w:pPr>
        <w:spacing w:after="0" w:line="276" w:lineRule="auto"/>
        <w:jc w:val="both"/>
        <w:rPr>
          <w:rFonts w:ascii="Times New Roman" w:hAnsi="Times New Roman" w:cs="Times New Roman"/>
          <w:sz w:val="24"/>
          <w:szCs w:val="24"/>
          <w:lang w:val="en-GB"/>
        </w:rPr>
      </w:pPr>
      <w:r w:rsidRPr="00C732BD">
        <w:rPr>
          <w:rFonts w:ascii="Times New Roman" w:eastAsia="Times New Roman" w:hAnsi="Times New Roman" w:cs="Times New Roman"/>
          <w:kern w:val="0"/>
          <w:sz w:val="24"/>
          <w:szCs w:val="24"/>
          <w:lang w:val="en-GB" w:eastAsia="en-US"/>
          <w14:ligatures w14:val="none"/>
        </w:rPr>
        <w:t xml:space="preserve">In the case of </w:t>
      </w:r>
      <w:r w:rsidR="00A22711" w:rsidRPr="00C732BD">
        <w:rPr>
          <w:rFonts w:ascii="Times New Roman" w:hAnsi="Times New Roman" w:cs="Times New Roman"/>
          <w:sz w:val="24"/>
          <w:szCs w:val="24"/>
        </w:rPr>
        <w:t>Willmore v South Eastern Electricity Board [1957]</w:t>
      </w:r>
      <w:r w:rsidR="00C732BD" w:rsidRPr="00C732BD">
        <w:rPr>
          <w:rFonts w:ascii="Times New Roman" w:hAnsi="Times New Roman" w:cs="Times New Roman"/>
          <w:sz w:val="24"/>
          <w:szCs w:val="24"/>
        </w:rPr>
        <w:t xml:space="preserve">, The plaintiffs were poultry farmers who relied on the defendant to supply electricity for their chicks but the defendant failed to do so, causing financial ruin. The court ruled that there was no contract between the parties because the representations made about the electricity supply were not made with contractual intent. The case distinguished between statutory undertakers and contractors in terms of their obligations </w:t>
      </w:r>
      <w:r w:rsidR="00C732BD" w:rsidRPr="00C732BD">
        <w:rPr>
          <w:rFonts w:ascii="Times New Roman" w:hAnsi="Times New Roman" w:cs="Times New Roman"/>
          <w:sz w:val="24"/>
          <w:szCs w:val="24"/>
          <w:lang w:val="en-GB"/>
        </w:rPr>
        <w:t>(</w:t>
      </w:r>
      <w:proofErr w:type="spellStart"/>
      <w:r w:rsidR="00C732BD" w:rsidRPr="00C732BD">
        <w:rPr>
          <w:rFonts w:ascii="Times New Roman" w:hAnsi="Times New Roman" w:cs="Times New Roman"/>
          <w:sz w:val="24"/>
          <w:szCs w:val="24"/>
          <w:lang w:val="en-GB"/>
        </w:rPr>
        <w:t>Lawctopus</w:t>
      </w:r>
      <w:proofErr w:type="spellEnd"/>
      <w:r w:rsidR="00C732BD" w:rsidRPr="00C732BD">
        <w:rPr>
          <w:rFonts w:ascii="Times New Roman" w:hAnsi="Times New Roman" w:cs="Times New Roman"/>
          <w:sz w:val="24"/>
          <w:szCs w:val="24"/>
          <w:lang w:val="en-GB"/>
        </w:rPr>
        <w:t xml:space="preserve">, 2015). In </w:t>
      </w:r>
      <w:proofErr w:type="spellStart"/>
      <w:r w:rsidR="00A22711" w:rsidRPr="00C732BD">
        <w:rPr>
          <w:rFonts w:ascii="Times New Roman" w:hAnsi="Times New Roman" w:cs="Times New Roman"/>
          <w:sz w:val="24"/>
          <w:szCs w:val="24"/>
        </w:rPr>
        <w:t>Triefus</w:t>
      </w:r>
      <w:proofErr w:type="spellEnd"/>
      <w:r w:rsidR="00A22711" w:rsidRPr="00C732BD">
        <w:rPr>
          <w:rFonts w:ascii="Times New Roman" w:hAnsi="Times New Roman" w:cs="Times New Roman"/>
          <w:sz w:val="24"/>
          <w:szCs w:val="24"/>
        </w:rPr>
        <w:t xml:space="preserve"> v Post Office [1957]</w:t>
      </w:r>
      <w:r w:rsidR="00C732BD" w:rsidRPr="00C732BD">
        <w:rPr>
          <w:rFonts w:ascii="Times New Roman" w:hAnsi="Times New Roman" w:cs="Times New Roman"/>
          <w:sz w:val="24"/>
          <w:szCs w:val="24"/>
        </w:rPr>
        <w:t>, the judge ruled that the defendant was not responsible for the package's disappearance. The defendant was determined by the court to be a statutory undertaker since he was working as a post office.</w:t>
      </w:r>
      <w:r w:rsidR="00E575E8">
        <w:rPr>
          <w:rFonts w:ascii="Times New Roman" w:hAnsi="Times New Roman" w:cs="Times New Roman"/>
          <w:sz w:val="24"/>
          <w:szCs w:val="24"/>
        </w:rPr>
        <w:t xml:space="preserve"> The case shows the principle that s</w:t>
      </w:r>
      <w:r w:rsidR="00E575E8" w:rsidRPr="00E575E8">
        <w:rPr>
          <w:rFonts w:ascii="Times New Roman" w:hAnsi="Times New Roman" w:cs="Times New Roman"/>
          <w:sz w:val="24"/>
          <w:szCs w:val="24"/>
        </w:rPr>
        <w:t>tatutory undertakers, such as post offices, may have immunity from liability for losses caused by the failure to perform their statutory duties</w:t>
      </w:r>
      <w:r w:rsidR="00E575E8">
        <w:rPr>
          <w:rFonts w:ascii="Times New Roman" w:hAnsi="Times New Roman" w:cs="Times New Roman"/>
          <w:sz w:val="24"/>
          <w:szCs w:val="24"/>
        </w:rPr>
        <w:t xml:space="preserve"> (</w:t>
      </w:r>
      <w:proofErr w:type="spellStart"/>
      <w:r w:rsidR="00E575E8">
        <w:rPr>
          <w:rFonts w:ascii="Times New Roman" w:hAnsi="Times New Roman" w:cs="Times New Roman"/>
          <w:sz w:val="24"/>
          <w:szCs w:val="24"/>
        </w:rPr>
        <w:t>Vlex</w:t>
      </w:r>
      <w:proofErr w:type="spellEnd"/>
      <w:r w:rsidR="00E575E8">
        <w:rPr>
          <w:rFonts w:ascii="Times New Roman" w:hAnsi="Times New Roman" w:cs="Times New Roman"/>
          <w:sz w:val="24"/>
          <w:szCs w:val="24"/>
        </w:rPr>
        <w:t>, 2023)</w:t>
      </w:r>
      <w:r w:rsidR="00E575E8" w:rsidRPr="00E575E8">
        <w:rPr>
          <w:rFonts w:ascii="Times New Roman" w:hAnsi="Times New Roman" w:cs="Times New Roman"/>
          <w:sz w:val="24"/>
          <w:szCs w:val="24"/>
        </w:rPr>
        <w:t xml:space="preserve">. Furthermore, in </w:t>
      </w:r>
      <w:r w:rsidR="00A22711" w:rsidRPr="00E575E8">
        <w:rPr>
          <w:rFonts w:ascii="Times New Roman" w:hAnsi="Times New Roman" w:cs="Times New Roman"/>
          <w:sz w:val="24"/>
          <w:szCs w:val="24"/>
        </w:rPr>
        <w:t>Robinson v HM Customs &amp; Excise [2000]</w:t>
      </w:r>
      <w:r w:rsidR="00E575E8" w:rsidRPr="00E575E8">
        <w:rPr>
          <w:rFonts w:ascii="Times New Roman" w:hAnsi="Times New Roman" w:cs="Times New Roman"/>
          <w:sz w:val="24"/>
          <w:szCs w:val="24"/>
        </w:rPr>
        <w:t xml:space="preserve">, </w:t>
      </w:r>
      <w:r w:rsidR="00E575E8">
        <w:rPr>
          <w:rFonts w:ascii="Times New Roman" w:hAnsi="Times New Roman" w:cs="Times New Roman"/>
          <w:sz w:val="24"/>
          <w:szCs w:val="24"/>
        </w:rPr>
        <w:t>t</w:t>
      </w:r>
      <w:r w:rsidR="00E575E8" w:rsidRPr="00E575E8">
        <w:rPr>
          <w:rFonts w:ascii="Times New Roman" w:hAnsi="Times New Roman" w:cs="Times New Roman"/>
          <w:sz w:val="24"/>
          <w:szCs w:val="24"/>
        </w:rPr>
        <w:t>he court ruled that the defendant had a responsibility to provide accurate information and breached that responsibility by giving incorrect advice to the plaintiff. This case emphasizes the significance of obtaining trustworthy and precise advice, and the obligation of professionals and public institutions to provide services with care. It also exemplifies the concept of contributory negligence, where a claimant's own actions can decrease the damages</w:t>
      </w:r>
      <w:r w:rsidR="00E575E8">
        <w:rPr>
          <w:rFonts w:ascii="Times New Roman" w:hAnsi="Times New Roman" w:cs="Times New Roman"/>
          <w:sz w:val="24"/>
          <w:szCs w:val="24"/>
        </w:rPr>
        <w:t xml:space="preserve"> applicable to them</w:t>
      </w:r>
      <w:r w:rsidR="00E575E8" w:rsidRPr="00E575E8">
        <w:rPr>
          <w:rFonts w:ascii="Times New Roman" w:hAnsi="Times New Roman" w:cs="Times New Roman"/>
          <w:sz w:val="24"/>
          <w:szCs w:val="24"/>
        </w:rPr>
        <w:t xml:space="preserve">. </w:t>
      </w:r>
      <w:r w:rsidR="00E575E8">
        <w:rPr>
          <w:rFonts w:ascii="Times New Roman" w:hAnsi="Times New Roman" w:cs="Times New Roman"/>
          <w:sz w:val="24"/>
          <w:szCs w:val="24"/>
        </w:rPr>
        <w:t>(</w:t>
      </w:r>
      <w:proofErr w:type="spellStart"/>
      <w:r w:rsidR="00E575E8">
        <w:rPr>
          <w:rFonts w:ascii="Times New Roman" w:hAnsi="Times New Roman" w:cs="Times New Roman"/>
          <w:sz w:val="24"/>
          <w:szCs w:val="24"/>
        </w:rPr>
        <w:t>Vlex</w:t>
      </w:r>
      <w:proofErr w:type="spellEnd"/>
      <w:r w:rsidR="00E575E8">
        <w:rPr>
          <w:rFonts w:ascii="Times New Roman" w:hAnsi="Times New Roman" w:cs="Times New Roman"/>
          <w:sz w:val="24"/>
          <w:szCs w:val="24"/>
        </w:rPr>
        <w:t xml:space="preserve">, 2023). </w:t>
      </w:r>
    </w:p>
    <w:p w14:paraId="1ECDAEF4" w14:textId="2F536EA2" w:rsidR="00A22711" w:rsidRDefault="00A22711"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p>
    <w:p w14:paraId="2EC81438" w14:textId="2133EC5C" w:rsidR="0073203C" w:rsidRDefault="0073203C"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r>
        <w:rPr>
          <w:rFonts w:ascii="Times New Roman" w:eastAsia="Times New Roman" w:hAnsi="Times New Roman" w:cs="Times New Roman"/>
          <w:b/>
          <w:bCs/>
          <w:kern w:val="0"/>
          <w:sz w:val="24"/>
          <w:szCs w:val="24"/>
          <w:lang w:val="en-GB" w:eastAsia="en-US"/>
          <w14:ligatures w14:val="none"/>
        </w:rPr>
        <w:t xml:space="preserve">5.0 Conclusion </w:t>
      </w:r>
    </w:p>
    <w:p w14:paraId="5FFF439C" w14:textId="77777777" w:rsidR="0073203C" w:rsidRDefault="0073203C"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p>
    <w:p w14:paraId="0B96C8DF" w14:textId="75713366" w:rsidR="0073203C" w:rsidRPr="0073203C" w:rsidRDefault="0073203C" w:rsidP="0081032A">
      <w:pPr>
        <w:spacing w:after="0" w:line="276" w:lineRule="auto"/>
        <w:jc w:val="both"/>
        <w:rPr>
          <w:rFonts w:ascii="Times New Roman" w:eastAsia="Times New Roman" w:hAnsi="Times New Roman" w:cs="Times New Roman"/>
          <w:kern w:val="0"/>
          <w:sz w:val="24"/>
          <w:szCs w:val="24"/>
          <w:lang w:eastAsia="en-US"/>
          <w14:ligatures w14:val="none"/>
        </w:rPr>
      </w:pPr>
      <w:r w:rsidRPr="0073203C">
        <w:rPr>
          <w:rFonts w:ascii="Times New Roman" w:eastAsia="Times New Roman" w:hAnsi="Times New Roman" w:cs="Times New Roman"/>
          <w:kern w:val="0"/>
          <w:sz w:val="24"/>
          <w:szCs w:val="24"/>
          <w:lang w:eastAsia="en-US"/>
          <w14:ligatures w14:val="none"/>
        </w:rPr>
        <w:t>In conclusion, the intention to create legal relations is an essential factor in the formation of legally binding contracts and determines their enforceability. In social and domestic arrangements, there is a presumption that the parties did not intend to create legal relations unless there is evidence to the contrary. The courts consider policy considerations and other factors, including the existence of a written agreement, the language used in the agreement, and the relationship between the parties, to determine whether the presumption can be rebutted. Where one party has relied on the agreement to their detriment, the courts are more likely to find that the parties intended to create legal relations. Therefore, it is important to establish and document the intention to create legal relations in any agreement to avoid any disputes in the future.</w:t>
      </w:r>
    </w:p>
    <w:p w14:paraId="12CDB85C" w14:textId="2404661C" w:rsidR="0073203C" w:rsidRDefault="0073203C" w:rsidP="0081032A">
      <w:pPr>
        <w:spacing w:after="0" w:line="276" w:lineRule="auto"/>
        <w:jc w:val="both"/>
        <w:rPr>
          <w:rFonts w:ascii="Times New Roman" w:eastAsia="Times New Roman" w:hAnsi="Times New Roman" w:cs="Times New Roman"/>
          <w:b/>
          <w:bCs/>
          <w:kern w:val="0"/>
          <w:sz w:val="24"/>
          <w:szCs w:val="24"/>
          <w:lang w:eastAsia="en-US"/>
          <w14:ligatures w14:val="none"/>
        </w:rPr>
      </w:pPr>
    </w:p>
    <w:p w14:paraId="57CDFCCA" w14:textId="1467A934" w:rsidR="0073203C" w:rsidRDefault="0073203C" w:rsidP="0081032A">
      <w:pPr>
        <w:spacing w:after="0" w:line="276" w:lineRule="auto"/>
        <w:jc w:val="both"/>
        <w:rPr>
          <w:rFonts w:ascii="Times New Roman" w:eastAsia="Times New Roman" w:hAnsi="Times New Roman" w:cs="Times New Roman"/>
          <w:b/>
          <w:bCs/>
          <w:kern w:val="0"/>
          <w:sz w:val="24"/>
          <w:szCs w:val="24"/>
          <w:lang w:eastAsia="en-US"/>
          <w14:ligatures w14:val="none"/>
        </w:rPr>
      </w:pPr>
    </w:p>
    <w:p w14:paraId="67D2DEDE" w14:textId="46C7F7C6" w:rsidR="0073203C" w:rsidRDefault="0073203C" w:rsidP="0081032A">
      <w:pPr>
        <w:spacing w:after="0" w:line="276" w:lineRule="auto"/>
        <w:jc w:val="both"/>
        <w:rPr>
          <w:rFonts w:ascii="Times New Roman" w:eastAsia="Times New Roman" w:hAnsi="Times New Roman" w:cs="Times New Roman"/>
          <w:b/>
          <w:bCs/>
          <w:kern w:val="0"/>
          <w:sz w:val="24"/>
          <w:szCs w:val="24"/>
          <w:lang w:eastAsia="en-US"/>
          <w14:ligatures w14:val="none"/>
        </w:rPr>
      </w:pPr>
      <w:r>
        <w:rPr>
          <w:rFonts w:ascii="Times New Roman" w:eastAsia="Times New Roman" w:hAnsi="Times New Roman" w:cs="Times New Roman"/>
          <w:b/>
          <w:bCs/>
          <w:kern w:val="0"/>
          <w:sz w:val="24"/>
          <w:szCs w:val="24"/>
          <w:lang w:eastAsia="en-US"/>
          <w14:ligatures w14:val="none"/>
        </w:rPr>
        <w:t>(2114 words)</w:t>
      </w:r>
    </w:p>
    <w:p w14:paraId="4DADD792" w14:textId="77777777" w:rsidR="0073203C" w:rsidRDefault="0073203C"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p>
    <w:p w14:paraId="70A0BD96" w14:textId="77777777" w:rsidR="0073203C" w:rsidRDefault="0073203C"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p>
    <w:p w14:paraId="579C58B8" w14:textId="77777777" w:rsidR="0073203C" w:rsidRDefault="0073203C"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p>
    <w:p w14:paraId="52D18BB7" w14:textId="619621D2" w:rsidR="00C732BD" w:rsidRDefault="00C732BD"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r>
        <w:rPr>
          <w:rFonts w:ascii="Times New Roman" w:eastAsia="Times New Roman" w:hAnsi="Times New Roman" w:cs="Times New Roman"/>
          <w:b/>
          <w:bCs/>
          <w:kern w:val="0"/>
          <w:sz w:val="24"/>
          <w:szCs w:val="24"/>
          <w:lang w:val="en-GB" w:eastAsia="en-US"/>
          <w14:ligatures w14:val="none"/>
        </w:rPr>
        <w:t xml:space="preserve">References </w:t>
      </w:r>
    </w:p>
    <w:p w14:paraId="6B3296B0" w14:textId="1A80E802" w:rsidR="00C732BD" w:rsidRDefault="00395702"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hyperlink r:id="rId5" w:history="1">
        <w:r w:rsidR="00C732BD" w:rsidRPr="006D7EC5">
          <w:rPr>
            <w:rStyle w:val="Hyperlink"/>
            <w:rFonts w:ascii="Times New Roman" w:eastAsia="Times New Roman" w:hAnsi="Times New Roman" w:cs="Times New Roman"/>
            <w:b/>
            <w:bCs/>
            <w:kern w:val="0"/>
            <w:sz w:val="24"/>
            <w:szCs w:val="24"/>
            <w:lang w:val="en-GB" w:eastAsia="en-US"/>
            <w14:ligatures w14:val="none"/>
          </w:rPr>
          <w:t>https://www.lawctopus.com/academike/statutory-transactions/</w:t>
        </w:r>
      </w:hyperlink>
      <w:r w:rsidR="00C732BD">
        <w:rPr>
          <w:rFonts w:ascii="Times New Roman" w:eastAsia="Times New Roman" w:hAnsi="Times New Roman" w:cs="Times New Roman"/>
          <w:b/>
          <w:bCs/>
          <w:kern w:val="0"/>
          <w:sz w:val="24"/>
          <w:szCs w:val="24"/>
          <w:lang w:val="en-GB" w:eastAsia="en-US"/>
          <w14:ligatures w14:val="none"/>
        </w:rPr>
        <w:t xml:space="preserve"> </w:t>
      </w:r>
    </w:p>
    <w:p w14:paraId="5E515EAE" w14:textId="72AA1DC3" w:rsidR="00C732BD" w:rsidRDefault="00C732BD"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p>
    <w:p w14:paraId="0344B8E8" w14:textId="2992C6FD" w:rsidR="00C732BD" w:rsidRDefault="00C732BD"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r>
        <w:rPr>
          <w:rFonts w:ascii="Times New Roman" w:eastAsia="Times New Roman" w:hAnsi="Times New Roman" w:cs="Times New Roman"/>
          <w:b/>
          <w:bCs/>
          <w:kern w:val="0"/>
          <w:sz w:val="24"/>
          <w:szCs w:val="24"/>
          <w:lang w:val="en-GB" w:eastAsia="en-US"/>
          <w14:ligatures w14:val="none"/>
        </w:rPr>
        <w:t xml:space="preserve">post office </w:t>
      </w:r>
      <w:hyperlink r:id="rId6" w:history="1">
        <w:r w:rsidRPr="006D7EC5">
          <w:rPr>
            <w:rStyle w:val="Hyperlink"/>
            <w:rFonts w:ascii="Times New Roman" w:eastAsia="Times New Roman" w:hAnsi="Times New Roman" w:cs="Times New Roman"/>
            <w:b/>
            <w:bCs/>
            <w:kern w:val="0"/>
            <w:sz w:val="24"/>
            <w:szCs w:val="24"/>
            <w:lang w:val="en-GB" w:eastAsia="en-US"/>
            <w14:ligatures w14:val="none"/>
          </w:rPr>
          <w:t>https://vlex.co.uk/vid/triefus-company-ltd-v-793160245</w:t>
        </w:r>
      </w:hyperlink>
      <w:r>
        <w:rPr>
          <w:rFonts w:ascii="Times New Roman" w:eastAsia="Times New Roman" w:hAnsi="Times New Roman" w:cs="Times New Roman"/>
          <w:b/>
          <w:bCs/>
          <w:kern w:val="0"/>
          <w:sz w:val="24"/>
          <w:szCs w:val="24"/>
          <w:lang w:val="en-GB" w:eastAsia="en-US"/>
          <w14:ligatures w14:val="none"/>
        </w:rPr>
        <w:t xml:space="preserve"> </w:t>
      </w:r>
    </w:p>
    <w:p w14:paraId="7EE8B3D8" w14:textId="404860CD" w:rsidR="00E575E8" w:rsidRDefault="00E575E8"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p>
    <w:p w14:paraId="33B671B7" w14:textId="00A3AD21" w:rsidR="00E575E8" w:rsidRDefault="00E575E8"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proofErr w:type="spellStart"/>
      <w:r>
        <w:rPr>
          <w:rFonts w:ascii="Times New Roman" w:eastAsia="Times New Roman" w:hAnsi="Times New Roman" w:cs="Times New Roman"/>
          <w:b/>
          <w:bCs/>
          <w:kern w:val="0"/>
          <w:sz w:val="24"/>
          <w:szCs w:val="24"/>
          <w:lang w:val="en-GB" w:eastAsia="en-US"/>
          <w14:ligatures w14:val="none"/>
        </w:rPr>
        <w:t>robinson</w:t>
      </w:r>
      <w:proofErr w:type="spellEnd"/>
      <w:r>
        <w:rPr>
          <w:rFonts w:ascii="Times New Roman" w:eastAsia="Times New Roman" w:hAnsi="Times New Roman" w:cs="Times New Roman"/>
          <w:b/>
          <w:bCs/>
          <w:kern w:val="0"/>
          <w:sz w:val="24"/>
          <w:szCs w:val="24"/>
          <w:lang w:val="en-GB" w:eastAsia="en-US"/>
          <w14:ligatures w14:val="none"/>
        </w:rPr>
        <w:t xml:space="preserve"> - </w:t>
      </w:r>
      <w:hyperlink r:id="rId7" w:history="1">
        <w:r w:rsidRPr="006D7EC5">
          <w:rPr>
            <w:rStyle w:val="Hyperlink"/>
            <w:rFonts w:ascii="Times New Roman" w:eastAsia="Times New Roman" w:hAnsi="Times New Roman" w:cs="Times New Roman"/>
            <w:b/>
            <w:bCs/>
            <w:kern w:val="0"/>
            <w:sz w:val="24"/>
            <w:szCs w:val="24"/>
            <w:lang w:val="en-GB" w:eastAsia="en-US"/>
            <w14:ligatures w14:val="none"/>
          </w:rPr>
          <w:t>https://vlex.co.uk/vid/robinson-v-commissioners-of-806715449</w:t>
        </w:r>
      </w:hyperlink>
      <w:r>
        <w:rPr>
          <w:rFonts w:ascii="Times New Roman" w:eastAsia="Times New Roman" w:hAnsi="Times New Roman" w:cs="Times New Roman"/>
          <w:b/>
          <w:bCs/>
          <w:kern w:val="0"/>
          <w:sz w:val="24"/>
          <w:szCs w:val="24"/>
          <w:lang w:val="en-GB" w:eastAsia="en-US"/>
          <w14:ligatures w14:val="none"/>
        </w:rPr>
        <w:t xml:space="preserve"> </w:t>
      </w:r>
    </w:p>
    <w:p w14:paraId="22358642" w14:textId="77777777" w:rsidR="00E575E8" w:rsidRDefault="00E575E8">
      <w:pPr>
        <w:rPr>
          <w:rFonts w:ascii="Times New Roman" w:eastAsia="Times New Roman" w:hAnsi="Times New Roman" w:cs="Times New Roman"/>
          <w:b/>
          <w:bCs/>
          <w:kern w:val="0"/>
          <w:sz w:val="24"/>
          <w:szCs w:val="24"/>
          <w:lang w:val="en-GB" w:eastAsia="en-US"/>
          <w14:ligatures w14:val="none"/>
        </w:rPr>
      </w:pPr>
      <w:r>
        <w:rPr>
          <w:rFonts w:ascii="Times New Roman" w:eastAsia="Times New Roman" w:hAnsi="Times New Roman" w:cs="Times New Roman"/>
          <w:b/>
          <w:bCs/>
          <w:kern w:val="0"/>
          <w:sz w:val="24"/>
          <w:szCs w:val="24"/>
          <w:lang w:val="en-GB" w:eastAsia="en-US"/>
          <w14:ligatures w14:val="none"/>
        </w:rPr>
        <w:br w:type="page"/>
      </w:r>
    </w:p>
    <w:p w14:paraId="0DCCB0B4" w14:textId="77777777" w:rsidR="00E575E8" w:rsidRPr="00A22711" w:rsidRDefault="00E575E8" w:rsidP="0081032A">
      <w:pPr>
        <w:spacing w:after="0" w:line="276" w:lineRule="auto"/>
        <w:jc w:val="both"/>
        <w:rPr>
          <w:rFonts w:ascii="Times New Roman" w:eastAsia="Times New Roman" w:hAnsi="Times New Roman" w:cs="Times New Roman"/>
          <w:b/>
          <w:bCs/>
          <w:kern w:val="0"/>
          <w:sz w:val="24"/>
          <w:szCs w:val="24"/>
          <w:lang w:val="en-GB" w:eastAsia="en-US"/>
          <w14:ligatures w14:val="none"/>
        </w:rPr>
      </w:pPr>
    </w:p>
    <w:sectPr w:rsidR="00E575E8" w:rsidRPr="00A227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9781D"/>
    <w:multiLevelType w:val="multilevel"/>
    <w:tmpl w:val="9892987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95F3119"/>
    <w:multiLevelType w:val="multilevel"/>
    <w:tmpl w:val="8146C89E"/>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404258523">
    <w:abstractNumId w:val="1"/>
  </w:num>
  <w:num w:numId="2" w16cid:durableId="1855610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CAF"/>
    <w:rsid w:val="00034B69"/>
    <w:rsid w:val="0004527C"/>
    <w:rsid w:val="00161812"/>
    <w:rsid w:val="00265E1A"/>
    <w:rsid w:val="00395702"/>
    <w:rsid w:val="00537ECF"/>
    <w:rsid w:val="0073203C"/>
    <w:rsid w:val="007F45A2"/>
    <w:rsid w:val="0081032A"/>
    <w:rsid w:val="00901804"/>
    <w:rsid w:val="00A22711"/>
    <w:rsid w:val="00C01CAF"/>
    <w:rsid w:val="00C2444B"/>
    <w:rsid w:val="00C732BD"/>
    <w:rsid w:val="00D46F76"/>
    <w:rsid w:val="00DA0E72"/>
    <w:rsid w:val="00E575E8"/>
  </w:rsids>
  <m:mathPr>
    <m:mathFont m:val="Cambria Math"/>
    <m:brkBin m:val="before"/>
    <m:brkBinSub m:val="--"/>
    <m:smallFrac m:val="0"/>
    <m:dispDef/>
    <m:lMargin m:val="0"/>
    <m:rMargin m:val="0"/>
    <m:defJc m:val="centerGroup"/>
    <m:wrapIndent m:val="1440"/>
    <m:intLim m:val="subSup"/>
    <m:naryLim m:val="undOvr"/>
  </m:mathPr>
  <w:themeFontLang w:val="en-MY"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270DB"/>
  <w15:chartTrackingRefBased/>
  <w15:docId w15:val="{B862B805-5864-4BE4-ABD2-7F18D3729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MY"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32A"/>
    <w:pPr>
      <w:spacing w:after="0" w:line="240" w:lineRule="auto"/>
      <w:ind w:left="720"/>
      <w:contextualSpacing/>
    </w:pPr>
    <w:rPr>
      <w:rFonts w:ascii="Times New Roman" w:eastAsia="Times New Roman" w:hAnsi="Times New Roman" w:cs="Times New Roman"/>
      <w:kern w:val="0"/>
      <w:sz w:val="20"/>
      <w:szCs w:val="20"/>
      <w:lang w:val="en-GB" w:eastAsia="en-GB"/>
      <w14:ligatures w14:val="none"/>
    </w:rPr>
  </w:style>
  <w:style w:type="character" w:styleId="Hyperlink">
    <w:name w:val="Hyperlink"/>
    <w:basedOn w:val="DefaultParagraphFont"/>
    <w:uiPriority w:val="99"/>
    <w:unhideWhenUsed/>
    <w:rsid w:val="00C732BD"/>
    <w:rPr>
      <w:color w:val="0563C1" w:themeColor="hyperlink"/>
      <w:u w:val="single"/>
    </w:rPr>
  </w:style>
  <w:style w:type="character" w:styleId="UnresolvedMention">
    <w:name w:val="Unresolved Mention"/>
    <w:basedOn w:val="DefaultParagraphFont"/>
    <w:uiPriority w:val="99"/>
    <w:semiHidden/>
    <w:unhideWhenUsed/>
    <w:rsid w:val="00C732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006169">
      <w:bodyDiv w:val="1"/>
      <w:marLeft w:val="0"/>
      <w:marRight w:val="0"/>
      <w:marTop w:val="0"/>
      <w:marBottom w:val="0"/>
      <w:divBdr>
        <w:top w:val="none" w:sz="0" w:space="0" w:color="auto"/>
        <w:left w:val="none" w:sz="0" w:space="0" w:color="auto"/>
        <w:bottom w:val="none" w:sz="0" w:space="0" w:color="auto"/>
        <w:right w:val="none" w:sz="0" w:space="0" w:color="auto"/>
      </w:divBdr>
      <w:divsChild>
        <w:div w:id="1218321534">
          <w:marLeft w:val="0"/>
          <w:marRight w:val="0"/>
          <w:marTop w:val="0"/>
          <w:marBottom w:val="0"/>
          <w:divBdr>
            <w:top w:val="none" w:sz="0" w:space="0" w:color="auto"/>
            <w:left w:val="none" w:sz="0" w:space="0" w:color="auto"/>
            <w:bottom w:val="none" w:sz="0" w:space="0" w:color="auto"/>
            <w:right w:val="none" w:sz="0" w:space="0" w:color="auto"/>
          </w:divBdr>
        </w:div>
      </w:divsChild>
    </w:div>
    <w:div w:id="938224356">
      <w:bodyDiv w:val="1"/>
      <w:marLeft w:val="0"/>
      <w:marRight w:val="0"/>
      <w:marTop w:val="0"/>
      <w:marBottom w:val="0"/>
      <w:divBdr>
        <w:top w:val="none" w:sz="0" w:space="0" w:color="auto"/>
        <w:left w:val="none" w:sz="0" w:space="0" w:color="auto"/>
        <w:bottom w:val="none" w:sz="0" w:space="0" w:color="auto"/>
        <w:right w:val="none" w:sz="0" w:space="0" w:color="auto"/>
      </w:divBdr>
    </w:div>
    <w:div w:id="1111585073">
      <w:bodyDiv w:val="1"/>
      <w:marLeft w:val="0"/>
      <w:marRight w:val="0"/>
      <w:marTop w:val="0"/>
      <w:marBottom w:val="0"/>
      <w:divBdr>
        <w:top w:val="none" w:sz="0" w:space="0" w:color="auto"/>
        <w:left w:val="none" w:sz="0" w:space="0" w:color="auto"/>
        <w:bottom w:val="none" w:sz="0" w:space="0" w:color="auto"/>
        <w:right w:val="none" w:sz="0" w:space="0" w:color="auto"/>
      </w:divBdr>
    </w:div>
    <w:div w:id="188594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lex.co.uk/vid/robinson-v-commissioners-of-80671544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lex.co.uk/vid/triefus-company-ltd-v-793160245" TargetMode="External"/><Relationship Id="rId5" Type="http://schemas.openxmlformats.org/officeDocument/2006/relationships/hyperlink" Target="https://www.lawctopus.com/academike/statutory-transaction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1999</Words>
  <Characters>11398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Ali Maizahar Azri</dc:creator>
  <cp:keywords/>
  <dc:description/>
  <cp:lastModifiedBy>Muhammad Ali Maizahar Azri</cp:lastModifiedBy>
  <cp:revision>2</cp:revision>
  <dcterms:created xsi:type="dcterms:W3CDTF">2023-03-10T22:07:00Z</dcterms:created>
  <dcterms:modified xsi:type="dcterms:W3CDTF">2023-03-10T22:07:00Z</dcterms:modified>
</cp:coreProperties>
</file>