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1DA2" w:rsidRPr="003A6ACB" w:rsidRDefault="00DF1DA2" w:rsidP="00DF1DA2">
      <w:pPr>
        <w:rPr>
          <w:rStyle w:val="Emphasis"/>
          <w:rFonts w:cs="Arial"/>
          <w:i w:val="0"/>
          <w:sz w:val="24"/>
          <w:szCs w:val="24"/>
          <w:u w:val="single"/>
          <w:lang w:val="en"/>
        </w:rPr>
      </w:pPr>
      <w:r w:rsidRPr="003A6ACB">
        <w:rPr>
          <w:rStyle w:val="Emphasis"/>
          <w:rFonts w:cs="Arial"/>
          <w:i w:val="0"/>
          <w:sz w:val="24"/>
          <w:szCs w:val="24"/>
          <w:u w:val="single"/>
          <w:lang w:val="en"/>
        </w:rPr>
        <w:t>Critically discuss whether Boudicca was just a literary invention. Does a critical analysis of ancient literary and archaeological sources allow us to demonstrate her existence and her alleged activities without any doubt?</w:t>
      </w:r>
    </w:p>
    <w:p w:rsidR="00043F09" w:rsidRPr="003A6ACB" w:rsidRDefault="00043F09" w:rsidP="00DF1DA2">
      <w:pPr>
        <w:rPr>
          <w:rStyle w:val="Emphasis"/>
          <w:rFonts w:cs="Arial"/>
          <w:i w:val="0"/>
          <w:sz w:val="24"/>
          <w:szCs w:val="24"/>
          <w:u w:val="single"/>
          <w:lang w:val="en"/>
        </w:rPr>
      </w:pPr>
    </w:p>
    <w:p w:rsidR="00043F09" w:rsidRPr="003A6ACB" w:rsidRDefault="003D6C5D" w:rsidP="00DF1DA2">
      <w:pPr>
        <w:rPr>
          <w:rStyle w:val="Emphasis"/>
          <w:rFonts w:cs="Arial"/>
          <w:i w:val="0"/>
          <w:lang w:val="en"/>
        </w:rPr>
      </w:pPr>
      <w:r w:rsidRPr="003A6ACB">
        <w:rPr>
          <w:rStyle w:val="Emphasis"/>
          <w:rFonts w:cs="Arial"/>
          <w:i w:val="0"/>
          <w:lang w:val="en"/>
        </w:rPr>
        <w:t xml:space="preserve">The Rebellion of </w:t>
      </w:r>
      <w:r w:rsidR="001A40F1" w:rsidRPr="003A6ACB">
        <w:rPr>
          <w:rStyle w:val="Emphasis"/>
          <w:rFonts w:cs="Arial"/>
          <w:i w:val="0"/>
          <w:lang w:val="en"/>
        </w:rPr>
        <w:t>the Britons against the Romans in AD60/1 is one of the most significant events in the Roman occupation</w:t>
      </w:r>
      <w:r w:rsidR="00941719" w:rsidRPr="003A6ACB">
        <w:rPr>
          <w:rStyle w:val="Emphasis"/>
          <w:rFonts w:cs="Arial"/>
          <w:i w:val="0"/>
          <w:lang w:val="en"/>
        </w:rPr>
        <w:t xml:space="preserve"> of Britain. The accounts of ancient writers such as Tacitus and Cassius Dio put Queen Boudicca at the forefront of </w:t>
      </w:r>
      <w:r w:rsidR="00611775" w:rsidRPr="003A6ACB">
        <w:rPr>
          <w:rStyle w:val="Emphasis"/>
          <w:rFonts w:cs="Arial"/>
          <w:i w:val="0"/>
          <w:lang w:val="en"/>
        </w:rPr>
        <w:t xml:space="preserve">these happenings. The purpose of this essay is to determine whether Boudicca was </w:t>
      </w:r>
      <w:r w:rsidR="00DB47A7" w:rsidRPr="003A6ACB">
        <w:rPr>
          <w:rStyle w:val="Emphasis"/>
          <w:rFonts w:cs="Arial"/>
          <w:i w:val="0"/>
          <w:lang w:val="en"/>
        </w:rPr>
        <w:t xml:space="preserve">an actual </w:t>
      </w:r>
      <w:r w:rsidR="00611775" w:rsidRPr="003A6ACB">
        <w:rPr>
          <w:rStyle w:val="Emphasis"/>
          <w:rFonts w:cs="Arial"/>
          <w:i w:val="0"/>
          <w:lang w:val="en"/>
        </w:rPr>
        <w:t xml:space="preserve">historical figure or a work of fiction </w:t>
      </w:r>
      <w:r w:rsidR="00DB47A7" w:rsidRPr="003A6ACB">
        <w:rPr>
          <w:rStyle w:val="Emphasis"/>
          <w:rFonts w:cs="Arial"/>
          <w:i w:val="0"/>
          <w:lang w:val="en"/>
        </w:rPr>
        <w:t>to</w:t>
      </w:r>
      <w:r w:rsidR="00611775" w:rsidRPr="003A6ACB">
        <w:rPr>
          <w:rStyle w:val="Emphasis"/>
          <w:rFonts w:cs="Arial"/>
          <w:i w:val="0"/>
          <w:lang w:val="en"/>
        </w:rPr>
        <w:t xml:space="preserve"> describe the revolt</w:t>
      </w:r>
      <w:r w:rsidR="00A07994">
        <w:rPr>
          <w:rStyle w:val="Emphasis"/>
          <w:rFonts w:cs="Arial"/>
          <w:i w:val="0"/>
          <w:lang w:val="en"/>
        </w:rPr>
        <w:t xml:space="preserve"> and present an individual opinion of the writer and the society of that time</w:t>
      </w:r>
      <w:r w:rsidR="00611775" w:rsidRPr="003A6ACB">
        <w:rPr>
          <w:rStyle w:val="Emphasis"/>
          <w:rFonts w:cs="Arial"/>
          <w:i w:val="0"/>
          <w:lang w:val="en"/>
        </w:rPr>
        <w:t>.</w:t>
      </w:r>
      <w:r w:rsidR="00C704CA">
        <w:rPr>
          <w:rStyle w:val="Emphasis"/>
          <w:rFonts w:cs="Arial"/>
          <w:i w:val="0"/>
          <w:lang w:val="en"/>
        </w:rPr>
        <w:t xml:space="preserve"> Both literary and archaeological evidence will determine this and will investigate the likelihood of Boudicca being a real or fictional.</w:t>
      </w:r>
      <w:bookmarkStart w:id="0" w:name="_GoBack"/>
      <w:bookmarkEnd w:id="0"/>
    </w:p>
    <w:p w:rsidR="00DB47A7" w:rsidRPr="003A6ACB" w:rsidRDefault="005D70EB" w:rsidP="00DF1DA2">
      <w:pPr>
        <w:rPr>
          <w:rStyle w:val="Emphasis"/>
          <w:rFonts w:cs="Arial"/>
          <w:i w:val="0"/>
          <w:lang w:val="en"/>
        </w:rPr>
      </w:pPr>
      <w:r w:rsidRPr="003A6ACB">
        <w:rPr>
          <w:rStyle w:val="Emphasis"/>
          <w:rFonts w:cs="Arial"/>
          <w:i w:val="0"/>
          <w:lang w:val="en"/>
        </w:rPr>
        <w:t>The first thing that needs to be determined is</w:t>
      </w:r>
      <w:r w:rsidR="002D7498" w:rsidRPr="003A6ACB">
        <w:rPr>
          <w:rStyle w:val="Emphasis"/>
          <w:rFonts w:cs="Arial"/>
          <w:i w:val="0"/>
          <w:lang w:val="en"/>
        </w:rPr>
        <w:t xml:space="preserve"> whether there is any archaeological evidence that proves or disproves the existence of Boudicca. </w:t>
      </w:r>
      <w:r w:rsidR="006D38F6" w:rsidRPr="003A6ACB">
        <w:rPr>
          <w:rStyle w:val="Emphasis"/>
          <w:rFonts w:cs="Arial"/>
          <w:i w:val="0"/>
          <w:lang w:val="en"/>
        </w:rPr>
        <w:t xml:space="preserve">Despite the multiple literary accounts about her, there is almost nothing in the way of physical evidence that would prove </w:t>
      </w:r>
      <w:r w:rsidR="006757F1" w:rsidRPr="003A6ACB">
        <w:rPr>
          <w:rStyle w:val="Emphasis"/>
          <w:rFonts w:cs="Arial"/>
          <w:i w:val="0"/>
          <w:lang w:val="en"/>
        </w:rPr>
        <w:t>Boudicca’s</w:t>
      </w:r>
      <w:r w:rsidR="006D38F6" w:rsidRPr="003A6ACB">
        <w:rPr>
          <w:rStyle w:val="Emphasis"/>
          <w:rFonts w:cs="Arial"/>
          <w:i w:val="0"/>
          <w:lang w:val="en"/>
        </w:rPr>
        <w:t xml:space="preserve"> existence.</w:t>
      </w:r>
      <w:r w:rsidR="006757F1" w:rsidRPr="003A6ACB">
        <w:rPr>
          <w:rStyle w:val="Emphasis"/>
          <w:rFonts w:cs="Arial"/>
          <w:i w:val="0"/>
          <w:lang w:val="en"/>
        </w:rPr>
        <w:t xml:space="preserve"> Cassius Dio is the earliest writer who described her appearance,</w:t>
      </w:r>
      <w:r w:rsidR="00AC7D0A" w:rsidRPr="003A6ACB">
        <w:rPr>
          <w:rStyle w:val="Emphasis"/>
          <w:rFonts w:cs="Arial"/>
          <w:i w:val="0"/>
          <w:lang w:val="en"/>
        </w:rPr>
        <w:t xml:space="preserve"> from this,</w:t>
      </w:r>
      <w:r w:rsidR="006757F1" w:rsidRPr="003A6ACB">
        <w:rPr>
          <w:rStyle w:val="Emphasis"/>
          <w:rFonts w:cs="Arial"/>
          <w:i w:val="0"/>
          <w:lang w:val="en"/>
        </w:rPr>
        <w:t xml:space="preserve"> the only material possession that would have certainly survived is the “large golden necklace”</w:t>
      </w:r>
      <w:r w:rsidR="006757F1" w:rsidRPr="003A6ACB">
        <w:rPr>
          <w:rStyle w:val="FootnoteReference"/>
          <w:rFonts w:cs="Arial"/>
          <w:iCs/>
          <w:lang w:val="en"/>
        </w:rPr>
        <w:footnoteReference w:id="1"/>
      </w:r>
      <w:r w:rsidR="00AC7D0A" w:rsidRPr="003A6ACB">
        <w:rPr>
          <w:rStyle w:val="Emphasis"/>
          <w:rFonts w:cs="Arial"/>
          <w:i w:val="0"/>
          <w:lang w:val="en"/>
        </w:rPr>
        <w:t xml:space="preserve">. </w:t>
      </w:r>
      <w:r w:rsidR="006D2F7D" w:rsidRPr="003A6ACB">
        <w:rPr>
          <w:rStyle w:val="Emphasis"/>
          <w:rFonts w:cs="Arial"/>
          <w:i w:val="0"/>
          <w:lang w:val="en"/>
        </w:rPr>
        <w:t>The fact that as this description is not very detailed and cannot be proved as accurate, any necklace that is found around the area of Boudicca’s final battle can be thought of as hers.</w:t>
      </w:r>
      <w:r w:rsidR="00D350C4" w:rsidRPr="003A6ACB">
        <w:rPr>
          <w:rStyle w:val="Emphasis"/>
          <w:rFonts w:cs="Arial"/>
          <w:i w:val="0"/>
          <w:lang w:val="en"/>
        </w:rPr>
        <w:t xml:space="preserve"> </w:t>
      </w:r>
      <w:r w:rsidR="004F0DC6" w:rsidRPr="003A6ACB">
        <w:rPr>
          <w:rStyle w:val="Emphasis"/>
          <w:rFonts w:cs="Arial"/>
          <w:i w:val="0"/>
          <w:lang w:val="en"/>
        </w:rPr>
        <w:t>An example of this is a golden torque was found in Norfolk</w:t>
      </w:r>
      <w:r w:rsidR="004F0DC6" w:rsidRPr="003A6ACB">
        <w:rPr>
          <w:rStyle w:val="FootnoteReference"/>
          <w:rFonts w:cs="Arial"/>
          <w:iCs/>
          <w:lang w:val="en"/>
        </w:rPr>
        <w:footnoteReference w:id="2"/>
      </w:r>
      <w:r w:rsidR="004F0DC6" w:rsidRPr="003A6ACB">
        <w:rPr>
          <w:rStyle w:val="Emphasis"/>
          <w:rFonts w:cs="Arial"/>
          <w:i w:val="0"/>
          <w:lang w:val="en"/>
        </w:rPr>
        <w:t xml:space="preserve"> which is matching the status of a </w:t>
      </w:r>
      <w:r w:rsidR="00AC56AA" w:rsidRPr="003A6ACB">
        <w:rPr>
          <w:rStyle w:val="Emphasis"/>
          <w:rFonts w:cs="Arial"/>
          <w:i w:val="0"/>
          <w:lang w:val="en"/>
        </w:rPr>
        <w:t>higher-class</w:t>
      </w:r>
      <w:r w:rsidR="004F0DC6" w:rsidRPr="003A6ACB">
        <w:rPr>
          <w:rStyle w:val="Emphasis"/>
          <w:rFonts w:cs="Arial"/>
          <w:i w:val="0"/>
          <w:lang w:val="en"/>
        </w:rPr>
        <w:t xml:space="preserve"> </w:t>
      </w:r>
      <w:r w:rsidR="00AC56AA" w:rsidRPr="003A6ACB">
        <w:rPr>
          <w:rStyle w:val="Emphasis"/>
          <w:rFonts w:cs="Arial"/>
          <w:i w:val="0"/>
          <w:lang w:val="en"/>
        </w:rPr>
        <w:t>woman,</w:t>
      </w:r>
      <w:r w:rsidR="004F0DC6" w:rsidRPr="003A6ACB">
        <w:rPr>
          <w:rStyle w:val="Emphasis"/>
          <w:rFonts w:cs="Arial"/>
          <w:i w:val="0"/>
          <w:lang w:val="en"/>
        </w:rPr>
        <w:t xml:space="preserve"> so it cannot be discounted as belonging to Boudicca.</w:t>
      </w:r>
      <w:r w:rsidR="00AC56AA" w:rsidRPr="003A6ACB">
        <w:rPr>
          <w:rStyle w:val="Emphasis"/>
          <w:rFonts w:cs="Arial"/>
          <w:i w:val="0"/>
          <w:lang w:val="en"/>
        </w:rPr>
        <w:t xml:space="preserve"> As well as this there has been evidence to suggest that </w:t>
      </w:r>
      <w:r w:rsidR="00985D3D" w:rsidRPr="003A6ACB">
        <w:rPr>
          <w:rStyle w:val="Emphasis"/>
          <w:rFonts w:cs="Arial"/>
          <w:i w:val="0"/>
          <w:lang w:val="en"/>
        </w:rPr>
        <w:t>B</w:t>
      </w:r>
      <w:r w:rsidR="00AC56AA" w:rsidRPr="003A6ACB">
        <w:rPr>
          <w:rStyle w:val="Emphasis"/>
          <w:rFonts w:cs="Arial"/>
          <w:i w:val="0"/>
          <w:lang w:val="en"/>
        </w:rPr>
        <w:t xml:space="preserve">oudicca’s burial place is somewhere under London King’s cross station but even if remains were discovered, it would be difficult to </w:t>
      </w:r>
      <w:r w:rsidR="00985D3D" w:rsidRPr="003A6ACB">
        <w:rPr>
          <w:rStyle w:val="Emphasis"/>
          <w:rFonts w:cs="Arial"/>
          <w:i w:val="0"/>
          <w:lang w:val="en"/>
        </w:rPr>
        <w:t>confirm or deny the identity.</w:t>
      </w:r>
      <w:r w:rsidR="00985D3D" w:rsidRPr="003A6ACB">
        <w:rPr>
          <w:rStyle w:val="FootnoteReference"/>
          <w:rFonts w:cs="Arial"/>
          <w:iCs/>
          <w:lang w:val="en"/>
        </w:rPr>
        <w:footnoteReference w:id="3"/>
      </w:r>
      <w:r w:rsidR="00BA2590" w:rsidRPr="003A6ACB">
        <w:rPr>
          <w:rStyle w:val="Emphasis"/>
          <w:rFonts w:cs="Arial"/>
          <w:i w:val="0"/>
          <w:lang w:val="en"/>
        </w:rPr>
        <w:t xml:space="preserve"> It is also just as possible that there would be no body to find because her body may have been cleared away with the battle waste after the final confrontation.</w:t>
      </w:r>
      <w:r w:rsidR="00BA2590" w:rsidRPr="003A6ACB">
        <w:rPr>
          <w:rStyle w:val="FootnoteReference"/>
          <w:rFonts w:cs="Arial"/>
          <w:iCs/>
          <w:lang w:val="en"/>
        </w:rPr>
        <w:footnoteReference w:id="4"/>
      </w:r>
    </w:p>
    <w:p w:rsidR="0048311A" w:rsidRPr="003A6ACB" w:rsidRDefault="007C40A6" w:rsidP="00DF1DA2">
      <w:pPr>
        <w:rPr>
          <w:rStyle w:val="Emphasis"/>
          <w:rFonts w:cs="Arial"/>
          <w:i w:val="0"/>
          <w:lang w:val="en"/>
        </w:rPr>
      </w:pPr>
      <w:r w:rsidRPr="003A6ACB">
        <w:rPr>
          <w:rStyle w:val="Emphasis"/>
          <w:rFonts w:cs="Arial"/>
          <w:i w:val="0"/>
          <w:lang w:val="en"/>
        </w:rPr>
        <w:t>Despite the lack of Archaeological evidence of Boudicca as a person, there is plenty linking the revolt to the Iceni tribe, which is said to be the tribe which Boudicca led.</w:t>
      </w:r>
      <w:r w:rsidR="006A1C5B" w:rsidRPr="003A6ACB">
        <w:rPr>
          <w:rStyle w:val="Emphasis"/>
          <w:rFonts w:cs="Arial"/>
          <w:i w:val="0"/>
          <w:lang w:val="en"/>
        </w:rPr>
        <w:t xml:space="preserve"> There is evidence of early Roman silver plates on the edge of the Icenian territory.</w:t>
      </w:r>
      <w:r w:rsidR="006A1C5B" w:rsidRPr="003A6ACB">
        <w:rPr>
          <w:rStyle w:val="FootnoteReference"/>
          <w:rFonts w:cs="Arial"/>
          <w:iCs/>
          <w:lang w:val="en"/>
        </w:rPr>
        <w:footnoteReference w:id="5"/>
      </w:r>
      <w:r w:rsidR="006A1C5B" w:rsidRPr="003A6ACB">
        <w:rPr>
          <w:rStyle w:val="Emphasis"/>
          <w:rFonts w:cs="Arial"/>
          <w:i w:val="0"/>
          <w:lang w:val="en"/>
        </w:rPr>
        <w:t xml:space="preserve"> This could be viewed as loot stolen from the Romans and buried where it could not be recovered.</w:t>
      </w:r>
      <w:r w:rsidR="00E91E38">
        <w:rPr>
          <w:rStyle w:val="Emphasis"/>
          <w:rFonts w:cs="Arial"/>
          <w:i w:val="0"/>
          <w:lang w:val="en"/>
        </w:rPr>
        <w:t xml:space="preserve"> Another Artefact that was found was the head of a bronze statue of Claudius which was found in the river Alde which was also probably part of a loot.</w:t>
      </w:r>
      <w:r w:rsidR="00E91E38">
        <w:rPr>
          <w:rStyle w:val="FootnoteReference"/>
          <w:rFonts w:cs="Arial"/>
          <w:iCs/>
          <w:lang w:val="en"/>
        </w:rPr>
        <w:footnoteReference w:id="6"/>
      </w:r>
      <w:r w:rsidRPr="003A6ACB">
        <w:rPr>
          <w:rStyle w:val="Emphasis"/>
          <w:rFonts w:cs="Arial"/>
          <w:i w:val="0"/>
          <w:lang w:val="en"/>
        </w:rPr>
        <w:t xml:space="preserve"> </w:t>
      </w:r>
      <w:r w:rsidR="00AA2354" w:rsidRPr="003A6ACB">
        <w:rPr>
          <w:rStyle w:val="Emphasis"/>
          <w:rFonts w:cs="Arial"/>
          <w:i w:val="0"/>
          <w:lang w:val="en"/>
        </w:rPr>
        <w:t xml:space="preserve">Following the accounts written by Tacitus, the attacks on Camulodunum (Colchester) and Londinium (London) are backed up by evidence of violent destruction. For example, </w:t>
      </w:r>
      <w:r w:rsidR="00344E67" w:rsidRPr="003A6ACB">
        <w:rPr>
          <w:rStyle w:val="Emphasis"/>
          <w:rFonts w:cs="Arial"/>
          <w:i w:val="0"/>
          <w:lang w:val="en"/>
        </w:rPr>
        <w:t>there is the remains of a p</w:t>
      </w:r>
      <w:r w:rsidR="003E24A9" w:rsidRPr="003A6ACB">
        <w:rPr>
          <w:rStyle w:val="Emphasis"/>
          <w:rFonts w:cs="Arial"/>
          <w:i w:val="0"/>
          <w:lang w:val="en"/>
        </w:rPr>
        <w:t>odium</w:t>
      </w:r>
      <w:r w:rsidR="00344E67" w:rsidRPr="003A6ACB">
        <w:rPr>
          <w:rStyle w:val="Emphasis"/>
          <w:rFonts w:cs="Arial"/>
          <w:i w:val="0"/>
          <w:lang w:val="en"/>
        </w:rPr>
        <w:t xml:space="preserve"> that would have been part of the Roman temple in that area.</w:t>
      </w:r>
      <w:r w:rsidR="003E24A9" w:rsidRPr="003A6ACB">
        <w:rPr>
          <w:rStyle w:val="FootnoteReference"/>
          <w:rFonts w:cs="Arial"/>
          <w:iCs/>
          <w:lang w:val="en"/>
        </w:rPr>
        <w:footnoteReference w:id="7"/>
      </w:r>
      <w:r w:rsidR="00344E67" w:rsidRPr="003A6ACB">
        <w:rPr>
          <w:rStyle w:val="Emphasis"/>
          <w:rFonts w:cs="Arial"/>
          <w:i w:val="0"/>
          <w:lang w:val="en"/>
        </w:rPr>
        <w:t xml:space="preserve"> This corresponds with </w:t>
      </w:r>
      <w:r w:rsidR="003E24A9" w:rsidRPr="003A6ACB">
        <w:rPr>
          <w:rStyle w:val="Emphasis"/>
          <w:rFonts w:cs="Arial"/>
          <w:i w:val="0"/>
          <w:lang w:val="en"/>
        </w:rPr>
        <w:t>the early successes of the Britons as written by Tacitus and Dio. As well as this there is a burnt layer of soil about thirty feet beneath modern ground level.</w:t>
      </w:r>
      <w:r w:rsidR="003E24A9" w:rsidRPr="003A6ACB">
        <w:rPr>
          <w:rStyle w:val="FootnoteReference"/>
          <w:rFonts w:cs="Arial"/>
          <w:iCs/>
          <w:lang w:val="en"/>
        </w:rPr>
        <w:footnoteReference w:id="8"/>
      </w:r>
      <w:r w:rsidR="00316288" w:rsidRPr="003A6ACB">
        <w:rPr>
          <w:rStyle w:val="Emphasis"/>
          <w:rFonts w:cs="Arial"/>
          <w:i w:val="0"/>
          <w:lang w:val="en"/>
        </w:rPr>
        <w:t>These archaeological finds show that the chronology of the rebellion</w:t>
      </w:r>
      <w:r w:rsidR="006A1C5B" w:rsidRPr="003A6ACB">
        <w:rPr>
          <w:rStyle w:val="Emphasis"/>
          <w:rFonts w:cs="Arial"/>
          <w:i w:val="0"/>
          <w:lang w:val="en"/>
        </w:rPr>
        <w:t xml:space="preserve"> could</w:t>
      </w:r>
      <w:r w:rsidR="00316288" w:rsidRPr="003A6ACB">
        <w:rPr>
          <w:rStyle w:val="Emphasis"/>
          <w:rFonts w:cs="Arial"/>
          <w:i w:val="0"/>
          <w:lang w:val="en"/>
        </w:rPr>
        <w:t xml:space="preserve"> </w:t>
      </w:r>
      <w:r w:rsidR="006A1C5B" w:rsidRPr="003A6ACB">
        <w:rPr>
          <w:rStyle w:val="Emphasis"/>
          <w:rFonts w:cs="Arial"/>
          <w:i w:val="0"/>
          <w:lang w:val="en"/>
        </w:rPr>
        <w:t xml:space="preserve">be accurate, and that the Briton did in fact </w:t>
      </w:r>
      <w:r w:rsidR="005E2742" w:rsidRPr="003A6ACB">
        <w:rPr>
          <w:rStyle w:val="Emphasis"/>
          <w:rFonts w:cs="Arial"/>
          <w:i w:val="0"/>
          <w:lang w:val="en"/>
        </w:rPr>
        <w:t>revolt against</w:t>
      </w:r>
      <w:r w:rsidR="006A1C5B" w:rsidRPr="003A6ACB">
        <w:rPr>
          <w:rStyle w:val="Emphasis"/>
          <w:rFonts w:cs="Arial"/>
          <w:i w:val="0"/>
          <w:lang w:val="en"/>
        </w:rPr>
        <w:t xml:space="preserve"> the Roman occupants and the writings of those such as Tacitus did not use the rebellion itself as a tool to prove so called barbarous qualities of the Britons or showing sympathies towards them. </w:t>
      </w:r>
      <w:r w:rsidR="009D2239" w:rsidRPr="003A6ACB">
        <w:rPr>
          <w:rStyle w:val="Emphasis"/>
          <w:rFonts w:cs="Arial"/>
          <w:i w:val="0"/>
          <w:lang w:val="en"/>
        </w:rPr>
        <w:t xml:space="preserve">The </w:t>
      </w:r>
      <w:r w:rsidR="009D2239" w:rsidRPr="003A6ACB">
        <w:rPr>
          <w:rStyle w:val="Emphasis"/>
          <w:rFonts w:cs="Arial"/>
          <w:i w:val="0"/>
          <w:lang w:val="en"/>
        </w:rPr>
        <w:lastRenderedPageBreak/>
        <w:t>reality of Boudicca is still in question, although it cannot be discounted that the accuracy of the events that took place in the revolt corresponds to that of Boudicca.</w:t>
      </w:r>
    </w:p>
    <w:p w:rsidR="00EF386C" w:rsidRPr="003A6ACB" w:rsidRDefault="002E09B3" w:rsidP="00DF1DA2">
      <w:pPr>
        <w:rPr>
          <w:rStyle w:val="Emphasis"/>
          <w:rFonts w:cs="Arial"/>
          <w:i w:val="0"/>
          <w:lang w:val="en"/>
        </w:rPr>
      </w:pPr>
      <w:r w:rsidRPr="003A6ACB">
        <w:rPr>
          <w:rStyle w:val="Emphasis"/>
          <w:rFonts w:cs="Arial"/>
          <w:i w:val="0"/>
          <w:lang w:val="en"/>
        </w:rPr>
        <w:t xml:space="preserve">The writings of Tacitus and Cassius Dio do have some differences that can indicate that they do use the idea of Boudicca to present their opinions which shows her in a positive or negative way. in the case of </w:t>
      </w:r>
      <w:r w:rsidR="00371250" w:rsidRPr="003A6ACB">
        <w:rPr>
          <w:rStyle w:val="Emphasis"/>
          <w:rFonts w:cs="Arial"/>
          <w:i w:val="0"/>
          <w:lang w:val="en"/>
        </w:rPr>
        <w:t xml:space="preserve">Tacitus, who was born in AD55, was present during the rebellion so it can be concluded that </w:t>
      </w:r>
      <w:r w:rsidR="00670095" w:rsidRPr="003A6ACB">
        <w:rPr>
          <w:rStyle w:val="Emphasis"/>
          <w:rFonts w:cs="Arial"/>
          <w:i w:val="0"/>
          <w:lang w:val="en"/>
        </w:rPr>
        <w:t xml:space="preserve">he can be </w:t>
      </w:r>
      <w:r w:rsidR="00D6228A" w:rsidRPr="003A6ACB">
        <w:rPr>
          <w:rStyle w:val="Emphasis"/>
          <w:rFonts w:cs="Arial"/>
          <w:i w:val="0"/>
          <w:lang w:val="en"/>
        </w:rPr>
        <w:t>seen</w:t>
      </w:r>
      <w:r w:rsidR="00670095" w:rsidRPr="003A6ACB">
        <w:rPr>
          <w:rStyle w:val="Emphasis"/>
          <w:rFonts w:cs="Arial"/>
          <w:i w:val="0"/>
          <w:lang w:val="en"/>
        </w:rPr>
        <w:t xml:space="preserve"> as the more accurate source, compared to others such as Dio. </w:t>
      </w:r>
      <w:r w:rsidR="004F557F" w:rsidRPr="003A6ACB">
        <w:rPr>
          <w:rStyle w:val="Emphasis"/>
          <w:rFonts w:cs="Arial"/>
          <w:i w:val="0"/>
          <w:lang w:val="en"/>
        </w:rPr>
        <w:t xml:space="preserve">Because of the reign of Nero during this time, it can be stated that this influenced his opinions. It is known that </w:t>
      </w:r>
      <w:r w:rsidR="00192113" w:rsidRPr="003A6ACB">
        <w:rPr>
          <w:rStyle w:val="Emphasis"/>
          <w:rFonts w:cs="Arial"/>
          <w:i w:val="0"/>
          <w:lang w:val="en"/>
        </w:rPr>
        <w:t xml:space="preserve">he </w:t>
      </w:r>
      <w:r w:rsidR="006C0CFE" w:rsidRPr="003A6ACB">
        <w:rPr>
          <w:rStyle w:val="Emphasis"/>
          <w:rFonts w:cs="Arial"/>
          <w:i w:val="0"/>
          <w:lang w:val="en"/>
        </w:rPr>
        <w:t xml:space="preserve">Stylized Clodius Thrasea Paetus as </w:t>
      </w:r>
      <w:r w:rsidR="005670C1" w:rsidRPr="003A6ACB">
        <w:rPr>
          <w:rStyle w:val="Emphasis"/>
          <w:rFonts w:cs="Arial"/>
          <w:i w:val="0"/>
          <w:lang w:val="en"/>
        </w:rPr>
        <w:t>moral</w:t>
      </w:r>
      <w:r w:rsidR="005670C1" w:rsidRPr="003A6ACB">
        <w:rPr>
          <w:rStyle w:val="FootnoteReference"/>
          <w:rFonts w:cs="Arial"/>
          <w:iCs/>
          <w:lang w:val="en"/>
        </w:rPr>
        <w:footnoteReference w:id="9"/>
      </w:r>
      <w:r w:rsidR="005670C1" w:rsidRPr="003A6ACB">
        <w:rPr>
          <w:rStyle w:val="Emphasis"/>
          <w:rFonts w:cs="Arial"/>
          <w:i w:val="0"/>
          <w:lang w:val="en"/>
        </w:rPr>
        <w:t xml:space="preserve"> and, as he opposed Nero can show that he either agreed in some way or was accepting of those that were. </w:t>
      </w:r>
      <w:r w:rsidR="00ED6A8A" w:rsidRPr="003A6ACB">
        <w:rPr>
          <w:rStyle w:val="Emphasis"/>
          <w:rFonts w:cs="Arial"/>
          <w:i w:val="0"/>
          <w:lang w:val="en"/>
        </w:rPr>
        <w:t>This may be the reason that the Britons are described in a sympathetic sense. However</w:t>
      </w:r>
      <w:r w:rsidR="0069266C" w:rsidRPr="003A6ACB">
        <w:rPr>
          <w:rStyle w:val="Emphasis"/>
          <w:rFonts w:cs="Arial"/>
          <w:i w:val="0"/>
          <w:lang w:val="en"/>
        </w:rPr>
        <w:t>,</w:t>
      </w:r>
      <w:r w:rsidR="00ED6A8A" w:rsidRPr="003A6ACB">
        <w:rPr>
          <w:rStyle w:val="Emphasis"/>
          <w:rFonts w:cs="Arial"/>
          <w:i w:val="0"/>
          <w:lang w:val="en"/>
        </w:rPr>
        <w:t xml:space="preserve"> it is also said that he </w:t>
      </w:r>
      <w:r w:rsidR="0069266C" w:rsidRPr="003A6ACB">
        <w:rPr>
          <w:rStyle w:val="Emphasis"/>
          <w:rFonts w:cs="Arial"/>
          <w:i w:val="0"/>
          <w:lang w:val="en"/>
        </w:rPr>
        <w:t>was known to be ‘temperate’</w:t>
      </w:r>
      <w:r w:rsidR="0069266C" w:rsidRPr="003A6ACB">
        <w:rPr>
          <w:rStyle w:val="FootnoteReference"/>
          <w:rFonts w:cs="Arial"/>
          <w:iCs/>
          <w:lang w:val="en"/>
        </w:rPr>
        <w:footnoteReference w:id="10"/>
      </w:r>
      <w:r w:rsidR="0069266C" w:rsidRPr="003A6ACB">
        <w:rPr>
          <w:rStyle w:val="Emphasis"/>
          <w:rFonts w:cs="Arial"/>
          <w:i w:val="0"/>
          <w:lang w:val="en"/>
        </w:rPr>
        <w:t xml:space="preserve"> towards the emperor which can mean a myriad of things. </w:t>
      </w:r>
      <w:r w:rsidR="00941F17" w:rsidRPr="003A6ACB">
        <w:rPr>
          <w:rStyle w:val="Emphasis"/>
          <w:rFonts w:cs="Arial"/>
          <w:i w:val="0"/>
          <w:lang w:val="en"/>
        </w:rPr>
        <w:t xml:space="preserve">In contrast to this Cassius Dio was born around AD300, which would put his lifetime over two hundred years after the events of the </w:t>
      </w:r>
      <w:r w:rsidR="00CF6E65" w:rsidRPr="003A6ACB">
        <w:rPr>
          <w:rStyle w:val="Emphasis"/>
          <w:rFonts w:cs="Arial"/>
          <w:i w:val="0"/>
          <w:lang w:val="en"/>
        </w:rPr>
        <w:t>rebellion,</w:t>
      </w:r>
      <w:r w:rsidR="00941F17" w:rsidRPr="003A6ACB">
        <w:rPr>
          <w:rStyle w:val="Emphasis"/>
          <w:rFonts w:cs="Arial"/>
          <w:i w:val="0"/>
          <w:lang w:val="en"/>
        </w:rPr>
        <w:t xml:space="preserve"> so </w:t>
      </w:r>
      <w:r w:rsidR="00CF6E65" w:rsidRPr="003A6ACB">
        <w:rPr>
          <w:rStyle w:val="Emphasis"/>
          <w:rFonts w:cs="Arial"/>
          <w:i w:val="0"/>
          <w:lang w:val="en"/>
        </w:rPr>
        <w:t xml:space="preserve">his account cannot </w:t>
      </w:r>
      <w:r w:rsidR="00DE060F" w:rsidRPr="003A6ACB">
        <w:rPr>
          <w:rStyle w:val="Emphasis"/>
          <w:rFonts w:cs="Arial"/>
          <w:i w:val="0"/>
          <w:lang w:val="en"/>
        </w:rPr>
        <w:t>be</w:t>
      </w:r>
      <w:r w:rsidR="00CF6E65" w:rsidRPr="003A6ACB">
        <w:rPr>
          <w:rStyle w:val="Emphasis"/>
          <w:rFonts w:cs="Arial"/>
          <w:i w:val="0"/>
          <w:lang w:val="en"/>
        </w:rPr>
        <w:t xml:space="preserve"> accurate as that of Tacitus. It is also possible that </w:t>
      </w:r>
      <w:r w:rsidR="00DE060F" w:rsidRPr="003A6ACB">
        <w:rPr>
          <w:rStyle w:val="Emphasis"/>
          <w:rFonts w:cs="Arial"/>
          <w:i w:val="0"/>
          <w:lang w:val="en"/>
        </w:rPr>
        <w:t xml:space="preserve">his own political stand-point </w:t>
      </w:r>
      <w:r w:rsidR="00532871" w:rsidRPr="003A6ACB">
        <w:rPr>
          <w:rStyle w:val="Emphasis"/>
          <w:rFonts w:cs="Arial"/>
          <w:i w:val="0"/>
          <w:lang w:val="en"/>
        </w:rPr>
        <w:t>influenced him to present her in such a way to show this. The historical bias can be seen even in more modern authors so the omission or adding of certain factors is very possible.</w:t>
      </w:r>
    </w:p>
    <w:p w:rsidR="000B3D17" w:rsidRPr="003A6ACB" w:rsidRDefault="00237097" w:rsidP="00DF1DA2">
      <w:pPr>
        <w:rPr>
          <w:rStyle w:val="Emphasis"/>
          <w:rFonts w:cs="Arial"/>
          <w:i w:val="0"/>
          <w:lang w:val="en"/>
        </w:rPr>
      </w:pPr>
      <w:r w:rsidRPr="003A6ACB">
        <w:rPr>
          <w:rStyle w:val="Emphasis"/>
          <w:rFonts w:cs="Arial"/>
          <w:i w:val="0"/>
          <w:lang w:val="en"/>
        </w:rPr>
        <w:t xml:space="preserve">The content in </w:t>
      </w:r>
      <w:r w:rsidR="00812830" w:rsidRPr="003A6ACB">
        <w:rPr>
          <w:rStyle w:val="Emphasis"/>
          <w:rFonts w:cs="Arial"/>
          <w:i w:val="0"/>
          <w:lang w:val="en"/>
        </w:rPr>
        <w:t xml:space="preserve">the accounts of Tacitus have the impression that Boudicca was used as more of a literary tool than anything else, although it does not mean she didn’t exist, because there is no proper physical description of her. </w:t>
      </w:r>
      <w:r w:rsidR="005D09DD" w:rsidRPr="003A6ACB">
        <w:rPr>
          <w:rStyle w:val="Emphasis"/>
          <w:rFonts w:cs="Arial"/>
          <w:i w:val="0"/>
          <w:lang w:val="en"/>
        </w:rPr>
        <w:t xml:space="preserve">Boudicca represents the </w:t>
      </w:r>
      <w:r w:rsidR="00F223F3" w:rsidRPr="003A6ACB">
        <w:rPr>
          <w:rStyle w:val="Emphasis"/>
          <w:rFonts w:cs="Arial"/>
          <w:i w:val="0"/>
          <w:lang w:val="en"/>
        </w:rPr>
        <w:t>consensus</w:t>
      </w:r>
      <w:r w:rsidR="009F7600" w:rsidRPr="003A6ACB">
        <w:rPr>
          <w:rStyle w:val="Emphasis"/>
          <w:rFonts w:cs="Arial"/>
          <w:i w:val="0"/>
          <w:lang w:val="en"/>
        </w:rPr>
        <w:t xml:space="preserve"> of the British views of Rome. The unrest </w:t>
      </w:r>
      <w:r w:rsidR="00F223F3" w:rsidRPr="003A6ACB">
        <w:rPr>
          <w:rStyle w:val="Emphasis"/>
          <w:rFonts w:cs="Arial"/>
          <w:i w:val="0"/>
          <w:lang w:val="en"/>
        </w:rPr>
        <w:t xml:space="preserve">being shown through phrases such as </w:t>
      </w:r>
      <w:r w:rsidR="00D6228A" w:rsidRPr="003A6ACB">
        <w:rPr>
          <w:rStyle w:val="Emphasis"/>
          <w:rFonts w:cs="Arial"/>
          <w:i w:val="0"/>
          <w:lang w:val="en"/>
        </w:rPr>
        <w:t>“Roman lust has gone so far</w:t>
      </w:r>
      <w:r w:rsidR="000A4581" w:rsidRPr="003A6ACB">
        <w:rPr>
          <w:rStyle w:val="Emphasis"/>
          <w:rFonts w:cs="Arial"/>
          <w:i w:val="0"/>
          <w:lang w:val="en"/>
        </w:rPr>
        <w:t>”</w:t>
      </w:r>
      <w:r w:rsidR="000A4581" w:rsidRPr="003A6ACB">
        <w:rPr>
          <w:rStyle w:val="FootnoteReference"/>
          <w:rFonts w:cs="Arial"/>
          <w:iCs/>
          <w:lang w:val="en"/>
        </w:rPr>
        <w:footnoteReference w:id="11"/>
      </w:r>
      <w:r w:rsidR="00585FA1" w:rsidRPr="003A6ACB">
        <w:rPr>
          <w:rStyle w:val="Emphasis"/>
          <w:rFonts w:cs="Arial"/>
          <w:i w:val="0"/>
          <w:lang w:val="en"/>
        </w:rPr>
        <w:t xml:space="preserve"> which shows that, to the Britons at least, the Romans were taking advantage of the tribes and they were not going to stop. As well as this </w:t>
      </w:r>
      <w:r w:rsidR="00F95702" w:rsidRPr="003A6ACB">
        <w:rPr>
          <w:rStyle w:val="Emphasis"/>
          <w:rFonts w:cs="Arial"/>
          <w:i w:val="0"/>
          <w:lang w:val="en"/>
        </w:rPr>
        <w:t xml:space="preserve">the story of Boudicca is </w:t>
      </w:r>
      <w:r w:rsidR="00255077" w:rsidRPr="003A6ACB">
        <w:rPr>
          <w:rStyle w:val="Emphasis"/>
          <w:rFonts w:cs="Arial"/>
          <w:i w:val="0"/>
          <w:lang w:val="en"/>
        </w:rPr>
        <w:t>like</w:t>
      </w:r>
      <w:r w:rsidR="00F95702" w:rsidRPr="003A6ACB">
        <w:rPr>
          <w:rStyle w:val="Emphasis"/>
          <w:rFonts w:cs="Arial"/>
          <w:i w:val="0"/>
          <w:lang w:val="en"/>
        </w:rPr>
        <w:t xml:space="preserve"> that of </w:t>
      </w:r>
      <w:r w:rsidR="00255077" w:rsidRPr="003A6ACB">
        <w:rPr>
          <w:rStyle w:val="Emphasis"/>
          <w:rFonts w:cs="Arial"/>
          <w:i w:val="0"/>
          <w:lang w:val="en"/>
        </w:rPr>
        <w:t xml:space="preserve">Livy’s Lucretia and Brutus, </w:t>
      </w:r>
      <w:r w:rsidR="00506900" w:rsidRPr="003A6ACB">
        <w:rPr>
          <w:rStyle w:val="Emphasis"/>
          <w:rFonts w:cs="Arial"/>
          <w:i w:val="0"/>
          <w:lang w:val="en"/>
        </w:rPr>
        <w:t>this is shown by the parallel between the rape of Lucretia and that of Boudicca’s daughters</w:t>
      </w:r>
      <w:r w:rsidR="00613856" w:rsidRPr="003A6ACB">
        <w:rPr>
          <w:rStyle w:val="FootnoteReference"/>
          <w:rFonts w:cs="Arial"/>
          <w:iCs/>
          <w:lang w:val="en"/>
        </w:rPr>
        <w:footnoteReference w:id="12"/>
      </w:r>
      <w:r w:rsidR="00506900" w:rsidRPr="003A6ACB">
        <w:rPr>
          <w:rStyle w:val="Emphasis"/>
          <w:rFonts w:cs="Arial"/>
          <w:i w:val="0"/>
          <w:lang w:val="en"/>
        </w:rPr>
        <w:t>.</w:t>
      </w:r>
      <w:r w:rsidR="00076BCA" w:rsidRPr="003A6ACB">
        <w:rPr>
          <w:rStyle w:val="Emphasis"/>
          <w:rFonts w:cs="Arial"/>
          <w:i w:val="0"/>
          <w:lang w:val="en"/>
        </w:rPr>
        <w:t xml:space="preserve"> It is stated in Tacitus’ text that Boudicca’s daughters were presented “before her in a chariot”</w:t>
      </w:r>
      <w:r w:rsidR="00076BCA" w:rsidRPr="003A6ACB">
        <w:rPr>
          <w:rStyle w:val="FootnoteReference"/>
          <w:rFonts w:cs="Arial"/>
          <w:iCs/>
          <w:lang w:val="en"/>
        </w:rPr>
        <w:footnoteReference w:id="13"/>
      </w:r>
      <w:r w:rsidR="00076BCA" w:rsidRPr="003A6ACB">
        <w:rPr>
          <w:rStyle w:val="Emphasis"/>
          <w:rFonts w:cs="Arial"/>
          <w:i w:val="0"/>
          <w:lang w:val="en"/>
        </w:rPr>
        <w:t xml:space="preserve"> and spoke of the “tarnished honour of her daughters”</w:t>
      </w:r>
      <w:r w:rsidR="00076BCA" w:rsidRPr="003A6ACB">
        <w:rPr>
          <w:rStyle w:val="FootnoteReference"/>
          <w:rFonts w:cs="Arial"/>
          <w:iCs/>
          <w:lang w:val="en"/>
        </w:rPr>
        <w:footnoteReference w:id="14"/>
      </w:r>
      <w:r w:rsidR="000B3D17" w:rsidRPr="003A6ACB">
        <w:rPr>
          <w:rStyle w:val="Emphasis"/>
          <w:rFonts w:cs="Arial"/>
          <w:i w:val="0"/>
          <w:lang w:val="en"/>
        </w:rPr>
        <w:t>. This is similar to that of what happened to Lucretia, the main difference being that the speech to encourage the soldiers was given over her corpse, which is not the case with Boudicca’s daughters.</w:t>
      </w:r>
      <w:r w:rsidR="009855B7" w:rsidRPr="003A6ACB">
        <w:rPr>
          <w:rStyle w:val="Emphasis"/>
          <w:rFonts w:cs="Arial"/>
          <w:i w:val="0"/>
          <w:lang w:val="en"/>
        </w:rPr>
        <w:t xml:space="preserve"> Although, Boudicca’s daughters do not speak which means that they served a similar purpose in that they were victims without a voice.</w:t>
      </w:r>
      <w:r w:rsidR="000B3D17" w:rsidRPr="003A6ACB">
        <w:rPr>
          <w:rStyle w:val="Emphasis"/>
          <w:rFonts w:cs="Arial"/>
          <w:i w:val="0"/>
          <w:lang w:val="en"/>
        </w:rPr>
        <w:t xml:space="preserve"> </w:t>
      </w:r>
      <w:r w:rsidR="00A276F6" w:rsidRPr="003A6ACB">
        <w:rPr>
          <w:rStyle w:val="Emphasis"/>
          <w:rFonts w:cs="Arial"/>
          <w:i w:val="0"/>
          <w:lang w:val="en"/>
        </w:rPr>
        <w:t xml:space="preserve">In fact, it is possible that her daughters survived after Boudicca’s death as they are not mentioned again. However, using the assault of innocent women to rile up an army is a useful tool </w:t>
      </w:r>
      <w:r w:rsidR="0010405D" w:rsidRPr="003A6ACB">
        <w:rPr>
          <w:rStyle w:val="Emphasis"/>
          <w:rFonts w:cs="Arial"/>
          <w:i w:val="0"/>
          <w:lang w:val="en"/>
        </w:rPr>
        <w:t>because the showing of injustice is a way for people to want to take away the threat that could cause a similar circumstance.</w:t>
      </w:r>
      <w:r w:rsidR="009855B7" w:rsidRPr="003A6ACB">
        <w:rPr>
          <w:rStyle w:val="Emphasis"/>
          <w:rFonts w:cs="Arial"/>
          <w:i w:val="0"/>
          <w:lang w:val="en"/>
        </w:rPr>
        <w:t xml:space="preserve"> </w:t>
      </w:r>
      <w:r w:rsidR="00BB774A" w:rsidRPr="003A6ACB">
        <w:rPr>
          <w:rStyle w:val="Emphasis"/>
          <w:rFonts w:cs="Arial"/>
          <w:i w:val="0"/>
          <w:lang w:val="en"/>
        </w:rPr>
        <w:t xml:space="preserve">Boudicca, from Tacitus’ account is also compared to Cloelia. </w:t>
      </w:r>
      <w:r w:rsidR="008F4B50" w:rsidRPr="003A6ACB">
        <w:rPr>
          <w:rStyle w:val="Emphasis"/>
          <w:rFonts w:cs="Arial"/>
          <w:i w:val="0"/>
          <w:lang w:val="en"/>
        </w:rPr>
        <w:t xml:space="preserve">Cloelia is a female figure who </w:t>
      </w:r>
      <w:r w:rsidR="003D18F3" w:rsidRPr="003A6ACB">
        <w:rPr>
          <w:rStyle w:val="Emphasis"/>
          <w:rFonts w:cs="Arial"/>
          <w:i w:val="0"/>
          <w:lang w:val="en"/>
        </w:rPr>
        <w:t>escaped a hostage situation with a group of women from the Etruscan king</w:t>
      </w:r>
      <w:r w:rsidR="003C26F5" w:rsidRPr="003A6ACB">
        <w:rPr>
          <w:rStyle w:val="Emphasis"/>
          <w:rFonts w:cs="Arial"/>
          <w:i w:val="0"/>
          <w:lang w:val="en"/>
        </w:rPr>
        <w:t>.</w:t>
      </w:r>
      <w:r w:rsidR="003C26F5" w:rsidRPr="003A6ACB">
        <w:rPr>
          <w:rStyle w:val="FootnoteReference"/>
          <w:rFonts w:cs="Arial"/>
          <w:iCs/>
          <w:lang w:val="en"/>
        </w:rPr>
        <w:footnoteReference w:id="15"/>
      </w:r>
      <w:r w:rsidR="000255D0" w:rsidRPr="003A6ACB">
        <w:rPr>
          <w:rStyle w:val="Emphasis"/>
          <w:rFonts w:cs="Arial"/>
          <w:i w:val="0"/>
          <w:lang w:val="en"/>
        </w:rPr>
        <w:t xml:space="preserve"> The main similarity is that both Cloelia and Boudicca are women who survived and had some success in a battle situation. However, </w:t>
      </w:r>
      <w:r w:rsidR="00B802CD" w:rsidRPr="003A6ACB">
        <w:rPr>
          <w:rStyle w:val="Emphasis"/>
          <w:rFonts w:cs="Arial"/>
          <w:i w:val="0"/>
          <w:lang w:val="en"/>
        </w:rPr>
        <w:t>where Boudicca only has limited success and does die in the end</w:t>
      </w:r>
      <w:r w:rsidR="0066351B" w:rsidRPr="003A6ACB">
        <w:rPr>
          <w:rStyle w:val="Emphasis"/>
          <w:rFonts w:cs="Arial"/>
          <w:i w:val="0"/>
          <w:lang w:val="en"/>
        </w:rPr>
        <w:t xml:space="preserve">, though she is held in high regard </w:t>
      </w:r>
      <w:r w:rsidR="00B802CD" w:rsidRPr="003A6ACB">
        <w:rPr>
          <w:rStyle w:val="Emphasis"/>
          <w:rFonts w:cs="Arial"/>
          <w:i w:val="0"/>
          <w:lang w:val="en"/>
        </w:rPr>
        <w:t xml:space="preserve">and Cloelia </w:t>
      </w:r>
      <w:r w:rsidR="0066351B" w:rsidRPr="003A6ACB">
        <w:rPr>
          <w:rStyle w:val="Emphasis"/>
          <w:rFonts w:cs="Arial"/>
          <w:i w:val="0"/>
          <w:lang w:val="en"/>
        </w:rPr>
        <w:t xml:space="preserve">both </w:t>
      </w:r>
      <w:r w:rsidR="00B802CD" w:rsidRPr="003A6ACB">
        <w:rPr>
          <w:rStyle w:val="Emphasis"/>
          <w:rFonts w:cs="Arial"/>
          <w:i w:val="0"/>
          <w:lang w:val="en"/>
        </w:rPr>
        <w:t>survived and is admired</w:t>
      </w:r>
      <w:r w:rsidR="00B802CD" w:rsidRPr="003A6ACB">
        <w:rPr>
          <w:rStyle w:val="FootnoteReference"/>
          <w:rFonts w:cs="Arial"/>
          <w:iCs/>
          <w:lang w:val="en"/>
        </w:rPr>
        <w:footnoteReference w:id="16"/>
      </w:r>
      <w:r w:rsidR="0066351B" w:rsidRPr="003A6ACB">
        <w:rPr>
          <w:rStyle w:val="Emphasis"/>
          <w:rFonts w:cs="Arial"/>
          <w:i w:val="0"/>
          <w:lang w:val="en"/>
        </w:rPr>
        <w:t>.</w:t>
      </w:r>
      <w:r w:rsidR="00FC4D44" w:rsidRPr="003A6ACB">
        <w:rPr>
          <w:rStyle w:val="Emphasis"/>
          <w:rFonts w:cs="Arial"/>
          <w:i w:val="0"/>
          <w:lang w:val="en"/>
        </w:rPr>
        <w:t xml:space="preserve"> </w:t>
      </w:r>
      <w:r w:rsidR="000D73A4" w:rsidRPr="003A6ACB">
        <w:rPr>
          <w:rStyle w:val="Emphasis"/>
          <w:rFonts w:cs="Arial"/>
          <w:i w:val="0"/>
          <w:lang w:val="en"/>
        </w:rPr>
        <w:t xml:space="preserve">These similarities can indicate that </w:t>
      </w:r>
      <w:r w:rsidR="0040402D" w:rsidRPr="003A6ACB">
        <w:rPr>
          <w:rStyle w:val="Emphasis"/>
          <w:rFonts w:cs="Arial"/>
          <w:i w:val="0"/>
          <w:lang w:val="en"/>
        </w:rPr>
        <w:t>T</w:t>
      </w:r>
      <w:r w:rsidR="000D73A4" w:rsidRPr="003A6ACB">
        <w:rPr>
          <w:rStyle w:val="Emphasis"/>
          <w:rFonts w:cs="Arial"/>
          <w:i w:val="0"/>
          <w:lang w:val="en"/>
        </w:rPr>
        <w:t xml:space="preserve">acitus was trying to model his historical texts on that of Livy’s as he was very admired during that time and </w:t>
      </w:r>
      <w:r w:rsidR="0040402D" w:rsidRPr="003A6ACB">
        <w:rPr>
          <w:rStyle w:val="Emphasis"/>
          <w:rFonts w:cs="Arial"/>
          <w:i w:val="0"/>
          <w:lang w:val="en"/>
        </w:rPr>
        <w:t xml:space="preserve">he desired this. </w:t>
      </w:r>
      <w:r w:rsidR="00CE4417" w:rsidRPr="003A6ACB">
        <w:rPr>
          <w:rStyle w:val="Emphasis"/>
          <w:rFonts w:cs="Arial"/>
          <w:i w:val="0"/>
          <w:lang w:val="en"/>
        </w:rPr>
        <w:t xml:space="preserve">As well as this, in copying </w:t>
      </w:r>
      <w:r w:rsidR="004B4AA5" w:rsidRPr="003A6ACB">
        <w:rPr>
          <w:rStyle w:val="Emphasis"/>
          <w:rFonts w:cs="Arial"/>
          <w:i w:val="0"/>
          <w:lang w:val="en"/>
        </w:rPr>
        <w:t xml:space="preserve">Livy’s writings, it is possible that he </w:t>
      </w:r>
      <w:r w:rsidR="00E45CEC" w:rsidRPr="003A6ACB">
        <w:rPr>
          <w:rStyle w:val="Emphasis"/>
          <w:rFonts w:cs="Arial"/>
          <w:i w:val="0"/>
          <w:lang w:val="en"/>
        </w:rPr>
        <w:t>is exaggerating certain events in order to make the account more entertaining.</w:t>
      </w:r>
    </w:p>
    <w:p w:rsidR="00FE230D" w:rsidRDefault="00590A2C" w:rsidP="00F2795B">
      <w:pPr>
        <w:spacing w:after="120" w:line="240" w:lineRule="auto"/>
        <w:rPr>
          <w:rFonts w:eastAsia="Times New Roman" w:cstheme="majorBidi"/>
        </w:rPr>
      </w:pPr>
      <w:r w:rsidRPr="003A6ACB">
        <w:rPr>
          <w:rStyle w:val="Emphasis"/>
          <w:rFonts w:cs="Arial"/>
          <w:i w:val="0"/>
          <w:lang w:val="en"/>
        </w:rPr>
        <w:lastRenderedPageBreak/>
        <w:t xml:space="preserve">Whereas, </w:t>
      </w:r>
      <w:r w:rsidR="00F12028" w:rsidRPr="003A6ACB">
        <w:rPr>
          <w:rStyle w:val="Emphasis"/>
          <w:rFonts w:cs="Arial"/>
          <w:i w:val="0"/>
          <w:lang w:val="en"/>
        </w:rPr>
        <w:t xml:space="preserve">Cassius Dio </w:t>
      </w:r>
      <w:r w:rsidR="00650417" w:rsidRPr="003A6ACB">
        <w:rPr>
          <w:rStyle w:val="Emphasis"/>
          <w:rFonts w:cs="Arial"/>
          <w:i w:val="0"/>
          <w:lang w:val="en"/>
        </w:rPr>
        <w:t xml:space="preserve">presents Boudicca in a negative light </w:t>
      </w:r>
      <w:r w:rsidR="009655D8" w:rsidRPr="003A6ACB">
        <w:rPr>
          <w:rStyle w:val="Emphasis"/>
          <w:rFonts w:cs="Arial"/>
          <w:i w:val="0"/>
          <w:lang w:val="en"/>
        </w:rPr>
        <w:t>and makes her seem like someone a person should not admire rather than the alternative.</w:t>
      </w:r>
      <w:r w:rsidR="00746D0B" w:rsidRPr="003A6ACB">
        <w:rPr>
          <w:rStyle w:val="Emphasis"/>
          <w:rFonts w:cs="Arial"/>
          <w:i w:val="0"/>
          <w:lang w:val="en"/>
        </w:rPr>
        <w:t xml:space="preserve"> In his historical account, Boudicca makes anti-models out of other prominent female figures in history</w:t>
      </w:r>
      <w:r w:rsidR="00F2795B" w:rsidRPr="003A6ACB">
        <w:rPr>
          <w:rStyle w:val="Emphasis"/>
          <w:rFonts w:cs="Arial"/>
          <w:i w:val="0"/>
          <w:lang w:val="en"/>
        </w:rPr>
        <w:t xml:space="preserve"> along with the emperor Nero</w:t>
      </w:r>
      <w:r w:rsidR="00746D0B" w:rsidRPr="003A6ACB">
        <w:rPr>
          <w:rStyle w:val="Emphasis"/>
          <w:rFonts w:cs="Arial"/>
          <w:i w:val="0"/>
          <w:lang w:val="en"/>
        </w:rPr>
        <w:t>.</w:t>
      </w:r>
      <w:r w:rsidR="009A7E8D" w:rsidRPr="003A6ACB">
        <w:rPr>
          <w:rStyle w:val="FootnoteReference"/>
          <w:rFonts w:cs="Arial"/>
          <w:iCs/>
          <w:lang w:val="en"/>
        </w:rPr>
        <w:footnoteReference w:id="17"/>
      </w:r>
      <w:r w:rsidR="00AD4420" w:rsidRPr="003A6ACB">
        <w:rPr>
          <w:rStyle w:val="Emphasis"/>
          <w:rFonts w:cs="Arial"/>
          <w:i w:val="0"/>
          <w:lang w:val="en"/>
        </w:rPr>
        <w:t xml:space="preserve"> </w:t>
      </w:r>
      <w:r w:rsidR="00F2795B" w:rsidRPr="003A6ACB">
        <w:rPr>
          <w:rStyle w:val="Emphasis"/>
          <w:rFonts w:cs="Arial"/>
          <w:i w:val="0"/>
          <w:lang w:val="en"/>
        </w:rPr>
        <w:t xml:space="preserve"> In the speech that Boudicca gives before the last battle, it is said that </w:t>
      </w:r>
      <w:r w:rsidR="00F2795B" w:rsidRPr="003A6ACB">
        <w:rPr>
          <w:rFonts w:cstheme="majorBidi"/>
        </w:rPr>
        <w:t>“</w:t>
      </w:r>
      <w:r w:rsidR="00F2795B" w:rsidRPr="003A6ACB">
        <w:rPr>
          <w:rFonts w:eastAsia="Times New Roman" w:cstheme="majorBidi"/>
        </w:rPr>
        <w:t>much less over the Romans themselves as did Messalina once and afterwards Agrippina and now Nero (who, though in name a man, is in fact a woman, as is proved by his singing, lyre-playing and beautification of his person);”</w:t>
      </w:r>
      <w:r w:rsidR="00F2795B" w:rsidRPr="003A6ACB">
        <w:rPr>
          <w:rStyle w:val="FootnoteReference"/>
          <w:rFonts w:eastAsia="Times New Roman" w:cstheme="majorBidi"/>
        </w:rPr>
        <w:footnoteReference w:id="18"/>
      </w:r>
      <w:r w:rsidR="00A517DC" w:rsidRPr="003A6ACB">
        <w:rPr>
          <w:rFonts w:eastAsia="Times New Roman" w:cstheme="majorBidi"/>
        </w:rPr>
        <w:t xml:space="preserve">. </w:t>
      </w:r>
      <w:r w:rsidR="003A6ACB">
        <w:rPr>
          <w:rFonts w:eastAsia="Times New Roman" w:cstheme="majorBidi"/>
        </w:rPr>
        <w:t xml:space="preserve">Dio using this sort of statement shows Boudicca to be insulting not only a few historical figures but the Roman society. By using creative activities such as music </w:t>
      </w:r>
      <w:r w:rsidR="00423198">
        <w:rPr>
          <w:rFonts w:eastAsia="Times New Roman" w:cstheme="majorBidi"/>
        </w:rPr>
        <w:t>as a</w:t>
      </w:r>
      <w:r w:rsidR="006E5D68">
        <w:rPr>
          <w:rFonts w:eastAsia="Times New Roman" w:cstheme="majorBidi"/>
        </w:rPr>
        <w:t>n</w:t>
      </w:r>
      <w:r w:rsidR="00423198">
        <w:rPr>
          <w:rFonts w:eastAsia="Times New Roman" w:cstheme="majorBidi"/>
        </w:rPr>
        <w:t xml:space="preserve"> insult against a mans masculinity would show the Britons as uncultured and against many aspects of the Roman identity.</w:t>
      </w:r>
      <w:r w:rsidR="006E5D68">
        <w:rPr>
          <w:rFonts w:eastAsia="Times New Roman" w:cstheme="majorBidi"/>
        </w:rPr>
        <w:t xml:space="preserve"> This is further emphasised by the man who’s insulted is the emperor, so he should be seen as one of the most masculine in terms of occupation. As well as this</w:t>
      </w:r>
      <w:r w:rsidR="00846A3B">
        <w:rPr>
          <w:rFonts w:eastAsia="Times New Roman" w:cstheme="majorBidi"/>
        </w:rPr>
        <w:t xml:space="preserve">, </w:t>
      </w:r>
      <w:r w:rsidR="001F1DC3">
        <w:rPr>
          <w:rFonts w:eastAsia="Times New Roman" w:cstheme="majorBidi"/>
        </w:rPr>
        <w:t>in Dio’s account, Boudicca dies after “falling sick”</w:t>
      </w:r>
      <w:r w:rsidR="001F1DC3">
        <w:rPr>
          <w:rStyle w:val="FootnoteReference"/>
          <w:rFonts w:eastAsia="Times New Roman" w:cstheme="majorBidi"/>
        </w:rPr>
        <w:footnoteReference w:id="19"/>
      </w:r>
      <w:r w:rsidR="00076023">
        <w:rPr>
          <w:rFonts w:eastAsia="Times New Roman" w:cstheme="majorBidi"/>
        </w:rPr>
        <w:t xml:space="preserve"> instead of the suicide that is stated in Tacitus. This takes away from the impact of Boudicca’s death </w:t>
      </w:r>
      <w:r w:rsidR="00995A1F">
        <w:rPr>
          <w:rFonts w:eastAsia="Times New Roman" w:cstheme="majorBidi"/>
        </w:rPr>
        <w:t xml:space="preserve">and makes her seem weak compared to the strong military leader that you would expect from a rebellion. </w:t>
      </w:r>
      <w:r w:rsidR="00D70F08">
        <w:rPr>
          <w:rFonts w:eastAsia="Times New Roman" w:cstheme="majorBidi"/>
        </w:rPr>
        <w:t>It is also stated that she was given “a costly burial”</w:t>
      </w:r>
      <w:r w:rsidR="00D70F08">
        <w:rPr>
          <w:rStyle w:val="FootnoteReference"/>
          <w:rFonts w:eastAsia="Times New Roman" w:cstheme="majorBidi"/>
        </w:rPr>
        <w:footnoteReference w:id="20"/>
      </w:r>
      <w:r w:rsidR="00995A1F">
        <w:rPr>
          <w:rFonts w:eastAsia="Times New Roman" w:cstheme="majorBidi"/>
        </w:rPr>
        <w:t xml:space="preserve"> </w:t>
      </w:r>
      <w:r w:rsidR="005612E9">
        <w:rPr>
          <w:rFonts w:eastAsia="Times New Roman" w:cstheme="majorBidi"/>
        </w:rPr>
        <w:t>which both shows her social standing which</w:t>
      </w:r>
      <w:r w:rsidR="00872B1A">
        <w:rPr>
          <w:rFonts w:eastAsia="Times New Roman" w:cstheme="majorBidi"/>
        </w:rPr>
        <w:t>,</w:t>
      </w:r>
      <w:r w:rsidR="005612E9">
        <w:rPr>
          <w:rFonts w:eastAsia="Times New Roman" w:cstheme="majorBidi"/>
        </w:rPr>
        <w:t xml:space="preserve"> in the Roman ideology</w:t>
      </w:r>
      <w:r w:rsidR="00872B1A">
        <w:rPr>
          <w:rFonts w:eastAsia="Times New Roman" w:cstheme="majorBidi"/>
        </w:rPr>
        <w:t>,</w:t>
      </w:r>
      <w:r w:rsidR="005612E9">
        <w:rPr>
          <w:rFonts w:eastAsia="Times New Roman" w:cstheme="majorBidi"/>
        </w:rPr>
        <w:t xml:space="preserve"> </w:t>
      </w:r>
      <w:r w:rsidR="00872B1A">
        <w:rPr>
          <w:rFonts w:eastAsia="Times New Roman" w:cstheme="majorBidi"/>
        </w:rPr>
        <w:t>is illegitimate because according to her late husband Prasutagus’ will, his daughters and Nero are equal recipients of his land. Therefore, Boudicca was acting outside of her place.</w:t>
      </w:r>
      <w:r w:rsidR="00872B1A">
        <w:rPr>
          <w:rStyle w:val="FootnoteReference"/>
          <w:rFonts w:eastAsia="Times New Roman" w:cstheme="majorBidi"/>
        </w:rPr>
        <w:footnoteReference w:id="21"/>
      </w:r>
      <w:r w:rsidR="00872B1A">
        <w:rPr>
          <w:rFonts w:eastAsia="Times New Roman" w:cstheme="majorBidi"/>
        </w:rPr>
        <w:t xml:space="preserve">  </w:t>
      </w:r>
      <w:r w:rsidR="0093392D">
        <w:rPr>
          <w:rFonts w:eastAsia="Times New Roman" w:cstheme="majorBidi"/>
        </w:rPr>
        <w:t>Dio also uses the phrase “so much for the affairs in Britain”</w:t>
      </w:r>
      <w:r w:rsidR="0093392D">
        <w:rPr>
          <w:rStyle w:val="FootnoteReference"/>
          <w:rFonts w:eastAsia="Times New Roman" w:cstheme="majorBidi"/>
        </w:rPr>
        <w:footnoteReference w:id="22"/>
      </w:r>
      <w:r w:rsidR="00BF0A58">
        <w:rPr>
          <w:rFonts w:eastAsia="Times New Roman" w:cstheme="majorBidi"/>
        </w:rPr>
        <w:t xml:space="preserve"> which indicates that </w:t>
      </w:r>
      <w:r w:rsidR="00984B84">
        <w:rPr>
          <w:rFonts w:eastAsia="Times New Roman" w:cstheme="majorBidi"/>
        </w:rPr>
        <w:t xml:space="preserve">he views the attempt at a rebellion in Britain was a slight to Rome and the Britons as a society. This is also shown by </w:t>
      </w:r>
      <w:r w:rsidR="008247D2">
        <w:rPr>
          <w:rFonts w:eastAsia="Times New Roman" w:cstheme="majorBidi"/>
        </w:rPr>
        <w:t xml:space="preserve">him giving the impression that Boudicca uses supernatural means </w:t>
      </w:r>
      <w:r w:rsidR="0022125B">
        <w:rPr>
          <w:rFonts w:eastAsia="Times New Roman" w:cstheme="majorBidi"/>
        </w:rPr>
        <w:t>like divination</w:t>
      </w:r>
      <w:r w:rsidR="0022125B">
        <w:rPr>
          <w:rStyle w:val="FootnoteReference"/>
          <w:rFonts w:eastAsia="Times New Roman" w:cstheme="majorBidi"/>
        </w:rPr>
        <w:footnoteReference w:id="23"/>
      </w:r>
      <w:r w:rsidR="0022125B">
        <w:rPr>
          <w:rFonts w:eastAsia="Times New Roman" w:cstheme="majorBidi"/>
        </w:rPr>
        <w:t xml:space="preserve"> which </w:t>
      </w:r>
      <w:r w:rsidR="0046378F">
        <w:rPr>
          <w:rFonts w:eastAsia="Times New Roman" w:cstheme="majorBidi"/>
        </w:rPr>
        <w:t>both means that the battle with the Romans was not a fair fight and the use of ‘magic’ is untrustworthy to the Roman society.</w:t>
      </w:r>
    </w:p>
    <w:p w:rsidR="008C3413" w:rsidRDefault="00EF487E" w:rsidP="00F2795B">
      <w:pPr>
        <w:spacing w:after="120" w:line="240" w:lineRule="auto"/>
        <w:rPr>
          <w:rFonts w:cs="Helvetica"/>
          <w:lang w:val="en"/>
        </w:rPr>
      </w:pPr>
      <w:r>
        <w:rPr>
          <w:rFonts w:eastAsia="Times New Roman" w:cstheme="majorBidi"/>
        </w:rPr>
        <w:t>Though both ancient writers agree that Rome won the final confrontation against the Britons, they both differ over what happened to Britain after the fighting had ended.</w:t>
      </w:r>
      <w:r w:rsidR="00D56FA7">
        <w:rPr>
          <w:rFonts w:eastAsia="Times New Roman" w:cstheme="majorBidi"/>
        </w:rPr>
        <w:t xml:space="preserve"> In the case of Tacitus, it is stated that </w:t>
      </w:r>
      <w:r w:rsidR="00D56FA7" w:rsidRPr="00D56FA7">
        <w:rPr>
          <w:rFonts w:eastAsia="Times New Roman" w:cstheme="majorBidi"/>
        </w:rPr>
        <w:t>“</w:t>
      </w:r>
      <w:r w:rsidR="00D56FA7" w:rsidRPr="00D56FA7">
        <w:rPr>
          <w:rFonts w:cs="Helvetica"/>
          <w:lang w:val="en"/>
        </w:rPr>
        <w:t>the territory of every single state that had been disloyal or unreliable was laid to waste by fire and the sword."</w:t>
      </w:r>
      <w:r w:rsidR="00D56FA7">
        <w:rPr>
          <w:rStyle w:val="FootnoteReference"/>
          <w:rFonts w:cs="Helvetica"/>
          <w:lang w:val="en"/>
        </w:rPr>
        <w:footnoteReference w:id="24"/>
      </w:r>
      <w:r w:rsidR="006C7B83">
        <w:rPr>
          <w:rFonts w:cs="Helvetica"/>
          <w:lang w:val="en"/>
        </w:rPr>
        <w:t xml:space="preserve"> This would mean that the Iceni and their allies would have been razed to the ground </w:t>
      </w:r>
      <w:r w:rsidR="001E1A5E">
        <w:rPr>
          <w:rFonts w:cs="Helvetica"/>
          <w:lang w:val="en"/>
        </w:rPr>
        <w:t>because of the revolt which meant tha</w:t>
      </w:r>
      <w:r w:rsidR="00FE230D">
        <w:rPr>
          <w:rFonts w:cs="Helvetica"/>
          <w:lang w:val="en"/>
        </w:rPr>
        <w:t xml:space="preserve">t </w:t>
      </w:r>
      <w:r w:rsidR="00E64CE3">
        <w:rPr>
          <w:rFonts w:cs="Helvetica"/>
          <w:lang w:val="en"/>
        </w:rPr>
        <w:t>the Britons would have been punished severely for their actio</w:t>
      </w:r>
      <w:r w:rsidR="000721C9">
        <w:rPr>
          <w:rFonts w:cs="Helvetica"/>
          <w:lang w:val="en"/>
        </w:rPr>
        <w:t>ns.</w:t>
      </w:r>
      <w:r w:rsidR="009A0BF1">
        <w:rPr>
          <w:rFonts w:cs="Helvetica"/>
          <w:lang w:val="en"/>
        </w:rPr>
        <w:t xml:space="preserve"> However, it is unclear whether Tacitus recorded the whole story, </w:t>
      </w:r>
      <w:r w:rsidR="0079620F">
        <w:rPr>
          <w:rFonts w:cs="Helvetica"/>
          <w:lang w:val="en"/>
        </w:rPr>
        <w:t>Modern historians believe his writing style is “concise and selective”</w:t>
      </w:r>
      <w:r w:rsidR="0079620F">
        <w:rPr>
          <w:rStyle w:val="FootnoteReference"/>
          <w:rFonts w:cs="Helvetica"/>
          <w:lang w:val="en"/>
        </w:rPr>
        <w:footnoteReference w:id="25"/>
      </w:r>
      <w:r w:rsidR="00133F38">
        <w:rPr>
          <w:rFonts w:cs="Helvetica"/>
          <w:lang w:val="en"/>
        </w:rPr>
        <w:t xml:space="preserve"> which means that </w:t>
      </w:r>
      <w:r w:rsidR="00C56384">
        <w:rPr>
          <w:rFonts w:cs="Helvetica"/>
          <w:lang w:val="en"/>
        </w:rPr>
        <w:t>his description of the events would be more of a timeline than a full account of what happened. It has also been said that the section on Boudicca is “brief even for Tacitus”</w:t>
      </w:r>
      <w:r w:rsidR="00C56384">
        <w:rPr>
          <w:rStyle w:val="FootnoteReference"/>
          <w:rFonts w:cs="Helvetica"/>
          <w:lang w:val="en"/>
        </w:rPr>
        <w:footnoteReference w:id="26"/>
      </w:r>
      <w:r w:rsidR="00C56384">
        <w:rPr>
          <w:rFonts w:cs="Helvetica"/>
          <w:lang w:val="en"/>
        </w:rPr>
        <w:t xml:space="preserve"> </w:t>
      </w:r>
      <w:r w:rsidR="00625EB5">
        <w:rPr>
          <w:rFonts w:cs="Helvetica"/>
          <w:lang w:val="en"/>
        </w:rPr>
        <w:t xml:space="preserve">which could indicate that </w:t>
      </w:r>
      <w:r w:rsidR="000C6952">
        <w:rPr>
          <w:rFonts w:cs="Helvetica"/>
          <w:lang w:val="en"/>
        </w:rPr>
        <w:t>though he viewed Boudicca as significant, she was not as important as other male leaders.</w:t>
      </w:r>
    </w:p>
    <w:p w:rsidR="00EE2A99" w:rsidRDefault="00EE2A99" w:rsidP="00F2795B">
      <w:pPr>
        <w:spacing w:after="120" w:line="240" w:lineRule="auto"/>
        <w:rPr>
          <w:rFonts w:eastAsia="Times New Roman" w:cstheme="majorBidi"/>
        </w:rPr>
      </w:pPr>
      <w:r>
        <w:rPr>
          <w:rFonts w:eastAsia="Times New Roman" w:cstheme="majorBidi"/>
        </w:rPr>
        <w:t xml:space="preserve">In conclusion, there is not enough archaeological evidence to prove the existence of Boudicca </w:t>
      </w:r>
      <w:r w:rsidR="006622E6">
        <w:rPr>
          <w:rFonts w:eastAsia="Times New Roman" w:cstheme="majorBidi"/>
        </w:rPr>
        <w:t xml:space="preserve">though </w:t>
      </w:r>
      <w:r w:rsidR="004C5BBA">
        <w:rPr>
          <w:rFonts w:eastAsia="Times New Roman" w:cstheme="majorBidi"/>
        </w:rPr>
        <w:t>her being continually mentioned in ancient accounts as a strong figure may mean that she could be real because females were usually omitted from history, especially from battle situations.</w:t>
      </w:r>
      <w:r w:rsidR="00B92ECE">
        <w:rPr>
          <w:rFonts w:eastAsia="Times New Roman" w:cstheme="majorBidi"/>
        </w:rPr>
        <w:t xml:space="preserve"> Although, given the description of Boudicca’s appearance, she had masculine features like her height as well as </w:t>
      </w:r>
      <w:r w:rsidR="0064102B">
        <w:rPr>
          <w:rFonts w:eastAsia="Times New Roman" w:cstheme="majorBidi"/>
        </w:rPr>
        <w:t>the feminine in her hair being hip length</w:t>
      </w:r>
      <w:r w:rsidR="0064102B">
        <w:rPr>
          <w:rStyle w:val="FootnoteReference"/>
          <w:rFonts w:eastAsia="Times New Roman" w:cstheme="majorBidi"/>
        </w:rPr>
        <w:footnoteReference w:id="27"/>
      </w:r>
      <w:r w:rsidR="00CC2CD7">
        <w:rPr>
          <w:rFonts w:eastAsia="Times New Roman" w:cstheme="majorBidi"/>
        </w:rPr>
        <w:t xml:space="preserve"> which could be the compensation for the Britons military leader being a female causing so much damage to the roman settlements. This fact can be used to somewhat prove Boudicca’s existence because, pride was a significant part in the Roman identity and their troops being overrun by barbarians could be a source of shame </w:t>
      </w:r>
      <w:r w:rsidR="008C6D88">
        <w:rPr>
          <w:rFonts w:eastAsia="Times New Roman" w:cstheme="majorBidi"/>
        </w:rPr>
        <w:t xml:space="preserve">so presenting a woman at the forefront would add to this though </w:t>
      </w:r>
      <w:r w:rsidR="00DC20C6">
        <w:rPr>
          <w:rFonts w:eastAsia="Times New Roman" w:cstheme="majorBidi"/>
        </w:rPr>
        <w:t>the archaeology can easily disprove it.</w:t>
      </w:r>
      <w:r w:rsidR="008C6D88">
        <w:rPr>
          <w:rFonts w:eastAsia="Times New Roman" w:cstheme="majorBidi"/>
        </w:rPr>
        <w:t xml:space="preserve"> </w:t>
      </w:r>
      <w:r w:rsidR="00DC20C6">
        <w:rPr>
          <w:rFonts w:eastAsia="Times New Roman" w:cstheme="majorBidi"/>
        </w:rPr>
        <w:lastRenderedPageBreak/>
        <w:t xml:space="preserve">An example of this is </w:t>
      </w:r>
      <w:r w:rsidR="008C6D88">
        <w:rPr>
          <w:rFonts w:eastAsia="Times New Roman" w:cstheme="majorBidi"/>
        </w:rPr>
        <w:t>th</w:t>
      </w:r>
      <w:r w:rsidR="00841D10">
        <w:rPr>
          <w:rFonts w:eastAsia="Times New Roman" w:cstheme="majorBidi"/>
        </w:rPr>
        <w:t xml:space="preserve">at there </w:t>
      </w:r>
      <w:r w:rsidR="007840E5">
        <w:rPr>
          <w:rFonts w:eastAsia="Times New Roman" w:cstheme="majorBidi"/>
        </w:rPr>
        <w:t>are</w:t>
      </w:r>
      <w:r w:rsidR="00841D10">
        <w:rPr>
          <w:rFonts w:eastAsia="Times New Roman" w:cstheme="majorBidi"/>
        </w:rPr>
        <w:t xml:space="preserve"> the marks of destruction in places like London and Colchester</w:t>
      </w:r>
      <w:r w:rsidR="0065521D">
        <w:rPr>
          <w:rFonts w:eastAsia="Times New Roman" w:cstheme="majorBidi"/>
        </w:rPr>
        <w:t xml:space="preserve"> from this time</w:t>
      </w:r>
      <w:r w:rsidR="00886457">
        <w:rPr>
          <w:rFonts w:eastAsia="Times New Roman" w:cstheme="majorBidi"/>
        </w:rPr>
        <w:t xml:space="preserve"> which does show that there was some kind of revolt from that time</w:t>
      </w:r>
      <w:r w:rsidR="0065521D">
        <w:rPr>
          <w:rFonts w:eastAsia="Times New Roman" w:cstheme="majorBidi"/>
        </w:rPr>
        <w:t xml:space="preserve">. As well as this, </w:t>
      </w:r>
      <w:r w:rsidR="004A47BC">
        <w:rPr>
          <w:rFonts w:eastAsia="Times New Roman" w:cstheme="majorBidi"/>
        </w:rPr>
        <w:t xml:space="preserve">it is easy to conclude that </w:t>
      </w:r>
      <w:r w:rsidR="009C5BBC">
        <w:rPr>
          <w:rFonts w:eastAsia="Times New Roman" w:cstheme="majorBidi"/>
        </w:rPr>
        <w:t xml:space="preserve">the historical writers Cassius Dio and </w:t>
      </w:r>
      <w:r w:rsidR="00E85832">
        <w:rPr>
          <w:rFonts w:eastAsia="Times New Roman" w:cstheme="majorBidi"/>
        </w:rPr>
        <w:t xml:space="preserve">Tacitus had their own purposes for using Boudicca, </w:t>
      </w:r>
      <w:r w:rsidR="0045090C">
        <w:rPr>
          <w:rFonts w:eastAsia="Times New Roman" w:cstheme="majorBidi"/>
        </w:rPr>
        <w:t>T</w:t>
      </w:r>
      <w:r w:rsidR="00F17A4C">
        <w:rPr>
          <w:rFonts w:eastAsia="Times New Roman" w:cstheme="majorBidi"/>
        </w:rPr>
        <w:t xml:space="preserve">acitus wanting to show </w:t>
      </w:r>
      <w:r w:rsidR="0045090C">
        <w:rPr>
          <w:rFonts w:eastAsia="Times New Roman" w:cstheme="majorBidi"/>
        </w:rPr>
        <w:t>the troubles that the tribes like the Iceni faced and his</w:t>
      </w:r>
      <w:r w:rsidR="00F17A4C">
        <w:rPr>
          <w:rFonts w:eastAsia="Times New Roman" w:cstheme="majorBidi"/>
        </w:rPr>
        <w:t xml:space="preserve"> sympathies towards the Britons</w:t>
      </w:r>
      <w:r w:rsidR="0045090C">
        <w:rPr>
          <w:rFonts w:eastAsia="Times New Roman" w:cstheme="majorBidi"/>
        </w:rPr>
        <w:t xml:space="preserve">. His using the </w:t>
      </w:r>
      <w:r w:rsidR="00434F1C">
        <w:rPr>
          <w:rFonts w:eastAsia="Times New Roman" w:cstheme="majorBidi"/>
        </w:rPr>
        <w:t>writings of Livy about the rape of Lucretia to possibl</w:t>
      </w:r>
      <w:r w:rsidR="00B86FB0">
        <w:rPr>
          <w:rFonts w:eastAsia="Times New Roman" w:cstheme="majorBidi"/>
        </w:rPr>
        <w:t xml:space="preserve">y </w:t>
      </w:r>
      <w:r w:rsidR="00434F1C">
        <w:rPr>
          <w:rFonts w:eastAsia="Times New Roman" w:cstheme="majorBidi"/>
        </w:rPr>
        <w:t xml:space="preserve">influence </w:t>
      </w:r>
      <w:r w:rsidR="00B86FB0">
        <w:rPr>
          <w:rFonts w:eastAsia="Times New Roman" w:cstheme="majorBidi"/>
        </w:rPr>
        <w:t>the beating of Boudicca and the rape of her daughters to show the harsh treatment of the Britons.</w:t>
      </w:r>
      <w:r w:rsidR="005351F2">
        <w:rPr>
          <w:rFonts w:eastAsia="Times New Roman" w:cstheme="majorBidi"/>
        </w:rPr>
        <w:t xml:space="preserve"> </w:t>
      </w:r>
      <w:r w:rsidR="005351F2">
        <w:rPr>
          <w:rStyle w:val="FootnoteReference"/>
          <w:rFonts w:eastAsia="Times New Roman" w:cstheme="majorBidi"/>
        </w:rPr>
        <w:footnoteReference w:id="28"/>
      </w:r>
      <w:r w:rsidR="00DF175F">
        <w:rPr>
          <w:rFonts w:eastAsia="Times New Roman" w:cstheme="majorBidi"/>
        </w:rPr>
        <w:t xml:space="preserve"> Also, because Tacitus was around during the emperor Nero’s reign, it is also possible that he wanted to openly oppose Nero in a subtle way. It also must be stated that as Tacitus’ account was supposedly written around the time of the rebellion </w:t>
      </w:r>
      <w:r w:rsidR="00D73AE8">
        <w:rPr>
          <w:rFonts w:eastAsia="Times New Roman" w:cstheme="majorBidi"/>
        </w:rPr>
        <w:t xml:space="preserve">that it should be </w:t>
      </w:r>
      <w:r w:rsidR="00381E6F">
        <w:rPr>
          <w:rFonts w:eastAsia="Times New Roman" w:cstheme="majorBidi"/>
        </w:rPr>
        <w:t xml:space="preserve">very accurate, but because his section on Boudicca is not very detailed and he doesn’t include a physical description of her. This indicates that she was a literary tool because despite the dispute happening away from the capital of the empire, there would have been at least speculation of what she looked like. Cassius Dio uses Boudicca for almost the opposite reasons to Tacitus and </w:t>
      </w:r>
      <w:r w:rsidR="001677DD">
        <w:rPr>
          <w:rFonts w:eastAsia="Times New Roman" w:cstheme="majorBidi"/>
        </w:rPr>
        <w:t xml:space="preserve">this also shows that Boudicca was a work of fiction because there is quite a drastic change </w:t>
      </w:r>
      <w:r w:rsidR="00BF0877">
        <w:rPr>
          <w:rFonts w:eastAsia="Times New Roman" w:cstheme="majorBidi"/>
        </w:rPr>
        <w:t xml:space="preserve">in how she is presented. Overall, </w:t>
      </w:r>
      <w:r w:rsidR="00027C68">
        <w:rPr>
          <w:rFonts w:eastAsia="Times New Roman" w:cstheme="majorBidi"/>
        </w:rPr>
        <w:t xml:space="preserve">it is almost certain that Boudicca was primarily a literary tool </w:t>
      </w:r>
      <w:r w:rsidR="00A55AFD">
        <w:rPr>
          <w:rFonts w:eastAsia="Times New Roman" w:cstheme="majorBidi"/>
        </w:rPr>
        <w:t>although this is not to say that she didn’t exist at all.</w:t>
      </w:r>
      <w:r w:rsidR="00DF175F">
        <w:rPr>
          <w:rFonts w:eastAsia="Times New Roman" w:cstheme="majorBidi"/>
        </w:rPr>
        <w:t xml:space="preserve"> </w:t>
      </w:r>
    </w:p>
    <w:p w:rsidR="00CC2CD7" w:rsidRDefault="00CC2CD7" w:rsidP="00F2795B">
      <w:pPr>
        <w:spacing w:after="120" w:line="240" w:lineRule="auto"/>
        <w:rPr>
          <w:rFonts w:eastAsia="Times New Roman" w:cstheme="majorBidi"/>
        </w:rPr>
      </w:pPr>
    </w:p>
    <w:p w:rsidR="00CC2CD7" w:rsidRDefault="00CC2CD7" w:rsidP="00F2795B">
      <w:pPr>
        <w:spacing w:after="120" w:line="240" w:lineRule="auto"/>
        <w:rPr>
          <w:rFonts w:eastAsia="Times New Roman" w:cstheme="majorBidi"/>
        </w:rPr>
      </w:pPr>
    </w:p>
    <w:p w:rsidR="00CC2CD7" w:rsidRDefault="00CC2CD7" w:rsidP="00F2795B">
      <w:pPr>
        <w:spacing w:after="120" w:line="240" w:lineRule="auto"/>
        <w:rPr>
          <w:rFonts w:eastAsia="Times New Roman" w:cstheme="majorBidi"/>
        </w:rPr>
      </w:pPr>
    </w:p>
    <w:p w:rsidR="00DF175F" w:rsidRDefault="00DF175F" w:rsidP="00F2795B">
      <w:pPr>
        <w:spacing w:after="120" w:line="240" w:lineRule="auto"/>
        <w:rPr>
          <w:rFonts w:eastAsia="Times New Roman" w:cstheme="majorBidi"/>
          <w:sz w:val="24"/>
        </w:rPr>
      </w:pPr>
    </w:p>
    <w:p w:rsidR="00DF175F" w:rsidRDefault="00DF175F" w:rsidP="00F2795B">
      <w:pPr>
        <w:spacing w:after="120" w:line="240" w:lineRule="auto"/>
        <w:rPr>
          <w:rFonts w:eastAsia="Times New Roman" w:cstheme="majorBidi"/>
          <w:sz w:val="24"/>
        </w:rPr>
      </w:pPr>
    </w:p>
    <w:p w:rsidR="00DF175F" w:rsidRDefault="00DF175F" w:rsidP="00F2795B">
      <w:pPr>
        <w:spacing w:after="120" w:line="240" w:lineRule="auto"/>
        <w:rPr>
          <w:rFonts w:eastAsia="Times New Roman" w:cstheme="majorBidi"/>
          <w:sz w:val="24"/>
        </w:rPr>
      </w:pPr>
    </w:p>
    <w:p w:rsidR="00DF175F" w:rsidRDefault="00DF175F" w:rsidP="00F2795B">
      <w:pPr>
        <w:spacing w:after="120" w:line="240" w:lineRule="auto"/>
        <w:rPr>
          <w:rFonts w:eastAsia="Times New Roman" w:cstheme="majorBidi"/>
          <w:sz w:val="24"/>
        </w:rPr>
      </w:pPr>
    </w:p>
    <w:p w:rsidR="00DF175F" w:rsidRDefault="00DF175F" w:rsidP="00F2795B">
      <w:pPr>
        <w:spacing w:after="120" w:line="240" w:lineRule="auto"/>
        <w:rPr>
          <w:rFonts w:eastAsia="Times New Roman" w:cstheme="majorBidi"/>
          <w:sz w:val="24"/>
        </w:rPr>
      </w:pPr>
    </w:p>
    <w:p w:rsidR="00DF175F" w:rsidRDefault="00DF175F" w:rsidP="00F2795B">
      <w:pPr>
        <w:spacing w:after="120" w:line="240" w:lineRule="auto"/>
        <w:rPr>
          <w:rFonts w:eastAsia="Times New Roman" w:cstheme="majorBidi"/>
          <w:sz w:val="24"/>
        </w:rPr>
      </w:pPr>
    </w:p>
    <w:p w:rsidR="00DF175F" w:rsidRDefault="00DF175F" w:rsidP="00F2795B">
      <w:pPr>
        <w:spacing w:after="120" w:line="240" w:lineRule="auto"/>
        <w:rPr>
          <w:rFonts w:eastAsia="Times New Roman" w:cstheme="majorBidi"/>
          <w:sz w:val="24"/>
        </w:rPr>
      </w:pPr>
    </w:p>
    <w:p w:rsidR="00DF175F" w:rsidRDefault="00DF175F" w:rsidP="00F2795B">
      <w:pPr>
        <w:spacing w:after="120" w:line="240" w:lineRule="auto"/>
        <w:rPr>
          <w:rFonts w:eastAsia="Times New Roman" w:cstheme="majorBidi"/>
          <w:sz w:val="24"/>
        </w:rPr>
      </w:pPr>
    </w:p>
    <w:p w:rsidR="00DF175F" w:rsidRDefault="00DF175F" w:rsidP="00F2795B">
      <w:pPr>
        <w:spacing w:after="120" w:line="240" w:lineRule="auto"/>
        <w:rPr>
          <w:rFonts w:eastAsia="Times New Roman" w:cstheme="majorBidi"/>
          <w:sz w:val="24"/>
        </w:rPr>
      </w:pPr>
    </w:p>
    <w:p w:rsidR="00DF175F" w:rsidRDefault="00DF175F" w:rsidP="00F2795B">
      <w:pPr>
        <w:spacing w:after="120" w:line="240" w:lineRule="auto"/>
        <w:rPr>
          <w:rFonts w:eastAsia="Times New Roman" w:cstheme="majorBidi"/>
          <w:sz w:val="24"/>
        </w:rPr>
      </w:pPr>
    </w:p>
    <w:p w:rsidR="00DF175F" w:rsidRDefault="00DF175F" w:rsidP="00F2795B">
      <w:pPr>
        <w:spacing w:after="120" w:line="240" w:lineRule="auto"/>
        <w:rPr>
          <w:rFonts w:eastAsia="Times New Roman" w:cstheme="majorBidi"/>
          <w:sz w:val="24"/>
        </w:rPr>
      </w:pPr>
    </w:p>
    <w:p w:rsidR="00DF175F" w:rsidRDefault="00DF175F" w:rsidP="00F2795B">
      <w:pPr>
        <w:spacing w:after="120" w:line="240" w:lineRule="auto"/>
        <w:rPr>
          <w:rFonts w:eastAsia="Times New Roman" w:cstheme="majorBidi"/>
          <w:sz w:val="24"/>
        </w:rPr>
      </w:pPr>
    </w:p>
    <w:p w:rsidR="00DF175F" w:rsidRDefault="00DF175F" w:rsidP="00F2795B">
      <w:pPr>
        <w:spacing w:after="120" w:line="240" w:lineRule="auto"/>
        <w:rPr>
          <w:rFonts w:eastAsia="Times New Roman" w:cstheme="majorBidi"/>
          <w:sz w:val="24"/>
        </w:rPr>
      </w:pPr>
    </w:p>
    <w:p w:rsidR="00DF175F" w:rsidRDefault="00DF175F" w:rsidP="00F2795B">
      <w:pPr>
        <w:spacing w:after="120" w:line="240" w:lineRule="auto"/>
        <w:rPr>
          <w:rFonts w:eastAsia="Times New Roman" w:cstheme="majorBidi"/>
          <w:sz w:val="24"/>
        </w:rPr>
      </w:pPr>
    </w:p>
    <w:p w:rsidR="00DF175F" w:rsidRDefault="00DF175F" w:rsidP="00F2795B">
      <w:pPr>
        <w:spacing w:after="120" w:line="240" w:lineRule="auto"/>
        <w:rPr>
          <w:rFonts w:eastAsia="Times New Roman" w:cstheme="majorBidi"/>
          <w:sz w:val="24"/>
        </w:rPr>
      </w:pPr>
    </w:p>
    <w:p w:rsidR="00DF175F" w:rsidRDefault="00DF175F" w:rsidP="00F2795B">
      <w:pPr>
        <w:spacing w:after="120" w:line="240" w:lineRule="auto"/>
        <w:rPr>
          <w:rFonts w:eastAsia="Times New Roman" w:cstheme="majorBidi"/>
          <w:sz w:val="24"/>
        </w:rPr>
      </w:pPr>
    </w:p>
    <w:p w:rsidR="00DF175F" w:rsidRDefault="00DF175F" w:rsidP="00F2795B">
      <w:pPr>
        <w:spacing w:after="120" w:line="240" w:lineRule="auto"/>
        <w:rPr>
          <w:rFonts w:eastAsia="Times New Roman" w:cstheme="majorBidi"/>
          <w:sz w:val="24"/>
        </w:rPr>
      </w:pPr>
    </w:p>
    <w:p w:rsidR="00DF175F" w:rsidRDefault="00DF175F" w:rsidP="00F2795B">
      <w:pPr>
        <w:spacing w:after="120" w:line="240" w:lineRule="auto"/>
        <w:rPr>
          <w:rFonts w:eastAsia="Times New Roman" w:cstheme="majorBidi"/>
          <w:sz w:val="24"/>
        </w:rPr>
      </w:pPr>
    </w:p>
    <w:p w:rsidR="00DF175F" w:rsidRDefault="00DF175F" w:rsidP="00F2795B">
      <w:pPr>
        <w:spacing w:after="120" w:line="240" w:lineRule="auto"/>
        <w:rPr>
          <w:rFonts w:eastAsia="Times New Roman" w:cstheme="majorBidi"/>
          <w:sz w:val="24"/>
        </w:rPr>
      </w:pPr>
    </w:p>
    <w:p w:rsidR="00C02D39" w:rsidRDefault="00C02D39" w:rsidP="00F2795B">
      <w:pPr>
        <w:spacing w:after="120" w:line="240" w:lineRule="auto"/>
        <w:rPr>
          <w:rFonts w:eastAsia="Times New Roman" w:cstheme="majorBidi"/>
          <w:sz w:val="24"/>
        </w:rPr>
      </w:pPr>
    </w:p>
    <w:p w:rsidR="00CC2CD7" w:rsidRPr="00C02D39" w:rsidRDefault="00CC2CD7" w:rsidP="00F2795B">
      <w:pPr>
        <w:spacing w:after="120" w:line="240" w:lineRule="auto"/>
        <w:rPr>
          <w:rFonts w:eastAsia="Times New Roman" w:cstheme="majorBidi"/>
          <w:sz w:val="24"/>
          <w:u w:val="single"/>
        </w:rPr>
      </w:pPr>
      <w:r w:rsidRPr="00C02D39">
        <w:rPr>
          <w:rFonts w:eastAsia="Times New Roman" w:cstheme="majorBidi"/>
          <w:sz w:val="24"/>
          <w:u w:val="single"/>
        </w:rPr>
        <w:t>Bibliography</w:t>
      </w:r>
      <w:r w:rsidR="00C02D39" w:rsidRPr="00C02D39">
        <w:rPr>
          <w:rFonts w:eastAsia="Times New Roman" w:cstheme="majorBidi"/>
          <w:sz w:val="24"/>
          <w:u w:val="single"/>
        </w:rPr>
        <w:t>:</w:t>
      </w:r>
    </w:p>
    <w:p w:rsidR="0072459A" w:rsidRDefault="0072459A" w:rsidP="00F2795B">
      <w:pPr>
        <w:spacing w:after="120" w:line="240" w:lineRule="auto"/>
        <w:rPr>
          <w:rFonts w:eastAsia="Times New Roman" w:cstheme="majorBidi"/>
          <w:u w:val="single"/>
        </w:rPr>
      </w:pPr>
    </w:p>
    <w:p w:rsidR="00C02D39" w:rsidRPr="00C02D39" w:rsidRDefault="00C02D39" w:rsidP="00F2795B">
      <w:pPr>
        <w:spacing w:after="120" w:line="240" w:lineRule="auto"/>
        <w:rPr>
          <w:rFonts w:eastAsia="Times New Roman" w:cstheme="majorBidi"/>
          <w:u w:val="single"/>
        </w:rPr>
      </w:pPr>
      <w:r w:rsidRPr="00C02D39">
        <w:rPr>
          <w:rFonts w:eastAsia="Times New Roman" w:cstheme="majorBidi"/>
          <w:u w:val="single"/>
        </w:rPr>
        <w:t>Ancient writers:</w:t>
      </w:r>
    </w:p>
    <w:p w:rsidR="00811AE4" w:rsidRDefault="00811AE4" w:rsidP="00F2795B">
      <w:pPr>
        <w:spacing w:after="120" w:line="240" w:lineRule="auto"/>
        <w:rPr>
          <w:rFonts w:ascii="Segoe UI" w:hAnsi="Segoe UI" w:cs="Segoe UI"/>
          <w:color w:val="000000"/>
          <w:sz w:val="20"/>
          <w:szCs w:val="20"/>
        </w:rPr>
      </w:pPr>
      <w:r>
        <w:rPr>
          <w:rFonts w:ascii="Segoe UI" w:hAnsi="Segoe UI" w:cs="Segoe UI"/>
          <w:color w:val="000000"/>
          <w:sz w:val="20"/>
          <w:szCs w:val="20"/>
        </w:rPr>
        <w:t>Cassius Dio. Roman History. Book LXII. Earnest Cary and Herbert B. Foster (trans). 1914. Loeb. Available at https://www-loebclassics-com.ezproxy.uwtsd.ac.uk/search?q=Cassius+Dio.</w:t>
      </w:r>
    </w:p>
    <w:p w:rsidR="00811AE4" w:rsidRPr="00D6231C" w:rsidRDefault="00811AE4" w:rsidP="00F2795B">
      <w:pPr>
        <w:spacing w:after="120" w:line="240" w:lineRule="auto"/>
        <w:rPr>
          <w:rFonts w:eastAsia="Times New Roman" w:cstheme="majorBidi"/>
        </w:rPr>
      </w:pPr>
      <w:r>
        <w:rPr>
          <w:rFonts w:eastAsia="Times New Roman" w:cstheme="majorBidi"/>
        </w:rPr>
        <w:t xml:space="preserve">Tacitus. Annals. Book XIV chapter XXXI and XXXV. John Jackson (trans). 1931. Loeb. Available at </w:t>
      </w:r>
      <w:hyperlink r:id="rId7" w:history="1">
        <w:r w:rsidRPr="001C3A36">
          <w:rPr>
            <w:rStyle w:val="Hyperlink"/>
            <w:rFonts w:ascii="Segoe UI" w:hAnsi="Segoe UI" w:cs="Segoe UI"/>
            <w:sz w:val="20"/>
            <w:szCs w:val="20"/>
          </w:rPr>
          <w:t>https://www-loebclassics-com.ezproxy.uwtsd.ac.uk/view/tacitus-annals/1931/pb_LCL322.165.xml?rskey=fQT2jP&amp;result=2</w:t>
        </w:r>
      </w:hyperlink>
    </w:p>
    <w:p w:rsidR="0072459A" w:rsidRDefault="0072459A" w:rsidP="00F2795B">
      <w:pPr>
        <w:spacing w:after="120" w:line="240" w:lineRule="auto"/>
        <w:rPr>
          <w:rFonts w:eastAsia="Times New Roman" w:cstheme="majorBidi"/>
        </w:rPr>
      </w:pPr>
    </w:p>
    <w:p w:rsidR="00C02D39" w:rsidRDefault="00C02D39" w:rsidP="00F2795B">
      <w:pPr>
        <w:spacing w:after="120" w:line="240" w:lineRule="auto"/>
        <w:rPr>
          <w:rFonts w:eastAsia="Times New Roman" w:cstheme="majorBidi"/>
          <w:u w:val="single"/>
        </w:rPr>
      </w:pPr>
      <w:r w:rsidRPr="00C02D39">
        <w:rPr>
          <w:rFonts w:eastAsia="Times New Roman" w:cstheme="majorBidi"/>
          <w:u w:val="single"/>
        </w:rPr>
        <w:t>Modern scholarship:</w:t>
      </w:r>
    </w:p>
    <w:p w:rsidR="00453683" w:rsidRDefault="00453683" w:rsidP="00F2795B">
      <w:pPr>
        <w:spacing w:after="120" w:line="240" w:lineRule="auto"/>
        <w:rPr>
          <w:rFonts w:eastAsia="Times New Roman" w:cstheme="majorBidi"/>
        </w:rPr>
      </w:pPr>
      <w:r>
        <w:rPr>
          <w:rFonts w:eastAsia="Times New Roman" w:cstheme="majorBidi"/>
        </w:rPr>
        <w:t>Textbooks:</w:t>
      </w:r>
    </w:p>
    <w:p w:rsidR="00AE2F8C" w:rsidRPr="00AE2F8C" w:rsidRDefault="00AE2F8C" w:rsidP="00F2795B">
      <w:pPr>
        <w:spacing w:after="120" w:line="240" w:lineRule="auto"/>
        <w:rPr>
          <w:rFonts w:eastAsia="Times New Roman" w:cstheme="majorBidi"/>
        </w:rPr>
      </w:pPr>
      <w:r>
        <w:rPr>
          <w:rFonts w:eastAsia="Times New Roman" w:cstheme="majorBidi"/>
        </w:rPr>
        <w:t xml:space="preserve">Salway, P. 1981. </w:t>
      </w:r>
      <w:r>
        <w:rPr>
          <w:rFonts w:eastAsia="Times New Roman" w:cstheme="majorBidi"/>
          <w:i/>
        </w:rPr>
        <w:t xml:space="preserve">Roman Britain. </w:t>
      </w:r>
      <w:r>
        <w:rPr>
          <w:rFonts w:eastAsia="Times New Roman" w:cstheme="majorBidi"/>
        </w:rPr>
        <w:t>Oxford. Oxford University Press.</w:t>
      </w:r>
    </w:p>
    <w:p w:rsidR="00453683" w:rsidRDefault="00975DAD" w:rsidP="00F2795B">
      <w:pPr>
        <w:spacing w:after="120" w:line="240" w:lineRule="auto"/>
        <w:rPr>
          <w:rFonts w:eastAsia="Times New Roman" w:cstheme="majorBidi"/>
        </w:rPr>
      </w:pPr>
      <w:r>
        <w:rPr>
          <w:rFonts w:eastAsia="Times New Roman" w:cstheme="majorBidi"/>
        </w:rPr>
        <w:t xml:space="preserve">Webster, G. 1978. </w:t>
      </w:r>
      <w:r w:rsidR="00327BC2">
        <w:rPr>
          <w:rFonts w:eastAsia="Times New Roman" w:cstheme="majorBidi"/>
          <w:i/>
        </w:rPr>
        <w:t>Boudicca</w:t>
      </w:r>
      <w:r w:rsidR="00AE2F8C">
        <w:rPr>
          <w:rFonts w:eastAsia="Times New Roman" w:cstheme="majorBidi"/>
          <w:i/>
        </w:rPr>
        <w:t xml:space="preserve">; The British Revolt against Rome AD60. </w:t>
      </w:r>
      <w:r w:rsidR="00AE2F8C">
        <w:rPr>
          <w:rFonts w:eastAsia="Times New Roman" w:cstheme="majorBidi"/>
        </w:rPr>
        <w:t>London. B.T. Batsford LTD.</w:t>
      </w:r>
    </w:p>
    <w:p w:rsidR="00453683" w:rsidRPr="00453683" w:rsidRDefault="00453683" w:rsidP="00F2795B">
      <w:pPr>
        <w:spacing w:after="120" w:line="240" w:lineRule="auto"/>
        <w:rPr>
          <w:rFonts w:eastAsia="Times New Roman" w:cstheme="majorBidi"/>
        </w:rPr>
      </w:pPr>
      <w:r w:rsidRPr="00453683">
        <w:rPr>
          <w:rFonts w:eastAsia="Times New Roman" w:cstheme="majorBidi"/>
        </w:rPr>
        <w:t>E-journals:</w:t>
      </w:r>
    </w:p>
    <w:p w:rsidR="00690B60" w:rsidRPr="00690B60" w:rsidRDefault="00690B60" w:rsidP="00C02D39">
      <w:pPr>
        <w:rPr>
          <w:rStyle w:val="exldetailsdisplayval"/>
          <w:rFonts w:cs="Arial"/>
          <w:sz w:val="24"/>
          <w:szCs w:val="24"/>
        </w:rPr>
      </w:pPr>
      <w:r w:rsidRPr="00690B60">
        <w:rPr>
          <w:rStyle w:val="Emphasis"/>
          <w:rFonts w:cs="Arial"/>
          <w:i w:val="0"/>
          <w:sz w:val="24"/>
          <w:szCs w:val="24"/>
          <w:lang w:val="en"/>
        </w:rPr>
        <w:t xml:space="preserve">Christoph, M. Bulst. 1961. The Revolt of Queen Boudicca in A.D.60. </w:t>
      </w:r>
      <w:r w:rsidRPr="00690B60">
        <w:rPr>
          <w:rStyle w:val="exldetailsdisplayval"/>
          <w:rFonts w:cs="Arial"/>
          <w:i/>
          <w:sz w:val="24"/>
          <w:szCs w:val="24"/>
        </w:rPr>
        <w:t>Historia: Zeitschrift für Alte Geschichte, October, Vol.10(4), pp.496-509.</w:t>
      </w:r>
      <w:r w:rsidRPr="00690B60">
        <w:rPr>
          <w:rStyle w:val="exldetailsdisplayval"/>
          <w:rFonts w:cs="Arial"/>
          <w:sz w:val="24"/>
          <w:szCs w:val="24"/>
        </w:rPr>
        <w:t xml:space="preserve"> Available at </w:t>
      </w:r>
      <w:hyperlink r:id="rId8" w:history="1">
        <w:r w:rsidRPr="00690B60">
          <w:rPr>
            <w:rStyle w:val="Hyperlink"/>
            <w:rFonts w:cs="Arial"/>
            <w:color w:val="auto"/>
            <w:sz w:val="24"/>
            <w:szCs w:val="24"/>
          </w:rPr>
          <w:t>http://www.jstor.org/stable/4434717</w:t>
        </w:r>
      </w:hyperlink>
      <w:r w:rsidRPr="00690B60">
        <w:rPr>
          <w:rStyle w:val="exldetailsdisplayval"/>
          <w:rFonts w:cs="Arial"/>
          <w:sz w:val="24"/>
          <w:szCs w:val="24"/>
        </w:rPr>
        <w:t xml:space="preserve"> [Accessed: 10/11/17]</w:t>
      </w:r>
    </w:p>
    <w:p w:rsidR="00690B60" w:rsidRPr="00690B60" w:rsidRDefault="00690B60" w:rsidP="00C02D39">
      <w:pPr>
        <w:rPr>
          <w:rStyle w:val="subjectfield-postprocessinghook"/>
          <w:sz w:val="24"/>
          <w:szCs w:val="24"/>
          <w:lang w:val="en"/>
        </w:rPr>
      </w:pPr>
      <w:r w:rsidRPr="00690B60">
        <w:rPr>
          <w:rFonts w:cs="Segoe UI"/>
          <w:sz w:val="24"/>
          <w:szCs w:val="24"/>
        </w:rPr>
        <w:t>Dudley, D R. The Rebellion of Boudicca</w:t>
      </w:r>
      <w:r w:rsidRPr="00690B60">
        <w:rPr>
          <w:rFonts w:cs="Segoe UI"/>
          <w:i/>
          <w:sz w:val="24"/>
          <w:szCs w:val="24"/>
        </w:rPr>
        <w:t xml:space="preserve">. History Today; London. History today LTD. Vol 10, Issue 6. </w:t>
      </w:r>
      <w:r w:rsidRPr="00690B60">
        <w:rPr>
          <w:rFonts w:cs="Segoe UI"/>
          <w:sz w:val="24"/>
          <w:szCs w:val="24"/>
        </w:rPr>
        <w:t xml:space="preserve">Available at </w:t>
      </w:r>
      <w:hyperlink r:id="rId9" w:history="1">
        <w:r w:rsidRPr="00690B60">
          <w:rPr>
            <w:rStyle w:val="Hyperlink"/>
            <w:color w:val="auto"/>
            <w:sz w:val="24"/>
            <w:szCs w:val="24"/>
            <w:lang w:val="en"/>
          </w:rPr>
          <w:t>https://search.proquest.com/docview/1299022622?accountid=130472</w:t>
        </w:r>
      </w:hyperlink>
      <w:r w:rsidRPr="00690B60">
        <w:rPr>
          <w:rStyle w:val="subjectfield-postprocessinghook"/>
          <w:sz w:val="24"/>
          <w:szCs w:val="24"/>
          <w:lang w:val="en"/>
        </w:rPr>
        <w:t>. [Accessed: 11/11/17]</w:t>
      </w:r>
    </w:p>
    <w:p w:rsidR="00690B60" w:rsidRPr="00690B60" w:rsidRDefault="00690B60" w:rsidP="00C02D39">
      <w:pPr>
        <w:rPr>
          <w:rStyle w:val="subjectfield-postprocessinghook"/>
          <w:lang w:val="en"/>
        </w:rPr>
      </w:pPr>
      <w:r w:rsidRPr="00690B60">
        <w:rPr>
          <w:rStyle w:val="subjectfield-postprocessinghook"/>
          <w:sz w:val="24"/>
          <w:szCs w:val="24"/>
          <w:lang w:val="en"/>
        </w:rPr>
        <w:t xml:space="preserve">Gillespie, C. 2015. </w:t>
      </w:r>
      <w:r w:rsidRPr="00690B60">
        <w:rPr>
          <w:rStyle w:val="Emphasis"/>
          <w:rFonts w:cs="Arial"/>
          <w:i w:val="0"/>
          <w:sz w:val="24"/>
          <w:szCs w:val="24"/>
          <w:lang w:val="en"/>
        </w:rPr>
        <w:t xml:space="preserve">The wolf and Hare: Boudica’s political bodies in Tacitus and Dio. </w:t>
      </w:r>
      <w:r w:rsidRPr="00690B60">
        <w:rPr>
          <w:rStyle w:val="Emphasis"/>
          <w:rFonts w:cs="Arial"/>
          <w:sz w:val="24"/>
          <w:szCs w:val="24"/>
          <w:lang w:val="en"/>
        </w:rPr>
        <w:t>The Classical Journal; New York. Vol.108, Issue.3.</w:t>
      </w:r>
      <w:r w:rsidRPr="00690B60">
        <w:rPr>
          <w:rStyle w:val="Emphasis"/>
          <w:rFonts w:cs="Arial"/>
          <w:i w:val="0"/>
          <w:sz w:val="24"/>
          <w:szCs w:val="24"/>
          <w:lang w:val="en"/>
        </w:rPr>
        <w:t xml:space="preserve"> John Hopkins University Press, New York. Available at </w:t>
      </w:r>
      <w:r w:rsidR="007840E5" w:rsidRPr="00690B60">
        <w:rPr>
          <w:rStyle w:val="subjectfield-postprocessinghook"/>
          <w:lang w:val="en"/>
        </w:rPr>
        <w:t>https://search.proquest.com/docview/1689626213?accountid=130472 [</w:t>
      </w:r>
      <w:r w:rsidRPr="00690B60">
        <w:rPr>
          <w:rStyle w:val="subjectfield-postprocessinghook"/>
          <w:lang w:val="en"/>
        </w:rPr>
        <w:t>Accessed: 11/11/17]</w:t>
      </w:r>
    </w:p>
    <w:p w:rsidR="00690B60" w:rsidRPr="00690B60" w:rsidRDefault="00690B60" w:rsidP="00C02D39">
      <w:pPr>
        <w:rPr>
          <w:rFonts w:ascii="Segoe UI" w:hAnsi="Segoe UI" w:cs="Segoe UI"/>
          <w:sz w:val="24"/>
          <w:szCs w:val="24"/>
        </w:rPr>
      </w:pPr>
      <w:r w:rsidRPr="00690B60">
        <w:rPr>
          <w:rStyle w:val="Emphasis"/>
          <w:rFonts w:cs="Arial"/>
          <w:i w:val="0"/>
          <w:sz w:val="24"/>
          <w:szCs w:val="24"/>
          <w:lang w:val="en"/>
        </w:rPr>
        <w:t xml:space="preserve">Lobell, J A. and Powell, E A. 2013. In Search </w:t>
      </w:r>
      <w:r w:rsidR="007840E5" w:rsidRPr="00690B60">
        <w:rPr>
          <w:rStyle w:val="Emphasis"/>
          <w:rFonts w:cs="Arial"/>
          <w:i w:val="0"/>
          <w:sz w:val="24"/>
          <w:szCs w:val="24"/>
          <w:lang w:val="en"/>
        </w:rPr>
        <w:t>of</w:t>
      </w:r>
      <w:r w:rsidRPr="00690B60">
        <w:rPr>
          <w:rStyle w:val="Emphasis"/>
          <w:rFonts w:cs="Arial"/>
          <w:i w:val="0"/>
          <w:sz w:val="24"/>
          <w:szCs w:val="24"/>
          <w:lang w:val="en"/>
        </w:rPr>
        <w:t xml:space="preserve"> History’s Greatest Rulers. </w:t>
      </w:r>
      <w:r w:rsidRPr="00690B60">
        <w:rPr>
          <w:rStyle w:val="Emphasis"/>
          <w:rFonts w:cs="Arial"/>
          <w:sz w:val="24"/>
          <w:szCs w:val="24"/>
          <w:lang w:val="en"/>
        </w:rPr>
        <w:t>Archaeology, Vol 66 issue 4</w:t>
      </w:r>
      <w:r w:rsidRPr="00690B60">
        <w:rPr>
          <w:rStyle w:val="Emphasis"/>
          <w:rFonts w:cs="Arial"/>
          <w:i w:val="0"/>
          <w:sz w:val="24"/>
          <w:szCs w:val="24"/>
          <w:lang w:val="en"/>
        </w:rPr>
        <w:t xml:space="preserve">. Available at </w:t>
      </w:r>
      <w:hyperlink r:id="rId10" w:anchor="AN=88041855&amp;db=rlh" w:history="1">
        <w:r w:rsidRPr="00690B60">
          <w:rPr>
            <w:rStyle w:val="Hyperlink"/>
            <w:rFonts w:ascii="Segoe UI" w:hAnsi="Segoe UI" w:cs="Segoe UI"/>
            <w:color w:val="auto"/>
          </w:rPr>
          <w:t>http://web.b.ebscohost.com.ezproxy.uwtsd.ac.uk/ehost/detail/detail?vid=0&amp;sid=930d9fc3-248d-4771-a9d0-403f5ffaa07d%40sessionmgr101&amp;bdata=JnNpdGU9ZWhvc3QtbGl2ZQ%3d%3d#AN=88041855&amp;db=rlh</w:t>
        </w:r>
      </w:hyperlink>
      <w:r w:rsidRPr="00690B60">
        <w:rPr>
          <w:rFonts w:ascii="Segoe UI" w:hAnsi="Segoe UI" w:cs="Segoe UI"/>
          <w:sz w:val="20"/>
          <w:szCs w:val="20"/>
        </w:rPr>
        <w:t xml:space="preserve"> [Accessed: 10/11/17]</w:t>
      </w:r>
    </w:p>
    <w:p w:rsidR="00690B60" w:rsidRPr="00690B60" w:rsidRDefault="00690B60" w:rsidP="00C02D39">
      <w:pPr>
        <w:rPr>
          <w:rStyle w:val="subjectfield-postprocessinghook"/>
          <w:lang w:val="en"/>
        </w:rPr>
      </w:pPr>
      <w:r w:rsidRPr="00690B60">
        <w:rPr>
          <w:rStyle w:val="subjectfield-postprocessinghook"/>
          <w:lang w:val="en"/>
        </w:rPr>
        <w:t xml:space="preserve">Overbeck, J C. 1969. Tacitus and Dio on Boudicca’s Rebellion. </w:t>
      </w:r>
      <w:r w:rsidRPr="00690B60">
        <w:rPr>
          <w:rStyle w:val="subjectfield-postprocessinghook"/>
          <w:i/>
          <w:lang w:val="en"/>
        </w:rPr>
        <w:t>The American Journal of Philology Vol.90. No.2. pp.129-145.</w:t>
      </w:r>
      <w:r w:rsidRPr="00690B60">
        <w:rPr>
          <w:rStyle w:val="subjectfield-postprocessinghook"/>
          <w:lang w:val="en"/>
        </w:rPr>
        <w:t xml:space="preserve"> The John Hopkins University Press. Available at </w:t>
      </w:r>
      <w:hyperlink r:id="rId11" w:history="1">
        <w:r w:rsidRPr="00690B60">
          <w:rPr>
            <w:rStyle w:val="Hyperlink"/>
            <w:color w:val="auto"/>
            <w:lang w:val="en"/>
          </w:rPr>
          <w:t>http://www.jstor.org/stable/293422</w:t>
        </w:r>
      </w:hyperlink>
      <w:r w:rsidRPr="00690B60">
        <w:rPr>
          <w:rStyle w:val="subjectfield-postprocessinghook"/>
          <w:lang w:val="en"/>
        </w:rPr>
        <w:t xml:space="preserve"> [Accessed: 15/11/17]</w:t>
      </w:r>
    </w:p>
    <w:p w:rsidR="00CB1CB3" w:rsidRDefault="00CB1CB3" w:rsidP="00C02D39">
      <w:pPr>
        <w:rPr>
          <w:rStyle w:val="subjectfield-postprocessinghook"/>
          <w:lang w:val="en"/>
        </w:rPr>
      </w:pPr>
      <w:r>
        <w:rPr>
          <w:rStyle w:val="subjectfield-postprocessinghook"/>
          <w:lang w:val="en"/>
        </w:rPr>
        <w:t>Websites:</w:t>
      </w:r>
    </w:p>
    <w:p w:rsidR="00CB1CB3" w:rsidRDefault="00D76425" w:rsidP="00C02D39">
      <w:pPr>
        <w:rPr>
          <w:rFonts w:ascii="Segoe UI" w:hAnsi="Segoe UI" w:cs="Segoe UI"/>
          <w:color w:val="000000"/>
          <w:sz w:val="20"/>
          <w:szCs w:val="20"/>
        </w:rPr>
      </w:pPr>
      <w:r>
        <w:rPr>
          <w:rStyle w:val="subjectfield-postprocessinghook"/>
          <w:lang w:val="en"/>
        </w:rPr>
        <w:t xml:space="preserve">Bloch, R. Cloelia. Brill reference. </w:t>
      </w:r>
      <w:hyperlink r:id="rId12" w:history="1">
        <w:r w:rsidRPr="001C3A36">
          <w:rPr>
            <w:rStyle w:val="Hyperlink"/>
            <w:rFonts w:ascii="Segoe UI" w:hAnsi="Segoe UI" w:cs="Segoe UI"/>
            <w:sz w:val="20"/>
            <w:szCs w:val="20"/>
          </w:rPr>
          <w:t>http://referenceworks.brillonline.com.ezproxy.uwtsd.ac.uk/entries/brill-s-new-pauly/cloelia-e302020?s.num=0&amp;s.f.s2_parent=s.f.book.brill-s-new-pauly&amp;s.q=Cloelia</w:t>
        </w:r>
      </w:hyperlink>
      <w:r>
        <w:rPr>
          <w:rFonts w:ascii="Segoe UI" w:hAnsi="Segoe UI" w:cs="Segoe UI"/>
          <w:color w:val="000000"/>
          <w:sz w:val="20"/>
          <w:szCs w:val="20"/>
        </w:rPr>
        <w:t xml:space="preserve"> [Accessed: 15/11/17]</w:t>
      </w:r>
    </w:p>
    <w:p w:rsidR="00D76425" w:rsidRDefault="00D76425" w:rsidP="00C02D39">
      <w:pPr>
        <w:rPr>
          <w:rFonts w:ascii="Segoe UI" w:hAnsi="Segoe UI" w:cs="Segoe UI"/>
          <w:color w:val="000000"/>
          <w:sz w:val="20"/>
          <w:szCs w:val="20"/>
        </w:rPr>
      </w:pPr>
      <w:r>
        <w:rPr>
          <w:rFonts w:ascii="Segoe UI" w:hAnsi="Segoe UI" w:cs="Segoe UI"/>
          <w:color w:val="000000"/>
          <w:sz w:val="20"/>
          <w:szCs w:val="20"/>
        </w:rPr>
        <w:lastRenderedPageBreak/>
        <w:t xml:space="preserve">Egon, F. Tacitus. Brill reference. </w:t>
      </w:r>
      <w:hyperlink r:id="rId13" w:anchor="e1128360" w:history="1">
        <w:r w:rsidRPr="001C3A36">
          <w:rPr>
            <w:rStyle w:val="Hyperlink"/>
            <w:rFonts w:ascii="Segoe UI" w:hAnsi="Segoe UI" w:cs="Segoe UI"/>
            <w:sz w:val="20"/>
            <w:szCs w:val="20"/>
          </w:rPr>
          <w:t>http://referenceworks.brillonline.com.ezproxy.uwtsd.ac.uk/entries/brill-s-new-pauly/tacitus-e1128350?s.num=0&amp;s.f.s2_parent=s.f.book.brill-s-new-pauly&amp;s.q=Tacitus#e1128360</w:t>
        </w:r>
      </w:hyperlink>
      <w:r>
        <w:rPr>
          <w:rFonts w:ascii="Segoe UI" w:hAnsi="Segoe UI" w:cs="Segoe UI"/>
          <w:color w:val="000000"/>
          <w:sz w:val="20"/>
          <w:szCs w:val="20"/>
        </w:rPr>
        <w:t xml:space="preserve"> [Accessed: 11/11/17]</w:t>
      </w:r>
    </w:p>
    <w:p w:rsidR="00D76425" w:rsidRPr="00840E4C" w:rsidRDefault="00D76425" w:rsidP="00C02D39">
      <w:pPr>
        <w:rPr>
          <w:rStyle w:val="subjectfield-postprocessinghook"/>
          <w:lang w:val="en"/>
        </w:rPr>
      </w:pPr>
    </w:p>
    <w:p w:rsidR="00C02D39" w:rsidRPr="00CB2084" w:rsidRDefault="00C02D39" w:rsidP="00C02D39">
      <w:pPr>
        <w:rPr>
          <w:rStyle w:val="subjectfield-postprocessinghook"/>
          <w:sz w:val="24"/>
          <w:szCs w:val="24"/>
          <w:lang w:val="en"/>
        </w:rPr>
      </w:pPr>
    </w:p>
    <w:p w:rsidR="00C02D39" w:rsidRPr="00C02D39" w:rsidRDefault="00C02D39" w:rsidP="00F2795B">
      <w:pPr>
        <w:spacing w:after="120" w:line="240" w:lineRule="auto"/>
        <w:rPr>
          <w:rFonts w:eastAsia="Times New Roman" w:cstheme="majorBidi"/>
        </w:rPr>
      </w:pPr>
    </w:p>
    <w:p w:rsidR="00A07994" w:rsidRDefault="00A07994" w:rsidP="00F2795B">
      <w:pPr>
        <w:spacing w:after="120" w:line="240" w:lineRule="auto"/>
        <w:rPr>
          <w:rFonts w:eastAsia="Times New Roman" w:cstheme="majorBidi"/>
        </w:rPr>
      </w:pPr>
    </w:p>
    <w:p w:rsidR="00BF47A4" w:rsidRPr="003A6ACB" w:rsidRDefault="00BF47A4" w:rsidP="00F2795B">
      <w:pPr>
        <w:spacing w:after="120" w:line="240" w:lineRule="auto"/>
        <w:rPr>
          <w:rFonts w:cstheme="majorBidi"/>
        </w:rPr>
      </w:pPr>
    </w:p>
    <w:p w:rsidR="00E379BC" w:rsidRDefault="00E379BC" w:rsidP="00DF1DA2">
      <w:pPr>
        <w:rPr>
          <w:rStyle w:val="Emphasis"/>
          <w:rFonts w:cs="Arial"/>
          <w:i w:val="0"/>
          <w:color w:val="373A3C"/>
          <w:lang w:val="en"/>
        </w:rPr>
      </w:pPr>
    </w:p>
    <w:p w:rsidR="00DB47A7" w:rsidRDefault="00DB47A7" w:rsidP="00DF1DA2">
      <w:pPr>
        <w:rPr>
          <w:rStyle w:val="Emphasis"/>
          <w:rFonts w:cs="Arial"/>
          <w:i w:val="0"/>
          <w:color w:val="373A3C"/>
          <w:lang w:val="en"/>
        </w:rPr>
      </w:pPr>
    </w:p>
    <w:p w:rsidR="00DB47A7" w:rsidRPr="003D6C5D" w:rsidRDefault="00DB47A7" w:rsidP="00DF1DA2">
      <w:pPr>
        <w:rPr>
          <w:rStyle w:val="Emphasis"/>
          <w:rFonts w:cs="Arial"/>
          <w:i w:val="0"/>
          <w:color w:val="373A3C"/>
          <w:lang w:val="en"/>
        </w:rPr>
      </w:pPr>
    </w:p>
    <w:p w:rsidR="00043F09" w:rsidRDefault="00043F09" w:rsidP="00DF1DA2">
      <w:pPr>
        <w:rPr>
          <w:rStyle w:val="Emphasis"/>
          <w:rFonts w:cs="Arial"/>
          <w:i w:val="0"/>
          <w:color w:val="373A3C"/>
          <w:sz w:val="24"/>
          <w:szCs w:val="24"/>
          <w:lang w:val="en"/>
        </w:rPr>
      </w:pPr>
    </w:p>
    <w:p w:rsidR="00043F09" w:rsidRPr="00043F09" w:rsidRDefault="00043F09" w:rsidP="00DF1DA2">
      <w:pPr>
        <w:rPr>
          <w:rStyle w:val="Emphasis"/>
          <w:rFonts w:cs="Arial"/>
          <w:i w:val="0"/>
          <w:color w:val="373A3C"/>
          <w:lang w:val="en"/>
        </w:rPr>
      </w:pPr>
    </w:p>
    <w:p w:rsidR="00043F09" w:rsidRPr="00043F09" w:rsidRDefault="00043F09" w:rsidP="00DF1DA2">
      <w:pPr>
        <w:rPr>
          <w:rStyle w:val="Emphasis"/>
          <w:rFonts w:ascii="Arial" w:hAnsi="Arial" w:cs="Arial"/>
          <w:i w:val="0"/>
          <w:color w:val="373A3C"/>
          <w:sz w:val="24"/>
          <w:szCs w:val="24"/>
          <w:lang w:val="en"/>
        </w:rPr>
      </w:pPr>
    </w:p>
    <w:p w:rsidR="00043F09" w:rsidRDefault="00043F09"/>
    <w:p w:rsidR="00043F09" w:rsidRDefault="00043F09"/>
    <w:sectPr w:rsidR="00043F09">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462BB" w:rsidRDefault="004462BB" w:rsidP="006757F1">
      <w:pPr>
        <w:spacing w:after="0" w:line="240" w:lineRule="auto"/>
      </w:pPr>
      <w:r>
        <w:separator/>
      </w:r>
    </w:p>
  </w:endnote>
  <w:endnote w:type="continuationSeparator" w:id="0">
    <w:p w:rsidR="004462BB" w:rsidRDefault="004462BB" w:rsidP="006757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462BB" w:rsidRDefault="004462BB" w:rsidP="006757F1">
      <w:pPr>
        <w:spacing w:after="0" w:line="240" w:lineRule="auto"/>
      </w:pPr>
      <w:r>
        <w:separator/>
      </w:r>
    </w:p>
  </w:footnote>
  <w:footnote w:type="continuationSeparator" w:id="0">
    <w:p w:rsidR="004462BB" w:rsidRDefault="004462BB" w:rsidP="006757F1">
      <w:pPr>
        <w:spacing w:after="0" w:line="240" w:lineRule="auto"/>
      </w:pPr>
      <w:r>
        <w:continuationSeparator/>
      </w:r>
    </w:p>
  </w:footnote>
  <w:footnote w:id="1">
    <w:p w:rsidR="00BF0877" w:rsidRDefault="00BF0877">
      <w:pPr>
        <w:pStyle w:val="FootnoteText"/>
      </w:pPr>
      <w:r>
        <w:rPr>
          <w:rStyle w:val="FootnoteReference"/>
        </w:rPr>
        <w:footnoteRef/>
      </w:r>
      <w:r>
        <w:t xml:space="preserve"> Cass, Dio. Roman History. LXII.</w:t>
      </w:r>
    </w:p>
  </w:footnote>
  <w:footnote w:id="2">
    <w:p w:rsidR="00BF0877" w:rsidRDefault="00BF0877">
      <w:pPr>
        <w:pStyle w:val="FootnoteText"/>
      </w:pPr>
      <w:r>
        <w:rPr>
          <w:rStyle w:val="FootnoteReference"/>
        </w:rPr>
        <w:footnoteRef/>
      </w:r>
      <w:r>
        <w:t xml:space="preserve"> Bulst, C M. 1961.</w:t>
      </w:r>
    </w:p>
  </w:footnote>
  <w:footnote w:id="3">
    <w:p w:rsidR="00BF0877" w:rsidRDefault="00BF0877">
      <w:pPr>
        <w:pStyle w:val="FootnoteText"/>
      </w:pPr>
      <w:r>
        <w:rPr>
          <w:rStyle w:val="FootnoteReference"/>
        </w:rPr>
        <w:footnoteRef/>
      </w:r>
      <w:r>
        <w:t xml:space="preserve"> Lobell, J A. and Powell, E A. 2013.</w:t>
      </w:r>
    </w:p>
  </w:footnote>
  <w:footnote w:id="4">
    <w:p w:rsidR="00BF0877" w:rsidRDefault="00BF0877">
      <w:pPr>
        <w:pStyle w:val="FootnoteText"/>
      </w:pPr>
      <w:r>
        <w:rPr>
          <w:rStyle w:val="FootnoteReference"/>
        </w:rPr>
        <w:footnoteRef/>
      </w:r>
      <w:r>
        <w:t xml:space="preserve"> Lobell, J A. and Powell, E A. 2013.</w:t>
      </w:r>
    </w:p>
  </w:footnote>
  <w:footnote w:id="5">
    <w:p w:rsidR="00BF0877" w:rsidRDefault="00BF0877">
      <w:pPr>
        <w:pStyle w:val="FootnoteText"/>
      </w:pPr>
      <w:r>
        <w:rPr>
          <w:rStyle w:val="FootnoteReference"/>
        </w:rPr>
        <w:footnoteRef/>
      </w:r>
      <w:r>
        <w:t xml:space="preserve"> Salway, P.1981. p.101</w:t>
      </w:r>
    </w:p>
  </w:footnote>
  <w:footnote w:id="6">
    <w:p w:rsidR="00BF0877" w:rsidRDefault="00BF0877">
      <w:pPr>
        <w:pStyle w:val="FootnoteText"/>
      </w:pPr>
      <w:r>
        <w:rPr>
          <w:rStyle w:val="FootnoteReference"/>
        </w:rPr>
        <w:footnoteRef/>
      </w:r>
      <w:r>
        <w:t xml:space="preserve"> Dudley, D R.</w:t>
      </w:r>
    </w:p>
  </w:footnote>
  <w:footnote w:id="7">
    <w:p w:rsidR="00BF0877" w:rsidRDefault="00BF0877">
      <w:pPr>
        <w:pStyle w:val="FootnoteText"/>
      </w:pPr>
      <w:r>
        <w:rPr>
          <w:rStyle w:val="FootnoteReference"/>
        </w:rPr>
        <w:footnoteRef/>
      </w:r>
      <w:r>
        <w:t xml:space="preserve"> Dudley, D R. </w:t>
      </w:r>
    </w:p>
  </w:footnote>
  <w:footnote w:id="8">
    <w:p w:rsidR="00BF0877" w:rsidRDefault="00BF0877">
      <w:pPr>
        <w:pStyle w:val="FootnoteText"/>
      </w:pPr>
      <w:r>
        <w:rPr>
          <w:rStyle w:val="FootnoteReference"/>
        </w:rPr>
        <w:footnoteRef/>
      </w:r>
      <w:r>
        <w:t xml:space="preserve"> Dudley, D R.</w:t>
      </w:r>
    </w:p>
  </w:footnote>
  <w:footnote w:id="9">
    <w:p w:rsidR="00BF0877" w:rsidRDefault="00BF0877">
      <w:pPr>
        <w:pStyle w:val="FootnoteText"/>
      </w:pPr>
      <w:r>
        <w:rPr>
          <w:rStyle w:val="FootnoteReference"/>
        </w:rPr>
        <w:footnoteRef/>
      </w:r>
      <w:r>
        <w:t xml:space="preserve"> Egon, F. (Brill)</w:t>
      </w:r>
    </w:p>
  </w:footnote>
  <w:footnote w:id="10">
    <w:p w:rsidR="00BF0877" w:rsidRDefault="00BF0877">
      <w:pPr>
        <w:pStyle w:val="FootnoteText"/>
      </w:pPr>
      <w:r>
        <w:rPr>
          <w:rStyle w:val="FootnoteReference"/>
        </w:rPr>
        <w:footnoteRef/>
      </w:r>
      <w:r>
        <w:t xml:space="preserve"> Egon, F.(Brill)</w:t>
      </w:r>
    </w:p>
  </w:footnote>
  <w:footnote w:id="11">
    <w:p w:rsidR="00BF0877" w:rsidRDefault="00BF0877">
      <w:pPr>
        <w:pStyle w:val="FootnoteText"/>
      </w:pPr>
      <w:r>
        <w:rPr>
          <w:rStyle w:val="FootnoteReference"/>
        </w:rPr>
        <w:footnoteRef/>
      </w:r>
      <w:r>
        <w:t xml:space="preserve"> Tac.Ann. 14.31.</w:t>
      </w:r>
    </w:p>
  </w:footnote>
  <w:footnote w:id="12">
    <w:p w:rsidR="00BF0877" w:rsidRDefault="00BF0877">
      <w:pPr>
        <w:pStyle w:val="FootnoteText"/>
      </w:pPr>
      <w:r>
        <w:rPr>
          <w:rStyle w:val="FootnoteReference"/>
        </w:rPr>
        <w:footnoteRef/>
      </w:r>
      <w:r>
        <w:t xml:space="preserve"> </w:t>
      </w:r>
      <w:bookmarkStart w:id="1" w:name="_Hlk498999783"/>
      <w:r w:rsidRPr="003E1BDF">
        <w:rPr>
          <w:rStyle w:val="subjectfield-postprocessinghook"/>
          <w:szCs w:val="24"/>
          <w:lang w:val="en"/>
        </w:rPr>
        <w:t>Gillespie, C. 2015</w:t>
      </w:r>
      <w:bookmarkEnd w:id="1"/>
    </w:p>
  </w:footnote>
  <w:footnote w:id="13">
    <w:p w:rsidR="00BF0877" w:rsidRDefault="00BF0877">
      <w:pPr>
        <w:pStyle w:val="FootnoteText"/>
      </w:pPr>
      <w:r>
        <w:rPr>
          <w:rStyle w:val="FootnoteReference"/>
        </w:rPr>
        <w:footnoteRef/>
      </w:r>
      <w:r>
        <w:t xml:space="preserve"> Tac.Ann. XIV.XXXV</w:t>
      </w:r>
    </w:p>
  </w:footnote>
  <w:footnote w:id="14">
    <w:p w:rsidR="00BF0877" w:rsidRDefault="00BF0877">
      <w:pPr>
        <w:pStyle w:val="FootnoteText"/>
      </w:pPr>
      <w:r>
        <w:rPr>
          <w:rStyle w:val="FootnoteReference"/>
        </w:rPr>
        <w:footnoteRef/>
      </w:r>
      <w:r>
        <w:t xml:space="preserve"> Tac.Ann. XIV.XXXV</w:t>
      </w:r>
    </w:p>
  </w:footnote>
  <w:footnote w:id="15">
    <w:p w:rsidR="00BF0877" w:rsidRDefault="00BF0877">
      <w:pPr>
        <w:pStyle w:val="FootnoteText"/>
      </w:pPr>
      <w:r>
        <w:rPr>
          <w:rStyle w:val="FootnoteReference"/>
        </w:rPr>
        <w:footnoteRef/>
      </w:r>
      <w:r>
        <w:t xml:space="preserve"> Bloch, R. (Brill)</w:t>
      </w:r>
    </w:p>
  </w:footnote>
  <w:footnote w:id="16">
    <w:p w:rsidR="00BF0877" w:rsidRDefault="00BF0877">
      <w:pPr>
        <w:pStyle w:val="FootnoteText"/>
      </w:pPr>
      <w:r>
        <w:rPr>
          <w:rStyle w:val="FootnoteReference"/>
        </w:rPr>
        <w:footnoteRef/>
      </w:r>
      <w:r>
        <w:t xml:space="preserve"> Bloch, R. (Brill)</w:t>
      </w:r>
    </w:p>
  </w:footnote>
  <w:footnote w:id="17">
    <w:p w:rsidR="00BF0877" w:rsidRDefault="00BF0877">
      <w:pPr>
        <w:pStyle w:val="FootnoteText"/>
      </w:pPr>
      <w:r>
        <w:rPr>
          <w:rStyle w:val="FootnoteReference"/>
        </w:rPr>
        <w:footnoteRef/>
      </w:r>
      <w:r>
        <w:t xml:space="preserve"> </w:t>
      </w:r>
      <w:r w:rsidRPr="003E1BDF">
        <w:rPr>
          <w:rStyle w:val="subjectfield-postprocessinghook"/>
          <w:szCs w:val="24"/>
          <w:lang w:val="en"/>
        </w:rPr>
        <w:t>Gillespie, C. 2015</w:t>
      </w:r>
    </w:p>
  </w:footnote>
  <w:footnote w:id="18">
    <w:p w:rsidR="00BF0877" w:rsidRDefault="00BF0877">
      <w:pPr>
        <w:pStyle w:val="FootnoteText"/>
      </w:pPr>
      <w:r>
        <w:rPr>
          <w:rStyle w:val="FootnoteReference"/>
        </w:rPr>
        <w:footnoteRef/>
      </w:r>
      <w:r>
        <w:t xml:space="preserve"> Cass, Dio. Roman History. LXII.</w:t>
      </w:r>
    </w:p>
  </w:footnote>
  <w:footnote w:id="19">
    <w:p w:rsidR="00BF0877" w:rsidRDefault="00BF0877">
      <w:pPr>
        <w:pStyle w:val="FootnoteText"/>
      </w:pPr>
      <w:r>
        <w:rPr>
          <w:rStyle w:val="FootnoteReference"/>
        </w:rPr>
        <w:footnoteRef/>
      </w:r>
      <w:r>
        <w:t xml:space="preserve"> Cass, Dio. Roman History LXII.</w:t>
      </w:r>
    </w:p>
  </w:footnote>
  <w:footnote w:id="20">
    <w:p w:rsidR="00BF0877" w:rsidRDefault="00BF0877">
      <w:pPr>
        <w:pStyle w:val="FootnoteText"/>
      </w:pPr>
      <w:r>
        <w:rPr>
          <w:rStyle w:val="FootnoteReference"/>
        </w:rPr>
        <w:footnoteRef/>
      </w:r>
      <w:r>
        <w:t xml:space="preserve"> Cass, Dio. Roman History. LXII</w:t>
      </w:r>
    </w:p>
  </w:footnote>
  <w:footnote w:id="21">
    <w:p w:rsidR="00BF0877" w:rsidRDefault="00BF0877">
      <w:pPr>
        <w:pStyle w:val="FootnoteText"/>
      </w:pPr>
      <w:r>
        <w:rPr>
          <w:rStyle w:val="FootnoteReference"/>
        </w:rPr>
        <w:footnoteRef/>
      </w:r>
      <w:r>
        <w:t xml:space="preserve"> Webster, G. 1978. P.87.</w:t>
      </w:r>
    </w:p>
  </w:footnote>
  <w:footnote w:id="22">
    <w:p w:rsidR="00BF0877" w:rsidRDefault="00BF0877">
      <w:pPr>
        <w:pStyle w:val="FootnoteText"/>
      </w:pPr>
      <w:r>
        <w:rPr>
          <w:rStyle w:val="FootnoteReference"/>
        </w:rPr>
        <w:footnoteRef/>
      </w:r>
      <w:r>
        <w:t xml:space="preserve"> Cass, Dio. Roman History. LXII</w:t>
      </w:r>
    </w:p>
  </w:footnote>
  <w:footnote w:id="23">
    <w:p w:rsidR="00BF0877" w:rsidRDefault="00BF0877">
      <w:pPr>
        <w:pStyle w:val="FootnoteText"/>
      </w:pPr>
      <w:r>
        <w:rPr>
          <w:rStyle w:val="FootnoteReference"/>
        </w:rPr>
        <w:footnoteRef/>
      </w:r>
      <w:r>
        <w:t xml:space="preserve"> Cass, Dio. Roman History. LXII.</w:t>
      </w:r>
    </w:p>
  </w:footnote>
  <w:footnote w:id="24">
    <w:p w:rsidR="00BF0877" w:rsidRDefault="00BF0877">
      <w:pPr>
        <w:pStyle w:val="FootnoteText"/>
      </w:pPr>
      <w:r>
        <w:rPr>
          <w:rStyle w:val="FootnoteReference"/>
        </w:rPr>
        <w:footnoteRef/>
      </w:r>
      <w:r>
        <w:t xml:space="preserve"> Tac. Ann. XIV.</w:t>
      </w:r>
    </w:p>
  </w:footnote>
  <w:footnote w:id="25">
    <w:p w:rsidR="00BF0877" w:rsidRDefault="00BF0877">
      <w:pPr>
        <w:pStyle w:val="FootnoteText"/>
      </w:pPr>
      <w:r>
        <w:rPr>
          <w:rStyle w:val="FootnoteReference"/>
        </w:rPr>
        <w:footnoteRef/>
      </w:r>
      <w:r>
        <w:t xml:space="preserve"> Overbeck, J C. 1969</w:t>
      </w:r>
      <w:r w:rsidR="00CB1CB3">
        <w:t>:</w:t>
      </w:r>
      <w:r>
        <w:t>30.</w:t>
      </w:r>
    </w:p>
  </w:footnote>
  <w:footnote w:id="26">
    <w:p w:rsidR="00BF0877" w:rsidRDefault="00BF0877">
      <w:pPr>
        <w:pStyle w:val="FootnoteText"/>
      </w:pPr>
      <w:r>
        <w:rPr>
          <w:rStyle w:val="FootnoteReference"/>
        </w:rPr>
        <w:footnoteRef/>
      </w:r>
      <w:r>
        <w:t xml:space="preserve"> Overbeck, J C. 1969</w:t>
      </w:r>
      <w:r w:rsidR="00CB1CB3">
        <w:t>:</w:t>
      </w:r>
      <w:r>
        <w:t xml:space="preserve"> 138</w:t>
      </w:r>
    </w:p>
  </w:footnote>
  <w:footnote w:id="27">
    <w:p w:rsidR="00BF0877" w:rsidRDefault="00BF0877">
      <w:pPr>
        <w:pStyle w:val="FootnoteText"/>
      </w:pPr>
      <w:r>
        <w:rPr>
          <w:rStyle w:val="FootnoteReference"/>
        </w:rPr>
        <w:footnoteRef/>
      </w:r>
      <w:r>
        <w:t xml:space="preserve"> Cass, Dio. Roman History. LXII.</w:t>
      </w:r>
    </w:p>
  </w:footnote>
  <w:footnote w:id="28">
    <w:p w:rsidR="00BF0877" w:rsidRDefault="00BF0877">
      <w:pPr>
        <w:pStyle w:val="FootnoteText"/>
      </w:pPr>
      <w:r>
        <w:rPr>
          <w:rStyle w:val="FootnoteReference"/>
        </w:rPr>
        <w:footnoteRef/>
      </w:r>
      <w:r>
        <w:t xml:space="preserve"> Gillespie, C. 2015.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7072961"/>
      <w:docPartObj>
        <w:docPartGallery w:val="Page Numbers (Top of Page)"/>
        <w:docPartUnique/>
      </w:docPartObj>
    </w:sdtPr>
    <w:sdtEndPr>
      <w:rPr>
        <w:noProof/>
      </w:rPr>
    </w:sdtEndPr>
    <w:sdtContent>
      <w:p w:rsidR="00BF0877" w:rsidRDefault="00BF0877">
        <w:pPr>
          <w:pStyle w:val="Header"/>
          <w:jc w:val="center"/>
        </w:pPr>
        <w:r>
          <w:fldChar w:fldCharType="begin"/>
        </w:r>
        <w:r>
          <w:instrText xml:space="preserve"> PAGE   \* MERGEFORMAT </w:instrText>
        </w:r>
        <w:r>
          <w:fldChar w:fldCharType="separate"/>
        </w:r>
        <w:r w:rsidR="00C704CA">
          <w:rPr>
            <w:noProof/>
          </w:rPr>
          <w:t>6</w:t>
        </w:r>
        <w:r>
          <w:rPr>
            <w:noProof/>
          </w:rPr>
          <w:fldChar w:fldCharType="end"/>
        </w:r>
      </w:p>
    </w:sdtContent>
  </w:sdt>
  <w:p w:rsidR="00BF0877" w:rsidRDefault="00BF08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DA2"/>
    <w:rsid w:val="000255D0"/>
    <w:rsid w:val="00027C68"/>
    <w:rsid w:val="00043F09"/>
    <w:rsid w:val="000721C9"/>
    <w:rsid w:val="00076023"/>
    <w:rsid w:val="00076BCA"/>
    <w:rsid w:val="000A4581"/>
    <w:rsid w:val="000B3D17"/>
    <w:rsid w:val="000C6952"/>
    <w:rsid w:val="000D73A4"/>
    <w:rsid w:val="0010405D"/>
    <w:rsid w:val="00133F38"/>
    <w:rsid w:val="001677DD"/>
    <w:rsid w:val="00192113"/>
    <w:rsid w:val="001A40F1"/>
    <w:rsid w:val="001E1A5E"/>
    <w:rsid w:val="001F1DC3"/>
    <w:rsid w:val="001F7E1C"/>
    <w:rsid w:val="00212AC9"/>
    <w:rsid w:val="00217BAB"/>
    <w:rsid w:val="0022125B"/>
    <w:rsid w:val="00236220"/>
    <w:rsid w:val="00237097"/>
    <w:rsid w:val="00255077"/>
    <w:rsid w:val="002D7498"/>
    <w:rsid w:val="002E09B3"/>
    <w:rsid w:val="00316288"/>
    <w:rsid w:val="00327BC2"/>
    <w:rsid w:val="00344E67"/>
    <w:rsid w:val="00371250"/>
    <w:rsid w:val="00381E6F"/>
    <w:rsid w:val="003A6ACB"/>
    <w:rsid w:val="003C26F5"/>
    <w:rsid w:val="003D0B18"/>
    <w:rsid w:val="003D18F3"/>
    <w:rsid w:val="003D6C5D"/>
    <w:rsid w:val="003E1BDF"/>
    <w:rsid w:val="003E24A9"/>
    <w:rsid w:val="0040402D"/>
    <w:rsid w:val="00423198"/>
    <w:rsid w:val="00434F1C"/>
    <w:rsid w:val="004462BB"/>
    <w:rsid w:val="0045090C"/>
    <w:rsid w:val="00453683"/>
    <w:rsid w:val="00456AA6"/>
    <w:rsid w:val="0046378F"/>
    <w:rsid w:val="0048311A"/>
    <w:rsid w:val="004A47BC"/>
    <w:rsid w:val="004B4AA5"/>
    <w:rsid w:val="004C5BBA"/>
    <w:rsid w:val="004F0DC6"/>
    <w:rsid w:val="004F557F"/>
    <w:rsid w:val="00506900"/>
    <w:rsid w:val="00532871"/>
    <w:rsid w:val="005351F2"/>
    <w:rsid w:val="005612E9"/>
    <w:rsid w:val="005670C1"/>
    <w:rsid w:val="00585FA1"/>
    <w:rsid w:val="00590A2C"/>
    <w:rsid w:val="005A65B0"/>
    <w:rsid w:val="005D09DD"/>
    <w:rsid w:val="005D70EB"/>
    <w:rsid w:val="005E2742"/>
    <w:rsid w:val="00611775"/>
    <w:rsid w:val="00613856"/>
    <w:rsid w:val="00625EB5"/>
    <w:rsid w:val="00634C77"/>
    <w:rsid w:val="0064102B"/>
    <w:rsid w:val="00650417"/>
    <w:rsid w:val="0065521D"/>
    <w:rsid w:val="006621C6"/>
    <w:rsid w:val="006622E6"/>
    <w:rsid w:val="0066351B"/>
    <w:rsid w:val="00670095"/>
    <w:rsid w:val="006757F1"/>
    <w:rsid w:val="00690B60"/>
    <w:rsid w:val="0069266C"/>
    <w:rsid w:val="006A1C5B"/>
    <w:rsid w:val="006C0CFE"/>
    <w:rsid w:val="006C7B83"/>
    <w:rsid w:val="006D2F7D"/>
    <w:rsid w:val="006D38F6"/>
    <w:rsid w:val="006E5D68"/>
    <w:rsid w:val="00713F9A"/>
    <w:rsid w:val="0072459A"/>
    <w:rsid w:val="00746D0B"/>
    <w:rsid w:val="007613F6"/>
    <w:rsid w:val="007840E5"/>
    <w:rsid w:val="0079620F"/>
    <w:rsid w:val="007C40A6"/>
    <w:rsid w:val="00811AE4"/>
    <w:rsid w:val="00812830"/>
    <w:rsid w:val="008247D2"/>
    <w:rsid w:val="008251B1"/>
    <w:rsid w:val="00841D10"/>
    <w:rsid w:val="00842705"/>
    <w:rsid w:val="00846A3B"/>
    <w:rsid w:val="00872B1A"/>
    <w:rsid w:val="00886457"/>
    <w:rsid w:val="008C3413"/>
    <w:rsid w:val="008C6D88"/>
    <w:rsid w:val="008F4B50"/>
    <w:rsid w:val="00906813"/>
    <w:rsid w:val="00925519"/>
    <w:rsid w:val="0093392D"/>
    <w:rsid w:val="00941719"/>
    <w:rsid w:val="00941F17"/>
    <w:rsid w:val="009655D8"/>
    <w:rsid w:val="00975DAD"/>
    <w:rsid w:val="00984B84"/>
    <w:rsid w:val="009855B7"/>
    <w:rsid w:val="00985D3D"/>
    <w:rsid w:val="00995A1F"/>
    <w:rsid w:val="009A0BF1"/>
    <w:rsid w:val="009A7E8D"/>
    <w:rsid w:val="009C5BBC"/>
    <w:rsid w:val="009D2239"/>
    <w:rsid w:val="009F7600"/>
    <w:rsid w:val="00A07994"/>
    <w:rsid w:val="00A20EA7"/>
    <w:rsid w:val="00A21DC2"/>
    <w:rsid w:val="00A276F6"/>
    <w:rsid w:val="00A517DC"/>
    <w:rsid w:val="00A55AFD"/>
    <w:rsid w:val="00A56A6E"/>
    <w:rsid w:val="00AA2354"/>
    <w:rsid w:val="00AC56AA"/>
    <w:rsid w:val="00AC7D0A"/>
    <w:rsid w:val="00AD4420"/>
    <w:rsid w:val="00AE2F8C"/>
    <w:rsid w:val="00B02580"/>
    <w:rsid w:val="00B353D5"/>
    <w:rsid w:val="00B64FFC"/>
    <w:rsid w:val="00B802CD"/>
    <w:rsid w:val="00B86FB0"/>
    <w:rsid w:val="00B92ECE"/>
    <w:rsid w:val="00BA2590"/>
    <w:rsid w:val="00BB774A"/>
    <w:rsid w:val="00BF0877"/>
    <w:rsid w:val="00BF0A58"/>
    <w:rsid w:val="00BF47A4"/>
    <w:rsid w:val="00C02D39"/>
    <w:rsid w:val="00C56384"/>
    <w:rsid w:val="00C704CA"/>
    <w:rsid w:val="00C97F34"/>
    <w:rsid w:val="00CB1CB3"/>
    <w:rsid w:val="00CB5BEA"/>
    <w:rsid w:val="00CC2CD7"/>
    <w:rsid w:val="00CE4417"/>
    <w:rsid w:val="00CF6E65"/>
    <w:rsid w:val="00D243EC"/>
    <w:rsid w:val="00D350C4"/>
    <w:rsid w:val="00D56FA7"/>
    <w:rsid w:val="00D6228A"/>
    <w:rsid w:val="00D6231C"/>
    <w:rsid w:val="00D70F08"/>
    <w:rsid w:val="00D73AE8"/>
    <w:rsid w:val="00D76425"/>
    <w:rsid w:val="00D80A4C"/>
    <w:rsid w:val="00D938FD"/>
    <w:rsid w:val="00DB47A7"/>
    <w:rsid w:val="00DC20C6"/>
    <w:rsid w:val="00DE060F"/>
    <w:rsid w:val="00DF175F"/>
    <w:rsid w:val="00DF1DA2"/>
    <w:rsid w:val="00E13826"/>
    <w:rsid w:val="00E379BC"/>
    <w:rsid w:val="00E45CEC"/>
    <w:rsid w:val="00E64CE3"/>
    <w:rsid w:val="00E85832"/>
    <w:rsid w:val="00E91E38"/>
    <w:rsid w:val="00ED6A8A"/>
    <w:rsid w:val="00EE2A99"/>
    <w:rsid w:val="00EF386C"/>
    <w:rsid w:val="00EF487E"/>
    <w:rsid w:val="00F12028"/>
    <w:rsid w:val="00F16185"/>
    <w:rsid w:val="00F17A4C"/>
    <w:rsid w:val="00F223F3"/>
    <w:rsid w:val="00F2795B"/>
    <w:rsid w:val="00F95702"/>
    <w:rsid w:val="00FB6C8F"/>
    <w:rsid w:val="00FC4D44"/>
    <w:rsid w:val="00FE2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93A7B"/>
  <w15:chartTrackingRefBased/>
  <w15:docId w15:val="{82064A2B-C05E-4BB4-BCC2-7B7618628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F1DA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F1DA2"/>
    <w:rPr>
      <w:i/>
      <w:iCs/>
    </w:rPr>
  </w:style>
  <w:style w:type="paragraph" w:styleId="FootnoteText">
    <w:name w:val="footnote text"/>
    <w:basedOn w:val="Normal"/>
    <w:link w:val="FootnoteTextChar"/>
    <w:uiPriority w:val="99"/>
    <w:semiHidden/>
    <w:unhideWhenUsed/>
    <w:rsid w:val="006757F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757F1"/>
    <w:rPr>
      <w:sz w:val="20"/>
      <w:szCs w:val="20"/>
    </w:rPr>
  </w:style>
  <w:style w:type="character" w:styleId="FootnoteReference">
    <w:name w:val="footnote reference"/>
    <w:basedOn w:val="DefaultParagraphFont"/>
    <w:uiPriority w:val="99"/>
    <w:semiHidden/>
    <w:unhideWhenUsed/>
    <w:rsid w:val="006757F1"/>
    <w:rPr>
      <w:vertAlign w:val="superscript"/>
    </w:rPr>
  </w:style>
  <w:style w:type="paragraph" w:styleId="Header">
    <w:name w:val="header"/>
    <w:basedOn w:val="Normal"/>
    <w:link w:val="HeaderChar"/>
    <w:uiPriority w:val="99"/>
    <w:unhideWhenUsed/>
    <w:rsid w:val="00E138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3826"/>
  </w:style>
  <w:style w:type="paragraph" w:styleId="Footer">
    <w:name w:val="footer"/>
    <w:basedOn w:val="Normal"/>
    <w:link w:val="FooterChar"/>
    <w:uiPriority w:val="99"/>
    <w:unhideWhenUsed/>
    <w:rsid w:val="00E138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3826"/>
  </w:style>
  <w:style w:type="character" w:customStyle="1" w:styleId="subjectfield-postprocessinghook">
    <w:name w:val="subjectfield-postprocessinghook"/>
    <w:basedOn w:val="DefaultParagraphFont"/>
    <w:rsid w:val="003E1BDF"/>
  </w:style>
  <w:style w:type="character" w:styleId="Hyperlink">
    <w:name w:val="Hyperlink"/>
    <w:basedOn w:val="DefaultParagraphFont"/>
    <w:uiPriority w:val="99"/>
    <w:unhideWhenUsed/>
    <w:rsid w:val="00C02D39"/>
    <w:rPr>
      <w:color w:val="0563C1" w:themeColor="hyperlink"/>
      <w:u w:val="single"/>
    </w:rPr>
  </w:style>
  <w:style w:type="character" w:customStyle="1" w:styleId="exldetailsdisplayval">
    <w:name w:val="exldetailsdisplayval"/>
    <w:basedOn w:val="DefaultParagraphFont"/>
    <w:rsid w:val="00C02D39"/>
  </w:style>
  <w:style w:type="character" w:styleId="UnresolvedMention">
    <w:name w:val="Unresolved Mention"/>
    <w:basedOn w:val="DefaultParagraphFont"/>
    <w:uiPriority w:val="99"/>
    <w:semiHidden/>
    <w:unhideWhenUsed/>
    <w:rsid w:val="00212AC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4434717" TargetMode="External"/><Relationship Id="rId13" Type="http://schemas.openxmlformats.org/officeDocument/2006/relationships/hyperlink" Target="http://referenceworks.brillonline.com.ezproxy.uwtsd.ac.uk/entries/brill-s-new-pauly/tacitus-e1128350?s.num=0&amp;s.f.s2_parent=s.f.book.brill-s-new-pauly&amp;s.q=Tacitus" TargetMode="External"/><Relationship Id="rId3" Type="http://schemas.openxmlformats.org/officeDocument/2006/relationships/settings" Target="settings.xml"/><Relationship Id="rId7" Type="http://schemas.openxmlformats.org/officeDocument/2006/relationships/hyperlink" Target="https://www-loebclassics-com.ezproxy.uwtsd.ac.uk/view/tacitus-annals/1931/pb_LCL322.165.xml?rskey=fQT2jP&amp;result=2" TargetMode="External"/><Relationship Id="rId12" Type="http://schemas.openxmlformats.org/officeDocument/2006/relationships/hyperlink" Target="http://referenceworks.brillonline.com.ezproxy.uwtsd.ac.uk/entries/brill-s-new-pauly/cloelia-e302020?s.num=0&amp;s.f.s2_parent=s.f.book.brill-s-new-pauly&amp;s.q=Cloelia"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jstor.org/stable/293422"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eb.b.ebscohost.com.ezproxy.uwtsd.ac.uk/ehost/detail/detail?vid=0&amp;sid=930d9fc3-248d-4771-a9d0-403f5ffaa07d%40sessionmgr101&amp;bdata=JnNpdGU9ZWhvc3QtbGl2ZQ%3d%3d" TargetMode="External"/><Relationship Id="rId4" Type="http://schemas.openxmlformats.org/officeDocument/2006/relationships/webSettings" Target="webSettings.xml"/><Relationship Id="rId9" Type="http://schemas.openxmlformats.org/officeDocument/2006/relationships/hyperlink" Target="https://search.proquest.com/docview/1299022622?accountid=130472"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8886D4-B105-4190-9E56-4961059516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652</TotalTime>
  <Pages>6</Pages>
  <Words>2322</Words>
  <Characters>13237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Sofie Keddie</dc:creator>
  <cp:keywords/>
  <dc:description/>
  <cp:lastModifiedBy>Sofie Keddie</cp:lastModifiedBy>
  <cp:revision>158</cp:revision>
  <dcterms:created xsi:type="dcterms:W3CDTF">2017-11-20T18:48:00Z</dcterms:created>
  <dcterms:modified xsi:type="dcterms:W3CDTF">2017-11-21T18:16:00Z</dcterms:modified>
</cp:coreProperties>
</file>