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5338E1AD" w:rsidR="00530E16" w:rsidRDefault="004468F8">
                            <w:pPr>
                              <w:spacing w:before="120" w:line="277" w:lineRule="auto"/>
                              <w:textDirection w:val="btLr"/>
                            </w:pPr>
                            <w:r>
                              <w:rPr>
                                <w:color w:val="404040"/>
                                <w:sz w:val="36"/>
                              </w:rPr>
                              <w:t xml:space="preserve">Student name: </w:t>
                            </w:r>
                            <w:r w:rsidR="00CF5CFC">
                              <w:rPr>
                                <w:color w:val="404040"/>
                                <w:sz w:val="36"/>
                              </w:rPr>
                              <w:t>Lanny Gawan</w:t>
                            </w:r>
                          </w:p>
                          <w:p w14:paraId="07714B75" w14:textId="5C3566A9" w:rsidR="00530E16" w:rsidRDefault="004468F8">
                            <w:pPr>
                              <w:spacing w:before="120" w:line="277" w:lineRule="auto"/>
                              <w:textDirection w:val="btLr"/>
                            </w:pPr>
                            <w:r>
                              <w:rPr>
                                <w:color w:val="404040"/>
                                <w:sz w:val="36"/>
                              </w:rPr>
                              <w:t>Student ID:</w:t>
                            </w:r>
                            <w:r w:rsidR="00F12763">
                              <w:rPr>
                                <w:color w:val="404040"/>
                                <w:sz w:val="36"/>
                              </w:rPr>
                              <w:t xml:space="preserve"> 2543278</w:t>
                            </w:r>
                          </w:p>
                          <w:p w14:paraId="20688A91" w14:textId="5437D483" w:rsidR="00530E16" w:rsidRDefault="004468F8">
                            <w:pPr>
                              <w:spacing w:before="120" w:line="277" w:lineRule="auto"/>
                              <w:textDirection w:val="btLr"/>
                            </w:pPr>
                            <w:r>
                              <w:rPr>
                                <w:color w:val="404040"/>
                                <w:sz w:val="36"/>
                              </w:rPr>
                              <w:t xml:space="preserve">Lecturer’s Name: </w:t>
                            </w:r>
                            <w:r w:rsidR="00475E5F">
                              <w:rPr>
                                <w:color w:val="404040"/>
                                <w:sz w:val="36"/>
                              </w:rPr>
                              <w:t>Mr. Ami</w:t>
                            </w:r>
                            <w:r w:rsidR="00217F70">
                              <w:rPr>
                                <w:color w:val="404040"/>
                                <w:sz w:val="36"/>
                              </w:rPr>
                              <w:t>t</w:t>
                            </w:r>
                            <w:r w:rsidR="00475E5F">
                              <w:rPr>
                                <w:color w:val="404040"/>
                                <w:sz w:val="36"/>
                              </w:rPr>
                              <w:t>av</w:t>
                            </w:r>
                            <w:r w:rsidR="0063096B">
                              <w:rPr>
                                <w:color w:val="404040"/>
                                <w:sz w:val="36"/>
                              </w:rPr>
                              <w:t>e</w:t>
                            </w:r>
                            <w:r w:rsidR="00126F76">
                              <w:rPr>
                                <w:color w:val="404040"/>
                                <w:sz w:val="36"/>
                              </w:rPr>
                              <w:t xml:space="preserve"> </w:t>
                            </w:r>
                            <w:r w:rsidR="00475E5F">
                              <w:rPr>
                                <w:color w:val="404040"/>
                                <w:sz w:val="36"/>
                              </w:rPr>
                              <w:t>Banik</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5338E1AD" w:rsidR="00530E16" w:rsidRDefault="004468F8">
                      <w:pPr>
                        <w:spacing w:before="120" w:line="277" w:lineRule="auto"/>
                        <w:textDirection w:val="btLr"/>
                      </w:pPr>
                      <w:r>
                        <w:rPr>
                          <w:color w:val="404040"/>
                          <w:sz w:val="36"/>
                        </w:rPr>
                        <w:t xml:space="preserve">Student name: </w:t>
                      </w:r>
                      <w:r w:rsidR="00CF5CFC">
                        <w:rPr>
                          <w:color w:val="404040"/>
                          <w:sz w:val="36"/>
                        </w:rPr>
                        <w:t>Lanny Gawan</w:t>
                      </w:r>
                    </w:p>
                    <w:p w14:paraId="07714B75" w14:textId="5C3566A9" w:rsidR="00530E16" w:rsidRDefault="004468F8">
                      <w:pPr>
                        <w:spacing w:before="120" w:line="277" w:lineRule="auto"/>
                        <w:textDirection w:val="btLr"/>
                      </w:pPr>
                      <w:r>
                        <w:rPr>
                          <w:color w:val="404040"/>
                          <w:sz w:val="36"/>
                        </w:rPr>
                        <w:t>Student ID:</w:t>
                      </w:r>
                      <w:r w:rsidR="00F12763">
                        <w:rPr>
                          <w:color w:val="404040"/>
                          <w:sz w:val="36"/>
                        </w:rPr>
                        <w:t xml:space="preserve"> 2543278</w:t>
                      </w:r>
                    </w:p>
                    <w:p w14:paraId="20688A91" w14:textId="5437D483" w:rsidR="00530E16" w:rsidRDefault="004468F8">
                      <w:pPr>
                        <w:spacing w:before="120" w:line="277" w:lineRule="auto"/>
                        <w:textDirection w:val="btLr"/>
                      </w:pPr>
                      <w:r>
                        <w:rPr>
                          <w:color w:val="404040"/>
                          <w:sz w:val="36"/>
                        </w:rPr>
                        <w:t xml:space="preserve">Lecturer’s Name: </w:t>
                      </w:r>
                      <w:r w:rsidR="00475E5F">
                        <w:rPr>
                          <w:color w:val="404040"/>
                          <w:sz w:val="36"/>
                        </w:rPr>
                        <w:t>Mr. Ami</w:t>
                      </w:r>
                      <w:r w:rsidR="00217F70">
                        <w:rPr>
                          <w:color w:val="404040"/>
                          <w:sz w:val="36"/>
                        </w:rPr>
                        <w:t>t</w:t>
                      </w:r>
                      <w:r w:rsidR="00475E5F">
                        <w:rPr>
                          <w:color w:val="404040"/>
                          <w:sz w:val="36"/>
                        </w:rPr>
                        <w:t>av</w:t>
                      </w:r>
                      <w:r w:rsidR="0063096B">
                        <w:rPr>
                          <w:color w:val="404040"/>
                          <w:sz w:val="36"/>
                        </w:rPr>
                        <w:t>e</w:t>
                      </w:r>
                      <w:r w:rsidR="00126F76">
                        <w:rPr>
                          <w:color w:val="404040"/>
                          <w:sz w:val="36"/>
                        </w:rPr>
                        <w:t xml:space="preserve"> </w:t>
                      </w:r>
                      <w:r w:rsidR="00475E5F">
                        <w:rPr>
                          <w:color w:val="404040"/>
                          <w:sz w:val="36"/>
                        </w:rPr>
                        <w:t>Banik</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69EA5B9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5EC7ED8B"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36F0D0D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4F890F7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58241583"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7B5A1A0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4AA57DC5"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49D6D8E4"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524B7300"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387AE7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773D523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0688D8C9"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4AF15CC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rsidP="00E412AE">
      <w:pPr>
        <w:jc w:val="both"/>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4503C221" w14:textId="77777777" w:rsidR="00530E16" w:rsidRDefault="004468F8">
      <w:pPr>
        <w:pStyle w:val="Heading1"/>
      </w:pPr>
      <w:bookmarkStart w:id="0" w:name="_Toc203606109"/>
      <w:r>
        <w:lastRenderedPageBreak/>
        <w:t>Section 1: Introducing the Research Paper and Topic Development</w:t>
      </w:r>
      <w:bookmarkEnd w:id="0"/>
    </w:p>
    <w:p w14:paraId="2D18A844" w14:textId="77777777" w:rsidR="00673D61" w:rsidRPr="00FB6F0A" w:rsidRDefault="00673D61" w:rsidP="00673D61">
      <w:pPr>
        <w:spacing w:line="360" w:lineRule="auto"/>
        <w:rPr>
          <w:rFonts w:asciiTheme="majorHAnsi" w:hAnsiTheme="majorHAnsi"/>
          <w:sz w:val="32"/>
          <w:szCs w:val="32"/>
        </w:rPr>
      </w:pPr>
      <w:r w:rsidRPr="00FB6F0A">
        <w:rPr>
          <w:rFonts w:asciiTheme="majorHAnsi" w:hAnsiTheme="majorHAnsi"/>
          <w:sz w:val="32"/>
          <w:szCs w:val="32"/>
        </w:rPr>
        <w:t>1.1 Paper Details (Title, Author(s) and Year of Publication)</w:t>
      </w:r>
    </w:p>
    <w:p w14:paraId="236DE3FD" w14:textId="14CBCDAF" w:rsidR="00E10231" w:rsidRPr="004374F9" w:rsidRDefault="004374F9" w:rsidP="00AA1B83">
      <w:pPr>
        <w:spacing w:line="360" w:lineRule="auto"/>
        <w:rPr>
          <w:rFonts w:ascii="Arial" w:eastAsia="Arial" w:hAnsi="Arial" w:cs="Arial"/>
          <w:sz w:val="22"/>
          <w:szCs w:val="22"/>
        </w:rPr>
      </w:pPr>
      <w:r w:rsidRPr="004374F9">
        <w:rPr>
          <w:rFonts w:ascii="Arial" w:eastAsia="Arial" w:hAnsi="Arial" w:cs="Arial"/>
          <w:sz w:val="22"/>
          <w:szCs w:val="22"/>
        </w:rPr>
        <w:t>This report examines a paper entitled “A cross-sectional study of discipline-based self-perceived digital literacy competencies of nursing student,” written by Konstantina Martzoukou, Errol Sadullah Luders, Jane Mair, Petros Kostagiolas, Neil Johnson, Fiona Work, and Crystal Fulton, Published in 2024</w:t>
      </w:r>
    </w:p>
    <w:p w14:paraId="30FB5D43" w14:textId="77777777" w:rsidR="004468F8" w:rsidRDefault="004468F8">
      <w:pPr>
        <w:spacing w:line="360" w:lineRule="auto"/>
        <w:jc w:val="both"/>
        <w:rPr>
          <w:rFonts w:ascii="Arial" w:eastAsia="Arial" w:hAnsi="Arial" w:cs="Arial"/>
          <w:sz w:val="22"/>
          <w:szCs w:val="22"/>
        </w:rPr>
      </w:pPr>
    </w:p>
    <w:p w14:paraId="3635A443" w14:textId="54191883" w:rsidR="00530E16" w:rsidRDefault="00E10231">
      <w:pPr>
        <w:pStyle w:val="Heading2"/>
        <w:jc w:val="both"/>
      </w:pPr>
      <w:bookmarkStart w:id="1" w:name="_Toc203606111"/>
      <w:r>
        <w:t>1.2 Main</w:t>
      </w:r>
      <w:r w:rsidR="004468F8">
        <w:t xml:space="preserve"> Topic or Problem Explored in the Paper</w:t>
      </w:r>
      <w:bookmarkEnd w:id="1"/>
    </w:p>
    <w:p w14:paraId="7E06FF6E" w14:textId="624A9C9B" w:rsidR="004468F8" w:rsidRPr="004374F9" w:rsidRDefault="004374F9" w:rsidP="00AA1B83">
      <w:pPr>
        <w:spacing w:line="360" w:lineRule="auto"/>
        <w:jc w:val="both"/>
        <w:rPr>
          <w:rFonts w:ascii="Arial" w:eastAsia="Arial" w:hAnsi="Arial" w:cs="Arial"/>
          <w:i/>
          <w:iCs/>
          <w:sz w:val="20"/>
          <w:szCs w:val="20"/>
        </w:rPr>
      </w:pPr>
      <w:r w:rsidRPr="004374F9">
        <w:rPr>
          <w:rFonts w:ascii="Arial" w:hAnsi="Arial" w:cs="Arial"/>
          <w:sz w:val="22"/>
          <w:szCs w:val="22"/>
        </w:rPr>
        <w:t>The investigators focused on assessing how comfortable and competent nursing students feel regarding various aspects of digital technology needed for their academic work and future careers. While today's clinical environments rely heavily on electronic workflows, healthcare education has historically been slow to systematically integrate customized digital competencies into the curriculum. Consequently, many students rely on unstructured personal experimentation or trial-and-error to learn essential academic and professional technologies. The study highlights this gap, evaluating where student confidence falls short in key areas like research tools and information management</w:t>
      </w:r>
    </w:p>
    <w:p w14:paraId="6D821233" w14:textId="62E0F415" w:rsidR="00530E16" w:rsidRDefault="00E10231">
      <w:pPr>
        <w:pStyle w:val="Heading2"/>
        <w:jc w:val="both"/>
      </w:pPr>
      <w:bookmarkStart w:id="2" w:name="_Toc203606112"/>
      <w:r>
        <w:t>1.3 Who</w:t>
      </w:r>
      <w:r w:rsidR="004468F8">
        <w:t xml:space="preserve"> Is the Research About?</w:t>
      </w:r>
      <w:bookmarkEnd w:id="2"/>
    </w:p>
    <w:p w14:paraId="183CD537" w14:textId="77777777" w:rsidR="004374F9" w:rsidRPr="004374F9" w:rsidRDefault="004374F9" w:rsidP="004374F9">
      <w:pPr>
        <w:rPr>
          <w:rFonts w:ascii="Arial" w:hAnsi="Arial" w:cs="Arial"/>
          <w:sz w:val="22"/>
          <w:szCs w:val="22"/>
        </w:rPr>
      </w:pPr>
      <w:bookmarkStart w:id="3" w:name="_Toc203606113"/>
      <w:r w:rsidRPr="004374F9">
        <w:rPr>
          <w:rFonts w:ascii="Arial" w:hAnsi="Arial" w:cs="Arial"/>
          <w:sz w:val="22"/>
          <w:szCs w:val="22"/>
        </w:rPr>
        <w:t>The research concentrates on a cohort of higher education students primarily enrolled in nursing, midwifery, and paramedic training programmes. Out of 182 active survey participants, nursing students formed the vast majority. This specific group was targeted because future nurses must evolve into digitally proficient professionals capable of navigating modern e-health systems. Understanding their baseline skills allows educators to identify critical learning shortfalls before these students transition to active medical environments.</w:t>
      </w:r>
    </w:p>
    <w:p w14:paraId="06A36977" w14:textId="174ECD6F" w:rsidR="00530E16" w:rsidRDefault="00E10231">
      <w:pPr>
        <w:pStyle w:val="Heading2"/>
        <w:jc w:val="both"/>
      </w:pPr>
      <w:r>
        <w:t>1.4 Why</w:t>
      </w:r>
      <w:r w:rsidR="004468F8">
        <w:t xml:space="preserve"> Is This Topic Important in UK Health and Social Care?</w:t>
      </w:r>
      <w:bookmarkEnd w:id="3"/>
    </w:p>
    <w:p w14:paraId="6EDF5A18" w14:textId="6F29CFA2" w:rsidR="004468F8" w:rsidRPr="00112373" w:rsidRDefault="004374F9" w:rsidP="00112373">
      <w:pPr>
        <w:rPr>
          <w:rFonts w:ascii="Arial" w:hAnsi="Arial" w:cs="Arial"/>
          <w:sz w:val="22"/>
          <w:szCs w:val="22"/>
        </w:rPr>
      </w:pPr>
      <w:r w:rsidRPr="00C02C3E">
        <w:rPr>
          <w:rFonts w:ascii="Arial" w:hAnsi="Arial" w:cs="Arial"/>
          <w:sz w:val="22"/>
          <w:szCs w:val="22"/>
        </w:rPr>
        <w:t>Digital literacy is no longer an optional or auxiliary asset; it is a fundamental requirement for clinical safety and patient care. The National Health Service (NHS) increasingly relies on electronic patient records (EPRs), telehealth interfaces, and automated notification channels to streamline diagnostic and clinical workflows. Professionals who lack baseline technical skills risk introducing documentation errors, causing operational inefficiencies, or struggling to adapt to modern health environments.</w:t>
      </w:r>
      <w:r>
        <w:rPr>
          <w:rFonts w:ascii="Arial" w:hAnsi="Arial" w:cs="Arial"/>
          <w:sz w:val="22"/>
          <w:szCs w:val="22"/>
        </w:rPr>
        <w:t xml:space="preserve"> </w:t>
      </w:r>
      <w:r w:rsidR="00242801" w:rsidRPr="00C02C3E">
        <w:rPr>
          <w:rFonts w:ascii="Arial" w:hAnsi="Arial" w:cs="Arial"/>
          <w:sz w:val="22"/>
          <w:szCs w:val="22"/>
        </w:rPr>
        <w:t>Further</w:t>
      </w:r>
      <w:r w:rsidR="00242801">
        <w:rPr>
          <w:rFonts w:ascii="Arial" w:hAnsi="Arial" w:cs="Arial"/>
          <w:sz w:val="22"/>
          <w:szCs w:val="22"/>
        </w:rPr>
        <w:t>m</w:t>
      </w:r>
      <w:r w:rsidR="00242801" w:rsidRPr="00C02C3E">
        <w:rPr>
          <w:rFonts w:ascii="Arial" w:hAnsi="Arial" w:cs="Arial"/>
          <w:sz w:val="22"/>
          <w:szCs w:val="22"/>
        </w:rPr>
        <w:t>ore</w:t>
      </w:r>
      <w:r w:rsidRPr="00C02C3E">
        <w:rPr>
          <w:rFonts w:ascii="Arial" w:hAnsi="Arial" w:cs="Arial"/>
          <w:sz w:val="22"/>
          <w:szCs w:val="22"/>
        </w:rPr>
        <w:t xml:space="preserve">, current UK national policies demand a structurally supportive framework to eradicate technological inequalities among healthcare staff. According to the </w:t>
      </w:r>
      <w:r w:rsidRPr="00C02C3E">
        <w:rPr>
          <w:rFonts w:ascii="Arial" w:hAnsi="Arial" w:cs="Arial"/>
          <w:sz w:val="22"/>
          <w:szCs w:val="22"/>
        </w:rPr>
        <w:t>Northeast</w:t>
      </w:r>
      <w:r w:rsidRPr="00C02C3E">
        <w:rPr>
          <w:rFonts w:ascii="Arial" w:hAnsi="Arial" w:cs="Arial"/>
          <w:sz w:val="22"/>
          <w:szCs w:val="22"/>
        </w:rPr>
        <w:t xml:space="preserve"> and North Cumbria Integrated Care Board Digital Strategy, continuous digital workforce training is essential to tackle widespread variations in technical </w:t>
      </w:r>
      <w:r w:rsidRPr="00C02C3E">
        <w:rPr>
          <w:rFonts w:ascii="Arial" w:hAnsi="Arial" w:cs="Arial"/>
          <w:sz w:val="22"/>
          <w:szCs w:val="22"/>
        </w:rPr>
        <w:lastRenderedPageBreak/>
        <w:t xml:space="preserve">familiarity across different demographics. Equipping future practitioners with unified digital research and data management skills directly satisfies national mandates aimed at building resilient, digitally competent healthcare </w:t>
      </w:r>
      <w:r w:rsidR="00112373" w:rsidRPr="00C02C3E">
        <w:rPr>
          <w:rFonts w:ascii="Arial" w:hAnsi="Arial" w:cs="Arial"/>
          <w:sz w:val="22"/>
          <w:szCs w:val="22"/>
        </w:rPr>
        <w:t>communities.</w:t>
      </w:r>
    </w:p>
    <w:p w14:paraId="59E92CFD" w14:textId="215AEF7A" w:rsidR="00E10231" w:rsidRPr="004374F9" w:rsidRDefault="004468F8" w:rsidP="004374F9">
      <w:pPr>
        <w:pStyle w:val="Heading1"/>
        <w:jc w:val="both"/>
      </w:pPr>
      <w:bookmarkStart w:id="4" w:name="_Toc203606114"/>
      <w:r>
        <w:t>Section 2: Understanding the Purpose and Research Question</w:t>
      </w:r>
      <w:bookmarkEnd w:id="4"/>
    </w:p>
    <w:p w14:paraId="7EC53AFE" w14:textId="616FBB1A" w:rsidR="004468F8" w:rsidRPr="00210D5A" w:rsidRDefault="004468F8">
      <w:pPr>
        <w:spacing w:line="360" w:lineRule="auto"/>
        <w:jc w:val="both"/>
        <w:rPr>
          <w:rFonts w:ascii="Arial" w:eastAsia="Arial" w:hAnsi="Arial" w:cs="Arial"/>
          <w:i/>
          <w:iCs/>
          <w:color w:val="FF0000"/>
          <w:sz w:val="22"/>
          <w:szCs w:val="22"/>
        </w:rPr>
      </w:pPr>
    </w:p>
    <w:p w14:paraId="6F7529E4" w14:textId="04CF172D" w:rsidR="004468F8" w:rsidRDefault="00210D5A">
      <w:pPr>
        <w:pStyle w:val="Heading2"/>
        <w:jc w:val="both"/>
      </w:pPr>
      <w:bookmarkStart w:id="5" w:name="_Toc203606115"/>
      <w:r>
        <w:t>2.1 Research</w:t>
      </w:r>
      <w:r w:rsidR="004468F8">
        <w:t xml:space="preserve"> Question(s) or Objectives</w:t>
      </w:r>
      <w:bookmarkEnd w:id="5"/>
    </w:p>
    <w:p w14:paraId="53965558" w14:textId="357EE66E" w:rsidR="000F15EC" w:rsidRPr="00CE2FD6" w:rsidRDefault="000F15EC" w:rsidP="00CE2FD6">
      <w:pPr>
        <w:pStyle w:val="Heading1"/>
        <w:jc w:val="both"/>
        <w:rPr>
          <w:rFonts w:ascii="Arial" w:hAnsi="Arial" w:cs="Arial"/>
          <w:color w:val="auto"/>
          <w:sz w:val="22"/>
          <w:szCs w:val="22"/>
        </w:rPr>
      </w:pPr>
      <w:bookmarkStart w:id="6" w:name="_Toc203606116"/>
      <w:r w:rsidRPr="00CE2FD6">
        <w:rPr>
          <w:rFonts w:ascii="Arial" w:hAnsi="Arial" w:cs="Arial"/>
          <w:color w:val="auto"/>
          <w:sz w:val="22"/>
          <w:szCs w:val="22"/>
        </w:rPr>
        <w:t xml:space="preserve">The core purpose of this study was to customize an overarching digital competency model to fit the exact technical demands of clinical and healthcare education. Paraphrased from the source text, the primary objectives </w:t>
      </w:r>
      <w:r w:rsidR="00AA57E7" w:rsidRPr="00CE2FD6">
        <w:rPr>
          <w:rFonts w:ascii="Arial" w:hAnsi="Arial" w:cs="Arial"/>
          <w:color w:val="auto"/>
          <w:sz w:val="22"/>
          <w:szCs w:val="22"/>
        </w:rPr>
        <w:t>were</w:t>
      </w:r>
      <w:r w:rsidRPr="00CE2FD6">
        <w:rPr>
          <w:rFonts w:ascii="Arial" w:hAnsi="Arial" w:cs="Arial"/>
          <w:color w:val="auto"/>
          <w:sz w:val="22"/>
          <w:szCs w:val="22"/>
        </w:rPr>
        <w:t xml:space="preserve"> Objective</w:t>
      </w:r>
      <w:r w:rsidRPr="00CE2FD6">
        <w:rPr>
          <w:rFonts w:ascii="Arial" w:hAnsi="Arial" w:cs="Arial"/>
          <w:color w:val="auto"/>
          <w:sz w:val="22"/>
          <w:szCs w:val="22"/>
        </w:rPr>
        <w:t xml:space="preserve"> 1: To modify an existing general digital competency survey using expert academic feedback to target specific healthcare </w:t>
      </w:r>
      <w:r w:rsidR="00AA57E7" w:rsidRPr="00CE2FD6">
        <w:rPr>
          <w:rFonts w:ascii="Arial" w:hAnsi="Arial" w:cs="Arial"/>
          <w:color w:val="auto"/>
          <w:sz w:val="22"/>
          <w:szCs w:val="22"/>
        </w:rPr>
        <w:t>tasks. Objective</w:t>
      </w:r>
      <w:r w:rsidRPr="00CE2FD6">
        <w:rPr>
          <w:rFonts w:ascii="Arial" w:hAnsi="Arial" w:cs="Arial"/>
          <w:color w:val="auto"/>
          <w:sz w:val="22"/>
          <w:szCs w:val="22"/>
        </w:rPr>
        <w:t xml:space="preserve"> 2: To administer the updated survey to evaluate students' technological capabilities and uncover differences across age groups and course </w:t>
      </w:r>
      <w:r w:rsidR="00AA57E7" w:rsidRPr="00CE2FD6">
        <w:rPr>
          <w:rFonts w:ascii="Arial" w:hAnsi="Arial" w:cs="Arial"/>
          <w:color w:val="auto"/>
          <w:sz w:val="22"/>
          <w:szCs w:val="22"/>
        </w:rPr>
        <w:t>types. Objective</w:t>
      </w:r>
      <w:r w:rsidRPr="00CE2FD6">
        <w:rPr>
          <w:rFonts w:ascii="Arial" w:hAnsi="Arial" w:cs="Arial"/>
          <w:color w:val="auto"/>
          <w:sz w:val="22"/>
          <w:szCs w:val="22"/>
        </w:rPr>
        <w:t xml:space="preserve"> 3: To review student feedback regarding the specific learning obstacles they face with digital </w:t>
      </w:r>
      <w:r w:rsidR="00AA57E7" w:rsidRPr="00CE2FD6">
        <w:rPr>
          <w:rFonts w:ascii="Arial" w:hAnsi="Arial" w:cs="Arial"/>
          <w:color w:val="auto"/>
          <w:sz w:val="22"/>
          <w:szCs w:val="22"/>
        </w:rPr>
        <w:t>platforms. Objective</w:t>
      </w:r>
      <w:r w:rsidRPr="00CE2FD6">
        <w:rPr>
          <w:rFonts w:ascii="Arial" w:hAnsi="Arial" w:cs="Arial"/>
          <w:color w:val="auto"/>
          <w:sz w:val="22"/>
          <w:szCs w:val="22"/>
        </w:rPr>
        <w:t xml:space="preserve"> 4: To establish tailored guidelines and consolidate practical educational assets for building health-related </w:t>
      </w:r>
      <w:r w:rsidR="006C5299" w:rsidRPr="00CE2FD6">
        <w:rPr>
          <w:rFonts w:ascii="Arial" w:hAnsi="Arial" w:cs="Arial"/>
          <w:color w:val="auto"/>
          <w:sz w:val="22"/>
          <w:szCs w:val="22"/>
        </w:rPr>
        <w:t>literacy. Additionally</w:t>
      </w:r>
      <w:r w:rsidRPr="00CE2FD6">
        <w:rPr>
          <w:rFonts w:ascii="Arial" w:hAnsi="Arial" w:cs="Arial"/>
          <w:color w:val="auto"/>
          <w:sz w:val="22"/>
          <w:szCs w:val="22"/>
        </w:rPr>
        <w:t>, the authors tested two working hypotheses: Hypothesis 1 (H1) stated that student digital competency directly varies by age group, and Hypothesis 2 (H2) proposed that technical skills differ significantly between pre-registration and post-registration students.</w:t>
      </w:r>
    </w:p>
    <w:p w14:paraId="63BD9E0B" w14:textId="71B869C2" w:rsidR="004468F8" w:rsidRPr="000F15EC" w:rsidRDefault="004468F8" w:rsidP="000F15EC">
      <w:pPr>
        <w:pStyle w:val="Heading1"/>
        <w:jc w:val="both"/>
      </w:pPr>
      <w:r>
        <w:t>Section 3: Understanding the Research Methods</w:t>
      </w:r>
      <w:bookmarkEnd w:id="6"/>
    </w:p>
    <w:p w14:paraId="7C64E5FB" w14:textId="25122959" w:rsidR="004468F8" w:rsidRDefault="00E10231">
      <w:pPr>
        <w:pStyle w:val="Heading2"/>
        <w:jc w:val="both"/>
      </w:pPr>
      <w:bookmarkStart w:id="7" w:name="_Toc203606117"/>
      <w:r>
        <w:t>3.1 Overview</w:t>
      </w:r>
      <w:r w:rsidR="004468F8">
        <w:t xml:space="preserve"> of Quantitative, Qualitative, and Mixed-Methods Research</w:t>
      </w:r>
      <w:bookmarkEnd w:id="7"/>
    </w:p>
    <w:p w14:paraId="286A3B94" w14:textId="330B6769" w:rsidR="000F15EC" w:rsidRPr="00CE2FD6" w:rsidRDefault="000F15EC" w:rsidP="000F15EC">
      <w:pPr>
        <w:rPr>
          <w:rFonts w:ascii="Arial" w:hAnsi="Arial" w:cs="Arial"/>
          <w:sz w:val="22"/>
          <w:szCs w:val="22"/>
        </w:rPr>
      </w:pPr>
      <w:r w:rsidRPr="00CE2FD6">
        <w:rPr>
          <w:rFonts w:ascii="Arial" w:hAnsi="Arial" w:cs="Arial"/>
          <w:sz w:val="22"/>
          <w:szCs w:val="22"/>
        </w:rPr>
        <w:t xml:space="preserve">Research strategies in social and health studies fall into three main methodologies, each defined by how data is grouped, gathered, and </w:t>
      </w:r>
      <w:r w:rsidRPr="00CE2FD6">
        <w:rPr>
          <w:rFonts w:ascii="Arial" w:hAnsi="Arial" w:cs="Arial"/>
          <w:sz w:val="22"/>
          <w:szCs w:val="22"/>
        </w:rPr>
        <w:t>understood: Quantitative</w:t>
      </w:r>
      <w:r w:rsidRPr="00CE2FD6">
        <w:rPr>
          <w:rFonts w:ascii="Arial" w:hAnsi="Arial" w:cs="Arial"/>
          <w:sz w:val="22"/>
          <w:szCs w:val="22"/>
        </w:rPr>
        <w:t xml:space="preserve"> Research: This approach </w:t>
      </w:r>
      <w:r w:rsidR="00CE2FD6" w:rsidRPr="00CE2FD6">
        <w:rPr>
          <w:rFonts w:ascii="Arial" w:hAnsi="Arial" w:cs="Arial"/>
          <w:sz w:val="22"/>
          <w:szCs w:val="22"/>
        </w:rPr>
        <w:t>centre’s</w:t>
      </w:r>
      <w:r w:rsidRPr="00CE2FD6">
        <w:rPr>
          <w:rFonts w:ascii="Arial" w:hAnsi="Arial" w:cs="Arial"/>
          <w:sz w:val="22"/>
          <w:szCs w:val="22"/>
        </w:rPr>
        <w:t xml:space="preserve"> on gathering numerical measurements and applying statistical equations to identify patterns, prove or disprove hypotheses, and generalise findings across a larger population. An example within social care includes deploying a closed-ended survey to calculate the precise percentage of staff who use an online portal </w:t>
      </w:r>
      <w:r w:rsidRPr="00CE2FD6">
        <w:rPr>
          <w:rFonts w:ascii="Arial" w:hAnsi="Arial" w:cs="Arial"/>
          <w:sz w:val="22"/>
          <w:szCs w:val="22"/>
        </w:rPr>
        <w:t>daily. Qualitative</w:t>
      </w:r>
      <w:r w:rsidRPr="00CE2FD6">
        <w:rPr>
          <w:rFonts w:ascii="Arial" w:hAnsi="Arial" w:cs="Arial"/>
          <w:sz w:val="22"/>
          <w:szCs w:val="22"/>
        </w:rPr>
        <w:t xml:space="preserve"> Research: This method focuses on exploring subjective human viewpoints, personal narratives, and lived experiences by </w:t>
      </w:r>
      <w:r w:rsidRPr="00CE2FD6">
        <w:rPr>
          <w:rFonts w:ascii="Arial" w:hAnsi="Arial" w:cs="Arial"/>
          <w:sz w:val="22"/>
          <w:szCs w:val="22"/>
        </w:rPr>
        <w:t>analysing</w:t>
      </w:r>
      <w:r w:rsidRPr="00CE2FD6">
        <w:rPr>
          <w:rFonts w:ascii="Arial" w:hAnsi="Arial" w:cs="Arial"/>
          <w:sz w:val="22"/>
          <w:szCs w:val="22"/>
        </w:rPr>
        <w:t xml:space="preserve"> textual or verbal data. An example includes conducting unstructured focus groups with hospital patients to uncover their emotional comfort levels when using telehealth </w:t>
      </w:r>
      <w:r w:rsidRPr="00CE2FD6">
        <w:rPr>
          <w:rFonts w:ascii="Arial" w:hAnsi="Arial" w:cs="Arial"/>
          <w:sz w:val="22"/>
          <w:szCs w:val="22"/>
        </w:rPr>
        <w:t>applications. Mixed</w:t>
      </w:r>
      <w:r w:rsidRPr="00CE2FD6">
        <w:rPr>
          <w:rFonts w:ascii="Arial" w:hAnsi="Arial" w:cs="Arial"/>
          <w:sz w:val="22"/>
          <w:szCs w:val="22"/>
        </w:rPr>
        <w:t>-Methods Research: This strategy purposely integrates both quantitative numbers and qualitative text within a single project to achieve a comprehensive understanding of the topic. An example involves using a wide-scale digital survey to track staff performance metrics while utilizing face-to-face follow-up interviews to understand the specific barriers causing those scores.</w:t>
      </w:r>
    </w:p>
    <w:p w14:paraId="67A9437E" w14:textId="4A59F5C3" w:rsidR="004468F8" w:rsidRPr="00760D52" w:rsidRDefault="004468F8" w:rsidP="00A970C6"/>
    <w:p w14:paraId="638F19CE" w14:textId="7F9093E6" w:rsidR="004468F8" w:rsidRDefault="00E10231">
      <w:pPr>
        <w:pStyle w:val="Heading2"/>
        <w:jc w:val="both"/>
      </w:pPr>
      <w:bookmarkStart w:id="8" w:name="_Toc203606118"/>
      <w:r>
        <w:lastRenderedPageBreak/>
        <w:t>3.2 Research</w:t>
      </w:r>
      <w:r w:rsidR="004468F8">
        <w:t xml:space="preserve"> Methodology Used in Your Chosen Paper and Why</w:t>
      </w:r>
      <w:bookmarkEnd w:id="8"/>
    </w:p>
    <w:p w14:paraId="289A8610" w14:textId="4FA8B7A6" w:rsidR="000F15EC" w:rsidRPr="00CE2FD6" w:rsidRDefault="000F15EC" w:rsidP="00CE2FD6">
      <w:pPr>
        <w:pStyle w:val="Heading2"/>
        <w:jc w:val="both"/>
        <w:rPr>
          <w:rFonts w:ascii="Arial" w:hAnsi="Arial" w:cs="Arial"/>
          <w:color w:val="auto"/>
          <w:sz w:val="22"/>
          <w:szCs w:val="22"/>
        </w:rPr>
      </w:pPr>
      <w:bookmarkStart w:id="9" w:name="_Toc203606119"/>
      <w:r w:rsidRPr="00CE2FD6">
        <w:rPr>
          <w:rFonts w:ascii="Arial" w:hAnsi="Arial" w:cs="Arial"/>
          <w:color w:val="auto"/>
          <w:sz w:val="22"/>
          <w:szCs w:val="22"/>
        </w:rPr>
        <w:t>The investigated paper utilizes a cross-sectional empirical quantitative design supported by targeted qualitative open-ended questions. This quantitative focus was highly appropriate because the primary goal required measuring, categorizing, and statistically verifying the digital capability levels of a large population across multiple specific technological sub-dimensions.</w:t>
      </w:r>
      <w:r w:rsidR="00ED63B1">
        <w:rPr>
          <w:rFonts w:ascii="Arial" w:hAnsi="Arial" w:cs="Arial"/>
          <w:color w:val="auto"/>
          <w:sz w:val="22"/>
          <w:szCs w:val="22"/>
        </w:rPr>
        <w:t xml:space="preserve"> </w:t>
      </w:r>
      <w:proofErr w:type="gramStart"/>
      <w:r w:rsidRPr="00CE2FD6">
        <w:rPr>
          <w:rFonts w:ascii="Arial" w:hAnsi="Arial" w:cs="Arial"/>
          <w:color w:val="auto"/>
          <w:sz w:val="22"/>
          <w:szCs w:val="22"/>
        </w:rPr>
        <w:t>By</w:t>
      </w:r>
      <w:proofErr w:type="gramEnd"/>
      <w:r w:rsidRPr="00CE2FD6">
        <w:rPr>
          <w:rFonts w:ascii="Arial" w:hAnsi="Arial" w:cs="Arial"/>
          <w:color w:val="auto"/>
          <w:sz w:val="22"/>
          <w:szCs w:val="22"/>
        </w:rPr>
        <w:t xml:space="preserve"> using numeric scales, the researchers could effectively use non-parametric tests like Mann-Whitney and Kruskal-Wallis to verify statistically significant differences between diverse age groups and course registration tracks. This structured mathematical layout successfully confirmed or rejected their baseline hypotheses in an objective, replicable format</w:t>
      </w:r>
    </w:p>
    <w:p w14:paraId="6B925483" w14:textId="389433F8" w:rsidR="004468F8" w:rsidRPr="000F15EC" w:rsidRDefault="004468F8">
      <w:pPr>
        <w:pStyle w:val="Heading2"/>
        <w:jc w:val="both"/>
        <w:rPr>
          <w:rFonts w:cs="Arial"/>
        </w:rPr>
      </w:pPr>
      <w:r w:rsidRPr="000F15EC">
        <w:rPr>
          <w:rFonts w:cs="Arial"/>
        </w:rPr>
        <w:t>3.3 Primary and Secondary Data: Definitions, Differences, and Application to Your Paper</w:t>
      </w:r>
      <w:bookmarkEnd w:id="9"/>
    </w:p>
    <w:p w14:paraId="546B3C85" w14:textId="134BAC66" w:rsidR="000F15EC" w:rsidRDefault="000F15EC" w:rsidP="000F15EC">
      <w:bookmarkStart w:id="10" w:name="_Toc203606120"/>
      <w:r w:rsidRPr="00D93DEB">
        <w:rPr>
          <w:rFonts w:ascii="Arial" w:hAnsi="Arial" w:cs="Arial"/>
          <w:sz w:val="22"/>
          <w:szCs w:val="22"/>
        </w:rPr>
        <w:t>Definitions and Differences: Primary data consists of original information collected directly by the investigators for the specific requirements of their ongoing project. In contrast, secondary data involves using historical information, public registries, or literature repositories previously compiled by a separate party for an entirely different purpose.</w:t>
      </w:r>
      <w:r w:rsidR="00ED63B1" w:rsidRPr="00D93DEB">
        <w:rPr>
          <w:rFonts w:ascii="Arial" w:hAnsi="Arial" w:cs="Arial"/>
          <w:sz w:val="22"/>
          <w:szCs w:val="22"/>
        </w:rPr>
        <w:t xml:space="preserve"> </w:t>
      </w:r>
      <w:r w:rsidRPr="00D93DEB">
        <w:rPr>
          <w:rFonts w:ascii="Arial" w:hAnsi="Arial" w:cs="Arial"/>
          <w:sz w:val="22"/>
          <w:szCs w:val="22"/>
        </w:rPr>
        <w:t>Applicatio</w:t>
      </w:r>
      <w:r w:rsidR="00E90FC1">
        <w:rPr>
          <w:rFonts w:ascii="Arial" w:hAnsi="Arial" w:cs="Arial"/>
          <w:sz w:val="22"/>
          <w:szCs w:val="22"/>
        </w:rPr>
        <w:t>n</w:t>
      </w:r>
      <w:r w:rsidRPr="00D93DEB">
        <w:rPr>
          <w:rFonts w:ascii="Arial" w:hAnsi="Arial" w:cs="Arial"/>
          <w:sz w:val="22"/>
          <w:szCs w:val="22"/>
        </w:rPr>
        <w:t xml:space="preserve"> to the Paper: The authors gathered primary data by distributing a customized questionnaire directly to the school's active student body via secure emails from November to December 2021. The survey asked students to rank their skills from Level 1 (Novice) to Level 5 (Expert) across 14 distinct digital </w:t>
      </w:r>
      <w:r w:rsidR="00D93DEB" w:rsidRPr="00D93DEB">
        <w:rPr>
          <w:rFonts w:ascii="Arial" w:hAnsi="Arial" w:cs="Arial"/>
          <w:sz w:val="22"/>
          <w:szCs w:val="22"/>
        </w:rPr>
        <w:t>modules. Data</w:t>
      </w:r>
      <w:r w:rsidRPr="00D93DEB">
        <w:rPr>
          <w:rFonts w:ascii="Arial" w:hAnsi="Arial" w:cs="Arial"/>
          <w:sz w:val="22"/>
          <w:szCs w:val="22"/>
        </w:rPr>
        <w:t xml:space="preserve"> Analysis: The numerical dataset was processed using IBM SPSS Statistics (v28). Reliability was tested via Cronbach’s alpha, while descriptive parameters like modes and medians established baseline strengths and weaknesses. Because the data distribution was non-normal, non-parametric group comparative statistics were used to establish clear performance patterns across age and registration brackets</w:t>
      </w:r>
      <w:r w:rsidRPr="00C02C3E">
        <w:t>.</w:t>
      </w:r>
    </w:p>
    <w:p w14:paraId="5625A96E" w14:textId="77777777" w:rsidR="00530E16" w:rsidRDefault="004468F8">
      <w:pPr>
        <w:pStyle w:val="Heading1"/>
        <w:jc w:val="both"/>
      </w:pPr>
      <w:r>
        <w:t>Section 4: Conclusion</w:t>
      </w:r>
      <w:bookmarkEnd w:id="10"/>
    </w:p>
    <w:p w14:paraId="296044E5" w14:textId="3098D123" w:rsidR="004468F8" w:rsidRPr="00D93DEB" w:rsidRDefault="000F15EC" w:rsidP="00D93DEB">
      <w:pPr>
        <w:rPr>
          <w:rFonts w:ascii="Arial" w:hAnsi="Arial" w:cs="Arial"/>
          <w:sz w:val="22"/>
          <w:szCs w:val="22"/>
        </w:rPr>
      </w:pPr>
      <w:r w:rsidRPr="00D93DEB">
        <w:rPr>
          <w:rFonts w:ascii="Arial" w:hAnsi="Arial" w:cs="Arial"/>
          <w:sz w:val="22"/>
          <w:szCs w:val="22"/>
        </w:rPr>
        <w:t>This report evaluated a comprehensive investigation into the self-assessed digital literacy of modern nursing students. The evidence indicates that while students demonstrate advanced confidence utilizing daily communication platforms and social media, they experience meaningful skill deficiencies in professional data management, digital research tools, academic referencing, and clinical simulations. The study successfully confirmed its core hypotheses, proving that younger learners and pre-registration students consistently score higher than post-registration practitioners and mature age brackets. This highlights a distinct requirement for institutional learning support tailored to individual student demographics.</w:t>
      </w:r>
      <w:r w:rsidR="00465668">
        <w:rPr>
          <w:rFonts w:ascii="Arial" w:hAnsi="Arial" w:cs="Arial"/>
          <w:sz w:val="22"/>
          <w:szCs w:val="22"/>
        </w:rPr>
        <w:t xml:space="preserve"> </w:t>
      </w:r>
      <w:r w:rsidR="00475E5F" w:rsidRPr="00D93DEB">
        <w:rPr>
          <w:rFonts w:ascii="Arial" w:hAnsi="Arial" w:cs="Arial"/>
          <w:sz w:val="22"/>
          <w:szCs w:val="22"/>
        </w:rPr>
        <w:t>Reviewing</w:t>
      </w:r>
      <w:r w:rsidRPr="00D93DEB">
        <w:rPr>
          <w:rFonts w:ascii="Arial" w:hAnsi="Arial" w:cs="Arial"/>
          <w:sz w:val="22"/>
          <w:szCs w:val="22"/>
        </w:rPr>
        <w:t xml:space="preserve"> this research paper provides valuable personal insights into fundamental academic and career skills. Understanding the functional differences between primary data surveys and qualitative analysis highlights how structured investigations are designed, verified, and executed. Professionally, this highlights that digital literacy encompasses far more than basic computer operation; it demands critical evaluation, strict data security, and an active commitment to evidence-based practice. Developing a proactive, adaptive mindset toward new clinical software and online databases is essential to deliver efficient, safe, and modern patient care within the evolving healthcare</w:t>
      </w:r>
      <w:r w:rsidR="009C46CC">
        <w:rPr>
          <w:rFonts w:ascii="Arial" w:hAnsi="Arial" w:cs="Arial"/>
          <w:sz w:val="22"/>
          <w:szCs w:val="22"/>
        </w:rPr>
        <w:t>.</w:t>
      </w:r>
    </w:p>
    <w:p w14:paraId="6D3FD30A" w14:textId="77777777" w:rsidR="00530E16" w:rsidRDefault="004468F8">
      <w:pPr>
        <w:pStyle w:val="Heading1"/>
      </w:pPr>
      <w:bookmarkStart w:id="11" w:name="_Toc203606121"/>
      <w:r>
        <w:lastRenderedPageBreak/>
        <w:t>References</w:t>
      </w:r>
      <w:bookmarkEnd w:id="11"/>
    </w:p>
    <w:p w14:paraId="4B86CA09" w14:textId="77777777" w:rsidR="0097194A" w:rsidRPr="009C46CC" w:rsidRDefault="000F15EC">
      <w:pPr>
        <w:spacing w:line="360" w:lineRule="auto"/>
        <w:jc w:val="both"/>
        <w:rPr>
          <w:rFonts w:ascii="Arial" w:hAnsi="Arial" w:cs="Arial"/>
          <w:sz w:val="22"/>
          <w:szCs w:val="22"/>
        </w:rPr>
      </w:pPr>
      <w:proofErr w:type="spellStart"/>
      <w:r w:rsidRPr="009C46CC">
        <w:rPr>
          <w:rFonts w:ascii="Arial" w:hAnsi="Arial" w:cs="Arial"/>
          <w:sz w:val="22"/>
          <w:szCs w:val="22"/>
        </w:rPr>
        <w:t>Martzoukou</w:t>
      </w:r>
      <w:proofErr w:type="spellEnd"/>
      <w:r w:rsidRPr="009C46CC">
        <w:rPr>
          <w:rFonts w:ascii="Arial" w:hAnsi="Arial" w:cs="Arial"/>
          <w:sz w:val="22"/>
          <w:szCs w:val="22"/>
        </w:rPr>
        <w:t xml:space="preserve">, K., Luders, E.S., Mair, J., </w:t>
      </w:r>
      <w:proofErr w:type="spellStart"/>
      <w:r w:rsidRPr="009C46CC">
        <w:rPr>
          <w:rFonts w:ascii="Arial" w:hAnsi="Arial" w:cs="Arial"/>
          <w:sz w:val="22"/>
          <w:szCs w:val="22"/>
        </w:rPr>
        <w:t>Kostagiolas</w:t>
      </w:r>
      <w:proofErr w:type="spellEnd"/>
      <w:r w:rsidRPr="009C46CC">
        <w:rPr>
          <w:rFonts w:ascii="Arial" w:hAnsi="Arial" w:cs="Arial"/>
          <w:sz w:val="22"/>
          <w:szCs w:val="22"/>
        </w:rPr>
        <w:t xml:space="preserve">, P., Johnson, N., Work, F. &amp; Fulton, C. (2024) ‘A cross-sectional study of discipline-based self-perceived digital literacy competencies of nursing students’, Journal of Advanced Nursing, 80(3), pp. 656–672.National Health Service (2018) A health and care digital capabilities framework. Available at: </w:t>
      </w:r>
      <w:r w:rsidRPr="009C46CC">
        <w:rPr>
          <w:rFonts w:ascii="Arial" w:hAnsi="Arial" w:cs="Arial"/>
          <w:b/>
          <w:bCs/>
          <w:sz w:val="22"/>
          <w:szCs w:val="22"/>
          <w:u w:val="single"/>
        </w:rPr>
        <w:t>rcn.org.uk</w:t>
      </w:r>
      <w:r w:rsidRPr="009C46CC">
        <w:rPr>
          <w:rFonts w:ascii="Arial" w:hAnsi="Arial" w:cs="Arial"/>
          <w:sz w:val="22"/>
          <w:szCs w:val="22"/>
        </w:rPr>
        <w:t xml:space="preserve"> (Accessed: 3 August 2026).</w:t>
      </w:r>
    </w:p>
    <w:p w14:paraId="0F523567" w14:textId="77777777" w:rsidR="0097194A" w:rsidRPr="009C46CC" w:rsidRDefault="000F15EC">
      <w:pPr>
        <w:spacing w:line="360" w:lineRule="auto"/>
        <w:jc w:val="both"/>
        <w:rPr>
          <w:rFonts w:ascii="Arial" w:hAnsi="Arial" w:cs="Arial"/>
          <w:sz w:val="22"/>
          <w:szCs w:val="22"/>
        </w:rPr>
      </w:pPr>
      <w:r w:rsidRPr="009C46CC">
        <w:rPr>
          <w:rFonts w:ascii="Arial" w:hAnsi="Arial" w:cs="Arial"/>
          <w:sz w:val="22"/>
          <w:szCs w:val="22"/>
        </w:rPr>
        <w:t xml:space="preserve">National Health Service England (2024) Digital skills for patients. Available at: </w:t>
      </w:r>
      <w:hyperlink r:id="rId10" w:tgtFrame="_blank" w:history="1">
        <w:r w:rsidRPr="009C46CC">
          <w:rPr>
            <w:rStyle w:val="Hyperlink"/>
            <w:rFonts w:ascii="Arial" w:hAnsi="Arial" w:cs="Arial"/>
            <w:b/>
            <w:bCs/>
            <w:color w:val="auto"/>
            <w:sz w:val="22"/>
            <w:szCs w:val="22"/>
          </w:rPr>
          <w:t>https://www.england.nhs.uk/long-read/digital-skills-for-patients/</w:t>
        </w:r>
      </w:hyperlink>
      <w:r w:rsidRPr="009C46CC">
        <w:rPr>
          <w:rFonts w:ascii="Arial" w:hAnsi="Arial" w:cs="Arial"/>
          <w:sz w:val="22"/>
          <w:szCs w:val="22"/>
        </w:rPr>
        <w:t xml:space="preserve"> (Accessed: 3 August 2026).</w:t>
      </w:r>
    </w:p>
    <w:p w14:paraId="774D4435" w14:textId="0ED04F5D" w:rsidR="0097194A" w:rsidRPr="009C46CC" w:rsidRDefault="0097194A">
      <w:pPr>
        <w:spacing w:line="360" w:lineRule="auto"/>
        <w:jc w:val="both"/>
        <w:rPr>
          <w:rFonts w:ascii="Arial" w:hAnsi="Arial" w:cs="Arial"/>
          <w:sz w:val="22"/>
          <w:szCs w:val="22"/>
        </w:rPr>
      </w:pPr>
      <w:r w:rsidRPr="009C46CC">
        <w:rPr>
          <w:rFonts w:ascii="Arial" w:hAnsi="Arial" w:cs="Arial"/>
          <w:sz w:val="22"/>
          <w:szCs w:val="22"/>
        </w:rPr>
        <w:t>Northeast</w:t>
      </w:r>
      <w:r w:rsidR="000F15EC" w:rsidRPr="009C46CC">
        <w:rPr>
          <w:rFonts w:ascii="Arial" w:hAnsi="Arial" w:cs="Arial"/>
          <w:sz w:val="22"/>
          <w:szCs w:val="22"/>
        </w:rPr>
        <w:t xml:space="preserve"> and North Cumbria Integrated Care Board (2024) Digital Inclusion Strategy 2024-</w:t>
      </w:r>
      <w:r w:rsidR="009C46CC" w:rsidRPr="009C46CC">
        <w:rPr>
          <w:rFonts w:ascii="Arial" w:hAnsi="Arial" w:cs="Arial"/>
          <w:sz w:val="22"/>
          <w:szCs w:val="22"/>
        </w:rPr>
        <w:t>26. Available</w:t>
      </w:r>
      <w:r w:rsidR="000F15EC" w:rsidRPr="009C46CC">
        <w:rPr>
          <w:rFonts w:ascii="Arial" w:hAnsi="Arial" w:cs="Arial"/>
          <w:sz w:val="22"/>
          <w:szCs w:val="22"/>
        </w:rPr>
        <w:t xml:space="preserve"> at: </w:t>
      </w:r>
      <w:hyperlink r:id="rId11" w:tgtFrame="_blank" w:history="1">
        <w:r w:rsidR="000F15EC" w:rsidRPr="009C46CC">
          <w:rPr>
            <w:rStyle w:val="Hyperlink"/>
            <w:rFonts w:ascii="Arial" w:hAnsi="Arial" w:cs="Arial"/>
            <w:b/>
            <w:bCs/>
            <w:color w:val="auto"/>
            <w:sz w:val="22"/>
            <w:szCs w:val="22"/>
          </w:rPr>
          <w:t>https://northeastnorthcumbria.nhs.uk/media/vt0p2ha3/nenc-ics_digital-inclusion-strategy_2024-26_v1.pdf</w:t>
        </w:r>
      </w:hyperlink>
      <w:r w:rsidR="000F15EC" w:rsidRPr="009C46CC">
        <w:rPr>
          <w:rFonts w:ascii="Arial" w:hAnsi="Arial" w:cs="Arial"/>
          <w:sz w:val="22"/>
          <w:szCs w:val="22"/>
        </w:rPr>
        <w:t xml:space="preserve"> (Accessed: 3 August 2026).</w:t>
      </w:r>
    </w:p>
    <w:p w14:paraId="50167541" w14:textId="533A1BE7" w:rsidR="00E10231" w:rsidRPr="009C46CC" w:rsidRDefault="000F15EC">
      <w:pPr>
        <w:spacing w:line="360" w:lineRule="auto"/>
        <w:jc w:val="both"/>
        <w:rPr>
          <w:rFonts w:ascii="Arial" w:eastAsia="Arial" w:hAnsi="Arial" w:cs="Arial"/>
          <w:i/>
          <w:iCs/>
          <w:sz w:val="20"/>
          <w:szCs w:val="20"/>
        </w:rPr>
      </w:pPr>
      <w:r w:rsidRPr="009C46CC">
        <w:rPr>
          <w:rFonts w:ascii="Arial" w:hAnsi="Arial" w:cs="Arial"/>
          <w:sz w:val="22"/>
          <w:szCs w:val="22"/>
        </w:rPr>
        <w:t>O'Connor, S., Jolliffe, S., Stanmore, E., Renwick, L., Schmitt, T. &amp; Booth, R. (2017) ‘A mixed study systematic review of social media in nursing and midwifery education: Protocol’, Journal of Advanced Nursing, 73(pp.1989–1996.Imperial College Healthcare NHS Trust Case Study (2024) ‘Improving nurses' digital literacy and engagement with digital workflows through a data-driven education model’, Nursing Management, 29(3), pp. 149-155</w:t>
      </w:r>
    </w:p>
    <w:p w14:paraId="0296760F" w14:textId="77777777" w:rsidR="004468F8" w:rsidRDefault="004468F8">
      <w:pPr>
        <w:spacing w:line="360" w:lineRule="auto"/>
        <w:jc w:val="both"/>
        <w:rPr>
          <w:rFonts w:ascii="Arial" w:eastAsia="Arial" w:hAnsi="Arial" w:cs="Arial"/>
          <w:sz w:val="22"/>
          <w:szCs w:val="22"/>
        </w:rPr>
      </w:pPr>
    </w:p>
    <w:p w14:paraId="613BD4F8" w14:textId="77777777" w:rsidR="004468F8" w:rsidRDefault="004468F8">
      <w:pPr>
        <w:spacing w:line="360" w:lineRule="auto"/>
        <w:jc w:val="both"/>
        <w:rPr>
          <w:rFonts w:ascii="Arial" w:eastAsia="Arial" w:hAnsi="Arial" w:cs="Arial"/>
          <w:sz w:val="22"/>
          <w:szCs w:val="22"/>
        </w:rPr>
      </w:pPr>
    </w:p>
    <w:p w14:paraId="4F661ECA" w14:textId="77777777" w:rsidR="004468F8" w:rsidRDefault="004468F8">
      <w:pPr>
        <w:spacing w:line="360" w:lineRule="auto"/>
        <w:jc w:val="both"/>
        <w:rPr>
          <w:rFonts w:ascii="Arial" w:eastAsia="Arial" w:hAnsi="Arial" w:cs="Arial"/>
          <w:sz w:val="22"/>
          <w:szCs w:val="22"/>
        </w:rPr>
      </w:pPr>
    </w:p>
    <w:p w14:paraId="1BB7FD0F" w14:textId="77777777" w:rsidR="004468F8" w:rsidRDefault="004468F8">
      <w:pPr>
        <w:spacing w:line="360" w:lineRule="auto"/>
        <w:jc w:val="both"/>
        <w:rPr>
          <w:rFonts w:ascii="Arial" w:eastAsia="Arial" w:hAnsi="Arial" w:cs="Arial"/>
          <w:sz w:val="22"/>
          <w:szCs w:val="22"/>
        </w:rPr>
      </w:pPr>
    </w:p>
    <w:p w14:paraId="7C73DB79" w14:textId="77777777" w:rsidR="004468F8" w:rsidRDefault="004468F8">
      <w:pPr>
        <w:spacing w:line="360" w:lineRule="auto"/>
        <w:jc w:val="both"/>
        <w:rPr>
          <w:rFonts w:ascii="Arial" w:eastAsia="Arial" w:hAnsi="Arial" w:cs="Arial"/>
          <w:sz w:val="22"/>
          <w:szCs w:val="22"/>
        </w:rPr>
      </w:pPr>
    </w:p>
    <w:p w14:paraId="03B7A58D" w14:textId="77777777" w:rsidR="004468F8" w:rsidRDefault="004468F8">
      <w:pPr>
        <w:spacing w:line="360" w:lineRule="auto"/>
        <w:jc w:val="both"/>
        <w:rPr>
          <w:rFonts w:ascii="Arial" w:eastAsia="Arial" w:hAnsi="Arial" w:cs="Arial"/>
          <w:sz w:val="22"/>
          <w:szCs w:val="22"/>
        </w:rPr>
      </w:pPr>
    </w:p>
    <w:p w14:paraId="3756B79D" w14:textId="77777777" w:rsidR="004468F8" w:rsidRDefault="004468F8">
      <w:pPr>
        <w:spacing w:line="360" w:lineRule="auto"/>
        <w:jc w:val="both"/>
        <w:rPr>
          <w:rFonts w:ascii="Arial" w:eastAsia="Arial" w:hAnsi="Arial" w:cs="Arial"/>
          <w:sz w:val="22"/>
          <w:szCs w:val="22"/>
        </w:rPr>
      </w:pPr>
    </w:p>
    <w:p w14:paraId="14CECE04" w14:textId="77777777" w:rsidR="004468F8" w:rsidRDefault="004468F8">
      <w:pPr>
        <w:spacing w:line="360" w:lineRule="auto"/>
        <w:jc w:val="both"/>
        <w:rPr>
          <w:rFonts w:ascii="Arial" w:eastAsia="Arial" w:hAnsi="Arial" w:cs="Arial"/>
          <w:sz w:val="22"/>
          <w:szCs w:val="22"/>
        </w:rPr>
      </w:pPr>
    </w:p>
    <w:p w14:paraId="5CC229F8" w14:textId="77777777" w:rsidR="004468F8" w:rsidRDefault="004468F8">
      <w:pPr>
        <w:spacing w:line="360" w:lineRule="auto"/>
        <w:jc w:val="both"/>
        <w:rPr>
          <w:rFonts w:ascii="Arial" w:eastAsia="Arial" w:hAnsi="Arial" w:cs="Arial"/>
          <w:sz w:val="22"/>
          <w:szCs w:val="22"/>
        </w:rPr>
      </w:pPr>
    </w:p>
    <w:p w14:paraId="1FD109FA" w14:textId="77777777" w:rsidR="00530E16" w:rsidRDefault="00530E16">
      <w:pPr>
        <w:rPr>
          <w:rFonts w:ascii="Arial" w:eastAsia="Arial" w:hAnsi="Arial" w:cs="Arial"/>
        </w:rPr>
      </w:pPr>
    </w:p>
    <w:sectPr w:rsidR="00530E16" w:rsidSect="00AA36F4">
      <w:footerReference w:type="first" r:id="rId12"/>
      <w:type w:val="continuous"/>
      <w:pgSz w:w="11906" w:h="16838"/>
      <w:pgMar w:top="1440" w:right="1440" w:bottom="1440" w:left="1440" w:header="706" w:footer="70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267C5" w14:textId="77777777" w:rsidR="00541505" w:rsidRDefault="00541505" w:rsidP="002A1842">
      <w:pPr>
        <w:spacing w:after="0" w:line="240" w:lineRule="auto"/>
      </w:pPr>
      <w:r>
        <w:separator/>
      </w:r>
    </w:p>
  </w:endnote>
  <w:endnote w:type="continuationSeparator" w:id="0">
    <w:p w14:paraId="24A2FF50" w14:textId="77777777" w:rsidR="00541505" w:rsidRDefault="00541505"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35737" w14:textId="77777777" w:rsidR="00541505" w:rsidRDefault="00541505" w:rsidP="002A1842">
      <w:pPr>
        <w:spacing w:after="0" w:line="240" w:lineRule="auto"/>
      </w:pPr>
      <w:r>
        <w:separator/>
      </w:r>
    </w:p>
  </w:footnote>
  <w:footnote w:type="continuationSeparator" w:id="0">
    <w:p w14:paraId="79F3F3E7" w14:textId="77777777" w:rsidR="00541505" w:rsidRDefault="00541505"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3123"/>
    <w:rsid w:val="000F15EC"/>
    <w:rsid w:val="00112373"/>
    <w:rsid w:val="00126F76"/>
    <w:rsid w:val="00172AD1"/>
    <w:rsid w:val="001813E7"/>
    <w:rsid w:val="00210D5A"/>
    <w:rsid w:val="00217F70"/>
    <w:rsid w:val="00242801"/>
    <w:rsid w:val="002A1842"/>
    <w:rsid w:val="002A46BB"/>
    <w:rsid w:val="004374F9"/>
    <w:rsid w:val="004468F8"/>
    <w:rsid w:val="00465668"/>
    <w:rsid w:val="00475E5F"/>
    <w:rsid w:val="004A75F6"/>
    <w:rsid w:val="00516457"/>
    <w:rsid w:val="00530E16"/>
    <w:rsid w:val="00541505"/>
    <w:rsid w:val="005B17A2"/>
    <w:rsid w:val="0063096B"/>
    <w:rsid w:val="00673D61"/>
    <w:rsid w:val="006C5299"/>
    <w:rsid w:val="00705454"/>
    <w:rsid w:val="00720EB6"/>
    <w:rsid w:val="00722EFE"/>
    <w:rsid w:val="00760D52"/>
    <w:rsid w:val="007A2630"/>
    <w:rsid w:val="0097194A"/>
    <w:rsid w:val="009C46CC"/>
    <w:rsid w:val="00A75B15"/>
    <w:rsid w:val="00A970C6"/>
    <w:rsid w:val="00AA1B83"/>
    <w:rsid w:val="00AA36F4"/>
    <w:rsid w:val="00AA57E7"/>
    <w:rsid w:val="00AE06EA"/>
    <w:rsid w:val="00C36DA3"/>
    <w:rsid w:val="00C87E2E"/>
    <w:rsid w:val="00CE2FD6"/>
    <w:rsid w:val="00CF5CFC"/>
    <w:rsid w:val="00CF650B"/>
    <w:rsid w:val="00D93DEB"/>
    <w:rsid w:val="00E10231"/>
    <w:rsid w:val="00E412AE"/>
    <w:rsid w:val="00E90FC1"/>
    <w:rsid w:val="00ED63B1"/>
    <w:rsid w:val="00F12763"/>
    <w:rsid w:val="00F618F2"/>
    <w:rsid w:val="00FB6F0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ortheastnorthcumbria.nhs.uk/media/vt0p2ha3/nenc-ics_digital-inclusion-strategy_2024-26_v1.pdf" TargetMode="External"/><Relationship Id="rId5" Type="http://schemas.openxmlformats.org/officeDocument/2006/relationships/settings" Target="settings.xml"/><Relationship Id="rId10" Type="http://schemas.openxmlformats.org/officeDocument/2006/relationships/hyperlink" Target="https://www.england.nhs.uk/long-read/digital-skills-for-patients/"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6</Pages>
  <Words>1985</Words>
  <Characters>9849</Characters>
  <Application>Microsoft Office Word</Application>
  <DocSecurity>0</DocSecurity>
  <Lines>252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lanny gawan</cp:lastModifiedBy>
  <cp:revision>18</cp:revision>
  <dcterms:created xsi:type="dcterms:W3CDTF">2026-08-04T18:10:00Z</dcterms:created>
  <dcterms:modified xsi:type="dcterms:W3CDTF">2026-08-05T16:03:00Z</dcterms:modified>
</cp:coreProperties>
</file>