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8C8B50" w14:textId="77777777" w:rsidR="00162479" w:rsidRPr="007014DD" w:rsidRDefault="00162479" w:rsidP="00162479">
      <w:pPr>
        <w:rPr>
          <w:b/>
          <w:bCs/>
          <w:sz w:val="28"/>
          <w:szCs w:val="28"/>
          <w:u w:val="single"/>
        </w:rPr>
      </w:pPr>
      <w:r>
        <w:rPr>
          <w:b/>
          <w:bCs/>
          <w:sz w:val="28"/>
          <w:szCs w:val="28"/>
          <w:u w:val="single"/>
        </w:rPr>
        <w:t>Chapters and other information to include within the dissertation:</w:t>
      </w:r>
    </w:p>
    <w:p w14:paraId="34C94066" w14:textId="77777777" w:rsidR="00162479" w:rsidRDefault="00162479" w:rsidP="00162479"/>
    <w:p w14:paraId="27B855B5" w14:textId="77777777" w:rsidR="00162479" w:rsidRDefault="00162479" w:rsidP="00162479"/>
    <w:p w14:paraId="65BCD39F" w14:textId="77777777" w:rsidR="00162479" w:rsidRDefault="00162479" w:rsidP="00162479"/>
    <w:p w14:paraId="180F76EC" w14:textId="77777777" w:rsidR="00162479" w:rsidRDefault="00162479" w:rsidP="00162479"/>
    <w:p w14:paraId="2451EE63" w14:textId="77777777" w:rsidR="00162479" w:rsidRDefault="00162479" w:rsidP="00162479">
      <w:r w:rsidRPr="000F2746">
        <w:rPr>
          <w:noProof/>
          <w:sz w:val="64"/>
          <w:szCs w:val="64"/>
          <w:lang w:eastAsia="en-GB"/>
        </w:rPr>
        <w:drawing>
          <wp:anchor distT="0" distB="0" distL="114300" distR="114300" simplePos="0" relativeHeight="251659264" behindDoc="1" locked="0" layoutInCell="1" allowOverlap="1" wp14:anchorId="4134A9DB" wp14:editId="1C65144C">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331DB5" w14:textId="77777777" w:rsidR="00162479" w:rsidRDefault="00162479" w:rsidP="00162479"/>
    <w:p w14:paraId="2207AF7A" w14:textId="77777777" w:rsidR="00162479" w:rsidRDefault="00162479" w:rsidP="00162479"/>
    <w:p w14:paraId="1BE3A594" w14:textId="77777777" w:rsidR="00162479" w:rsidRDefault="00162479" w:rsidP="00162479"/>
    <w:p w14:paraId="0753D278" w14:textId="77777777" w:rsidR="00162479" w:rsidRPr="001379B1" w:rsidRDefault="00162479" w:rsidP="00162479">
      <w:pPr>
        <w:rPr>
          <w:rFonts w:cstheme="minorHAnsi"/>
          <w:sz w:val="24"/>
          <w:szCs w:val="24"/>
        </w:rPr>
      </w:pPr>
      <w:r w:rsidRPr="001379B1">
        <w:rPr>
          <w:rFonts w:cstheme="minorHAnsi"/>
          <w:sz w:val="24"/>
          <w:szCs w:val="24"/>
        </w:rPr>
        <w:t>Title of dissertation:</w:t>
      </w:r>
    </w:p>
    <w:p w14:paraId="35BE05CF" w14:textId="77777777" w:rsidR="00162479" w:rsidRPr="001379B1" w:rsidRDefault="00162479" w:rsidP="00162479">
      <w:pPr>
        <w:jc w:val="center"/>
        <w:rPr>
          <w:rFonts w:cstheme="minorHAnsi"/>
          <w:b/>
          <w:bCs/>
          <w:sz w:val="24"/>
          <w:szCs w:val="24"/>
        </w:rPr>
      </w:pPr>
      <w:r w:rsidRPr="001379B1">
        <w:rPr>
          <w:rFonts w:cstheme="minorHAnsi"/>
          <w:b/>
          <w:bCs/>
          <w:sz w:val="24"/>
          <w:szCs w:val="24"/>
        </w:rPr>
        <w:t>To evaluate the extent to which knife crime has increased or decreased in Gwent, Wales, and England over the last decade, and to assess the effectiveness of police strategies in mitigating knife-related violence.</w:t>
      </w:r>
    </w:p>
    <w:p w14:paraId="55F1A339" w14:textId="77777777" w:rsidR="00162479" w:rsidRPr="001379B1" w:rsidRDefault="00162479" w:rsidP="00162479">
      <w:pPr>
        <w:rPr>
          <w:rFonts w:cstheme="minorHAnsi"/>
          <w:sz w:val="24"/>
          <w:szCs w:val="24"/>
        </w:rPr>
      </w:pPr>
    </w:p>
    <w:p w14:paraId="320FB76C" w14:textId="77777777" w:rsidR="00162479" w:rsidRPr="001379B1" w:rsidRDefault="00162479" w:rsidP="00162479">
      <w:pPr>
        <w:rPr>
          <w:rFonts w:cstheme="minorHAnsi"/>
          <w:sz w:val="24"/>
          <w:szCs w:val="24"/>
        </w:rPr>
      </w:pPr>
    </w:p>
    <w:p w14:paraId="1FFC6B6D" w14:textId="77777777" w:rsidR="00162479" w:rsidRPr="001379B1" w:rsidRDefault="00162479" w:rsidP="00162479">
      <w:pPr>
        <w:rPr>
          <w:rFonts w:cstheme="minorHAnsi"/>
          <w:sz w:val="24"/>
          <w:szCs w:val="24"/>
        </w:rPr>
      </w:pPr>
    </w:p>
    <w:p w14:paraId="31B1E920" w14:textId="77777777" w:rsidR="00162479" w:rsidRPr="001379B1" w:rsidRDefault="00162479" w:rsidP="00162479">
      <w:pPr>
        <w:rPr>
          <w:rFonts w:cstheme="minorHAnsi"/>
          <w:sz w:val="24"/>
          <w:szCs w:val="24"/>
        </w:rPr>
      </w:pPr>
      <w:r w:rsidRPr="001379B1">
        <w:rPr>
          <w:rFonts w:cstheme="minorHAnsi"/>
          <w:sz w:val="24"/>
          <w:szCs w:val="24"/>
        </w:rPr>
        <w:t>Name of student:</w:t>
      </w:r>
      <w:r>
        <w:rPr>
          <w:rFonts w:cstheme="minorHAnsi"/>
          <w:sz w:val="24"/>
          <w:szCs w:val="24"/>
        </w:rPr>
        <w:t xml:space="preserve"> </w:t>
      </w:r>
      <w:r w:rsidRPr="001379B1">
        <w:rPr>
          <w:rFonts w:cstheme="minorHAnsi"/>
          <w:sz w:val="24"/>
          <w:szCs w:val="24"/>
        </w:rPr>
        <w:t>Thomas Griffiths</w:t>
      </w:r>
    </w:p>
    <w:p w14:paraId="114930C4" w14:textId="52BDDA61" w:rsidR="00162479" w:rsidRPr="001379B1" w:rsidRDefault="00162479" w:rsidP="00162479">
      <w:pPr>
        <w:rPr>
          <w:rFonts w:cstheme="minorHAnsi"/>
          <w:sz w:val="24"/>
          <w:szCs w:val="24"/>
        </w:rPr>
      </w:pPr>
      <w:r w:rsidRPr="001379B1">
        <w:rPr>
          <w:rFonts w:cstheme="minorHAnsi"/>
          <w:sz w:val="24"/>
          <w:szCs w:val="24"/>
        </w:rPr>
        <w:t>Student number</w:t>
      </w:r>
      <w:r>
        <w:rPr>
          <w:rFonts w:cstheme="minorHAnsi"/>
          <w:sz w:val="24"/>
          <w:szCs w:val="24"/>
        </w:rPr>
        <w:t>:</w:t>
      </w:r>
      <w:r>
        <w:rPr>
          <w:rFonts w:cstheme="minorHAnsi"/>
          <w:sz w:val="24"/>
          <w:szCs w:val="24"/>
        </w:rPr>
        <w:t>2236403</w:t>
      </w:r>
    </w:p>
    <w:p w14:paraId="3FE09543" w14:textId="3293AA5D" w:rsidR="00162479" w:rsidRPr="001379B1" w:rsidRDefault="00162479" w:rsidP="00162479">
      <w:pPr>
        <w:rPr>
          <w:rFonts w:cstheme="minorHAnsi"/>
          <w:sz w:val="24"/>
          <w:szCs w:val="24"/>
        </w:rPr>
      </w:pPr>
      <w:r w:rsidRPr="001379B1">
        <w:rPr>
          <w:rFonts w:cstheme="minorHAnsi"/>
          <w:sz w:val="24"/>
          <w:szCs w:val="24"/>
        </w:rPr>
        <w:t>Degree title</w:t>
      </w:r>
      <w:r>
        <w:rPr>
          <w:rFonts w:cstheme="minorHAnsi"/>
          <w:sz w:val="24"/>
          <w:szCs w:val="24"/>
        </w:rPr>
        <w:t>:</w:t>
      </w:r>
      <w:r w:rsidRPr="00162479">
        <w:rPr>
          <w:rFonts w:cstheme="minorHAnsi"/>
          <w:b/>
          <w:bCs/>
          <w:sz w:val="24"/>
          <w:szCs w:val="24"/>
        </w:rPr>
        <w:t xml:space="preserve"> </w:t>
      </w:r>
      <w:r w:rsidRPr="001379B1">
        <w:rPr>
          <w:rFonts w:cstheme="minorHAnsi"/>
          <w:b/>
          <w:bCs/>
          <w:sz w:val="24"/>
          <w:szCs w:val="24"/>
        </w:rPr>
        <w:t>To evaluate the extent to which knife crime has increased or decreased in Gwent, Wales, and England over the last decade, and to assess the effectiveness of police strategies in mitigating knife-related violence</w:t>
      </w:r>
    </w:p>
    <w:p w14:paraId="25CAFED0" w14:textId="77777777" w:rsidR="00162479" w:rsidRPr="001379B1" w:rsidRDefault="00162479" w:rsidP="00162479">
      <w:pPr>
        <w:rPr>
          <w:rFonts w:cstheme="minorHAnsi"/>
          <w:sz w:val="24"/>
          <w:szCs w:val="24"/>
        </w:rPr>
      </w:pPr>
    </w:p>
    <w:p w14:paraId="779E325F" w14:textId="77777777" w:rsidR="00162479" w:rsidRPr="001379B1" w:rsidRDefault="00162479" w:rsidP="00162479">
      <w:pPr>
        <w:rPr>
          <w:rFonts w:cstheme="minorHAnsi"/>
          <w:sz w:val="24"/>
          <w:szCs w:val="24"/>
        </w:rPr>
      </w:pPr>
    </w:p>
    <w:p w14:paraId="0AFF6B4A" w14:textId="77777777" w:rsidR="00162479" w:rsidRPr="001379B1" w:rsidRDefault="00162479" w:rsidP="00162479">
      <w:pPr>
        <w:rPr>
          <w:rFonts w:cstheme="minorHAnsi"/>
          <w:sz w:val="24"/>
          <w:szCs w:val="24"/>
        </w:rPr>
      </w:pPr>
    </w:p>
    <w:p w14:paraId="03C3A444" w14:textId="77777777" w:rsidR="00162479" w:rsidRPr="001379B1" w:rsidRDefault="00162479" w:rsidP="00162479">
      <w:pPr>
        <w:rPr>
          <w:rFonts w:cstheme="minorHAnsi"/>
          <w:sz w:val="24"/>
          <w:szCs w:val="24"/>
        </w:rPr>
      </w:pPr>
    </w:p>
    <w:p w14:paraId="038188E4" w14:textId="77777777" w:rsidR="00162479" w:rsidRPr="001379B1" w:rsidRDefault="00162479" w:rsidP="00162479">
      <w:pPr>
        <w:rPr>
          <w:rFonts w:cstheme="minorHAnsi"/>
          <w:sz w:val="24"/>
          <w:szCs w:val="24"/>
        </w:rPr>
      </w:pPr>
    </w:p>
    <w:p w14:paraId="1B6D518C" w14:textId="77777777" w:rsidR="00162479" w:rsidRPr="001379B1" w:rsidRDefault="00162479" w:rsidP="00162479">
      <w:pPr>
        <w:rPr>
          <w:rFonts w:cstheme="minorHAnsi"/>
          <w:sz w:val="24"/>
          <w:szCs w:val="24"/>
        </w:rPr>
      </w:pPr>
    </w:p>
    <w:p w14:paraId="4BDE1C9C" w14:textId="77777777" w:rsidR="00162479" w:rsidRPr="001379B1" w:rsidRDefault="00162479" w:rsidP="00162479">
      <w:pPr>
        <w:rPr>
          <w:rFonts w:cstheme="minorHAnsi"/>
          <w:sz w:val="24"/>
          <w:szCs w:val="24"/>
        </w:rPr>
      </w:pPr>
    </w:p>
    <w:p w14:paraId="22FC61B8" w14:textId="77777777" w:rsidR="00162479" w:rsidRPr="001379B1" w:rsidRDefault="00162479" w:rsidP="00162479">
      <w:pPr>
        <w:rPr>
          <w:rFonts w:cstheme="minorHAnsi"/>
          <w:sz w:val="24"/>
          <w:szCs w:val="24"/>
          <w:u w:val="single"/>
        </w:rPr>
      </w:pPr>
      <w:r w:rsidRPr="001379B1">
        <w:rPr>
          <w:rFonts w:cstheme="minorHAnsi"/>
          <w:sz w:val="24"/>
          <w:szCs w:val="24"/>
          <w:u w:val="single"/>
        </w:rPr>
        <w:t xml:space="preserve">Declaration </w:t>
      </w:r>
    </w:p>
    <w:p w14:paraId="473D898A" w14:textId="77777777" w:rsidR="00162479" w:rsidRPr="001379B1" w:rsidRDefault="00162479" w:rsidP="00162479">
      <w:pPr>
        <w:spacing w:after="0"/>
        <w:rPr>
          <w:rFonts w:cstheme="minorHAnsi"/>
          <w:sz w:val="24"/>
          <w:szCs w:val="24"/>
        </w:rPr>
      </w:pPr>
      <w:r w:rsidRPr="001379B1">
        <w:rPr>
          <w:rFonts w:cstheme="minorHAnsi"/>
          <w:sz w:val="24"/>
          <w:szCs w:val="24"/>
        </w:rPr>
        <w:t>This work has not previously been accepted in substance for any degree and is not being concurrently submitted in candidature for any degree.</w:t>
      </w:r>
    </w:p>
    <w:p w14:paraId="1ED247BB" w14:textId="77777777" w:rsidR="00162479" w:rsidRPr="001379B1" w:rsidRDefault="00162479" w:rsidP="00162479">
      <w:pPr>
        <w:spacing w:after="0"/>
        <w:rPr>
          <w:rFonts w:cstheme="minorHAnsi"/>
          <w:sz w:val="24"/>
          <w:szCs w:val="24"/>
        </w:rPr>
      </w:pPr>
      <w:r w:rsidRPr="001379B1">
        <w:rPr>
          <w:rFonts w:cstheme="minorHAnsi"/>
          <w:sz w:val="24"/>
          <w:szCs w:val="24"/>
        </w:rPr>
        <w:t>Signed: T. Griffiths</w:t>
      </w:r>
    </w:p>
    <w:p w14:paraId="04168730" w14:textId="77777777" w:rsidR="00162479" w:rsidRPr="001379B1" w:rsidRDefault="00162479" w:rsidP="00162479">
      <w:pPr>
        <w:spacing w:after="0"/>
        <w:rPr>
          <w:rFonts w:cstheme="minorHAnsi"/>
          <w:sz w:val="24"/>
          <w:szCs w:val="24"/>
        </w:rPr>
      </w:pPr>
      <w:r w:rsidRPr="001379B1">
        <w:rPr>
          <w:rFonts w:cstheme="minorHAnsi"/>
          <w:sz w:val="24"/>
          <w:szCs w:val="24"/>
        </w:rPr>
        <w:t>Date: 15/06/2026</w:t>
      </w:r>
    </w:p>
    <w:p w14:paraId="6F4CDD07" w14:textId="77777777" w:rsidR="00162479" w:rsidRPr="001379B1" w:rsidRDefault="00162479" w:rsidP="00162479">
      <w:pPr>
        <w:rPr>
          <w:rFonts w:cstheme="minorHAnsi"/>
          <w:sz w:val="24"/>
          <w:szCs w:val="24"/>
        </w:rPr>
      </w:pPr>
    </w:p>
    <w:p w14:paraId="72C85644" w14:textId="77777777" w:rsidR="00162479" w:rsidRPr="001379B1" w:rsidRDefault="00162479" w:rsidP="00162479">
      <w:pPr>
        <w:spacing w:after="0"/>
        <w:rPr>
          <w:rFonts w:cstheme="minorHAnsi"/>
          <w:sz w:val="24"/>
          <w:szCs w:val="24"/>
        </w:rPr>
      </w:pPr>
      <w:r w:rsidRPr="001379B1">
        <w:rPr>
          <w:rFonts w:cstheme="minorHAnsi"/>
          <w:sz w:val="24"/>
          <w:szCs w:val="24"/>
        </w:rPr>
        <w:t xml:space="preserve">STATEMENT 1 </w:t>
      </w:r>
    </w:p>
    <w:p w14:paraId="0AA2714F" w14:textId="77777777" w:rsidR="00162479" w:rsidRPr="001379B1" w:rsidRDefault="00162479" w:rsidP="00162479">
      <w:pPr>
        <w:spacing w:after="0"/>
        <w:rPr>
          <w:rFonts w:cstheme="minorHAnsi"/>
          <w:sz w:val="24"/>
          <w:szCs w:val="24"/>
        </w:rPr>
      </w:pPr>
      <w:r w:rsidRPr="001379B1">
        <w:rPr>
          <w:rFonts w:cstheme="minorHAnsi"/>
          <w:sz w:val="24"/>
          <w:szCs w:val="24"/>
        </w:rPr>
        <w:t>This dissertation is being submitted in partial fulfilment of the requirements for the degree of BA.</w:t>
      </w:r>
    </w:p>
    <w:p w14:paraId="14E187E4" w14:textId="77777777" w:rsidR="00162479" w:rsidRPr="001379B1" w:rsidRDefault="00162479" w:rsidP="00162479">
      <w:pPr>
        <w:spacing w:after="0"/>
        <w:rPr>
          <w:rFonts w:cstheme="minorHAnsi"/>
          <w:sz w:val="24"/>
          <w:szCs w:val="24"/>
        </w:rPr>
      </w:pPr>
      <w:r w:rsidRPr="001379B1">
        <w:rPr>
          <w:rFonts w:cstheme="minorHAnsi"/>
          <w:sz w:val="24"/>
          <w:szCs w:val="24"/>
        </w:rPr>
        <w:t>Signed: T. Griffiths</w:t>
      </w:r>
    </w:p>
    <w:p w14:paraId="2B270567" w14:textId="77777777" w:rsidR="00162479" w:rsidRPr="001379B1" w:rsidRDefault="00162479" w:rsidP="00162479">
      <w:pPr>
        <w:rPr>
          <w:rFonts w:cstheme="minorHAnsi"/>
          <w:sz w:val="24"/>
          <w:szCs w:val="24"/>
        </w:rPr>
      </w:pPr>
      <w:r w:rsidRPr="001379B1">
        <w:rPr>
          <w:rFonts w:cstheme="minorHAnsi"/>
          <w:sz w:val="24"/>
          <w:szCs w:val="24"/>
        </w:rPr>
        <w:t>Date: 15/06/2026</w:t>
      </w:r>
    </w:p>
    <w:p w14:paraId="13071683" w14:textId="77777777" w:rsidR="00162479" w:rsidRPr="001379B1" w:rsidRDefault="00162479" w:rsidP="00162479">
      <w:pPr>
        <w:rPr>
          <w:rFonts w:cstheme="minorHAnsi"/>
          <w:sz w:val="24"/>
          <w:szCs w:val="24"/>
        </w:rPr>
      </w:pPr>
    </w:p>
    <w:p w14:paraId="11F76E1E" w14:textId="77777777" w:rsidR="00162479" w:rsidRPr="001379B1" w:rsidRDefault="00162479" w:rsidP="00162479">
      <w:pPr>
        <w:spacing w:after="0"/>
        <w:rPr>
          <w:rFonts w:cstheme="minorHAnsi"/>
          <w:sz w:val="24"/>
          <w:szCs w:val="24"/>
        </w:rPr>
      </w:pPr>
      <w:r w:rsidRPr="001379B1">
        <w:rPr>
          <w:rFonts w:cstheme="minorHAnsi"/>
          <w:sz w:val="24"/>
          <w:szCs w:val="24"/>
        </w:rPr>
        <w:t>STATEMENT 2</w:t>
      </w:r>
    </w:p>
    <w:p w14:paraId="5C483629" w14:textId="77777777" w:rsidR="00162479" w:rsidRPr="001379B1" w:rsidRDefault="00162479" w:rsidP="00162479">
      <w:pPr>
        <w:spacing w:after="0"/>
        <w:rPr>
          <w:rFonts w:cstheme="minorHAnsi"/>
          <w:sz w:val="24"/>
          <w:szCs w:val="24"/>
        </w:rPr>
      </w:pPr>
      <w:r w:rsidRPr="001379B1">
        <w:rPr>
          <w:rFonts w:cstheme="minorHAnsi"/>
          <w:sz w:val="24"/>
          <w:szCs w:val="24"/>
        </w:rPr>
        <w:t>This dissertation is the result of my own independent work/investigation, except where otherwise stated.</w:t>
      </w:r>
    </w:p>
    <w:p w14:paraId="5952A4C0" w14:textId="77777777" w:rsidR="00162479" w:rsidRPr="001379B1" w:rsidRDefault="00162479" w:rsidP="00162479">
      <w:pPr>
        <w:spacing w:after="0"/>
        <w:rPr>
          <w:rFonts w:cstheme="minorHAnsi"/>
          <w:sz w:val="24"/>
          <w:szCs w:val="24"/>
        </w:rPr>
      </w:pPr>
      <w:r w:rsidRPr="001379B1">
        <w:rPr>
          <w:rFonts w:cstheme="minorHAnsi"/>
          <w:sz w:val="24"/>
          <w:szCs w:val="24"/>
        </w:rPr>
        <w:t>Other sources are acknowledged by footnotes giving explicit references.  A bibliography is appended.</w:t>
      </w:r>
    </w:p>
    <w:p w14:paraId="52873C21" w14:textId="77777777" w:rsidR="00162479" w:rsidRPr="001379B1" w:rsidRDefault="00162479" w:rsidP="00162479">
      <w:pPr>
        <w:spacing w:after="0"/>
        <w:rPr>
          <w:rFonts w:cstheme="minorHAnsi"/>
          <w:sz w:val="24"/>
          <w:szCs w:val="24"/>
        </w:rPr>
      </w:pPr>
      <w:r w:rsidRPr="001379B1">
        <w:rPr>
          <w:rFonts w:cstheme="minorHAnsi"/>
          <w:sz w:val="24"/>
          <w:szCs w:val="24"/>
        </w:rPr>
        <w:t>Signed: T. Griffiths</w:t>
      </w:r>
    </w:p>
    <w:p w14:paraId="291AAAC9" w14:textId="77777777" w:rsidR="00162479" w:rsidRPr="001379B1" w:rsidRDefault="00162479" w:rsidP="00162479">
      <w:pPr>
        <w:spacing w:after="0"/>
        <w:rPr>
          <w:rFonts w:cstheme="minorHAnsi"/>
          <w:sz w:val="24"/>
          <w:szCs w:val="24"/>
        </w:rPr>
      </w:pPr>
      <w:r w:rsidRPr="001379B1">
        <w:rPr>
          <w:rFonts w:cstheme="minorHAnsi"/>
          <w:sz w:val="24"/>
          <w:szCs w:val="24"/>
        </w:rPr>
        <w:t>Date: 15/06/2026</w:t>
      </w:r>
    </w:p>
    <w:p w14:paraId="7F16B0F7" w14:textId="77777777" w:rsidR="00162479" w:rsidRPr="001379B1" w:rsidRDefault="00162479" w:rsidP="00162479">
      <w:pPr>
        <w:spacing w:after="0"/>
        <w:rPr>
          <w:rFonts w:cstheme="minorHAnsi"/>
          <w:sz w:val="24"/>
          <w:szCs w:val="24"/>
        </w:rPr>
      </w:pPr>
    </w:p>
    <w:p w14:paraId="248FECAB" w14:textId="77777777" w:rsidR="00162479" w:rsidRPr="001379B1" w:rsidRDefault="00162479" w:rsidP="00162479">
      <w:pPr>
        <w:spacing w:after="0"/>
        <w:rPr>
          <w:rFonts w:cstheme="minorHAnsi"/>
          <w:sz w:val="24"/>
          <w:szCs w:val="24"/>
        </w:rPr>
      </w:pPr>
      <w:r w:rsidRPr="001379B1">
        <w:rPr>
          <w:rFonts w:cstheme="minorHAnsi"/>
          <w:sz w:val="24"/>
          <w:szCs w:val="24"/>
        </w:rPr>
        <w:t>STATEMENT 3</w:t>
      </w:r>
    </w:p>
    <w:p w14:paraId="40771631" w14:textId="77777777" w:rsidR="00162479" w:rsidRPr="001379B1" w:rsidRDefault="00162479" w:rsidP="00162479">
      <w:pPr>
        <w:spacing w:after="0"/>
        <w:rPr>
          <w:rFonts w:cstheme="minorHAnsi"/>
          <w:sz w:val="24"/>
          <w:szCs w:val="24"/>
        </w:rPr>
      </w:pPr>
      <w:r w:rsidRPr="001379B1">
        <w:rPr>
          <w:rFonts w:cstheme="minorHAnsi"/>
          <w:sz w:val="24"/>
          <w:szCs w:val="24"/>
        </w:rPr>
        <w:t>I hereby give consent for my dissertation, if accepted, to be available for photocopying and for interlibrary loan, and for the title and summary to be made available to outside organisations.</w:t>
      </w:r>
    </w:p>
    <w:p w14:paraId="339B26E0" w14:textId="77777777" w:rsidR="00162479" w:rsidRPr="001379B1" w:rsidRDefault="00162479" w:rsidP="00162479">
      <w:pPr>
        <w:spacing w:after="0"/>
        <w:rPr>
          <w:rFonts w:cstheme="minorHAnsi"/>
          <w:sz w:val="24"/>
          <w:szCs w:val="24"/>
        </w:rPr>
      </w:pPr>
      <w:r w:rsidRPr="001379B1">
        <w:rPr>
          <w:rFonts w:cstheme="minorHAnsi"/>
          <w:sz w:val="24"/>
          <w:szCs w:val="24"/>
        </w:rPr>
        <w:t>Signed: T. Griffiths</w:t>
      </w:r>
    </w:p>
    <w:p w14:paraId="622F2761" w14:textId="77777777" w:rsidR="00162479" w:rsidRPr="001379B1" w:rsidRDefault="00162479" w:rsidP="00162479">
      <w:pPr>
        <w:spacing w:after="0"/>
        <w:rPr>
          <w:rFonts w:cstheme="minorHAnsi"/>
          <w:sz w:val="24"/>
          <w:szCs w:val="24"/>
        </w:rPr>
      </w:pPr>
      <w:r w:rsidRPr="001379B1">
        <w:rPr>
          <w:rFonts w:cstheme="minorHAnsi"/>
          <w:sz w:val="24"/>
          <w:szCs w:val="24"/>
        </w:rPr>
        <w:t>Date: 15/06/2026</w:t>
      </w:r>
    </w:p>
    <w:p w14:paraId="4606A36F" w14:textId="77777777" w:rsidR="00162479" w:rsidRPr="001379B1" w:rsidRDefault="00162479" w:rsidP="00162479">
      <w:pPr>
        <w:spacing w:after="0"/>
        <w:rPr>
          <w:rFonts w:cstheme="minorHAnsi"/>
          <w:sz w:val="24"/>
          <w:szCs w:val="24"/>
        </w:rPr>
      </w:pPr>
    </w:p>
    <w:p w14:paraId="07B8A215" w14:textId="77777777" w:rsidR="00162479" w:rsidRPr="001379B1" w:rsidRDefault="00162479" w:rsidP="00162479">
      <w:pPr>
        <w:spacing w:after="0"/>
        <w:rPr>
          <w:rFonts w:cstheme="minorHAnsi"/>
          <w:sz w:val="24"/>
          <w:szCs w:val="24"/>
        </w:rPr>
      </w:pPr>
      <w:r w:rsidRPr="001379B1">
        <w:rPr>
          <w:rFonts w:cstheme="minorHAnsi"/>
          <w:sz w:val="24"/>
          <w:szCs w:val="24"/>
        </w:rPr>
        <w:t>STATEMENT 4</w:t>
      </w:r>
    </w:p>
    <w:p w14:paraId="512EC16A" w14:textId="77777777" w:rsidR="00162479" w:rsidRPr="001379B1" w:rsidRDefault="00162479" w:rsidP="00162479">
      <w:pPr>
        <w:spacing w:after="0"/>
        <w:rPr>
          <w:rFonts w:cstheme="minorHAnsi"/>
          <w:sz w:val="24"/>
          <w:szCs w:val="24"/>
        </w:rPr>
      </w:pPr>
      <w:r w:rsidRPr="001379B1">
        <w:rPr>
          <w:rFonts w:cstheme="minorHAnsi"/>
          <w:sz w:val="24"/>
          <w:szCs w:val="24"/>
        </w:rPr>
        <w:t>I hereby give consent for my dissertation, if accepted, to be available on the university’s IT system to those who have consent to use the system.</w:t>
      </w:r>
    </w:p>
    <w:p w14:paraId="09BEEBC8" w14:textId="77777777" w:rsidR="00162479" w:rsidRPr="001379B1" w:rsidRDefault="00162479" w:rsidP="00162479">
      <w:pPr>
        <w:spacing w:after="0"/>
        <w:rPr>
          <w:rFonts w:cstheme="minorHAnsi"/>
          <w:sz w:val="24"/>
          <w:szCs w:val="24"/>
        </w:rPr>
      </w:pPr>
      <w:r w:rsidRPr="001379B1">
        <w:rPr>
          <w:rFonts w:cstheme="minorHAnsi"/>
          <w:sz w:val="24"/>
          <w:szCs w:val="24"/>
        </w:rPr>
        <w:t>Signed: T. Griffiths</w:t>
      </w:r>
    </w:p>
    <w:p w14:paraId="7C681D30" w14:textId="77777777" w:rsidR="00162479" w:rsidRPr="001379B1" w:rsidRDefault="00162479" w:rsidP="00162479">
      <w:pPr>
        <w:spacing w:after="0"/>
        <w:rPr>
          <w:rFonts w:cstheme="minorHAnsi"/>
          <w:sz w:val="24"/>
          <w:szCs w:val="24"/>
        </w:rPr>
      </w:pPr>
      <w:r w:rsidRPr="001379B1">
        <w:rPr>
          <w:rFonts w:cstheme="minorHAnsi"/>
          <w:sz w:val="24"/>
          <w:szCs w:val="24"/>
        </w:rPr>
        <w:t>Date: 15/06/2026</w:t>
      </w:r>
    </w:p>
    <w:p w14:paraId="0D1743A1" w14:textId="77777777" w:rsidR="00162479" w:rsidRDefault="00162479" w:rsidP="71A1AD18">
      <w:pPr>
        <w:rPr>
          <w:sz w:val="28"/>
          <w:szCs w:val="28"/>
          <w:u w:val="single"/>
        </w:rPr>
      </w:pPr>
    </w:p>
    <w:p w14:paraId="5D8B4F53" w14:textId="77777777" w:rsidR="00162479" w:rsidRDefault="00162479" w:rsidP="71A1AD18">
      <w:pPr>
        <w:rPr>
          <w:sz w:val="28"/>
          <w:szCs w:val="28"/>
          <w:u w:val="single"/>
        </w:rPr>
      </w:pPr>
    </w:p>
    <w:p w14:paraId="75E014E9" w14:textId="77777777" w:rsidR="00162479" w:rsidRDefault="00162479" w:rsidP="71A1AD18">
      <w:pPr>
        <w:rPr>
          <w:sz w:val="28"/>
          <w:szCs w:val="28"/>
          <w:u w:val="single"/>
        </w:rPr>
      </w:pPr>
    </w:p>
    <w:p w14:paraId="01F354F2" w14:textId="77777777" w:rsidR="00162479" w:rsidRDefault="00162479" w:rsidP="71A1AD18">
      <w:pPr>
        <w:rPr>
          <w:sz w:val="28"/>
          <w:szCs w:val="28"/>
          <w:u w:val="single"/>
        </w:rPr>
      </w:pPr>
    </w:p>
    <w:p w14:paraId="152C8928" w14:textId="3720D760" w:rsidR="006A7220" w:rsidRDefault="4FCFBF49" w:rsidP="71A1AD18">
      <w:pPr>
        <w:rPr>
          <w:sz w:val="28"/>
          <w:szCs w:val="28"/>
          <w:u w:val="single"/>
        </w:rPr>
      </w:pPr>
      <w:r w:rsidRPr="71A1AD18">
        <w:rPr>
          <w:sz w:val="28"/>
          <w:szCs w:val="28"/>
          <w:u w:val="single"/>
        </w:rPr>
        <w:t>Table of contents</w:t>
      </w:r>
    </w:p>
    <w:p w14:paraId="70D8F873" w14:textId="2C63E363" w:rsidR="006A7220" w:rsidRDefault="4FCFBF49" w:rsidP="71A1AD18">
      <w:pPr>
        <w:rPr>
          <w:sz w:val="24"/>
          <w:szCs w:val="24"/>
        </w:rPr>
      </w:pPr>
      <w:r w:rsidRPr="71A1AD18">
        <w:rPr>
          <w:sz w:val="24"/>
          <w:szCs w:val="24"/>
        </w:rPr>
        <w:t>Chapter One</w:t>
      </w:r>
    </w:p>
    <w:p w14:paraId="65599E72" w14:textId="0DAEB9FC" w:rsidR="006A7220" w:rsidRDefault="4FCFBF49" w:rsidP="71A1AD18">
      <w:r>
        <w:t>1.1 Background and Context</w:t>
      </w:r>
      <w:r w:rsidR="21E091C6">
        <w:t xml:space="preserve"> </w:t>
      </w:r>
      <w:r w:rsidR="73C94AB7">
        <w:t>..............................</w:t>
      </w:r>
      <w:r w:rsidR="391818F5">
        <w:t>p5</w:t>
      </w:r>
    </w:p>
    <w:p w14:paraId="54548CFD" w14:textId="6B80043B" w:rsidR="006A7220" w:rsidRDefault="4FCFBF49" w:rsidP="71A1AD18">
      <w:r>
        <w:t>1.2 Research Aim and Objectives</w:t>
      </w:r>
      <w:r w:rsidR="473A4F17">
        <w:t xml:space="preserve"> </w:t>
      </w:r>
      <w:r w:rsidR="67F9FAA7">
        <w:t>......................</w:t>
      </w:r>
      <w:r w:rsidR="473A4F17">
        <w:t xml:space="preserve"> p6</w:t>
      </w:r>
    </w:p>
    <w:p w14:paraId="4D1CA3C9" w14:textId="1831A5C2" w:rsidR="006A7220" w:rsidRDefault="4FCFBF49" w:rsidP="71A1AD18">
      <w:r>
        <w:t>1.3 Rationale for Focusing on Gwent</w:t>
      </w:r>
      <w:r w:rsidR="3B6171A0">
        <w:t>-</w:t>
      </w:r>
      <w:r w:rsidR="64E6EF8F">
        <w:t>.................</w:t>
      </w:r>
      <w:r w:rsidR="3B6171A0">
        <w:t>p6</w:t>
      </w:r>
    </w:p>
    <w:p w14:paraId="36016AF1" w14:textId="60FDA5DB" w:rsidR="006A7220" w:rsidRDefault="4FCFBF49" w:rsidP="006A7220">
      <w:r>
        <w:t>1.4 Scope of the Study</w:t>
      </w:r>
      <w:r w:rsidR="2EE8A6D1">
        <w:t>.......................................</w:t>
      </w:r>
      <w:r w:rsidR="45277E4F">
        <w:t xml:space="preserve"> p6</w:t>
      </w:r>
    </w:p>
    <w:p w14:paraId="6BAA1B37" w14:textId="1846353E" w:rsidR="006A7220" w:rsidRDefault="4FCFBF49" w:rsidP="71A1AD18">
      <w:r>
        <w:t>1.5 Conclusion</w:t>
      </w:r>
      <w:r w:rsidR="1D4ADC18">
        <w:t>....................................................</w:t>
      </w:r>
      <w:r w:rsidR="348F3B38">
        <w:t>p7</w:t>
      </w:r>
    </w:p>
    <w:p w14:paraId="21F2B556" w14:textId="1B17AE02" w:rsidR="006A7220" w:rsidRDefault="4FCFBF49" w:rsidP="006A7220">
      <w:r>
        <w:t>CHAPTER 2 – LITERATURE REVIEW</w:t>
      </w:r>
      <w:r w:rsidR="2907F25C">
        <w:t xml:space="preserve"> ....................p7</w:t>
      </w:r>
    </w:p>
    <w:p w14:paraId="2F42E8BF" w14:textId="026DF1F1" w:rsidR="006A7220" w:rsidRDefault="4FCFBF49" w:rsidP="71A1AD18">
      <w:r>
        <w:t>2.1 Introduction</w:t>
      </w:r>
      <w:r w:rsidR="29986657">
        <w:t>.................................................p7</w:t>
      </w:r>
    </w:p>
    <w:p w14:paraId="79006E9F" w14:textId="45B87366" w:rsidR="006A7220" w:rsidRDefault="4FCFBF49" w:rsidP="71A1AD18">
      <w:r>
        <w:t>2.2 National Trends in Knife Crime</w:t>
      </w:r>
      <w:r w:rsidR="66682ABD">
        <w:t>....................p7</w:t>
      </w:r>
    </w:p>
    <w:p w14:paraId="3A19D0DC" w14:textId="4CD40A62" w:rsidR="006A7220" w:rsidRDefault="4FCFBF49" w:rsidP="006A7220">
      <w:r>
        <w:t>2.3 Post-Pandemic Stabilisation</w:t>
      </w:r>
      <w:r w:rsidR="5D53A810">
        <w:t>.......................p7</w:t>
      </w:r>
    </w:p>
    <w:p w14:paraId="1C2D9096" w14:textId="148395BF" w:rsidR="006A7220" w:rsidRDefault="4FCFBF49" w:rsidP="006A7220">
      <w:r>
        <w:t>2.4 Regional Variations</w:t>
      </w:r>
      <w:r w:rsidR="753B8CEA">
        <w:t>.....................................p7</w:t>
      </w:r>
    </w:p>
    <w:p w14:paraId="4411076F" w14:textId="517B49BF" w:rsidR="006A7220" w:rsidRDefault="4FCFBF49" w:rsidP="006A7220">
      <w:r>
        <w:t>2.5 Theoretical Explanations</w:t>
      </w:r>
      <w:r w:rsidR="3F9933D4">
        <w:t>............................p8</w:t>
      </w:r>
    </w:p>
    <w:p w14:paraId="3FBF5D9F" w14:textId="08A252E7" w:rsidR="006A7220" w:rsidRDefault="4FCFBF49" w:rsidP="006A7220">
      <w:r>
        <w:t>2.6 Demographic Patterns</w:t>
      </w:r>
      <w:r w:rsidR="285F9EF2">
        <w:t>...............................p9</w:t>
      </w:r>
    </w:p>
    <w:p w14:paraId="145AD2B9" w14:textId="089205A2" w:rsidR="006A7220" w:rsidRDefault="4FCFBF49" w:rsidP="71A1AD18">
      <w:r>
        <w:t>2.7 Demographics</w:t>
      </w:r>
      <w:r w:rsidR="28515D7B">
        <w:t>...........................................p9</w:t>
      </w:r>
    </w:p>
    <w:p w14:paraId="786B4D20" w14:textId="15724AEE" w:rsidR="006A7220" w:rsidRDefault="4FCFBF49" w:rsidP="71A1AD18">
      <w:r>
        <w:t>2.8 Knife Crime in Wales</w:t>
      </w:r>
      <w:r w:rsidR="15AF1AB2">
        <w:t>.................................p10</w:t>
      </w:r>
    </w:p>
    <w:p w14:paraId="0064A756" w14:textId="75D92045" w:rsidR="006A7220" w:rsidRDefault="4FCFBF49" w:rsidP="006A7220">
      <w:r>
        <w:t>2.9 Policing Responses</w:t>
      </w:r>
      <w:r w:rsidR="7041183D">
        <w:t>....................................p10</w:t>
      </w:r>
    </w:p>
    <w:p w14:paraId="6F1E6B0B" w14:textId="18BB7BEB" w:rsidR="006A7220" w:rsidRDefault="4FCFBF49" w:rsidP="71A1AD18">
      <w:r>
        <w:t>3.0 Conclusion</w:t>
      </w:r>
      <w:r w:rsidR="59AE7F82">
        <w:t>................................................p10</w:t>
      </w:r>
    </w:p>
    <w:p w14:paraId="30F92F10" w14:textId="04077002" w:rsidR="006A7220" w:rsidRDefault="4FCFBF49" w:rsidP="71A1AD18">
      <w:r>
        <w:t>CHAPTER 3: METHODOLOGY</w:t>
      </w:r>
      <w:r w:rsidR="306ED1D8">
        <w:t xml:space="preserve"> ........................p11</w:t>
      </w:r>
    </w:p>
    <w:p w14:paraId="4DE4C749" w14:textId="00AD74BA" w:rsidR="006A7220" w:rsidRDefault="4FCFBF49" w:rsidP="006A7220">
      <w:r>
        <w:t>3.1 Introduction</w:t>
      </w:r>
      <w:r w:rsidR="184B4721">
        <w:t>.............................................p11</w:t>
      </w:r>
    </w:p>
    <w:p w14:paraId="0FFF3402" w14:textId="2EE40354" w:rsidR="006A7220" w:rsidRDefault="4FCFBF49" w:rsidP="71A1AD18">
      <w:r>
        <w:t>3.2 Research Design</w:t>
      </w:r>
      <w:r w:rsidR="24A08076">
        <w:t>.......................................p11</w:t>
      </w:r>
    </w:p>
    <w:p w14:paraId="770E8B75" w14:textId="6EE53DA2" w:rsidR="006A7220" w:rsidRDefault="4FCFBF49" w:rsidP="006A7220">
      <w:r>
        <w:t>3.3 Data Sources</w:t>
      </w:r>
      <w:r w:rsidR="7F1A4528">
        <w:t>............................................p11</w:t>
      </w:r>
    </w:p>
    <w:p w14:paraId="082F79BE" w14:textId="5EA3E7AE" w:rsidR="006A7220" w:rsidRDefault="4FCFBF49" w:rsidP="71A1AD18">
      <w:r>
        <w:t>3.4 Analytical Framework</w:t>
      </w:r>
      <w:r w:rsidR="5229E387">
        <w:t>...............................p12</w:t>
      </w:r>
    </w:p>
    <w:p w14:paraId="55B06E88" w14:textId="015FC11B" w:rsidR="006A7220" w:rsidRDefault="4FCFBF49" w:rsidP="006A7220">
      <w:r>
        <w:t>3.5 Validity and Reliability</w:t>
      </w:r>
      <w:r w:rsidR="20AD9CE5">
        <w:t>...............................p12</w:t>
      </w:r>
    </w:p>
    <w:p w14:paraId="0885F567" w14:textId="29A1FB39" w:rsidR="006A7220" w:rsidRDefault="4FCFBF49" w:rsidP="006A7220">
      <w:r>
        <w:t>3.6 Limitations of the Methodology</w:t>
      </w:r>
      <w:r w:rsidR="574EFEFF">
        <w:t>.................p12</w:t>
      </w:r>
    </w:p>
    <w:p w14:paraId="1177724C" w14:textId="6EFE3B79" w:rsidR="006A7220" w:rsidRDefault="4FCFBF49" w:rsidP="71A1AD18">
      <w:r>
        <w:t>3.7 Ethical Considerations</w:t>
      </w:r>
      <w:r w:rsidR="05C77011">
        <w:t>................................p13</w:t>
      </w:r>
    </w:p>
    <w:p w14:paraId="19A32B33" w14:textId="095D5F4C" w:rsidR="006A7220" w:rsidRDefault="4FCFBF49" w:rsidP="006A7220">
      <w:r>
        <w:t>3.8 Conclusion</w:t>
      </w:r>
      <w:r w:rsidR="0BE2A654">
        <w:t>.................................................p13</w:t>
      </w:r>
    </w:p>
    <w:p w14:paraId="1427AD79" w14:textId="74C50D90" w:rsidR="006A7220" w:rsidRDefault="4FCFBF49" w:rsidP="006A7220">
      <w:r>
        <w:t>CHAPTER 4: NATIONAL TRENDS IN KNIFE CRIME</w:t>
      </w:r>
    </w:p>
    <w:p w14:paraId="789071CE" w14:textId="6C66BB61" w:rsidR="006A7220" w:rsidRDefault="4FCFBF49" w:rsidP="006A7220">
      <w:r>
        <w:t>4.1 Introduction</w:t>
      </w:r>
      <w:r w:rsidR="49D79496">
        <w:t>.................................................p13</w:t>
      </w:r>
    </w:p>
    <w:p w14:paraId="3AD4B972" w14:textId="22EA76F1" w:rsidR="006A7220" w:rsidRDefault="4FCFBF49" w:rsidP="71A1AD18">
      <w:r>
        <w:t>4.2 Overview of National Knife Crime Levels</w:t>
      </w:r>
      <w:r w:rsidR="090FE0F2">
        <w:t>......p13</w:t>
      </w:r>
    </w:p>
    <w:p w14:paraId="2AE53257" w14:textId="1B72EA23" w:rsidR="006A7220" w:rsidRDefault="4FCFBF49" w:rsidP="71A1AD18">
      <w:r>
        <w:lastRenderedPageBreak/>
        <w:t>4.3 Long-Term Trends (2012–</w:t>
      </w:r>
      <w:proofErr w:type="gramStart"/>
      <w:r>
        <w:t>2025)</w:t>
      </w:r>
      <w:r w:rsidR="34FE9465">
        <w:t>....................</w:t>
      </w:r>
      <w:proofErr w:type="gramEnd"/>
      <w:r w:rsidR="34FE9465">
        <w:t>p13</w:t>
      </w:r>
    </w:p>
    <w:p w14:paraId="5A796A0E" w14:textId="3C324340" w:rsidR="006A7220" w:rsidRDefault="4FCFBF49" w:rsidP="71A1AD18">
      <w:r>
        <w:t>CHAPTER 5: KNIFE CRIME IN WALES</w:t>
      </w:r>
    </w:p>
    <w:p w14:paraId="28749C4D" w14:textId="612571F2" w:rsidR="006A7220" w:rsidRDefault="4FCFBF49" w:rsidP="71A1AD18">
      <w:r>
        <w:t>5.1 Introduction</w:t>
      </w:r>
      <w:r w:rsidR="73F14F1A">
        <w:t>..................................................................................................p14</w:t>
      </w:r>
    </w:p>
    <w:p w14:paraId="73C3ED7F" w14:textId="5659247E" w:rsidR="006A7220" w:rsidRDefault="4FCFBF49" w:rsidP="71A1AD18">
      <w:r>
        <w:t>5.2 Overview of Knife Crime Trends in Wales (2013–2023)</w:t>
      </w:r>
      <w:r w:rsidR="06B1E967">
        <w:t xml:space="preserve"> </w:t>
      </w:r>
      <w:r w:rsidR="26E53C67">
        <w:t>...............................p15</w:t>
      </w:r>
    </w:p>
    <w:p w14:paraId="15C0DC6F" w14:textId="7B7A54EA" w:rsidR="006A7220" w:rsidRDefault="4FCFBF49" w:rsidP="006A7220">
      <w:r>
        <w:t>5.3 Knife Crime by Welsh Police Force Area</w:t>
      </w:r>
      <w:r w:rsidR="2B34BBF5">
        <w:t>......................................................p15</w:t>
      </w:r>
    </w:p>
    <w:p w14:paraId="01F33F84" w14:textId="4E9BB572" w:rsidR="006A7220" w:rsidRDefault="4FCFBF49" w:rsidP="71A1AD18">
      <w:r>
        <w:t>5.4 Serious Violence Indicators in Wales</w:t>
      </w:r>
      <w:r w:rsidR="66F7F69F">
        <w:t>...........................................................p15</w:t>
      </w:r>
    </w:p>
    <w:p w14:paraId="62BA4E5B" w14:textId="46A5CF8A" w:rsidR="006A7220" w:rsidRDefault="4FCFBF49" w:rsidP="71A1AD18">
      <w:r>
        <w:t>5.5 Factors Driving Knife Crime in Wales</w:t>
      </w:r>
      <w:r w:rsidR="1005EFC7">
        <w:t>...........................................................p16</w:t>
      </w:r>
    </w:p>
    <w:p w14:paraId="00765762" w14:textId="7BD233CA" w:rsidR="006A7220" w:rsidRDefault="4FCFBF49" w:rsidP="006A7220">
      <w:r>
        <w:t>5.6 Policing Responses in Wales</w:t>
      </w:r>
      <w:r w:rsidR="79239A91">
        <w:t>........................................................................p16</w:t>
      </w:r>
    </w:p>
    <w:p w14:paraId="40C482A3" w14:textId="7053B48C" w:rsidR="006A7220" w:rsidRDefault="4FCFBF49" w:rsidP="71A1AD18">
      <w:r>
        <w:t>5.7 Comparison with England</w:t>
      </w:r>
      <w:r w:rsidR="17A04CA5">
        <w:t>...........................................................................p17</w:t>
      </w:r>
    </w:p>
    <w:p w14:paraId="3AAF6791" w14:textId="0B98E496" w:rsidR="006A7220" w:rsidRDefault="4FCFBF49" w:rsidP="71A1AD18">
      <w:r>
        <w:t>5.8 Conclusion</w:t>
      </w:r>
      <w:r w:rsidR="188E0DFB">
        <w:t>..................................................................................................p17</w:t>
      </w:r>
    </w:p>
    <w:p w14:paraId="1916495D" w14:textId="77777777" w:rsidR="006A7220" w:rsidRDefault="4FCFBF49" w:rsidP="006A7220">
      <w:r>
        <w:t>CHAPTER 6: KNIFE CRIME IN GWENT</w:t>
      </w:r>
    </w:p>
    <w:p w14:paraId="309E7A15" w14:textId="782F2A21" w:rsidR="006A7220" w:rsidRDefault="4FCFBF49" w:rsidP="71A1AD18">
      <w:r>
        <w:t>6.1 Introduction</w:t>
      </w:r>
      <w:r w:rsidR="60DB5733">
        <w:t>................................................................................................p18</w:t>
      </w:r>
    </w:p>
    <w:p w14:paraId="3CC9A7EA" w14:textId="1418F27A" w:rsidR="006A7220" w:rsidRDefault="4FCFBF49" w:rsidP="006A7220">
      <w:r>
        <w:t>6.2 Overview of the Gwent Police Area</w:t>
      </w:r>
      <w:r w:rsidR="5FFDB138">
        <w:t>............................................................p18</w:t>
      </w:r>
    </w:p>
    <w:p w14:paraId="33E17EF5" w14:textId="360B5590" w:rsidR="006A7220" w:rsidRDefault="4FCFBF49" w:rsidP="71A1AD18">
      <w:r>
        <w:t>6.3 Long-Term Trends in Knife Crime (2013–2023)</w:t>
      </w:r>
      <w:r w:rsidR="018A1C52">
        <w:t xml:space="preserve"> ...........................................p18</w:t>
      </w:r>
    </w:p>
    <w:p w14:paraId="19FEE351" w14:textId="76D8F8DF" w:rsidR="006A7220" w:rsidRDefault="4FCFBF49" w:rsidP="71A1AD18">
      <w:r>
        <w:t>6.4 Types of Knife Crime in Gwent</w:t>
      </w:r>
      <w:r w:rsidR="1ED09763">
        <w:t xml:space="preserve"> ....................................................................p19</w:t>
      </w:r>
    </w:p>
    <w:p w14:paraId="6DDEE39A" w14:textId="77777777" w:rsidR="006A7220" w:rsidRDefault="4FCFBF49" w:rsidP="006A7220">
      <w:r>
        <w:t>CHAPTER 7: POLICE MITIGATION STRATEGIES</w:t>
      </w:r>
    </w:p>
    <w:p w14:paraId="0741C8D9" w14:textId="55546859" w:rsidR="006A7220" w:rsidRDefault="4FCFBF49" w:rsidP="71A1AD18">
      <w:r>
        <w:t>7.1 Introduction</w:t>
      </w:r>
      <w:r w:rsidR="4555BF7B">
        <w:t>...............................................................................................p19</w:t>
      </w:r>
    </w:p>
    <w:p w14:paraId="317D4909" w14:textId="094CD771" w:rsidR="006A7220" w:rsidRDefault="4FCFBF49" w:rsidP="71A1AD18">
      <w:r>
        <w:t>7.2 Enforcement-Based Strategies</w:t>
      </w:r>
      <w:r w:rsidR="2F856D4B">
        <w:t>..................................................................p20</w:t>
      </w:r>
    </w:p>
    <w:p w14:paraId="35797360" w14:textId="417180FD" w:rsidR="006A7220" w:rsidRDefault="4FCFBF49" w:rsidP="006A7220">
      <w:r>
        <w:t>7.3 Prevention-Focused Strategies</w:t>
      </w:r>
      <w:r w:rsidR="4AE0AD6F">
        <w:t>.................................................................p20</w:t>
      </w:r>
    </w:p>
    <w:p w14:paraId="19158E57" w14:textId="269CCB03" w:rsidR="006A7220" w:rsidRDefault="4FCFBF49" w:rsidP="006A7220">
      <w:r>
        <w:t>7.4 Public Health Approaches</w:t>
      </w:r>
      <w:r w:rsidR="385740F9">
        <w:t>.........................................................................p21</w:t>
      </w:r>
    </w:p>
    <w:p w14:paraId="44315B6A" w14:textId="17B5031D" w:rsidR="006A7220" w:rsidRDefault="4FCFBF49" w:rsidP="006A7220">
      <w:r>
        <w:t>7.5 Multi-Agency Collaboration</w:t>
      </w:r>
      <w:r w:rsidR="1285FF7E">
        <w:t>......................................................................p21</w:t>
      </w:r>
    </w:p>
    <w:p w14:paraId="23CC2709" w14:textId="7BD33300" w:rsidR="006A7220" w:rsidRDefault="4FCFBF49" w:rsidP="71A1AD18">
      <w:r>
        <w:t>7.6 Technology and Intelligence-Led Policing</w:t>
      </w:r>
      <w:r w:rsidR="6A36FAF5">
        <w:t>.................................................p22</w:t>
      </w:r>
    </w:p>
    <w:p w14:paraId="4F2DD7D4" w14:textId="2CB3AE30" w:rsidR="006A7220" w:rsidRDefault="4FCFBF49" w:rsidP="71A1AD18">
      <w:r>
        <w:t>7.7 Challenges Facing Police Forces in Wales</w:t>
      </w:r>
      <w:r w:rsidR="42E5E752">
        <w:t>.................................................p22</w:t>
      </w:r>
    </w:p>
    <w:p w14:paraId="4147FA2D" w14:textId="34125B04" w:rsidR="006A7220" w:rsidRDefault="4FCFBF49" w:rsidP="006A7220">
      <w:r>
        <w:t>7.8 Conclusion</w:t>
      </w:r>
      <w:r w:rsidR="4DADF3F6">
        <w:t xml:space="preserve"> ...............................................................................................p23</w:t>
      </w:r>
    </w:p>
    <w:p w14:paraId="5140851D" w14:textId="77777777" w:rsidR="006A7220" w:rsidRDefault="4FCFBF49" w:rsidP="006A7220">
      <w:r>
        <w:t>CHAPTER 8: EVALUATION OF POLICE EFFECTIVENESS</w:t>
      </w:r>
    </w:p>
    <w:p w14:paraId="6DEC3CDB" w14:textId="4BA16CCD" w:rsidR="006A7220" w:rsidRDefault="4FCFBF49" w:rsidP="71A1AD18">
      <w:r>
        <w:t>8.1 Introduction</w:t>
      </w:r>
      <w:r w:rsidR="02B395E9">
        <w:t>..............................................................................................p23</w:t>
      </w:r>
    </w:p>
    <w:p w14:paraId="6EC70F1B" w14:textId="6E5562BD" w:rsidR="006A7220" w:rsidRDefault="4FCFBF49" w:rsidP="006A7220">
      <w:r>
        <w:t>8.2 National Evaluation of Police Effectiveness</w:t>
      </w:r>
      <w:r w:rsidR="6E472AA5">
        <w:t>..............................................p2</w:t>
      </w:r>
      <w:r w:rsidR="4021B22A">
        <w:t>4</w:t>
      </w:r>
    </w:p>
    <w:p w14:paraId="37D4B6EB" w14:textId="6EA48199" w:rsidR="006A7220" w:rsidRDefault="4FCFBF49" w:rsidP="71A1AD18">
      <w:r>
        <w:t>8.3 Effectiveness of Specific Policing Strategies</w:t>
      </w:r>
      <w:r w:rsidR="66B9935A">
        <w:t>..............................................p2</w:t>
      </w:r>
      <w:r w:rsidR="47F28964">
        <w:t>5</w:t>
      </w:r>
    </w:p>
    <w:p w14:paraId="001138BC" w14:textId="536E64EA" w:rsidR="006A7220" w:rsidRDefault="4FCFBF49" w:rsidP="006A7220">
      <w:r>
        <w:t xml:space="preserve">CHAPTER 9: CONCLUSION </w:t>
      </w:r>
    </w:p>
    <w:p w14:paraId="1D563627" w14:textId="0AD8EC7E" w:rsidR="006A7220" w:rsidRDefault="4FCFBF49" w:rsidP="71A1AD18">
      <w:r>
        <w:t>9.1 Introduction</w:t>
      </w:r>
      <w:r w:rsidR="39B2D48A">
        <w:t>..................................................................................</w:t>
      </w:r>
      <w:r w:rsidR="66A78834">
        <w:t>.............p26</w:t>
      </w:r>
    </w:p>
    <w:p w14:paraId="2514B0C6" w14:textId="041A64EB" w:rsidR="006A7220" w:rsidRDefault="4FCFBF49" w:rsidP="71A1AD18">
      <w:r>
        <w:t>9.2 Summary of Key Findings</w:t>
      </w:r>
      <w:r w:rsidR="6C4E0F0B">
        <w:t>..........................................................................p27</w:t>
      </w:r>
    </w:p>
    <w:p w14:paraId="6041852E" w14:textId="23404AC5" w:rsidR="006A7220" w:rsidRDefault="4FCFBF49" w:rsidP="006A7220">
      <w:r>
        <w:lastRenderedPageBreak/>
        <w:t>9.3 Interpretation of Findings</w:t>
      </w:r>
      <w:r w:rsidR="585F3097">
        <w:t>.........................................................................p28</w:t>
      </w:r>
    </w:p>
    <w:p w14:paraId="14E105FD" w14:textId="5F51E963" w:rsidR="006A7220" w:rsidRDefault="4FCFBF49" w:rsidP="006A7220">
      <w:r>
        <w:t>9.4 Final Reflections</w:t>
      </w:r>
      <w:r w:rsidR="6578EDDB">
        <w:t>......................................................................................p28</w:t>
      </w:r>
    </w:p>
    <w:p w14:paraId="06649090" w14:textId="2566139C" w:rsidR="006A7220" w:rsidRDefault="168A7F66" w:rsidP="006A7220">
      <w:r>
        <w:t>Reference list</w:t>
      </w:r>
      <w:r w:rsidR="15173FA0">
        <w:t xml:space="preserve"> and Bibliography...................................</w:t>
      </w:r>
      <w:r w:rsidR="319020C5">
        <w:t>.................................p29</w:t>
      </w:r>
    </w:p>
    <w:p w14:paraId="2E21B0F0" w14:textId="1D5D0512" w:rsidR="006A7220" w:rsidRDefault="168A7F66" w:rsidP="006A7220">
      <w:r>
        <w:t>Appendices</w:t>
      </w:r>
      <w:r w:rsidR="1CFCA405">
        <w:t>....................................................................................................p31-41</w:t>
      </w:r>
    </w:p>
    <w:p w14:paraId="65567286" w14:textId="5513B754" w:rsidR="006A7220" w:rsidRDefault="006A7220" w:rsidP="006A7220"/>
    <w:p w14:paraId="5440ECD6" w14:textId="6F853B42" w:rsidR="006A7220" w:rsidRDefault="006A7220" w:rsidP="71A1AD18"/>
    <w:p w14:paraId="5AC03924" w14:textId="14FD3BD6" w:rsidR="006A7220" w:rsidRDefault="006A7220" w:rsidP="71A1AD18"/>
    <w:p w14:paraId="3D84412D" w14:textId="7A5F9660" w:rsidR="006A7220" w:rsidRPr="00162479" w:rsidRDefault="4E838572" w:rsidP="71A1AD18">
      <w:r w:rsidRPr="71A1AD18">
        <w:rPr>
          <w:rFonts w:ascii="Calibri" w:eastAsia="Calibri" w:hAnsi="Calibri" w:cs="Calibri"/>
        </w:rPr>
        <w:t>Abstract</w:t>
      </w:r>
    </w:p>
    <w:p w14:paraId="143E1AF2" w14:textId="7A9569B5" w:rsidR="006A7220" w:rsidRDefault="4E838572" w:rsidP="71A1AD18">
      <w:r w:rsidRPr="064AC0CD">
        <w:rPr>
          <w:rFonts w:ascii="Calibri" w:eastAsia="Calibri" w:hAnsi="Calibri" w:cs="Calibri"/>
        </w:rPr>
        <w:t xml:space="preserve">This dissertation examines changes in knife crime in Gwent, Wales, and England over the past decade and evaluates how effective policing strategies have been in reducing </w:t>
      </w:r>
      <w:r w:rsidR="0D9042D0" w:rsidRPr="064AC0CD">
        <w:rPr>
          <w:rFonts w:ascii="Calibri" w:eastAsia="Calibri" w:hAnsi="Calibri" w:cs="Calibri"/>
        </w:rPr>
        <w:t>knife related</w:t>
      </w:r>
      <w:r w:rsidRPr="064AC0CD">
        <w:rPr>
          <w:rFonts w:ascii="Calibri" w:eastAsia="Calibri" w:hAnsi="Calibri" w:cs="Calibri"/>
        </w:rPr>
        <w:t xml:space="preserve"> violence. Using </w:t>
      </w:r>
      <w:r w:rsidR="4D51603C" w:rsidRPr="064AC0CD">
        <w:rPr>
          <w:rFonts w:ascii="Calibri" w:eastAsia="Calibri" w:hAnsi="Calibri" w:cs="Calibri"/>
        </w:rPr>
        <w:t>police recorded</w:t>
      </w:r>
      <w:r w:rsidRPr="064AC0CD">
        <w:rPr>
          <w:rFonts w:ascii="Calibri" w:eastAsia="Calibri" w:hAnsi="Calibri" w:cs="Calibri"/>
        </w:rPr>
        <w:t xml:space="preserve"> data, hospital admissions, and sentencing statistics (ONS, 2023; NHS Digital, 2022), the study identifies </w:t>
      </w:r>
      <w:r w:rsidR="320CD79A" w:rsidRPr="064AC0CD">
        <w:rPr>
          <w:rFonts w:ascii="Calibri" w:eastAsia="Calibri" w:hAnsi="Calibri" w:cs="Calibri"/>
        </w:rPr>
        <w:t>long-term</w:t>
      </w:r>
      <w:r w:rsidRPr="064AC0CD">
        <w:rPr>
          <w:rFonts w:ascii="Calibri" w:eastAsia="Calibri" w:hAnsi="Calibri" w:cs="Calibri"/>
        </w:rPr>
        <w:t xml:space="preserve"> patterns in serious violence and compares local trends in Gwent with wider national trajectories. It also explores social and structural drivers such as deprivation, youth exploitation, and community inequalities, drawing on contemporary criminological research (Harding, 2020; Pitts, 2018). The dissertation further assesses the effectiveness of police mitigation strategies including targeted enforcement, hotspot policing, </w:t>
      </w:r>
      <w:r w:rsidR="70B2D50C" w:rsidRPr="064AC0CD">
        <w:rPr>
          <w:rFonts w:ascii="Calibri" w:eastAsia="Calibri" w:hAnsi="Calibri" w:cs="Calibri"/>
        </w:rPr>
        <w:t>early intervention</w:t>
      </w:r>
      <w:r w:rsidRPr="064AC0CD">
        <w:rPr>
          <w:rFonts w:ascii="Calibri" w:eastAsia="Calibri" w:hAnsi="Calibri" w:cs="Calibri"/>
        </w:rPr>
        <w:t xml:space="preserve"> initiatives, and </w:t>
      </w:r>
      <w:r w:rsidR="1EFCE406" w:rsidRPr="064AC0CD">
        <w:rPr>
          <w:rFonts w:ascii="Calibri" w:eastAsia="Calibri" w:hAnsi="Calibri" w:cs="Calibri"/>
        </w:rPr>
        <w:t>multiagency</w:t>
      </w:r>
      <w:r w:rsidRPr="064AC0CD">
        <w:rPr>
          <w:rFonts w:ascii="Calibri" w:eastAsia="Calibri" w:hAnsi="Calibri" w:cs="Calibri"/>
        </w:rPr>
        <w:t xml:space="preserve"> partnerships (College of Policing, 2021). By integrating quantitative trend analysis with qualitative evaluation of policing approaches, the study aims to provide an </w:t>
      </w:r>
      <w:r w:rsidR="4BF349A3" w:rsidRPr="064AC0CD">
        <w:rPr>
          <w:rFonts w:ascii="Calibri" w:eastAsia="Calibri" w:hAnsi="Calibri" w:cs="Calibri"/>
        </w:rPr>
        <w:t xml:space="preserve">evidence </w:t>
      </w:r>
      <w:r w:rsidR="00644F08">
        <w:rPr>
          <w:rFonts w:ascii="Calibri" w:eastAsia="Calibri" w:hAnsi="Calibri" w:cs="Calibri"/>
        </w:rPr>
        <w:t>-</w:t>
      </w:r>
      <w:r w:rsidR="4BF349A3" w:rsidRPr="064AC0CD">
        <w:rPr>
          <w:rFonts w:ascii="Calibri" w:eastAsia="Calibri" w:hAnsi="Calibri" w:cs="Calibri"/>
        </w:rPr>
        <w:t>based</w:t>
      </w:r>
      <w:r w:rsidRPr="064AC0CD">
        <w:rPr>
          <w:rFonts w:ascii="Calibri" w:eastAsia="Calibri" w:hAnsi="Calibri" w:cs="Calibri"/>
        </w:rPr>
        <w:t xml:space="preserve"> understanding of knife crime dynamics and inform future </w:t>
      </w:r>
      <w:r w:rsidR="4A2E2D3B" w:rsidRPr="064AC0CD">
        <w:rPr>
          <w:rFonts w:ascii="Calibri" w:eastAsia="Calibri" w:hAnsi="Calibri" w:cs="Calibri"/>
        </w:rPr>
        <w:t>violence reduction</w:t>
      </w:r>
      <w:r w:rsidRPr="064AC0CD">
        <w:rPr>
          <w:rFonts w:ascii="Calibri" w:eastAsia="Calibri" w:hAnsi="Calibri" w:cs="Calibri"/>
        </w:rPr>
        <w:t xml:space="preserve"> policy.</w:t>
      </w:r>
    </w:p>
    <w:p w14:paraId="40D92D78" w14:textId="1FC07324" w:rsidR="006A7220" w:rsidRDefault="006A7220" w:rsidP="71A1AD18"/>
    <w:p w14:paraId="1D9AD68C" w14:textId="32F91CEB" w:rsidR="006A7220" w:rsidRDefault="006A7220" w:rsidP="71A1AD18"/>
    <w:p w14:paraId="0ED93592" w14:textId="399C084B" w:rsidR="006A7220" w:rsidRDefault="006A7220" w:rsidP="71A1AD18">
      <w:r>
        <w:t>CHAPTER ONE</w:t>
      </w:r>
    </w:p>
    <w:p w14:paraId="36B6DC04" w14:textId="77777777" w:rsidR="006A7220" w:rsidRDefault="006A7220" w:rsidP="006A7220">
      <w:r>
        <w:t>1.1 Background and Context</w:t>
      </w:r>
    </w:p>
    <w:p w14:paraId="7B7D4BA8" w14:textId="77777777" w:rsidR="006A7220" w:rsidRDefault="006A7220" w:rsidP="006A7220">
      <w:r>
        <w:t xml:space="preserve">Knife crime has become one of the most pressing public safety concerns across England and Wales over the past decade (Office for National Statistics, 2023; Home Office, 2022). While overall crime has generally declined since the early 2000s, violent crime involving knives or sharp instruments has risen sharply, particularly between 2012 and 2020 (ONS, 2023). This trend has generated significant political, academic, and media attention, with knife crime increasingly framed as a national crisis requiring urgent intervention (Home Office, 2022; Allen and </w:t>
      </w:r>
      <w:proofErr w:type="spellStart"/>
      <w:r>
        <w:t>Audickas</w:t>
      </w:r>
      <w:proofErr w:type="spellEnd"/>
      <w:r>
        <w:t>, 2020).</w:t>
      </w:r>
      <w:r w:rsidR="00F74512">
        <w:t xml:space="preserve"> In 2012 knife crime was concentrated in a few urban areas but by 2022 knife crime has not only intensified and risen but is now seen across the UK in both urban and more rural areas. </w:t>
      </w:r>
      <w:r>
        <w:t xml:space="preserve">The issue is not confined to major </w:t>
      </w:r>
      <w:r w:rsidR="00255A35">
        <w:t>cities</w:t>
      </w:r>
      <w:r>
        <w:t xml:space="preserve"> such as London or Birmingham, smaller regions, including those in Wales, have experienced substantial increases in knife-related violence (ONS, 2023).</w:t>
      </w:r>
    </w:p>
    <w:p w14:paraId="7F186E89" w14:textId="6092C80E" w:rsidR="006A7220" w:rsidRDefault="006A7220" w:rsidP="006A7220">
      <w:r>
        <w:t xml:space="preserve">Within Wales, the Gwent Police force area covering Newport, Torfaen, Blaenau Gwent, Caerphilly, and Monmouthshire </w:t>
      </w:r>
      <w:r w:rsidR="2E87CAA2">
        <w:t>have</w:t>
      </w:r>
      <w:r>
        <w:t xml:space="preserve"> seen one of the most dramatic rises in knife crime anywhere in the UK (ONS, 2023; Gwent Police, 2023). Over the last decade, Gwent has recorded a 478% increase in knife-related offences, far exceeding both the Welsh and England-wide averages (ONS, 2023). This escalation has raised concerns among policymakers, community leaders, and residents, prompting </w:t>
      </w:r>
      <w:r>
        <w:lastRenderedPageBreak/>
        <w:t>questions about the underlying causes and the effectiveness of policing strategies designed to mitigate the problem (Home Office, 2022).</w:t>
      </w:r>
    </w:p>
    <w:p w14:paraId="534EC7D3" w14:textId="77777777" w:rsidR="006A7220" w:rsidRDefault="006A7220" w:rsidP="006A7220">
      <w:r>
        <w:t>Knife crime is a complex phenomenon, influenced by a range of social, economic, and cultural factors (Harding, 2020; Pitts, 2018). These include deprivation, youth service cuts, drug market dynamics (particularly county lines activity), social media-driven conflicts, and changes in policing practices (Robinson et al., 2019</w:t>
      </w:r>
      <w:r w:rsidR="00A33E00">
        <w:t>,</w:t>
      </w:r>
      <w:r>
        <w:t xml:space="preserve"> HM Government, 2018). Understanding how these factors interact within specific local contexts is essential for developing effective responses (Pitts, 2018). Gwent’s rapid increase in knife crime makes it a particularly important case study for examining how national trends manifest at a local level and how police forces adapt to evolving challenges.</w:t>
      </w:r>
    </w:p>
    <w:p w14:paraId="7290F510" w14:textId="77777777" w:rsidR="006A7220" w:rsidRDefault="006A7220" w:rsidP="006A7220">
      <w:r>
        <w:t xml:space="preserve">Despite extensive public debate, there remains uncertainty about the true extent of knife crime increases across different regions and the degree to which police interventions have been successful (Allen and </w:t>
      </w:r>
      <w:proofErr w:type="spellStart"/>
      <w:r>
        <w:t>Audickas</w:t>
      </w:r>
      <w:proofErr w:type="spellEnd"/>
      <w:r>
        <w:t>, 2020). National statistics often obscure regional variation, and local data can be difficult to interpret without broader context (ONS, 2023). Furthermore, while police forces have implemented a range of mitigation strategies including stop-and-search, hotspot policing, youth engagement programmes, and multi-agency partnerships, their long-term effectiveness remains contested (College of Policing, 2021; Braga et al., 2019).</w:t>
      </w:r>
    </w:p>
    <w:p w14:paraId="0F7239E2" w14:textId="77777777" w:rsidR="006A7220" w:rsidRDefault="006A7220" w:rsidP="006A7220">
      <w:r>
        <w:t>This dissertation addresses these gaps by examining:</w:t>
      </w:r>
    </w:p>
    <w:p w14:paraId="3DAC252B" w14:textId="4FE7CD99" w:rsidR="006A7220" w:rsidRDefault="7F9AE1FC" w:rsidP="006A7220">
      <w:r>
        <w:t xml:space="preserve">How knife crime has changed over the last decade both </w:t>
      </w:r>
      <w:r w:rsidR="225825AD">
        <w:t>nationally</w:t>
      </w:r>
      <w:r>
        <w:t xml:space="preserve"> within England and Wales, locally focusing on Gwent Police force area as this is where I work. I will also aim to examine how effective police mitigation strategies have been in reducing knife-related offences, in preventing youth involvement, in addressing underlying drivers such as drug markets and in improving community safety and trust (College of Policing, 2021). By combining national datasets with localised analysis, this study provides a comprehensive assessment of knife crime trends and policing responses.</w:t>
      </w:r>
    </w:p>
    <w:p w14:paraId="672A6659" w14:textId="77777777" w:rsidR="006A7220" w:rsidRDefault="006A7220" w:rsidP="006A7220"/>
    <w:p w14:paraId="0A37501D" w14:textId="77777777" w:rsidR="005E3F06" w:rsidRDefault="005E3F06" w:rsidP="006A7220"/>
    <w:p w14:paraId="5DAB6C7B" w14:textId="77777777" w:rsidR="005E3F06" w:rsidRDefault="005E3F06" w:rsidP="006A7220"/>
    <w:p w14:paraId="02EB378F" w14:textId="77777777" w:rsidR="005E3F06" w:rsidRDefault="005E3F06" w:rsidP="006A7220"/>
    <w:p w14:paraId="15365D6D" w14:textId="77777777" w:rsidR="006A7220" w:rsidRDefault="006A7220" w:rsidP="006A7220">
      <w:r>
        <w:t>1.2 Research Aim and Objectives</w:t>
      </w:r>
    </w:p>
    <w:p w14:paraId="2FC8C62C" w14:textId="77777777" w:rsidR="006A7220" w:rsidRDefault="006A7220" w:rsidP="006A7220">
      <w:r>
        <w:t>Aim</w:t>
      </w:r>
    </w:p>
    <w:p w14:paraId="7C46F552" w14:textId="77777777" w:rsidR="006A7220" w:rsidRDefault="006A7220" w:rsidP="006A7220">
      <w:r>
        <w:t>To evaluate the extent to which knife crime has increased or decreased in Gwent, Wales, and England over the last decade, and to assess the effectiveness of police strategies in mitigating knife-related violence.</w:t>
      </w:r>
    </w:p>
    <w:p w14:paraId="106DD217" w14:textId="77777777" w:rsidR="006A7220" w:rsidRDefault="006A7220" w:rsidP="006A7220">
      <w:r>
        <w:t>Objectives</w:t>
      </w:r>
    </w:p>
    <w:p w14:paraId="326335CC" w14:textId="77777777" w:rsidR="006A7220" w:rsidRDefault="006A7220" w:rsidP="006A7220">
      <w:r>
        <w:t>To analyse long-term trends in knife crime using police-recorded data, hospital admissions, and sentencing statistics (ONS, 2023; NHS Digital, 2022).</w:t>
      </w:r>
    </w:p>
    <w:p w14:paraId="5B15FA20" w14:textId="77777777" w:rsidR="006A7220" w:rsidRDefault="006A7220" w:rsidP="006A7220">
      <w:r>
        <w:t>To compare knife crime trends in Gwent with those in Wales and England (ONS, 2023).</w:t>
      </w:r>
    </w:p>
    <w:p w14:paraId="32DB2E57" w14:textId="77777777" w:rsidR="006A7220" w:rsidRDefault="006A7220" w:rsidP="006A7220">
      <w:r>
        <w:t>To identify social, economic, and structural factors contributing to changes in knife crime (Harding, 2020; Pitts, 2018).</w:t>
      </w:r>
    </w:p>
    <w:p w14:paraId="37222496" w14:textId="77777777" w:rsidR="006A7220" w:rsidRDefault="006A7220" w:rsidP="006A7220">
      <w:r>
        <w:lastRenderedPageBreak/>
        <w:t>To evaluate the effectiveness of police mitigation strategies, including enforcement, prevention, and partnership approaches (College of Policing, 2021).</w:t>
      </w:r>
    </w:p>
    <w:p w14:paraId="72415953" w14:textId="77777777" w:rsidR="006A7220" w:rsidRDefault="006A7220" w:rsidP="006A7220">
      <w:r>
        <w:t>To provide evidence-based recommendations for improving knife crime reduction efforts in Gwent and similar regions.</w:t>
      </w:r>
    </w:p>
    <w:p w14:paraId="61D7BA52" w14:textId="77777777" w:rsidR="006A7220" w:rsidRDefault="006A7220" w:rsidP="006A7220">
      <w:r>
        <w:t>1.3 Rationale for Focusing on Gwent</w:t>
      </w:r>
    </w:p>
    <w:p w14:paraId="7E4FFE83" w14:textId="77777777" w:rsidR="00E552B6" w:rsidRDefault="006A7220" w:rsidP="006A7220">
      <w:r>
        <w:t xml:space="preserve">Gwent is an especially compelling case study for several reasons. </w:t>
      </w:r>
      <w:r w:rsidR="00E552B6">
        <w:t>As can be seen in Figure 1</w:t>
      </w:r>
      <w:r w:rsidR="00082FBA">
        <w:t>.3.1</w:t>
      </w:r>
      <w:r w:rsidR="00E552B6">
        <w:t xml:space="preserve">, </w:t>
      </w:r>
      <w:r>
        <w:t>Gwent has experienced one of the steepest rises in knife crime in the UK, with offences increasing from 65 in 2012–13 to 376 in 2022–23 (ONS, 2023; Gwent Police, 2023).</w:t>
      </w:r>
      <w:r w:rsidR="00A57B08" w:rsidRPr="00A57B08">
        <w:t xml:space="preserve"> Gwent shows the most dramatic proportional growth of any Welsh force over this period rising approximately 480%</w:t>
      </w:r>
      <w:r w:rsidR="001444D4">
        <w:t>, n</w:t>
      </w:r>
      <w:r w:rsidR="00A57B08" w:rsidRPr="00A57B08">
        <w:t>o other force comes close to this rate of increase.</w:t>
      </w:r>
      <w:r>
        <w:t xml:space="preserve"> This far exceeds the Welsh average (150% increase) and the England-wide increase (85%) (ONS, 2023). Gwent has become a significant hub for county lines drug networks, particularly in Newport (HM Government, 2018). </w:t>
      </w:r>
      <w:r w:rsidR="001444D4">
        <w:t>This may have a direct impact on the knife crime rate within the Gwent area.</w:t>
      </w:r>
    </w:p>
    <w:p w14:paraId="6A05A809" w14:textId="77777777" w:rsidR="00E552B6" w:rsidRDefault="00E552B6" w:rsidP="006A7220">
      <w:r>
        <w:rPr>
          <w:noProof/>
        </w:rPr>
        <w:drawing>
          <wp:inline distT="0" distB="0" distL="0" distR="0" wp14:anchorId="5DC8A429" wp14:editId="754EA23E">
            <wp:extent cx="3837101" cy="2771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9118" cy="2809350"/>
                    </a:xfrm>
                    <a:prstGeom prst="rect">
                      <a:avLst/>
                    </a:prstGeom>
                    <a:noFill/>
                  </pic:spPr>
                </pic:pic>
              </a:graphicData>
            </a:graphic>
          </wp:inline>
        </w:drawing>
      </w:r>
    </w:p>
    <w:p w14:paraId="4F99BC2D" w14:textId="77777777" w:rsidR="00E552B6" w:rsidRDefault="00E552B6" w:rsidP="006A7220">
      <w:r>
        <w:t>Figure 1.3</w:t>
      </w:r>
      <w:r w:rsidR="00082FBA">
        <w:t xml:space="preserve">.1 </w:t>
      </w:r>
      <w:r w:rsidR="00926C4F">
        <w:t>Data chart showing increase in knife crime in areas of Wales – (Source South Wales Argus 2024)</w:t>
      </w:r>
    </w:p>
    <w:p w14:paraId="06E503D5" w14:textId="77777777" w:rsidR="006A7220" w:rsidRDefault="006A7220" w:rsidP="006A7220">
      <w:r>
        <w:t>These networks often rely on coercion, exploitation, and violence, including the use of knives (National Crime Agency, 2019). Gwent includes both densely populated urban areas such as Newport and rural or semi-rural communities such as Monmouthshire. This diversity allows for analysis of how knife crime manifests across different environment. Gwent Police has acknowledged that rising knife crime presents unique challenges, including youth involvement, weapon accessibility, and community trust (Gwent Police, 2023). Evaluating their response provides insight into the strengths and limitations of current policing model.</w:t>
      </w:r>
    </w:p>
    <w:p w14:paraId="5A39BBE3" w14:textId="77777777" w:rsidR="00255A35" w:rsidRDefault="00255A35" w:rsidP="006A7220"/>
    <w:p w14:paraId="2FAF43A5" w14:textId="77777777" w:rsidR="00680F35" w:rsidRDefault="006A7220" w:rsidP="006A7220">
      <w:r>
        <w:t>1.4 Scope of the Study</w:t>
      </w:r>
    </w:p>
    <w:p w14:paraId="4847602E" w14:textId="77777777" w:rsidR="00926C4F" w:rsidRDefault="006A7220" w:rsidP="006A7220">
      <w:r>
        <w:t>This dissertation focuses on the period 2012–2023, a decade characterised by significant changes in knife crime trends and policing strategies (ONS, 2023). The study examines:</w:t>
      </w:r>
    </w:p>
    <w:p w14:paraId="5A386E1B" w14:textId="77777777" w:rsidR="00926C4F" w:rsidRDefault="006A7220" w:rsidP="006A7220">
      <w:r>
        <w:t>Police-recorded knife/sharp instrument offences</w:t>
      </w:r>
    </w:p>
    <w:p w14:paraId="380CE618" w14:textId="77777777" w:rsidR="006A7220" w:rsidRDefault="006A7220" w:rsidP="006A7220">
      <w:r>
        <w:lastRenderedPageBreak/>
        <w:t>Knife-related homicides, assaults, robberies, and threats (ONS, 2023)</w:t>
      </w:r>
    </w:p>
    <w:p w14:paraId="01F8E669" w14:textId="77777777" w:rsidR="006A7220" w:rsidRDefault="006A7220" w:rsidP="006A7220">
      <w:r>
        <w:t>Hospital admissions for sharp-object injuries (NHS Digital, 2022)</w:t>
      </w:r>
    </w:p>
    <w:p w14:paraId="063C69E6" w14:textId="77777777" w:rsidR="006A7220" w:rsidRDefault="006A7220" w:rsidP="006A7220">
      <w:r>
        <w:t>Sentencing patterns for knife possession and use (Ministry of Justice, 2023)</w:t>
      </w:r>
    </w:p>
    <w:p w14:paraId="33C39481" w14:textId="77777777" w:rsidR="006A7220" w:rsidRDefault="006A7220" w:rsidP="006A7220">
      <w:r>
        <w:t>Local authority and police force reports</w:t>
      </w:r>
    </w:p>
    <w:p w14:paraId="20CF277F" w14:textId="77777777" w:rsidR="005E3F06" w:rsidRDefault="006A7220" w:rsidP="006A7220">
      <w:r>
        <w:t>Academic literature on knife crime causation and prevention (Pitts, 2018; Harding, 2020)</w:t>
      </w:r>
    </w:p>
    <w:p w14:paraId="21013C69" w14:textId="77777777" w:rsidR="006A7220" w:rsidRDefault="006A7220" w:rsidP="006A7220">
      <w:r>
        <w:t>The study does not attempt to predict future trends but instead evaluates historical data to understand patterns and policy impacts.</w:t>
      </w:r>
    </w:p>
    <w:p w14:paraId="4A93B2BE" w14:textId="6B508758" w:rsidR="71A1AD18" w:rsidRDefault="71A1AD18"/>
    <w:p w14:paraId="413169BD" w14:textId="77777777" w:rsidR="006A7220" w:rsidRDefault="006A7220" w:rsidP="006A7220">
      <w:r>
        <w:t>1.5 Conclusion</w:t>
      </w:r>
    </w:p>
    <w:p w14:paraId="1B6A4447" w14:textId="77777777" w:rsidR="006A7220" w:rsidRDefault="006A7220" w:rsidP="006A7220">
      <w:r>
        <w:t>Knife crime remains a significant and evolving challenge across England and Wales, with Gwent representing one of the most affected regions (ONS, 2023). Understanding the extent of the increase and the effectiveness of police responses is essential for developing strategies that can reduce harm and improve community safety (College of Policing, 2021). This dissertation provides a comprehensive, data-driven examination of these issues, contributing to both academic understanding and practical policymaking.</w:t>
      </w:r>
    </w:p>
    <w:p w14:paraId="41C8F396" w14:textId="77777777" w:rsidR="006A7220" w:rsidRDefault="006A7220" w:rsidP="006A7220"/>
    <w:p w14:paraId="0040601B" w14:textId="77777777" w:rsidR="006A7220" w:rsidRDefault="006A7220" w:rsidP="006A7220">
      <w:r>
        <w:t>CHAPTER 2 – LITERATURE REVIEW</w:t>
      </w:r>
    </w:p>
    <w:p w14:paraId="56477D14" w14:textId="77777777" w:rsidR="006A7220" w:rsidRDefault="005D6796" w:rsidP="006A7220">
      <w:r>
        <w:t xml:space="preserve">2.1 </w:t>
      </w:r>
      <w:r w:rsidR="006A7220">
        <w:t>Introduction</w:t>
      </w:r>
    </w:p>
    <w:p w14:paraId="07F175E7" w14:textId="2C75C9ED" w:rsidR="0C99F252" w:rsidRDefault="0C99F252" w:rsidP="359B016B">
      <w:pPr>
        <w:rPr>
          <w:rFonts w:ascii="Calibri" w:eastAsia="Calibri" w:hAnsi="Calibri" w:cs="Calibri"/>
          <w:color w:val="000000" w:themeColor="text1"/>
        </w:rPr>
      </w:pPr>
      <w:r w:rsidRPr="359B016B">
        <w:rPr>
          <w:rFonts w:ascii="Calibri" w:eastAsia="Calibri" w:hAnsi="Calibri" w:cs="Calibri"/>
          <w:color w:val="000000" w:themeColor="text1"/>
        </w:rPr>
        <w:t xml:space="preserve">Knife crime has become a central focus of criminological research, policing strategy, and public policy across England and Wales (Pitts, 2018; Harding, 2020). Over the past decade, government bodies and academics have sought to understand the causes of rising knife-related violence, the groups most affected, and the effectiveness of interventions designed to reduce harm (Allen and </w:t>
      </w:r>
      <w:proofErr w:type="spellStart"/>
      <w:r w:rsidRPr="359B016B">
        <w:rPr>
          <w:rFonts w:ascii="Calibri" w:eastAsia="Calibri" w:hAnsi="Calibri" w:cs="Calibri"/>
          <w:color w:val="000000" w:themeColor="text1"/>
        </w:rPr>
        <w:t>Audickas</w:t>
      </w:r>
      <w:proofErr w:type="spellEnd"/>
      <w:r w:rsidRPr="359B016B">
        <w:rPr>
          <w:rFonts w:ascii="Calibri" w:eastAsia="Calibri" w:hAnsi="Calibri" w:cs="Calibri"/>
          <w:color w:val="000000" w:themeColor="text1"/>
        </w:rPr>
        <w:t>, 2020).</w:t>
      </w:r>
    </w:p>
    <w:p w14:paraId="6940E44E" w14:textId="2C87A705" w:rsidR="0C99F252" w:rsidRDefault="0C99F252" w:rsidP="359B016B">
      <w:pPr>
        <w:rPr>
          <w:rFonts w:ascii="Calibri" w:eastAsia="Calibri" w:hAnsi="Calibri" w:cs="Calibri"/>
          <w:color w:val="000000" w:themeColor="text1"/>
        </w:rPr>
      </w:pPr>
      <w:r w:rsidRPr="359B016B">
        <w:rPr>
          <w:rFonts w:ascii="Calibri" w:eastAsia="Calibri" w:hAnsi="Calibri" w:cs="Calibri"/>
          <w:color w:val="000000" w:themeColor="text1"/>
        </w:rPr>
        <w:t>Knife crime is not a single offence but a broad category encompassing homicide, attempted murder, threats to kill, assault with injury or intent, robbery involving a knife, and possession of a bladed article (ONS, 2023). Scholars emphasise that “knife crime” is a socially constructed term shaped by media and political narratives (Jewkes, 2015), which can oversimplify diverse forms of violence. Nevertheless, the ONS definition remains the most widely used and is adopted in this dissertation for consistency.</w:t>
      </w:r>
    </w:p>
    <w:p w14:paraId="06E755EE" w14:textId="3159AE31" w:rsidR="359B016B" w:rsidRDefault="359B016B"/>
    <w:p w14:paraId="2E173EA9" w14:textId="77777777" w:rsidR="006A7220" w:rsidRDefault="005D6796" w:rsidP="006A7220">
      <w:r>
        <w:t xml:space="preserve">2.2 </w:t>
      </w:r>
      <w:r w:rsidR="006A7220">
        <w:t>National Trends in Knife Crime</w:t>
      </w:r>
    </w:p>
    <w:p w14:paraId="69E76BE3" w14:textId="7D084299" w:rsidR="006A7220" w:rsidRDefault="006A7220" w:rsidP="006A7220">
      <w:r>
        <w:t xml:space="preserve"> </w:t>
      </w:r>
      <w:r w:rsidR="0D31CA71">
        <w:t>R</w:t>
      </w:r>
      <w:r>
        <w:t>esearch documents</w:t>
      </w:r>
      <w:r w:rsidR="345429F6">
        <w:t xml:space="preserve"> on</w:t>
      </w:r>
      <w:r>
        <w:t xml:space="preserve"> the rise in knife crime across England and Wales since the early 2010s (ONS, 2023). Studies consistently show that knife-related offences increased sharply between 2012 and 2020, with some categories such as knife-enabled robbery and assault rising by more than 80% (Allen and </w:t>
      </w:r>
      <w:proofErr w:type="spellStart"/>
      <w:r>
        <w:t>Audickas</w:t>
      </w:r>
      <w:proofErr w:type="spellEnd"/>
      <w:r>
        <w:t>, 2020).</w:t>
      </w:r>
    </w:p>
    <w:p w14:paraId="72A3D3EC" w14:textId="77777777" w:rsidR="00A33E00" w:rsidRDefault="00A33E00" w:rsidP="006A7220"/>
    <w:p w14:paraId="18338B22" w14:textId="77777777" w:rsidR="006A7220" w:rsidRDefault="005D6796" w:rsidP="006A7220">
      <w:r>
        <w:t xml:space="preserve">2.3 </w:t>
      </w:r>
      <w:r w:rsidR="006A7220">
        <w:t>Post-Pandemic Stabilisation</w:t>
      </w:r>
    </w:p>
    <w:p w14:paraId="6F1D2421" w14:textId="77777777" w:rsidR="006A7220" w:rsidRDefault="006A7220" w:rsidP="006A7220">
      <w:r>
        <w:lastRenderedPageBreak/>
        <w:t>More recent literature highlights a stabilisation or slight decline in knife crime following the COVID-19 pandemic (ONS, 2023). However, researchers caution that this does not represent a return to pre-2012 levels.</w:t>
      </w:r>
    </w:p>
    <w:p w14:paraId="4B3B57DF" w14:textId="77777777" w:rsidR="006A7220" w:rsidRDefault="005D6796" w:rsidP="006A7220">
      <w:r>
        <w:t xml:space="preserve">2.4 </w:t>
      </w:r>
      <w:r w:rsidR="006A7220">
        <w:t>Regional Variations</w:t>
      </w:r>
    </w:p>
    <w:p w14:paraId="16C02E27" w14:textId="77777777" w:rsidR="006A7220" w:rsidRDefault="006A7220" w:rsidP="006A7220">
      <w:r>
        <w:t>Research shows that knife crime is not evenly distributed (ONS, 2023). London, the West Midlands, and Greater Manchester have historically recorded the highest volumes, but smaller regions including parts of Wales have experienced some of the fastest proportional increases</w:t>
      </w:r>
      <w:r w:rsidR="00F02C31">
        <w:t xml:space="preserve"> as </w:t>
      </w:r>
      <w:r w:rsidR="0017540A">
        <w:t xml:space="preserve">the data </w:t>
      </w:r>
      <w:r w:rsidR="00F02C31">
        <w:t xml:space="preserve">in Figure </w:t>
      </w:r>
      <w:r w:rsidR="005D6796">
        <w:t>2.4.1</w:t>
      </w:r>
      <w:r w:rsidR="00F02C31">
        <w:t xml:space="preserve"> </w:t>
      </w:r>
      <w:r w:rsidR="0017540A">
        <w:t>states.</w:t>
      </w:r>
    </w:p>
    <w:p w14:paraId="0D0B940D" w14:textId="77777777" w:rsidR="00680F35" w:rsidRDefault="00680F35" w:rsidP="006A7220"/>
    <w:p w14:paraId="0E27B00A" w14:textId="77777777" w:rsidR="00680F35" w:rsidRDefault="00F02C31" w:rsidP="006A7220">
      <w:r>
        <w:rPr>
          <w:noProof/>
        </w:rPr>
        <w:drawing>
          <wp:inline distT="0" distB="0" distL="0" distR="0" wp14:anchorId="3EAF34DF" wp14:editId="07777777">
            <wp:extent cx="4752975" cy="47244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2975" cy="4724400"/>
                    </a:xfrm>
                    <a:prstGeom prst="rect">
                      <a:avLst/>
                    </a:prstGeom>
                    <a:noFill/>
                    <a:ln>
                      <a:noFill/>
                    </a:ln>
                  </pic:spPr>
                </pic:pic>
              </a:graphicData>
            </a:graphic>
          </wp:inline>
        </w:drawing>
      </w:r>
    </w:p>
    <w:p w14:paraId="1D11CE07" w14:textId="77777777" w:rsidR="00F02C31" w:rsidRDefault="00F02C31" w:rsidP="006A7220">
      <w:r>
        <w:t xml:space="preserve">Figure </w:t>
      </w:r>
      <w:r w:rsidR="005D6796">
        <w:t>2.4.1</w:t>
      </w:r>
      <w:r>
        <w:t xml:space="preserve"> Crime in England and Wales: Police Force Area Data Table 2025 – Source ONS</w:t>
      </w:r>
    </w:p>
    <w:p w14:paraId="2CF7C2CC" w14:textId="77777777" w:rsidR="006A7220" w:rsidRDefault="005D6796" w:rsidP="006A7220">
      <w:r>
        <w:t xml:space="preserve">2.5 </w:t>
      </w:r>
      <w:r w:rsidR="006A7220">
        <w:t>Theoretical Explanations</w:t>
      </w:r>
    </w:p>
    <w:p w14:paraId="3EE56826" w14:textId="04603154" w:rsidR="006A7220" w:rsidRDefault="00787977" w:rsidP="359B016B">
      <w:pPr>
        <w:rPr>
          <w:rFonts w:ascii="Calibri" w:eastAsia="Calibri" w:hAnsi="Calibri" w:cs="Calibri"/>
          <w:color w:val="000000" w:themeColor="text1"/>
        </w:rPr>
      </w:pPr>
      <w:r>
        <w:t xml:space="preserve">    </w:t>
      </w:r>
      <w:r w:rsidR="6F825AD8" w:rsidRPr="359B016B">
        <w:rPr>
          <w:rFonts w:ascii="Calibri" w:eastAsia="Calibri" w:hAnsi="Calibri" w:cs="Calibri"/>
          <w:color w:val="000000" w:themeColor="text1"/>
        </w:rPr>
        <w:t>Academic literature offers several frameworks for understanding the rise in knife crime:</w:t>
      </w:r>
    </w:p>
    <w:p w14:paraId="3388D7E5" w14:textId="11058518" w:rsidR="006A7220" w:rsidRDefault="6F825AD8" w:rsidP="359B016B">
      <w:pPr>
        <w:pStyle w:val="ListParagraph"/>
        <w:numPr>
          <w:ilvl w:val="0"/>
          <w:numId w:val="8"/>
        </w:numPr>
        <w:spacing w:after="0"/>
        <w:rPr>
          <w:rFonts w:ascii="Calibri" w:eastAsia="Calibri" w:hAnsi="Calibri" w:cs="Calibri"/>
          <w:color w:val="000000" w:themeColor="text1"/>
        </w:rPr>
      </w:pPr>
      <w:r w:rsidRPr="359B016B">
        <w:rPr>
          <w:rFonts w:ascii="Calibri" w:eastAsia="Calibri" w:hAnsi="Calibri" w:cs="Calibri"/>
          <w:color w:val="000000" w:themeColor="text1"/>
        </w:rPr>
        <w:t>Social Disorganisation Theory argues that crime flourishes in communities with weakened social structures, high deprivation, and limited cohesion (Shaw and McKay, 1942).</w:t>
      </w:r>
    </w:p>
    <w:p w14:paraId="326FC6FF" w14:textId="426D7B70" w:rsidR="006A7220" w:rsidRDefault="6F825AD8" w:rsidP="359B016B">
      <w:pPr>
        <w:pStyle w:val="ListParagraph"/>
        <w:numPr>
          <w:ilvl w:val="0"/>
          <w:numId w:val="8"/>
        </w:numPr>
        <w:spacing w:after="0"/>
        <w:rPr>
          <w:rFonts w:ascii="Calibri" w:eastAsia="Calibri" w:hAnsi="Calibri" w:cs="Calibri"/>
          <w:color w:val="000000" w:themeColor="text1"/>
        </w:rPr>
      </w:pPr>
      <w:r w:rsidRPr="359B016B">
        <w:rPr>
          <w:rFonts w:ascii="Calibri" w:eastAsia="Calibri" w:hAnsi="Calibri" w:cs="Calibri"/>
          <w:color w:val="000000" w:themeColor="text1"/>
        </w:rPr>
        <w:t>Strain Theory suggests individuals may turn to crime when they cannot achieve socially valued goals through legitimate means (Merton, 1938).</w:t>
      </w:r>
    </w:p>
    <w:p w14:paraId="4E89658F" w14:textId="14B5F7B2" w:rsidR="006A7220" w:rsidRDefault="6F825AD8" w:rsidP="359B016B">
      <w:pPr>
        <w:pStyle w:val="ListParagraph"/>
        <w:numPr>
          <w:ilvl w:val="0"/>
          <w:numId w:val="8"/>
        </w:numPr>
        <w:spacing w:after="0"/>
        <w:rPr>
          <w:rFonts w:ascii="Calibri" w:eastAsia="Calibri" w:hAnsi="Calibri" w:cs="Calibri"/>
          <w:color w:val="000000" w:themeColor="text1"/>
        </w:rPr>
      </w:pPr>
      <w:r w:rsidRPr="359B016B">
        <w:rPr>
          <w:rFonts w:ascii="Calibri" w:eastAsia="Calibri" w:hAnsi="Calibri" w:cs="Calibri"/>
          <w:color w:val="000000" w:themeColor="text1"/>
        </w:rPr>
        <w:lastRenderedPageBreak/>
        <w:t>Routine Activity Theory posits that crime occurs when a motivated offender, suitable target, and lack of capable guardianship converge (Cohen and Felson, 1979).</w:t>
      </w:r>
    </w:p>
    <w:p w14:paraId="66E6DFDF" w14:textId="1615F72B" w:rsidR="006A7220" w:rsidRDefault="6F825AD8" w:rsidP="359B016B">
      <w:pPr>
        <w:rPr>
          <w:rFonts w:ascii="Calibri" w:eastAsia="Calibri" w:hAnsi="Calibri" w:cs="Calibri"/>
          <w:color w:val="000000" w:themeColor="text1"/>
        </w:rPr>
      </w:pPr>
      <w:r w:rsidRPr="359B016B">
        <w:rPr>
          <w:rFonts w:ascii="Calibri" w:eastAsia="Calibri" w:hAnsi="Calibri" w:cs="Calibri"/>
          <w:color w:val="000000" w:themeColor="text1"/>
        </w:rPr>
        <w:t>These theories highlight how structural disadvantage, opportunity, and weakened community resilience interact to shape patterns of violence.</w:t>
      </w:r>
    </w:p>
    <w:p w14:paraId="4C47511A" w14:textId="525BADB8" w:rsidR="006A7220" w:rsidRDefault="00787977" w:rsidP="006A7220">
      <w:r>
        <w:t xml:space="preserve">                                                       </w:t>
      </w:r>
    </w:p>
    <w:p w14:paraId="3C059B3E" w14:textId="0E6F8EC0" w:rsidR="006A7220" w:rsidRDefault="249B9229" w:rsidP="006A7220">
      <w:r w:rsidRPr="359B016B">
        <w:rPr>
          <w:rFonts w:ascii="Calibri" w:eastAsia="Calibri" w:hAnsi="Calibri" w:cs="Calibri"/>
        </w:rPr>
        <w:t>Research shows a strong link between knife crime and the expansion of county lines networks, which exploit vulnerable young people and bring increased violence into communities (HM Government, 2018; National Crime Agency, 2019).</w:t>
      </w:r>
    </w:p>
    <w:p w14:paraId="65F8433E" w14:textId="3C1E8C25" w:rsidR="006A7220" w:rsidRDefault="249B9229" w:rsidP="006A7220">
      <w:r w:rsidRPr="359B016B">
        <w:rPr>
          <w:rFonts w:ascii="Calibri" w:eastAsia="Calibri" w:hAnsi="Calibri" w:cs="Calibri"/>
        </w:rPr>
        <w:t>Cuts to youth services have also contributed to rising knife crime. Reduced access to youth clubs and support has left more young people at risk, with a 14% increase in crime in areas where services were cut (Institute for Fiscal Studies, 2019).</w:t>
      </w:r>
    </w:p>
    <w:p w14:paraId="74DE164F" w14:textId="7746C475" w:rsidR="006A7220" w:rsidRDefault="249B9229" w:rsidP="006A7220">
      <w:r w:rsidRPr="359B016B">
        <w:rPr>
          <w:rFonts w:ascii="Calibri" w:eastAsia="Calibri" w:hAnsi="Calibri" w:cs="Calibri"/>
        </w:rPr>
        <w:t>Social media further escalates conflict, amplifying tensions, spreading misinformation, and facilitating violence (Harding, 2020).</w:t>
      </w:r>
    </w:p>
    <w:p w14:paraId="60A2246D" w14:textId="2FF678EB" w:rsidR="006A7220" w:rsidRDefault="006A7220" w:rsidP="006A7220"/>
    <w:p w14:paraId="473EAD8B" w14:textId="77777777" w:rsidR="006A7220" w:rsidRDefault="005D6796" w:rsidP="006A7220">
      <w:r>
        <w:t xml:space="preserve">2.6 </w:t>
      </w:r>
      <w:r w:rsidR="006A7220">
        <w:t>Demographic Patterns</w:t>
      </w:r>
    </w:p>
    <w:p w14:paraId="06885F0D" w14:textId="77777777" w:rsidR="006A7220" w:rsidRDefault="006A7220" w:rsidP="006244B5">
      <w:r>
        <w:t>Knife crime disproportionately involves young people aged 15–24 (ONS, 2023).</w:t>
      </w:r>
      <w:r w:rsidR="006244B5">
        <w:t xml:space="preserve"> </w:t>
      </w:r>
      <w:r w:rsidR="0017540A">
        <w:t xml:space="preserve">As the graph shows in Figure </w:t>
      </w:r>
      <w:r w:rsidR="005D6796">
        <w:t>2.6.1</w:t>
      </w:r>
      <w:r w:rsidR="0017540A">
        <w:t xml:space="preserve">, </w:t>
      </w:r>
      <w:r w:rsidR="006244B5">
        <w:t>overall knife-related hospital admissions have remained broadly stable over the last ten years (admissions were</w:t>
      </w:r>
      <w:r w:rsidR="003578CF">
        <w:t xml:space="preserve"> </w:t>
      </w:r>
      <w:r w:rsidR="006244B5">
        <w:t>4% higher in 2023/24 compared to 2013/14), admissions among 0-17-year-olds have surged by 58%. In 2023/24, they rose by 9%</w:t>
      </w:r>
      <w:r w:rsidR="0017540A">
        <w:t xml:space="preserve">, </w:t>
      </w:r>
      <w:r w:rsidR="006244B5">
        <w:t>the first annual increase since 2018/19</w:t>
      </w:r>
      <w:r w:rsidR="003578CF">
        <w:t>.</w:t>
      </w:r>
    </w:p>
    <w:p w14:paraId="60061E4C" w14:textId="77777777" w:rsidR="006D69A1" w:rsidRDefault="003578CF" w:rsidP="006A7220">
      <w:r>
        <w:rPr>
          <w:noProof/>
        </w:rPr>
        <w:drawing>
          <wp:inline distT="0" distB="0" distL="0" distR="0" wp14:anchorId="445888D1" wp14:editId="07777777">
            <wp:extent cx="5731510" cy="350075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6-04-07 130935.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500755"/>
                    </a:xfrm>
                    <a:prstGeom prst="rect">
                      <a:avLst/>
                    </a:prstGeom>
                  </pic:spPr>
                </pic:pic>
              </a:graphicData>
            </a:graphic>
          </wp:inline>
        </w:drawing>
      </w:r>
    </w:p>
    <w:p w14:paraId="2EB0E32B" w14:textId="77777777" w:rsidR="0017540A" w:rsidRDefault="0017540A" w:rsidP="006A7220">
      <w:r>
        <w:t xml:space="preserve">Figure </w:t>
      </w:r>
      <w:r w:rsidR="005D6796">
        <w:t>2.6.1</w:t>
      </w:r>
      <w:r>
        <w:t xml:space="preserve"> chart involving children and hospital admissions due to knife crime – Source Beyond the Headlines 2025 Youth Endowment Fund</w:t>
      </w:r>
    </w:p>
    <w:p w14:paraId="44EAFD9C" w14:textId="77777777" w:rsidR="00ED7BE4" w:rsidRDefault="00ED7BE4" w:rsidP="00ED7BE4"/>
    <w:p w14:paraId="4B94D5A5" w14:textId="77777777" w:rsidR="00ED7BE4" w:rsidRDefault="00ED7BE4" w:rsidP="00ED7BE4"/>
    <w:p w14:paraId="4FCD0D4E" w14:textId="77777777" w:rsidR="00ED7BE4" w:rsidRDefault="00ED7BE4" w:rsidP="00ED7BE4">
      <w:r>
        <w:lastRenderedPageBreak/>
        <w:t>2.7 Demographics</w:t>
      </w:r>
    </w:p>
    <w:p w14:paraId="1982203F" w14:textId="5714B856" w:rsidR="00ED7BE4" w:rsidRDefault="00ED7BE4" w:rsidP="00ED7BE4">
      <w:r>
        <w:t>While knife crime remains an overwhelmingly male-dominated phenomenon, there is growing evidence to suggest that female involvement in such offences has been gradually increasing over recent years (Harding, 2020). It is also important to note that ethnicity is frequently misrepresented in public discourse surrounding knife crime; research consistently indicates that socioeconomic factors such as poverty, unemployment, and deprivation are far more reliable predictors of involvement than racial or ethnic background alone (Lammy, 2017).</w:t>
      </w:r>
    </w:p>
    <w:p w14:paraId="3DEEC669" w14:textId="77777777" w:rsidR="00ED7BE4" w:rsidRDefault="00ED7BE4" w:rsidP="00ED7BE4"/>
    <w:p w14:paraId="77618038" w14:textId="24AD2CA2" w:rsidR="359B016B" w:rsidRDefault="359B016B"/>
    <w:p w14:paraId="74CCAC61" w14:textId="77777777" w:rsidR="00BC4283" w:rsidRDefault="00BC4283" w:rsidP="00ED7BE4"/>
    <w:p w14:paraId="3BA25CFD" w14:textId="36B5BAD1" w:rsidR="00ED7BE4" w:rsidRDefault="00ED7BE4" w:rsidP="00ED7BE4">
      <w:r>
        <w:t>2.8 Knife Crime in Wales</w:t>
      </w:r>
    </w:p>
    <w:p w14:paraId="4A22F0F4" w14:textId="77777777" w:rsidR="00ED7BE4" w:rsidRDefault="00ED7BE4" w:rsidP="00ED7BE4">
      <w:r>
        <w:t>In comparison to England, academic research specifically focused on knife crime in Wales remains relatively limited in both scope and volume (ONS, 2023). Nevertheless, the studies that do exist paint a concerning picture, with Wales recording faster proportional increases in knife crime offences than might be expected given its population size (ONS, 2023). A significant contributing factor to this trend is the expansion of county lines drug networks, which have been widely identified as a major driver of knife-related violence in communities across Wales and beyond (HM Government, 2018).</w:t>
      </w:r>
    </w:p>
    <w:p w14:paraId="3656B9AB" w14:textId="77777777" w:rsidR="00ED7BE4" w:rsidRDefault="00ED7BE4" w:rsidP="00ED7BE4"/>
    <w:p w14:paraId="1E7F43A5" w14:textId="77777777" w:rsidR="00ED7BE4" w:rsidRDefault="00ED7BE4" w:rsidP="00ED7BE4">
      <w:r>
        <w:t>2.9 Policing Responses</w:t>
      </w:r>
    </w:p>
    <w:p w14:paraId="727E6CCF" w14:textId="04332B19" w:rsidR="00ED7BE4" w:rsidRDefault="772C19F9" w:rsidP="71A1AD18">
      <w:pPr>
        <w:rPr>
          <w:rFonts w:ascii="Calibri" w:eastAsia="Calibri" w:hAnsi="Calibri" w:cs="Calibri"/>
          <w:color w:val="000000" w:themeColor="text1"/>
        </w:rPr>
      </w:pPr>
      <w:r w:rsidRPr="71A1AD18">
        <w:rPr>
          <w:rFonts w:ascii="Calibri" w:eastAsia="Calibri" w:hAnsi="Calibri" w:cs="Calibri"/>
          <w:color w:val="000000" w:themeColor="text1"/>
        </w:rPr>
        <w:t>A range of policing strategies has been deployed to address knife crime</w:t>
      </w:r>
      <w:r w:rsidR="6A26E3DC" w:rsidRPr="71A1AD18">
        <w:rPr>
          <w:rFonts w:ascii="Calibri" w:eastAsia="Calibri" w:hAnsi="Calibri" w:cs="Calibri"/>
          <w:color w:val="000000" w:themeColor="text1"/>
        </w:rPr>
        <w:t>, these being</w:t>
      </w:r>
      <w:r w:rsidRPr="71A1AD18">
        <w:rPr>
          <w:rFonts w:ascii="Calibri" w:eastAsia="Calibri" w:hAnsi="Calibri" w:cs="Calibri"/>
          <w:color w:val="000000" w:themeColor="text1"/>
        </w:rPr>
        <w:t>:</w:t>
      </w:r>
    </w:p>
    <w:p w14:paraId="45D79F17" w14:textId="66C164EC" w:rsidR="00ED7BE4" w:rsidRDefault="772C19F9" w:rsidP="359B016B">
      <w:pPr>
        <w:pStyle w:val="ListParagraph"/>
        <w:numPr>
          <w:ilvl w:val="0"/>
          <w:numId w:val="7"/>
        </w:numPr>
        <w:spacing w:after="0"/>
        <w:rPr>
          <w:rFonts w:ascii="Calibri" w:eastAsia="Calibri" w:hAnsi="Calibri" w:cs="Calibri"/>
          <w:color w:val="000000" w:themeColor="text1"/>
        </w:rPr>
      </w:pPr>
      <w:r w:rsidRPr="359B016B">
        <w:rPr>
          <w:rFonts w:ascii="Calibri" w:eastAsia="Calibri" w:hAnsi="Calibri" w:cs="Calibri"/>
          <w:color w:val="000000" w:themeColor="text1"/>
        </w:rPr>
        <w:t>Stop-and-search can produce short-term reductions but risks damaging community trust, particularly where certain groups feel disproportionately targeted (College of Policing, 2021).</w:t>
      </w:r>
    </w:p>
    <w:p w14:paraId="05E54403" w14:textId="40FAA8E8" w:rsidR="00ED7BE4" w:rsidRDefault="772C19F9" w:rsidP="71A1AD18">
      <w:pPr>
        <w:pStyle w:val="ListParagraph"/>
        <w:numPr>
          <w:ilvl w:val="0"/>
          <w:numId w:val="7"/>
        </w:numPr>
        <w:spacing w:after="0"/>
        <w:rPr>
          <w:rFonts w:ascii="Calibri" w:eastAsia="Calibri" w:hAnsi="Calibri" w:cs="Calibri"/>
          <w:color w:val="000000" w:themeColor="text1"/>
        </w:rPr>
      </w:pPr>
      <w:r w:rsidRPr="71A1AD18">
        <w:rPr>
          <w:rFonts w:ascii="Calibri" w:eastAsia="Calibri" w:hAnsi="Calibri" w:cs="Calibri"/>
          <w:color w:val="000000" w:themeColor="text1"/>
        </w:rPr>
        <w:t>Hotspot policing focusing resources on high-crime areas</w:t>
      </w:r>
      <w:r w:rsidR="4EE4109F" w:rsidRPr="71A1AD18">
        <w:rPr>
          <w:rFonts w:ascii="Calibri" w:eastAsia="Calibri" w:hAnsi="Calibri" w:cs="Calibri"/>
          <w:color w:val="000000" w:themeColor="text1"/>
        </w:rPr>
        <w:t xml:space="preserve"> </w:t>
      </w:r>
      <w:r w:rsidRPr="71A1AD18">
        <w:rPr>
          <w:rFonts w:ascii="Calibri" w:eastAsia="Calibri" w:hAnsi="Calibri" w:cs="Calibri"/>
          <w:color w:val="000000" w:themeColor="text1"/>
        </w:rPr>
        <w:t>has strong evidence of effectiveness and is widely supported (Braga et al., 2019).</w:t>
      </w:r>
    </w:p>
    <w:p w14:paraId="5BF9CA43" w14:textId="55606115" w:rsidR="00ED7BE4" w:rsidRDefault="772C19F9" w:rsidP="359B016B">
      <w:pPr>
        <w:pStyle w:val="ListParagraph"/>
        <w:numPr>
          <w:ilvl w:val="0"/>
          <w:numId w:val="7"/>
        </w:numPr>
        <w:spacing w:after="0"/>
        <w:rPr>
          <w:rFonts w:ascii="Calibri" w:eastAsia="Calibri" w:hAnsi="Calibri" w:cs="Calibri"/>
          <w:color w:val="000000" w:themeColor="text1"/>
        </w:rPr>
      </w:pPr>
      <w:r w:rsidRPr="359B016B">
        <w:rPr>
          <w:rFonts w:ascii="Calibri" w:eastAsia="Calibri" w:hAnsi="Calibri" w:cs="Calibri"/>
          <w:color w:val="000000" w:themeColor="text1"/>
        </w:rPr>
        <w:t>Knife amnesty schemes have mixed results and are generally insufficient as standalone interventions (Home Office, 2022).</w:t>
      </w:r>
    </w:p>
    <w:p w14:paraId="544678C1" w14:textId="10BCFFEA" w:rsidR="00ED7BE4" w:rsidRDefault="772C19F9" w:rsidP="359B016B">
      <w:pPr>
        <w:pStyle w:val="ListParagraph"/>
        <w:numPr>
          <w:ilvl w:val="0"/>
          <w:numId w:val="7"/>
        </w:numPr>
        <w:spacing w:after="0"/>
        <w:rPr>
          <w:rFonts w:ascii="Calibri" w:eastAsia="Calibri" w:hAnsi="Calibri" w:cs="Calibri"/>
          <w:color w:val="000000" w:themeColor="text1"/>
        </w:rPr>
      </w:pPr>
      <w:r w:rsidRPr="359B016B">
        <w:rPr>
          <w:rFonts w:ascii="Calibri" w:eastAsia="Calibri" w:hAnsi="Calibri" w:cs="Calibri"/>
          <w:color w:val="000000" w:themeColor="text1"/>
        </w:rPr>
        <w:t>Youth diversion programmes and public health approaches, such as Violence Reduction Units, show considerable promise by addressing root causes rather than symptoms (Public Health England, 2019; Scottish Government, 2018).</w:t>
      </w:r>
    </w:p>
    <w:p w14:paraId="4ED81CCC" w14:textId="44D7F3D7" w:rsidR="00ED7BE4" w:rsidRDefault="772C19F9" w:rsidP="359B016B">
      <w:pPr>
        <w:pStyle w:val="ListParagraph"/>
        <w:numPr>
          <w:ilvl w:val="0"/>
          <w:numId w:val="7"/>
        </w:numPr>
        <w:spacing w:after="0"/>
        <w:rPr>
          <w:rFonts w:ascii="Calibri" w:eastAsia="Calibri" w:hAnsi="Calibri" w:cs="Calibri"/>
          <w:color w:val="000000" w:themeColor="text1"/>
        </w:rPr>
      </w:pPr>
      <w:r w:rsidRPr="359B016B">
        <w:rPr>
          <w:rFonts w:ascii="Calibri" w:eastAsia="Calibri" w:hAnsi="Calibri" w:cs="Calibri"/>
          <w:color w:val="000000" w:themeColor="text1"/>
        </w:rPr>
        <w:t>Multi-agency collaboration is widely regarded as essential for achieving sustainable reductions in violence (College of Policing, 2021).</w:t>
      </w:r>
    </w:p>
    <w:p w14:paraId="2CA036CD" w14:textId="3A090403" w:rsidR="00ED7BE4" w:rsidRDefault="00ED7BE4" w:rsidP="00ED7BE4"/>
    <w:p w14:paraId="45FB0818" w14:textId="77777777" w:rsidR="0017540A" w:rsidRDefault="0017540A" w:rsidP="006A7220"/>
    <w:p w14:paraId="6D37E57D" w14:textId="77777777" w:rsidR="00ED7BE4" w:rsidRDefault="00ED7BE4" w:rsidP="00ED7BE4">
      <w:r>
        <w:t>3.0 Conclusion</w:t>
      </w:r>
    </w:p>
    <w:p w14:paraId="01E9A7AD" w14:textId="79299C23" w:rsidR="00ED7BE4" w:rsidRDefault="00ED7BE4" w:rsidP="359B016B">
      <w:pPr>
        <w:rPr>
          <w:rFonts w:ascii="Calibri" w:eastAsia="Calibri" w:hAnsi="Calibri" w:cs="Calibri"/>
          <w:color w:val="000000" w:themeColor="text1"/>
        </w:rPr>
      </w:pPr>
      <w:r>
        <w:t xml:space="preserve"> </w:t>
      </w:r>
      <w:r w:rsidR="2FA6DD3A" w:rsidRPr="359B016B">
        <w:rPr>
          <w:rFonts w:ascii="Calibri" w:eastAsia="Calibri" w:hAnsi="Calibri" w:cs="Calibri"/>
          <w:color w:val="000000" w:themeColor="text1"/>
        </w:rPr>
        <w:t>The literature demonstrates that knife crime is a multifaceted issue shaped by structural inequality, social disorganisation, drug market dynamics, youth service cuts, and the influence of social media. While national trends show sustained increases over the past decade, regional variation is significant, with areas such as Gwent experiencing particularly rapid growth.</w:t>
      </w:r>
    </w:p>
    <w:p w14:paraId="56A28710" w14:textId="682CC124" w:rsidR="00ED7BE4" w:rsidRDefault="2FA6DD3A" w:rsidP="359B016B">
      <w:pPr>
        <w:rPr>
          <w:rFonts w:ascii="Calibri" w:eastAsia="Calibri" w:hAnsi="Calibri" w:cs="Calibri"/>
          <w:color w:val="000000" w:themeColor="text1"/>
        </w:rPr>
      </w:pPr>
      <w:r w:rsidRPr="359B016B">
        <w:rPr>
          <w:rFonts w:ascii="Calibri" w:eastAsia="Calibri" w:hAnsi="Calibri" w:cs="Calibri"/>
          <w:color w:val="000000" w:themeColor="text1"/>
        </w:rPr>
        <w:lastRenderedPageBreak/>
        <w:t>Evidence suggests that enforcement-led approaches alone are insufficient. Prevention-focused, multi-agency, and public health models offer the most promising long-term solutions. This review provides the theoretical and empirical foundation for the analysis that follows.</w:t>
      </w:r>
    </w:p>
    <w:p w14:paraId="5621CC8F" w14:textId="5AE82783" w:rsidR="00ED7BE4" w:rsidRDefault="00ED7BE4" w:rsidP="00ED7BE4"/>
    <w:p w14:paraId="139D43FC" w14:textId="4C530576" w:rsidR="71A1AD18" w:rsidRDefault="71A1AD18" w:rsidP="71A1AD18"/>
    <w:p w14:paraId="3A726155" w14:textId="30549FC9" w:rsidR="71A1AD18" w:rsidRDefault="71A1AD18" w:rsidP="71A1AD18"/>
    <w:p w14:paraId="4ECEC66B" w14:textId="22DBBFB2" w:rsidR="71A1AD18" w:rsidRDefault="71A1AD18" w:rsidP="71A1AD18"/>
    <w:p w14:paraId="4F6983E8" w14:textId="5E7A84CD" w:rsidR="71A1AD18" w:rsidRDefault="71A1AD18" w:rsidP="71A1AD18"/>
    <w:p w14:paraId="798AB9AF" w14:textId="45E94239" w:rsidR="71A1AD18" w:rsidRDefault="71A1AD18" w:rsidP="71A1AD18"/>
    <w:p w14:paraId="661AE170" w14:textId="77777777" w:rsidR="00644F08" w:rsidRDefault="00644F08" w:rsidP="71A1AD18"/>
    <w:p w14:paraId="41EB58E1" w14:textId="77777777" w:rsidR="00644F08" w:rsidRDefault="00644F08" w:rsidP="71A1AD18"/>
    <w:p w14:paraId="4DED9124" w14:textId="30477F4C" w:rsidR="00702FF3" w:rsidRDefault="00702FF3" w:rsidP="71A1AD18">
      <w:r>
        <w:t>CHAPTER 3: METHODOLOGY</w:t>
      </w:r>
    </w:p>
    <w:p w14:paraId="54F923EB" w14:textId="77777777" w:rsidR="00702FF3" w:rsidRDefault="00702FF3" w:rsidP="00702FF3">
      <w:r>
        <w:t>3.1 Introduction</w:t>
      </w:r>
    </w:p>
    <w:p w14:paraId="79690E18" w14:textId="58CBAD67" w:rsidR="00702FF3" w:rsidRDefault="1B93BB90" w:rsidP="359B016B">
      <w:pPr>
        <w:rPr>
          <w:rFonts w:ascii="Calibri" w:eastAsia="Calibri" w:hAnsi="Calibri" w:cs="Calibri"/>
        </w:rPr>
      </w:pPr>
      <w:r w:rsidRPr="359B016B">
        <w:rPr>
          <w:rFonts w:ascii="Calibri" w:eastAsia="Calibri" w:hAnsi="Calibri" w:cs="Calibri"/>
          <w:color w:val="000000" w:themeColor="text1"/>
        </w:rPr>
        <w:t>This chapter outlines the methodology used to examine knife crime trends across England, Wales, and the Gwent Police force area between 2012 and 2023. The study is based entirely on secondary data, drawing on official statistics, academic literature, and policy documents. This approach provides a robust foundation for analysing long-term trends, comparing regional patterns, and evaluating policing strategies (Bryman, 2016; Creswell, 2014).</w:t>
      </w:r>
    </w:p>
    <w:p w14:paraId="5E763AC0" w14:textId="597242F2" w:rsidR="00702FF3" w:rsidRDefault="00702FF3" w:rsidP="359B016B"/>
    <w:p w14:paraId="179650AA" w14:textId="6439564A" w:rsidR="00702FF3" w:rsidRDefault="00702FF3" w:rsidP="359B016B">
      <w:r>
        <w:t>3.2 Research Design</w:t>
      </w:r>
    </w:p>
    <w:p w14:paraId="7B537CF1" w14:textId="77777777" w:rsidR="00702FF3" w:rsidRDefault="00702FF3" w:rsidP="00702FF3">
      <w:r>
        <w:t>Overall Approach</w:t>
      </w:r>
    </w:p>
    <w:p w14:paraId="6231927F" w14:textId="4B977F0B" w:rsidR="2E789610" w:rsidRDefault="3FC5640B" w:rsidP="71A1AD18">
      <w:pPr>
        <w:rPr>
          <w:rFonts w:ascii="Calibri" w:eastAsia="Calibri" w:hAnsi="Calibri" w:cs="Calibri"/>
          <w:color w:val="000000" w:themeColor="text1"/>
        </w:rPr>
      </w:pPr>
      <w:r w:rsidRPr="71A1AD18">
        <w:rPr>
          <w:rFonts w:ascii="Calibri" w:eastAsia="Calibri" w:hAnsi="Calibri" w:cs="Calibri"/>
          <w:color w:val="000000" w:themeColor="text1"/>
        </w:rPr>
        <w:t>The study adopts a mixed</w:t>
      </w:r>
      <w:r w:rsidR="64E4FFF5" w:rsidRPr="71A1AD18">
        <w:rPr>
          <w:rFonts w:ascii="Calibri" w:eastAsia="Calibri" w:hAnsi="Calibri" w:cs="Calibri"/>
          <w:color w:val="000000" w:themeColor="text1"/>
        </w:rPr>
        <w:t xml:space="preserve"> </w:t>
      </w:r>
      <w:r w:rsidRPr="71A1AD18">
        <w:rPr>
          <w:rFonts w:ascii="Calibri" w:eastAsia="Calibri" w:hAnsi="Calibri" w:cs="Calibri"/>
          <w:color w:val="000000" w:themeColor="text1"/>
        </w:rPr>
        <w:t>methods secondary research design, combining quantitative and qualitative analysis to develop a comprehensive understanding of knife crime. Quantitative data includes police-recorded crime figures, hospital admissions, and sentencing statistics (ONS, 2023; Ministry of Justice, 2023). Qualitative analysis draws on academic studies, government reports, and policing strategies (Harding, 2020; College of Policing, 2021).</w:t>
      </w:r>
    </w:p>
    <w:p w14:paraId="3EF88F79" w14:textId="49DEC4F0" w:rsidR="2E789610" w:rsidRDefault="3FC5640B" w:rsidP="359B016B">
      <w:pPr>
        <w:rPr>
          <w:rFonts w:ascii="Calibri" w:eastAsia="Calibri" w:hAnsi="Calibri" w:cs="Calibri"/>
          <w:color w:val="000000" w:themeColor="text1"/>
        </w:rPr>
      </w:pPr>
      <w:r w:rsidRPr="359B016B">
        <w:rPr>
          <w:rFonts w:ascii="Calibri" w:eastAsia="Calibri" w:hAnsi="Calibri" w:cs="Calibri"/>
          <w:color w:val="000000" w:themeColor="text1"/>
        </w:rPr>
        <w:t>Using both strands allows the research to identify patterns in offending while also exploring the social and structural factors that shape them. Quantitative data highlights the scale and distribution of knife crime, whereas qualitative evidence provides context for interpreting these trends and assessing the effectiveness of interventions.</w:t>
      </w:r>
    </w:p>
    <w:p w14:paraId="178FCDE7" w14:textId="25B19D80" w:rsidR="2E789610" w:rsidRDefault="2E789610"/>
    <w:p w14:paraId="39AE272E" w14:textId="6A741A0F" w:rsidR="00702FF3" w:rsidRDefault="00702FF3" w:rsidP="359B016B">
      <w:r>
        <w:t>Justification for Secondary Data Analysis</w:t>
      </w:r>
    </w:p>
    <w:p w14:paraId="62486C05" w14:textId="3E0557D9" w:rsidR="00702FF3" w:rsidRDefault="4715BC1D" w:rsidP="71A1AD18">
      <w:r w:rsidRPr="71A1AD18">
        <w:rPr>
          <w:rFonts w:ascii="Calibri" w:eastAsia="Calibri" w:hAnsi="Calibri" w:cs="Calibri"/>
        </w:rPr>
        <w:t>Secondary data analysis is widely used in criminology because long</w:t>
      </w:r>
      <w:r w:rsidR="00702FF3">
        <w:noBreakHyphen/>
      </w:r>
      <w:r w:rsidRPr="71A1AD18">
        <w:rPr>
          <w:rFonts w:ascii="Calibri" w:eastAsia="Calibri" w:hAnsi="Calibri" w:cs="Calibri"/>
        </w:rPr>
        <w:t>term, reliable datasets are maintained by authoritative public bodies (Bryman, 2016). In knife</w:t>
      </w:r>
      <w:r w:rsidR="00702FF3">
        <w:noBreakHyphen/>
      </w:r>
      <w:r w:rsidRPr="71A1AD18">
        <w:rPr>
          <w:rFonts w:ascii="Calibri" w:eastAsia="Calibri" w:hAnsi="Calibri" w:cs="Calibri"/>
        </w:rPr>
        <w:t>crime research, collecting primary data from offenders or victims poses significant ethical and practical challenges beyond the scope of this study (Israel and Hay, 2006). Official datasets enable consistent regional and temporal comparisons (ONS, 2023) and support the examination of long</w:t>
      </w:r>
      <w:r w:rsidR="00702FF3">
        <w:noBreakHyphen/>
      </w:r>
      <w:r w:rsidRPr="71A1AD18">
        <w:rPr>
          <w:rFonts w:ascii="Calibri" w:eastAsia="Calibri" w:hAnsi="Calibri" w:cs="Calibri"/>
        </w:rPr>
        <w:t xml:space="preserve">term trends and geographical </w:t>
      </w:r>
      <w:r w:rsidRPr="71A1AD18">
        <w:rPr>
          <w:rFonts w:ascii="Calibri" w:eastAsia="Calibri" w:hAnsi="Calibri" w:cs="Calibri"/>
        </w:rPr>
        <w:lastRenderedPageBreak/>
        <w:t>variation. They also allow crime statistics, health records, and sentencing data to be integrated within a single analytical framework (NHS Digital, 2022; Ministry of Justice, 2023). Given the study’s broad aims, secondary data analysis was therefore the most appropriate and feasible methodological choice.</w:t>
      </w:r>
    </w:p>
    <w:p w14:paraId="68D6DB5C" w14:textId="77777777" w:rsidR="00702FF3" w:rsidRDefault="00702FF3" w:rsidP="00702FF3">
      <w:r>
        <w:t>3.3 Data Sources</w:t>
      </w:r>
    </w:p>
    <w:p w14:paraId="66978D27" w14:textId="3C87BA4F" w:rsidR="07D95F0F" w:rsidRDefault="28C08535" w:rsidP="359B016B">
      <w:pPr>
        <w:rPr>
          <w:rFonts w:ascii="Calibri" w:eastAsia="Calibri" w:hAnsi="Calibri" w:cs="Calibri"/>
          <w:color w:val="000000" w:themeColor="text1"/>
        </w:rPr>
      </w:pPr>
      <w:r w:rsidRPr="359B016B">
        <w:rPr>
          <w:rFonts w:ascii="Calibri" w:eastAsia="Calibri" w:hAnsi="Calibri" w:cs="Calibri"/>
          <w:color w:val="000000" w:themeColor="text1"/>
        </w:rPr>
        <w:t>The study draws on several authoritative sources to ensure accuracy and reliability:</w:t>
      </w:r>
    </w:p>
    <w:p w14:paraId="0E38AA8C" w14:textId="46F54E77" w:rsidR="07D95F0F" w:rsidRDefault="28C08535" w:rsidP="359B016B">
      <w:pPr>
        <w:pStyle w:val="ListParagraph"/>
        <w:numPr>
          <w:ilvl w:val="0"/>
          <w:numId w:val="6"/>
        </w:numPr>
        <w:spacing w:after="0"/>
        <w:rPr>
          <w:rFonts w:ascii="Calibri" w:eastAsia="Calibri" w:hAnsi="Calibri" w:cs="Calibri"/>
          <w:color w:val="000000" w:themeColor="text1"/>
        </w:rPr>
      </w:pPr>
      <w:r w:rsidRPr="359B016B">
        <w:rPr>
          <w:rFonts w:ascii="Calibri" w:eastAsia="Calibri" w:hAnsi="Calibri" w:cs="Calibri"/>
          <w:color w:val="000000" w:themeColor="text1"/>
        </w:rPr>
        <w:t>Office for National Statistics (ONS): police-recorded knife/sharp instrument offences, homicide data, and regional breakdowns (ONS, 2023).</w:t>
      </w:r>
    </w:p>
    <w:p w14:paraId="3C8216E7" w14:textId="0564D3FF" w:rsidR="07D95F0F" w:rsidRDefault="28C08535" w:rsidP="359B016B">
      <w:pPr>
        <w:pStyle w:val="ListParagraph"/>
        <w:numPr>
          <w:ilvl w:val="0"/>
          <w:numId w:val="6"/>
        </w:numPr>
        <w:spacing w:after="0"/>
        <w:rPr>
          <w:rFonts w:ascii="Calibri" w:eastAsia="Calibri" w:hAnsi="Calibri" w:cs="Calibri"/>
          <w:color w:val="000000" w:themeColor="text1"/>
        </w:rPr>
      </w:pPr>
      <w:r w:rsidRPr="359B016B">
        <w:rPr>
          <w:rFonts w:ascii="Calibri" w:eastAsia="Calibri" w:hAnsi="Calibri" w:cs="Calibri"/>
          <w:color w:val="000000" w:themeColor="text1"/>
        </w:rPr>
        <w:t>Home Office and Ministry of Justice: sentencing outcomes, offender demographics, stop-and-search data, and policy developments (Home Office, 2022; Ministry of Justice, 2023).</w:t>
      </w:r>
    </w:p>
    <w:p w14:paraId="69B17EC0" w14:textId="3433F601" w:rsidR="07D95F0F" w:rsidRDefault="28C08535" w:rsidP="359B016B">
      <w:pPr>
        <w:pStyle w:val="ListParagraph"/>
        <w:numPr>
          <w:ilvl w:val="0"/>
          <w:numId w:val="6"/>
        </w:numPr>
        <w:spacing w:after="0"/>
        <w:rPr>
          <w:rFonts w:ascii="Calibri" w:eastAsia="Calibri" w:hAnsi="Calibri" w:cs="Calibri"/>
          <w:color w:val="000000" w:themeColor="text1"/>
        </w:rPr>
      </w:pPr>
      <w:r w:rsidRPr="359B016B">
        <w:rPr>
          <w:rFonts w:ascii="Calibri" w:eastAsia="Calibri" w:hAnsi="Calibri" w:cs="Calibri"/>
          <w:color w:val="000000" w:themeColor="text1"/>
        </w:rPr>
        <w:t>NHS Digital and NHS Wales: hospital admissions for sharp-object injuries, providing insight into incidents not reported to police (NHS Digital, 2022).</w:t>
      </w:r>
    </w:p>
    <w:p w14:paraId="155CB3C6" w14:textId="7B388F44" w:rsidR="07D95F0F" w:rsidRDefault="28C08535" w:rsidP="359B016B">
      <w:pPr>
        <w:pStyle w:val="ListParagraph"/>
        <w:numPr>
          <w:ilvl w:val="0"/>
          <w:numId w:val="6"/>
        </w:numPr>
        <w:spacing w:after="0"/>
        <w:rPr>
          <w:rFonts w:ascii="Calibri" w:eastAsia="Calibri" w:hAnsi="Calibri" w:cs="Calibri"/>
          <w:color w:val="000000" w:themeColor="text1"/>
        </w:rPr>
      </w:pPr>
      <w:r w:rsidRPr="359B016B">
        <w:rPr>
          <w:rFonts w:ascii="Calibri" w:eastAsia="Calibri" w:hAnsi="Calibri" w:cs="Calibri"/>
          <w:color w:val="000000" w:themeColor="text1"/>
        </w:rPr>
        <w:t>Gwent Police: local crime figures, county lines activity, and details of local policing strategies (Gwent Police, 2023).</w:t>
      </w:r>
    </w:p>
    <w:p w14:paraId="4B7A8524" w14:textId="72E7CC74" w:rsidR="07D95F0F" w:rsidRDefault="28C08535" w:rsidP="359B016B">
      <w:pPr>
        <w:pStyle w:val="ListParagraph"/>
        <w:numPr>
          <w:ilvl w:val="0"/>
          <w:numId w:val="6"/>
        </w:numPr>
        <w:spacing w:after="0"/>
        <w:rPr>
          <w:rFonts w:ascii="Calibri" w:eastAsia="Calibri" w:hAnsi="Calibri" w:cs="Calibri"/>
          <w:color w:val="000000" w:themeColor="text1"/>
        </w:rPr>
      </w:pPr>
      <w:r w:rsidRPr="359B016B">
        <w:rPr>
          <w:rFonts w:ascii="Calibri" w:eastAsia="Calibri" w:hAnsi="Calibri" w:cs="Calibri"/>
          <w:color w:val="000000" w:themeColor="text1"/>
        </w:rPr>
        <w:t>Academic literature: theoretical frameworks and evaluations of knife crime interventions (Pitts, 2018; Harding, 2020).</w:t>
      </w:r>
    </w:p>
    <w:p w14:paraId="10517506" w14:textId="37C025FB" w:rsidR="07D95F0F" w:rsidRDefault="28C08535" w:rsidP="07D95F0F">
      <w:r w:rsidRPr="71A1AD18">
        <w:rPr>
          <w:rFonts w:ascii="Calibri" w:eastAsia="Calibri" w:hAnsi="Calibri" w:cs="Calibri"/>
          <w:color w:val="000000" w:themeColor="text1"/>
        </w:rPr>
        <w:t>These sources collectively support a detailed and multi-layered analysis of knife crime trends.</w:t>
      </w:r>
    </w:p>
    <w:p w14:paraId="334BF0B4" w14:textId="59CAD88D" w:rsidR="71A1AD18" w:rsidRDefault="71A1AD18" w:rsidP="71A1AD18"/>
    <w:p w14:paraId="0D792B21" w14:textId="62A916FD" w:rsidR="00702FF3" w:rsidRDefault="00702FF3" w:rsidP="07D95F0F">
      <w:r>
        <w:t>3.</w:t>
      </w:r>
      <w:r w:rsidR="66CDB4B5">
        <w:t>4</w:t>
      </w:r>
      <w:r>
        <w:t xml:space="preserve"> Analytical Framework</w:t>
      </w:r>
    </w:p>
    <w:p w14:paraId="546EB0C4" w14:textId="77777777" w:rsidR="00702FF3" w:rsidRDefault="00702FF3" w:rsidP="00702FF3">
      <w:r>
        <w:t>Quantitative Analysis</w:t>
      </w:r>
    </w:p>
    <w:p w14:paraId="0A377AB4" w14:textId="15395EDC" w:rsidR="46533F30" w:rsidRDefault="46533F30" w:rsidP="359B016B">
      <w:pPr>
        <w:rPr>
          <w:rFonts w:ascii="Calibri" w:eastAsia="Calibri" w:hAnsi="Calibri" w:cs="Calibri"/>
        </w:rPr>
      </w:pPr>
      <w:r w:rsidRPr="359B016B">
        <w:rPr>
          <w:rFonts w:ascii="Calibri" w:eastAsia="Calibri" w:hAnsi="Calibri" w:cs="Calibri"/>
          <w:color w:val="000000" w:themeColor="text1"/>
        </w:rPr>
        <w:t>Quantitative analysis focuses on identifying changes in knife crime over time and comparing trends across geographical areas. Rates per 100,000 population are used where appropriate to ensure comparability between regions of different sizes. This enables the study to assess where knife crime has increased most significantly and how Gwent’s experience aligns with or diverges from national patterns (ONS, 2023).</w:t>
      </w:r>
    </w:p>
    <w:p w14:paraId="296A8A9F" w14:textId="0FCB12A1" w:rsidR="359B016B" w:rsidRDefault="359B016B"/>
    <w:p w14:paraId="736A918B" w14:textId="77777777" w:rsidR="00702FF3" w:rsidRDefault="00702FF3" w:rsidP="00702FF3">
      <w:r>
        <w:t>Qualitative Analysis</w:t>
      </w:r>
    </w:p>
    <w:p w14:paraId="1BFD48C1" w14:textId="1F7422F4" w:rsidR="00702FF3" w:rsidRDefault="0444657C" w:rsidP="359B016B">
      <w:pPr>
        <w:rPr>
          <w:rFonts w:ascii="Calibri" w:eastAsia="Calibri" w:hAnsi="Calibri" w:cs="Calibri"/>
        </w:rPr>
      </w:pPr>
      <w:r w:rsidRPr="359B016B">
        <w:rPr>
          <w:rFonts w:ascii="Calibri" w:eastAsia="Calibri" w:hAnsi="Calibri" w:cs="Calibri"/>
          <w:color w:val="000000" w:themeColor="text1"/>
        </w:rPr>
        <w:t>The qualitative component involves a thematic review of academic and policy literature. Key themes include the root causes of knife crime, youth vulnerability, county lines activity, and the effectiveness of policing and prevention strategies (HM Government, 2018; Harding, 2020). This analysis contextualises the quantitative findings and supports the evaluation of interventions.</w:t>
      </w:r>
    </w:p>
    <w:p w14:paraId="3CF2D8B6" w14:textId="77777777" w:rsidR="00702FF3" w:rsidRDefault="00702FF3" w:rsidP="00702FF3"/>
    <w:p w14:paraId="4C4A6298" w14:textId="43790D2F" w:rsidR="00702FF3" w:rsidRDefault="00702FF3" w:rsidP="00702FF3">
      <w:r>
        <w:t>3.</w:t>
      </w:r>
      <w:r w:rsidR="7790F981">
        <w:t>5</w:t>
      </w:r>
      <w:r>
        <w:t xml:space="preserve"> Validity and Reliability</w:t>
      </w:r>
    </w:p>
    <w:p w14:paraId="12DCFE32" w14:textId="77777777" w:rsidR="00702FF3" w:rsidRDefault="00702FF3" w:rsidP="00702FF3">
      <w:r>
        <w:t>Validity</w:t>
      </w:r>
    </w:p>
    <w:p w14:paraId="09861940" w14:textId="0FB3E47A" w:rsidR="00702FF3" w:rsidRDefault="1CC0EC99" w:rsidP="359B016B">
      <w:pPr>
        <w:rPr>
          <w:rFonts w:ascii="Calibri" w:eastAsia="Calibri" w:hAnsi="Calibri" w:cs="Calibri"/>
        </w:rPr>
      </w:pPr>
      <w:r w:rsidRPr="71A1AD18">
        <w:rPr>
          <w:rFonts w:ascii="Calibri" w:eastAsia="Calibri" w:hAnsi="Calibri" w:cs="Calibri"/>
          <w:color w:val="000000" w:themeColor="text1"/>
        </w:rPr>
        <w:t>Validity is strengthened using official, independently produced datasets with established methodologies (ONS, 2023). Findings are cross</w:t>
      </w:r>
      <w:r w:rsidR="72F55C77" w:rsidRPr="71A1AD18">
        <w:rPr>
          <w:rFonts w:ascii="Calibri" w:eastAsia="Calibri" w:hAnsi="Calibri" w:cs="Calibri"/>
          <w:color w:val="000000" w:themeColor="text1"/>
        </w:rPr>
        <w:t xml:space="preserve"> </w:t>
      </w:r>
      <w:r w:rsidRPr="71A1AD18">
        <w:rPr>
          <w:rFonts w:ascii="Calibri" w:eastAsia="Calibri" w:hAnsi="Calibri" w:cs="Calibri"/>
          <w:color w:val="000000" w:themeColor="text1"/>
        </w:rPr>
        <w:t>checked across multiple sources, and both quantitative and qualitative evidence are used to support conclusions (Bryman, 2016).</w:t>
      </w:r>
    </w:p>
    <w:p w14:paraId="21B946A8" w14:textId="1372CC10" w:rsidR="00702FF3" w:rsidRDefault="00702FF3" w:rsidP="00702FF3"/>
    <w:p w14:paraId="1A7C6766" w14:textId="77777777" w:rsidR="00702FF3" w:rsidRDefault="00702FF3" w:rsidP="00702FF3">
      <w:r>
        <w:t>Reliability</w:t>
      </w:r>
    </w:p>
    <w:p w14:paraId="4910EE68" w14:textId="239E6B92" w:rsidR="00702FF3" w:rsidRDefault="3B08CEA3" w:rsidP="359B016B">
      <w:pPr>
        <w:rPr>
          <w:rFonts w:ascii="Calibri" w:eastAsia="Calibri" w:hAnsi="Calibri" w:cs="Calibri"/>
        </w:rPr>
      </w:pPr>
      <w:r w:rsidRPr="359B016B">
        <w:rPr>
          <w:rFonts w:ascii="Calibri" w:eastAsia="Calibri" w:hAnsi="Calibri" w:cs="Calibri"/>
          <w:color w:val="000000" w:themeColor="text1"/>
        </w:rPr>
        <w:lastRenderedPageBreak/>
        <w:t>Reliability is enhanced by the consistent use of standardised definitions particularly those established by the ONS and long-term datasets with stable data collection methods (Creswell, 2014). Although some limitations remain, these sources are widely regarded as credible and robust.</w:t>
      </w:r>
    </w:p>
    <w:p w14:paraId="0FB78278" w14:textId="77777777" w:rsidR="00702FF3" w:rsidRDefault="00702FF3" w:rsidP="00702FF3"/>
    <w:p w14:paraId="5BBFECDF" w14:textId="628A4CA3" w:rsidR="00702FF3" w:rsidRDefault="00702FF3" w:rsidP="00702FF3">
      <w:r>
        <w:t>3.</w:t>
      </w:r>
      <w:r w:rsidR="5D62AA8A">
        <w:t>6</w:t>
      </w:r>
      <w:r>
        <w:t xml:space="preserve"> Limitations of the Methodology</w:t>
      </w:r>
    </w:p>
    <w:p w14:paraId="35FDFA1A" w14:textId="36A5D6CA" w:rsidR="36446B98" w:rsidRDefault="36446B98" w:rsidP="359B016B">
      <w:pPr>
        <w:rPr>
          <w:rFonts w:ascii="Calibri" w:eastAsia="Calibri" w:hAnsi="Calibri" w:cs="Calibri"/>
          <w:color w:val="000000" w:themeColor="text1"/>
        </w:rPr>
      </w:pPr>
      <w:r w:rsidRPr="359B016B">
        <w:rPr>
          <w:rFonts w:ascii="Calibri" w:eastAsia="Calibri" w:hAnsi="Calibri" w:cs="Calibri"/>
          <w:color w:val="000000" w:themeColor="text1"/>
        </w:rPr>
        <w:t>Several limitations must be acknowledged. Police-recorded crime data can be influenced by changes in recording practices, public reporting, and policing priorities, meaning increases may sometimes reflect improved recording rather than actual rises in offending (ONS, 2023). Hospital data captures only incidents requiring medical treatment, omitting less severe injuries (NHS Digital, 2022).</w:t>
      </w:r>
    </w:p>
    <w:p w14:paraId="52923B32" w14:textId="646129EE" w:rsidR="36446B98" w:rsidRDefault="36446B98" w:rsidP="359B016B">
      <w:pPr>
        <w:rPr>
          <w:rFonts w:ascii="Calibri" w:eastAsia="Calibri" w:hAnsi="Calibri" w:cs="Calibri"/>
          <w:color w:val="000000" w:themeColor="text1"/>
        </w:rPr>
      </w:pPr>
      <w:r w:rsidRPr="359B016B">
        <w:rPr>
          <w:rFonts w:ascii="Calibri" w:eastAsia="Calibri" w:hAnsi="Calibri" w:cs="Calibri"/>
          <w:color w:val="000000" w:themeColor="text1"/>
        </w:rPr>
        <w:t>Local data from Gwent Police is sometimes aggregated at force level, limiting the ability to analyse variation within specific towns or communities (Gwent Police, 2023). Academic research on knife crime in Wales is relatively limited, restricting the depth of theoretical analysis for the Welsh context. Finally, while associations between factors such as deprivation and knife crime can be identified, causal relationships cannot be definitively established (Pitts, 2018).</w:t>
      </w:r>
    </w:p>
    <w:p w14:paraId="6219379B" w14:textId="1905D8E8" w:rsidR="359B016B" w:rsidRDefault="359B016B"/>
    <w:p w14:paraId="5A2CC9F1" w14:textId="2032C564" w:rsidR="00702FF3" w:rsidRDefault="00702FF3" w:rsidP="359B016B">
      <w:r>
        <w:t>3.</w:t>
      </w:r>
      <w:r w:rsidR="0373285B">
        <w:t>7</w:t>
      </w:r>
      <w:r>
        <w:t xml:space="preserve"> Ethical Considerations</w:t>
      </w:r>
    </w:p>
    <w:p w14:paraId="1DAEFA39" w14:textId="6E78653E" w:rsidR="3495D2F6" w:rsidRDefault="3495D2F6" w:rsidP="359B016B">
      <w:pPr>
        <w:rPr>
          <w:rFonts w:ascii="Calibri" w:eastAsia="Calibri" w:hAnsi="Calibri" w:cs="Calibri"/>
        </w:rPr>
      </w:pPr>
      <w:r w:rsidRPr="359B016B">
        <w:rPr>
          <w:rFonts w:ascii="Calibri" w:eastAsia="Calibri" w:hAnsi="Calibri" w:cs="Calibri"/>
          <w:color w:val="000000" w:themeColor="text1"/>
        </w:rPr>
        <w:t>Although the study uses only secondary data, ethical considerations remain important. All information is presented accurately and sensitively, avoiding language that could stigmatise individuals or communities. The study respects the confidentiality of anonymised datasets and avoids sensationalism by situating findings within broader social and structural contexts (Israel and Hay, 2006).</w:t>
      </w:r>
    </w:p>
    <w:p w14:paraId="57D4AB62" w14:textId="00356EAD" w:rsidR="00702FF3" w:rsidRDefault="00702FF3" w:rsidP="00702FF3">
      <w:r>
        <w:t>3.</w:t>
      </w:r>
      <w:r w:rsidR="1113359D">
        <w:t>8</w:t>
      </w:r>
      <w:r>
        <w:t xml:space="preserve"> Conclusion</w:t>
      </w:r>
    </w:p>
    <w:p w14:paraId="7AE747F9" w14:textId="7DDF361F" w:rsidR="005D6796" w:rsidRDefault="2731C4C7" w:rsidP="359B016B">
      <w:pPr>
        <w:rPr>
          <w:rFonts w:ascii="Calibri" w:eastAsia="Calibri" w:hAnsi="Calibri" w:cs="Calibri"/>
        </w:rPr>
      </w:pPr>
      <w:r w:rsidRPr="359B016B">
        <w:rPr>
          <w:rFonts w:ascii="Calibri" w:eastAsia="Calibri" w:hAnsi="Calibri" w:cs="Calibri"/>
          <w:color w:val="000000" w:themeColor="text1"/>
        </w:rPr>
        <w:t>This chapter has outlined the mixed</w:t>
      </w:r>
      <w:r w:rsidR="00702FF3">
        <w:noBreakHyphen/>
      </w:r>
      <w:r w:rsidRPr="359B016B">
        <w:rPr>
          <w:rFonts w:ascii="Calibri" w:eastAsia="Calibri" w:hAnsi="Calibri" w:cs="Calibri"/>
          <w:color w:val="000000" w:themeColor="text1"/>
        </w:rPr>
        <w:t>methods secondary research design used to examine knife crime trends and policing responses across England, Wales, and Gwent. By combining quantitative analysis of official statistics with qualitative insights from academic and policy literature, the study establishes a rigorous framework for understanding the scale, causes, and implications of knife crime. The following chapters build on this foundation to present and interpret the findings.</w:t>
      </w:r>
    </w:p>
    <w:p w14:paraId="04672681" w14:textId="55BD2134" w:rsidR="005D6796" w:rsidRDefault="005D6796" w:rsidP="00702FF3"/>
    <w:p w14:paraId="48FE6C7F" w14:textId="77777777" w:rsidR="003C5B3A" w:rsidRDefault="003C5B3A" w:rsidP="003C5B3A">
      <w:r>
        <w:t>CHAPTER 4: NATIONAL TRENDS IN KNIFE CRIME</w:t>
      </w:r>
    </w:p>
    <w:p w14:paraId="1905F761" w14:textId="77777777" w:rsidR="003C5B3A" w:rsidRDefault="003C5B3A" w:rsidP="003C5B3A">
      <w:r>
        <w:t>4.1 Introduction</w:t>
      </w:r>
    </w:p>
    <w:p w14:paraId="5D30E9D9" w14:textId="53D0E218" w:rsidR="003C5B3A" w:rsidRDefault="20FB08EA" w:rsidP="359B016B">
      <w:pPr>
        <w:rPr>
          <w:rFonts w:ascii="Calibri" w:eastAsia="Calibri" w:hAnsi="Calibri" w:cs="Calibri"/>
        </w:rPr>
      </w:pPr>
      <w:r w:rsidRPr="359B016B">
        <w:rPr>
          <w:rFonts w:ascii="Calibri" w:eastAsia="Calibri" w:hAnsi="Calibri" w:cs="Calibri"/>
          <w:color w:val="000000" w:themeColor="text1"/>
        </w:rPr>
        <w:t>Knife crime has become one of the most scrutinised forms of violent crime across England and Wales over the past decade (ONS, 2023). Unlike overall crime which has generally declined since the mid</w:t>
      </w:r>
      <w:r w:rsidR="003C5B3A">
        <w:noBreakHyphen/>
      </w:r>
      <w:r w:rsidRPr="359B016B">
        <w:rPr>
          <w:rFonts w:ascii="Calibri" w:eastAsia="Calibri" w:hAnsi="Calibri" w:cs="Calibri"/>
          <w:color w:val="000000" w:themeColor="text1"/>
        </w:rPr>
        <w:t>1990s offences involving knives have risen substantially, particularly between 2012 and 2020. This chapter draws on police-recorded crime figures, homicide statistics, hospital admissions, and sentencing data to outline how knife crime has evolved nationally. Understanding these trends provides essential context for interpreting developments in Wales and the Gwent Police force area.</w:t>
      </w:r>
    </w:p>
    <w:p w14:paraId="34CE0A41" w14:textId="2BD98865" w:rsidR="003C5B3A" w:rsidRDefault="003C5B3A" w:rsidP="003C5B3A"/>
    <w:p w14:paraId="7629F576" w14:textId="77777777" w:rsidR="003C5B3A" w:rsidRDefault="003C5B3A" w:rsidP="003C5B3A">
      <w:r>
        <w:t>4.2 Overview of National Knife Crime Levels</w:t>
      </w:r>
    </w:p>
    <w:p w14:paraId="66F9542F" w14:textId="46DAA71B" w:rsidR="003C5B3A" w:rsidRDefault="526EEEC6" w:rsidP="359B016B">
      <w:pPr>
        <w:rPr>
          <w:rFonts w:ascii="Calibri" w:eastAsia="Calibri" w:hAnsi="Calibri" w:cs="Calibri"/>
          <w:color w:val="000000" w:themeColor="text1"/>
        </w:rPr>
      </w:pPr>
      <w:r w:rsidRPr="359B016B">
        <w:rPr>
          <w:rFonts w:ascii="Calibri" w:eastAsia="Calibri" w:hAnsi="Calibri" w:cs="Calibri"/>
          <w:color w:val="000000" w:themeColor="text1"/>
        </w:rPr>
        <w:lastRenderedPageBreak/>
        <w:t>Police-recorded data shows a marked increase in knife/sharp instrument offences from 2012 onwards (ONS, 2023). Key categories such as knife-enabled robbery, assault with injury, and threats to kill all rose significantly during this period. The rise was particularly steep between 2015 and 2019, when knife crime reached its highest levels in a decade.</w:t>
      </w:r>
    </w:p>
    <w:p w14:paraId="56D2E291" w14:textId="53F4AC72" w:rsidR="003C5B3A" w:rsidRDefault="526EEEC6" w:rsidP="359B016B">
      <w:pPr>
        <w:rPr>
          <w:rFonts w:ascii="Calibri" w:eastAsia="Calibri" w:hAnsi="Calibri" w:cs="Calibri"/>
          <w:color w:val="000000" w:themeColor="text1"/>
        </w:rPr>
      </w:pPr>
      <w:r w:rsidRPr="359B016B">
        <w:rPr>
          <w:rFonts w:ascii="Calibri" w:eastAsia="Calibri" w:hAnsi="Calibri" w:cs="Calibri"/>
          <w:color w:val="000000" w:themeColor="text1"/>
        </w:rPr>
        <w:t>Although knife crime fell temporarily during the COVID</w:t>
      </w:r>
      <w:r w:rsidR="003C5B3A">
        <w:noBreakHyphen/>
      </w:r>
      <w:r w:rsidRPr="359B016B">
        <w:rPr>
          <w:rFonts w:ascii="Calibri" w:eastAsia="Calibri" w:hAnsi="Calibri" w:cs="Calibri"/>
          <w:color w:val="000000" w:themeColor="text1"/>
        </w:rPr>
        <w:t>19 lockdowns, this decline is widely attributed to reduced public mobility rather than long-term behavioural change. Post</w:t>
      </w:r>
      <w:r w:rsidR="003C5B3A">
        <w:noBreakHyphen/>
      </w:r>
      <w:r w:rsidRPr="359B016B">
        <w:rPr>
          <w:rFonts w:ascii="Calibri" w:eastAsia="Calibri" w:hAnsi="Calibri" w:cs="Calibri"/>
          <w:color w:val="000000" w:themeColor="text1"/>
        </w:rPr>
        <w:t>pandemic data indicates that levels remain well above those recorded in the early 2010s.</w:t>
      </w:r>
    </w:p>
    <w:p w14:paraId="62EBF3C5" w14:textId="214188AE" w:rsidR="003C5B3A" w:rsidRDefault="526EEEC6" w:rsidP="359B016B">
      <w:r w:rsidRPr="359B016B">
        <w:rPr>
          <w:rFonts w:ascii="Calibri" w:eastAsia="Calibri" w:hAnsi="Calibri" w:cs="Calibri"/>
          <w:color w:val="000000" w:themeColor="text1"/>
        </w:rPr>
        <w:t>Hospital admissions for sharp-object injuries provide an additional indicator of serious violence. While overall admissions have remained relatively stable, youth admissions particularly among those aged 0–17 have increased sharply, suggesting growing vulnerability among young people (NHS Digital, 2022).</w:t>
      </w:r>
    </w:p>
    <w:p w14:paraId="2C1B4948" w14:textId="77777777" w:rsidR="00BC4283" w:rsidRDefault="00BC4283" w:rsidP="003C5B3A"/>
    <w:p w14:paraId="6DB6C6CB" w14:textId="6AFDF7E0" w:rsidR="003C5B3A" w:rsidRDefault="003C5B3A" w:rsidP="003C5B3A">
      <w:r>
        <w:t>4.3 Long-Term Trends (2012–2025)</w:t>
      </w:r>
    </w:p>
    <w:p w14:paraId="32D15001" w14:textId="77777777" w:rsidR="003C5B3A" w:rsidRDefault="003C5B3A" w:rsidP="003C5B3A">
      <w:r>
        <w:t>The Rise from 2012 to 2020</w:t>
      </w:r>
    </w:p>
    <w:p w14:paraId="35041C53" w14:textId="4E6550FF" w:rsidR="003C5B3A" w:rsidRDefault="0C10D1EC" w:rsidP="359B016B">
      <w:pPr>
        <w:spacing w:beforeAutospacing="1" w:afterAutospacing="1" w:line="240" w:lineRule="auto"/>
        <w:rPr>
          <w:rFonts w:eastAsiaTheme="minorEastAsia"/>
          <w:sz w:val="24"/>
          <w:szCs w:val="24"/>
          <w:lang w:eastAsia="en-GB"/>
        </w:rPr>
      </w:pPr>
      <w:r w:rsidRPr="359B016B">
        <w:rPr>
          <w:rFonts w:ascii="Calibri" w:eastAsia="Calibri" w:hAnsi="Calibri" w:cs="Calibri"/>
        </w:rPr>
        <w:t>Between 2012 and 2020, knife crime rose sharply across England and Wales, reaching its highest level since comparable records began by 2019/20 (ONS, 2023). This sustained increase reflects several overlapping factors: rising weapon carrying among young people, the rapid expansion of county lines drug networks, and major reductions in youth services during the austerity years (HM Government, 2018; Harding, 2020). Improvements in police recording practices also contributed to the rise, meaning part of the increase reflects better data accuracy rather than a pure growth in offending (ONS, 2023).</w:t>
      </w:r>
    </w:p>
    <w:p w14:paraId="485DEC01" w14:textId="6711F4DA" w:rsidR="003C5B3A" w:rsidRDefault="3FD8CBE4" w:rsidP="359B016B">
      <w:pPr>
        <w:spacing w:beforeAutospacing="1" w:afterAutospacing="1" w:line="240" w:lineRule="auto"/>
        <w:rPr>
          <w:rFonts w:eastAsiaTheme="minorEastAsia"/>
          <w:sz w:val="24"/>
          <w:szCs w:val="24"/>
          <w:lang w:eastAsia="en-GB"/>
        </w:rPr>
      </w:pPr>
      <w:r w:rsidRPr="359B016B">
        <w:rPr>
          <w:rFonts w:eastAsiaTheme="minorEastAsia"/>
        </w:rPr>
        <w:t xml:space="preserve">See </w:t>
      </w:r>
      <w:r w:rsidRPr="359B016B">
        <w:rPr>
          <w:rFonts w:eastAsiaTheme="minorEastAsia"/>
          <w:sz w:val="20"/>
          <w:szCs w:val="20"/>
          <w:lang w:eastAsia="en-GB"/>
        </w:rPr>
        <w:t>Appendix B1: Recorded Knife Crime Offences in England and Wales (2012–2025)</w:t>
      </w:r>
    </w:p>
    <w:p w14:paraId="23DC80F1" w14:textId="6D388993" w:rsidR="003C5B3A" w:rsidRDefault="2FCD024A" w:rsidP="73B96FFC">
      <w:r>
        <w:t>The Impact of the COVID-19 Pandemic</w:t>
      </w:r>
    </w:p>
    <w:p w14:paraId="2453BE55" w14:textId="4FFFAF74" w:rsidR="0561AAC0" w:rsidRDefault="0561AAC0">
      <w:r w:rsidRPr="71A1AD18">
        <w:rPr>
          <w:rFonts w:ascii="Calibri" w:eastAsia="Calibri" w:hAnsi="Calibri" w:cs="Calibri"/>
        </w:rPr>
        <w:t>The COVID</w:t>
      </w:r>
      <w:r>
        <w:noBreakHyphen/>
      </w:r>
      <w:r w:rsidRPr="71A1AD18">
        <w:rPr>
          <w:rFonts w:ascii="Calibri" w:eastAsia="Calibri" w:hAnsi="Calibri" w:cs="Calibri"/>
        </w:rPr>
        <w:t xml:space="preserve">19 pandemic created an unprecedented disruption to established patterns of violent crime across the UK (ONS, 2023). During national lockdowns, reduced social interaction and restricted movement sharply limited opportunities for </w:t>
      </w:r>
      <w:proofErr w:type="gramStart"/>
      <w:r w:rsidR="3ACC89A8" w:rsidRPr="71A1AD18">
        <w:rPr>
          <w:rFonts w:ascii="Calibri" w:eastAsia="Calibri" w:hAnsi="Calibri" w:cs="Calibri"/>
        </w:rPr>
        <w:t>street based</w:t>
      </w:r>
      <w:proofErr w:type="gramEnd"/>
      <w:r w:rsidRPr="71A1AD18">
        <w:rPr>
          <w:rFonts w:ascii="Calibri" w:eastAsia="Calibri" w:hAnsi="Calibri" w:cs="Calibri"/>
        </w:rPr>
        <w:t xml:space="preserve"> offences such as robbery and assault, leading to a </w:t>
      </w:r>
      <w:r w:rsidR="132451D0" w:rsidRPr="71A1AD18">
        <w:rPr>
          <w:rFonts w:ascii="Calibri" w:eastAsia="Calibri" w:hAnsi="Calibri" w:cs="Calibri"/>
        </w:rPr>
        <w:t>short-term</w:t>
      </w:r>
      <w:r w:rsidRPr="71A1AD18">
        <w:rPr>
          <w:rFonts w:ascii="Calibri" w:eastAsia="Calibri" w:hAnsi="Calibri" w:cs="Calibri"/>
        </w:rPr>
        <w:t xml:space="preserve"> fall in recorded knife crime. However, this decline was widely understood as a temporary and artificial effect of exceptional circumstances, rather than a genuine or lasting reduction in offending.</w:t>
      </w:r>
    </w:p>
    <w:p w14:paraId="6DEC1561" w14:textId="14B8983E" w:rsidR="359B016B" w:rsidRDefault="359B016B" w:rsidP="359B016B"/>
    <w:p w14:paraId="7F32AAAE" w14:textId="77777777" w:rsidR="003C5B3A" w:rsidRDefault="003C5B3A" w:rsidP="003C5B3A">
      <w:r>
        <w:t>Post-Pandemic Stabilisation</w:t>
      </w:r>
    </w:p>
    <w:p w14:paraId="4269AF18" w14:textId="4F89A145" w:rsidR="003C5B3A" w:rsidRDefault="5F34C521" w:rsidP="003C5B3A">
      <w:r w:rsidRPr="71A1AD18">
        <w:rPr>
          <w:rFonts w:ascii="Calibri" w:eastAsia="Calibri" w:hAnsi="Calibri" w:cs="Calibri"/>
        </w:rPr>
        <w:t>As pandemic restrictions eased and social and economic life resumed, knife crime quickly rebounded to pre</w:t>
      </w:r>
      <w:r w:rsidR="003C5B3A">
        <w:noBreakHyphen/>
      </w:r>
      <w:r w:rsidRPr="71A1AD18">
        <w:rPr>
          <w:rFonts w:ascii="Calibri" w:eastAsia="Calibri" w:hAnsi="Calibri" w:cs="Calibri"/>
        </w:rPr>
        <w:t xml:space="preserve">pandemic levels (ONS, 2024). By September 2024, recorded offences had risen to just over 55,000 almost identical to the 2019/20 peak indicating that the pandemic merely paused, rather than altered, the </w:t>
      </w:r>
      <w:r w:rsidR="62AA9891" w:rsidRPr="71A1AD18">
        <w:rPr>
          <w:rFonts w:ascii="Calibri" w:eastAsia="Calibri" w:hAnsi="Calibri" w:cs="Calibri"/>
        </w:rPr>
        <w:t>long-term</w:t>
      </w:r>
      <w:r w:rsidRPr="71A1AD18">
        <w:rPr>
          <w:rFonts w:ascii="Calibri" w:eastAsia="Calibri" w:hAnsi="Calibri" w:cs="Calibri"/>
        </w:rPr>
        <w:t xml:space="preserve"> upward trend (ONS, 2024). This rapid return highlights how deeply entrenched the structural and social drivers of knife crime are and raises serious questions about whether current responses are adequate to address them.</w:t>
      </w:r>
    </w:p>
    <w:p w14:paraId="24F5B794" w14:textId="6E45BAC4" w:rsidR="003C5B3A" w:rsidRDefault="003C5B3A" w:rsidP="003C5B3A"/>
    <w:p w14:paraId="14FFD205" w14:textId="76C9FC04" w:rsidR="003C5B3A" w:rsidRDefault="003C5B3A" w:rsidP="71A1AD18">
      <w:r>
        <w:t>CHAPTER 5: KNIFE CRIME IN WALES</w:t>
      </w:r>
    </w:p>
    <w:p w14:paraId="73D88044" w14:textId="77777777" w:rsidR="003C5B3A" w:rsidRDefault="003C5B3A" w:rsidP="003C5B3A">
      <w:r>
        <w:lastRenderedPageBreak/>
        <w:t>5.1 Introduction</w:t>
      </w:r>
    </w:p>
    <w:p w14:paraId="47BD0867" w14:textId="57D58F59" w:rsidR="003C5B3A" w:rsidRDefault="62AD23C9" w:rsidP="003C5B3A">
      <w:r w:rsidRPr="359B016B">
        <w:rPr>
          <w:rFonts w:ascii="Calibri" w:eastAsia="Calibri" w:hAnsi="Calibri" w:cs="Calibri"/>
        </w:rPr>
        <w:t>Knife crime is often associated with major English cities such as London, Birmingham, and Manchester, where high</w:t>
      </w:r>
      <w:r w:rsidR="003C5B3A">
        <w:noBreakHyphen/>
      </w:r>
      <w:r w:rsidRPr="359B016B">
        <w:rPr>
          <w:rFonts w:ascii="Calibri" w:eastAsia="Calibri" w:hAnsi="Calibri" w:cs="Calibri"/>
        </w:rPr>
        <w:t>profile incidents have drawn significant attention (ONS, 2023). However, Wales has also experienced a substantial and sustained rise in knife</w:t>
      </w:r>
      <w:r w:rsidR="003C5B3A">
        <w:noBreakHyphen/>
      </w:r>
      <w:r w:rsidRPr="359B016B">
        <w:rPr>
          <w:rFonts w:ascii="Calibri" w:eastAsia="Calibri" w:hAnsi="Calibri" w:cs="Calibri"/>
        </w:rPr>
        <w:t>related violence over the past decade, a trend that warrants far greater scrutiny (ONS, 2023). Although Wales has historically recorded lower levels of knife crime than England, recent data shows that areas such as Gwent and Dyfed</w:t>
      </w:r>
      <w:r w:rsidR="003C5B3A">
        <w:noBreakHyphen/>
      </w:r>
      <w:r w:rsidRPr="359B016B">
        <w:rPr>
          <w:rFonts w:ascii="Calibri" w:eastAsia="Calibri" w:hAnsi="Calibri" w:cs="Calibri"/>
        </w:rPr>
        <w:t>Powys have seen some of the fastest proportional increases anywhere in the UK, with major implications for policing, public health, and community safety (ONS, 2023; Home Office, 2022).</w:t>
      </w:r>
    </w:p>
    <w:p w14:paraId="7957F359" w14:textId="7DC561A8" w:rsidR="003C5B3A" w:rsidRDefault="62AD23C9" w:rsidP="003C5B3A">
      <w:r w:rsidRPr="71A1AD18">
        <w:rPr>
          <w:rFonts w:ascii="Calibri" w:eastAsia="Calibri" w:hAnsi="Calibri" w:cs="Calibri"/>
        </w:rPr>
        <w:t xml:space="preserve">This chapter examines knife crime trends across Wales, drawing on </w:t>
      </w:r>
      <w:r w:rsidR="05D97AF0" w:rsidRPr="71A1AD18">
        <w:rPr>
          <w:rFonts w:ascii="Calibri" w:eastAsia="Calibri" w:hAnsi="Calibri" w:cs="Calibri"/>
        </w:rPr>
        <w:t>police recorded</w:t>
      </w:r>
      <w:r w:rsidRPr="71A1AD18">
        <w:rPr>
          <w:rFonts w:ascii="Calibri" w:eastAsia="Calibri" w:hAnsi="Calibri" w:cs="Calibri"/>
        </w:rPr>
        <w:t xml:space="preserve"> data, regional comparisons, and analysis of the key social and structural factors shaping these patterns. It also provides essential context for the following chapter, which focuses in greater depth on the Gwent Police force area.</w:t>
      </w:r>
    </w:p>
    <w:p w14:paraId="027FE473" w14:textId="1F5662A6" w:rsidR="003C5B3A" w:rsidRDefault="003C5B3A" w:rsidP="003C5B3A"/>
    <w:p w14:paraId="6D98A12B" w14:textId="77777777" w:rsidR="003C5B3A" w:rsidRDefault="003C5B3A" w:rsidP="003C5B3A"/>
    <w:p w14:paraId="35151A03" w14:textId="2D2AE536" w:rsidR="71A1AD18" w:rsidRDefault="71A1AD18"/>
    <w:p w14:paraId="1E392CF2" w14:textId="77777777" w:rsidR="003C5B3A" w:rsidRDefault="003C5B3A" w:rsidP="003C5B3A">
      <w:r>
        <w:t>5.2 Overview of Knife Crime Trends in Wales (2013–2023)</w:t>
      </w:r>
    </w:p>
    <w:p w14:paraId="335CDAF6" w14:textId="105CE00A" w:rsidR="005F2EB9" w:rsidRDefault="34A03519" w:rsidP="359B016B">
      <w:r w:rsidRPr="71A1AD18">
        <w:rPr>
          <w:rFonts w:ascii="Calibri" w:eastAsia="Calibri" w:hAnsi="Calibri" w:cs="Calibri"/>
        </w:rPr>
        <w:t>The scale of the rise in knife crime across Wales over the past decade is striking and demands serious attention (ONS, 2023). Offences involving a knife or sharp instrument increased from 598 in 2013 to 1,574 in the year ending September 2023 more than a two</w:t>
      </w:r>
      <w:r w:rsidR="5F4057E7" w:rsidRPr="71A1AD18">
        <w:rPr>
          <w:rFonts w:ascii="Calibri" w:eastAsia="Calibri" w:hAnsi="Calibri" w:cs="Calibri"/>
        </w:rPr>
        <w:t xml:space="preserve"> </w:t>
      </w:r>
      <w:r w:rsidRPr="71A1AD18">
        <w:rPr>
          <w:rFonts w:ascii="Calibri" w:eastAsia="Calibri" w:hAnsi="Calibri" w:cs="Calibri"/>
        </w:rPr>
        <w:t>and</w:t>
      </w:r>
      <w:r w:rsidR="6008BA12" w:rsidRPr="71A1AD18">
        <w:rPr>
          <w:rFonts w:ascii="Calibri" w:eastAsia="Calibri" w:hAnsi="Calibri" w:cs="Calibri"/>
        </w:rPr>
        <w:t xml:space="preserve"> </w:t>
      </w:r>
      <w:r w:rsidRPr="71A1AD18">
        <w:rPr>
          <w:rFonts w:ascii="Calibri" w:eastAsia="Calibri" w:hAnsi="Calibri" w:cs="Calibri"/>
        </w:rPr>
        <w:t>a</w:t>
      </w:r>
      <w:r w:rsidR="3851B169" w:rsidRPr="71A1AD18">
        <w:rPr>
          <w:rFonts w:ascii="Calibri" w:eastAsia="Calibri" w:hAnsi="Calibri" w:cs="Calibri"/>
        </w:rPr>
        <w:t xml:space="preserve"> </w:t>
      </w:r>
      <w:r w:rsidRPr="71A1AD18">
        <w:rPr>
          <w:rFonts w:ascii="Calibri" w:eastAsia="Calibri" w:hAnsi="Calibri" w:cs="Calibri"/>
        </w:rPr>
        <w:t>half</w:t>
      </w:r>
      <w:r w:rsidR="786C7ABA" w:rsidRPr="71A1AD18">
        <w:rPr>
          <w:rFonts w:ascii="Calibri" w:eastAsia="Calibri" w:hAnsi="Calibri" w:cs="Calibri"/>
        </w:rPr>
        <w:t xml:space="preserve"> </w:t>
      </w:r>
      <w:r w:rsidR="143AAB51" w:rsidRPr="71A1AD18">
        <w:rPr>
          <w:rFonts w:ascii="Calibri" w:eastAsia="Calibri" w:hAnsi="Calibri" w:cs="Calibri"/>
        </w:rPr>
        <w:t>times</w:t>
      </w:r>
      <w:r w:rsidRPr="71A1AD18">
        <w:rPr>
          <w:rFonts w:ascii="Calibri" w:eastAsia="Calibri" w:hAnsi="Calibri" w:cs="Calibri"/>
        </w:rPr>
        <w:t xml:space="preserve"> rise, with little indication of reversal (ONS, 2023). This proportional increase is higher than that recorded in England, suggesting Wales faces a growing and distinctive challenge rather than simply mirroring national trends (ONS, 2023).</w:t>
      </w:r>
    </w:p>
    <w:p w14:paraId="77769E3F" w14:textId="0907310A" w:rsidR="005F2EB9" w:rsidRDefault="34A03519" w:rsidP="359B016B">
      <w:r w:rsidRPr="359B016B">
        <w:rPr>
          <w:rFonts w:ascii="Calibri" w:eastAsia="Calibri" w:hAnsi="Calibri" w:cs="Calibri"/>
        </w:rPr>
        <w:t>Knife crime in Wales in 2023 also spanned a wide range of offences, from threats and assaults to attempted murders, sexual offences, and a small number of homicides (ONS, 2023). This diversity shows that knife crime is not confined to one type of behaviour or one community but reflects a broad and varied pattern of violence across the country.</w:t>
      </w:r>
    </w:p>
    <w:p w14:paraId="27EA597F" w14:textId="67254B85" w:rsidR="005F2EB9" w:rsidRDefault="005F2EB9" w:rsidP="73B96FFC">
      <w:pPr>
        <w:rPr>
          <w:rFonts w:eastAsiaTheme="minorEastAsia"/>
          <w:sz w:val="18"/>
          <w:szCs w:val="18"/>
          <w:lang w:eastAsia="en-GB"/>
        </w:rPr>
      </w:pPr>
      <w:r w:rsidRPr="359B016B">
        <w:rPr>
          <w:rFonts w:eastAsiaTheme="minorEastAsia"/>
          <w:sz w:val="18"/>
          <w:szCs w:val="18"/>
          <w:lang w:eastAsia="en-GB"/>
        </w:rPr>
        <w:t>See Appendix C1: Recorded Knife Crime Offences by Welsh Police Force Area (2013–2023)</w:t>
      </w:r>
    </w:p>
    <w:p w14:paraId="2946DB82" w14:textId="77777777" w:rsidR="003C5B3A" w:rsidRDefault="003C5B3A" w:rsidP="003C5B3A"/>
    <w:p w14:paraId="309A972E" w14:textId="77777777" w:rsidR="003C5B3A" w:rsidRDefault="003C5B3A" w:rsidP="003C5B3A">
      <w:r>
        <w:t>5.3 Knife Crime by Welsh Police Force Area</w:t>
      </w:r>
    </w:p>
    <w:p w14:paraId="6AB0C7E6" w14:textId="31B41FD6" w:rsidR="7A75876C" w:rsidRDefault="600D04C6" w:rsidP="73B96FFC">
      <w:pPr>
        <w:spacing w:beforeAutospacing="1" w:afterAutospacing="1" w:line="240" w:lineRule="auto"/>
      </w:pPr>
      <w:r w:rsidRPr="359B016B">
        <w:rPr>
          <w:rFonts w:ascii="Calibri" w:eastAsia="Calibri" w:hAnsi="Calibri" w:cs="Calibri"/>
        </w:rPr>
        <w:t>Wales is divided into four police force areas, each with distinct social and geographic characteristics that shape their knife crime challenges (ONS, 2023).</w:t>
      </w:r>
    </w:p>
    <w:p w14:paraId="5BE5665C" w14:textId="313FB455" w:rsidR="7A75876C" w:rsidRDefault="600D04C6" w:rsidP="73B96FFC">
      <w:pPr>
        <w:spacing w:beforeAutospacing="1" w:afterAutospacing="1" w:line="240" w:lineRule="auto"/>
      </w:pPr>
      <w:r w:rsidRPr="71A1AD18">
        <w:rPr>
          <w:rFonts w:ascii="Calibri" w:eastAsia="Calibri" w:hAnsi="Calibri" w:cs="Calibri"/>
        </w:rPr>
        <w:t xml:space="preserve">South Wales Police recorded the highest number of offences in 2023, with 719 cases, reflecting its coverage of the most urban and densely populated parts of Wales, including Cardiff and Swansea (ONS, 2023). High population density, active </w:t>
      </w:r>
      <w:r w:rsidR="2AE7A570" w:rsidRPr="71A1AD18">
        <w:rPr>
          <w:rFonts w:ascii="Calibri" w:eastAsia="Calibri" w:hAnsi="Calibri" w:cs="Calibri"/>
        </w:rPr>
        <w:t>night-time</w:t>
      </w:r>
      <w:r w:rsidRPr="71A1AD18">
        <w:rPr>
          <w:rFonts w:ascii="Calibri" w:eastAsia="Calibri" w:hAnsi="Calibri" w:cs="Calibri"/>
        </w:rPr>
        <w:t xml:space="preserve"> economies, and pockets of deprivation all contribute to elevated violence in these areas (Pitts, 2018).</w:t>
      </w:r>
    </w:p>
    <w:p w14:paraId="320FFBE5" w14:textId="3A9E7070" w:rsidR="7A75876C" w:rsidRDefault="600D04C6" w:rsidP="73B96FFC">
      <w:pPr>
        <w:spacing w:beforeAutospacing="1" w:afterAutospacing="1" w:line="240" w:lineRule="auto"/>
      </w:pPr>
      <w:r w:rsidRPr="71A1AD18">
        <w:rPr>
          <w:rFonts w:ascii="Calibri" w:eastAsia="Calibri" w:hAnsi="Calibri" w:cs="Calibri"/>
        </w:rPr>
        <w:t xml:space="preserve">Gwent Police recorded 376 offences, and although this is lower in absolute terms, the rate of increase is far more concerning. Knife crime in Gwent has risen almost </w:t>
      </w:r>
      <w:r w:rsidR="703214C4" w:rsidRPr="71A1AD18">
        <w:rPr>
          <w:rFonts w:ascii="Calibri" w:eastAsia="Calibri" w:hAnsi="Calibri" w:cs="Calibri"/>
        </w:rPr>
        <w:t>six-fold</w:t>
      </w:r>
      <w:r w:rsidRPr="71A1AD18">
        <w:rPr>
          <w:rFonts w:ascii="Calibri" w:eastAsia="Calibri" w:hAnsi="Calibri" w:cs="Calibri"/>
        </w:rPr>
        <w:t xml:space="preserve"> since 2013, making it one of the fastest</w:t>
      </w:r>
      <w:r w:rsidR="56A25CE7" w:rsidRPr="71A1AD18">
        <w:rPr>
          <w:rFonts w:ascii="Calibri" w:eastAsia="Calibri" w:hAnsi="Calibri" w:cs="Calibri"/>
        </w:rPr>
        <w:t xml:space="preserve"> </w:t>
      </w:r>
      <w:r w:rsidRPr="71A1AD18">
        <w:rPr>
          <w:rFonts w:ascii="Calibri" w:eastAsia="Calibri" w:hAnsi="Calibri" w:cs="Calibri"/>
        </w:rPr>
        <w:t>changing force areas in Wales and the wider UK (ONS, 2023).</w:t>
      </w:r>
    </w:p>
    <w:p w14:paraId="6CBA200C" w14:textId="677F27D3" w:rsidR="7A75876C" w:rsidRDefault="600D04C6" w:rsidP="73B96FFC">
      <w:pPr>
        <w:spacing w:beforeAutospacing="1" w:afterAutospacing="1" w:line="240" w:lineRule="auto"/>
      </w:pPr>
      <w:r w:rsidRPr="359B016B">
        <w:rPr>
          <w:rFonts w:ascii="Calibri" w:eastAsia="Calibri" w:hAnsi="Calibri" w:cs="Calibri"/>
        </w:rPr>
        <w:lastRenderedPageBreak/>
        <w:t>North Wales Police recorded 316 offences, with a steady upward trend linked closely to the spread of county lines networks from English cities such as Liverpool and Manchester (HM Government, 2018; National Crime Agency, 2019).</w:t>
      </w:r>
    </w:p>
    <w:p w14:paraId="4B09D518" w14:textId="0DAD5F9F" w:rsidR="7A75876C" w:rsidRDefault="600D04C6" w:rsidP="73B96FFC">
      <w:pPr>
        <w:spacing w:beforeAutospacing="1" w:afterAutospacing="1" w:line="240" w:lineRule="auto"/>
      </w:pPr>
      <w:r w:rsidRPr="359B016B">
        <w:rPr>
          <w:rFonts w:ascii="Calibri" w:eastAsia="Calibri" w:hAnsi="Calibri" w:cs="Calibri"/>
        </w:rPr>
        <w:t>Dyfed</w:t>
      </w:r>
      <w:r w:rsidR="7A75876C">
        <w:noBreakHyphen/>
      </w:r>
      <w:r w:rsidRPr="359B016B">
        <w:rPr>
          <w:rFonts w:ascii="Calibri" w:eastAsia="Calibri" w:hAnsi="Calibri" w:cs="Calibri"/>
        </w:rPr>
        <w:t>Powys Police recorded the lowest total, with 163 offences, yet knife crime there has tripled over the decade one of the largest proportional increases in Wales. This challenges the assumption that knife crime is primarily an urban issue (ONS, 2023).</w:t>
      </w:r>
    </w:p>
    <w:p w14:paraId="4DECEBF7" w14:textId="79FF41F0" w:rsidR="7A75876C" w:rsidRDefault="7A75876C" w:rsidP="359B016B">
      <w:pPr>
        <w:spacing w:beforeAutospacing="1" w:afterAutospacing="1" w:line="240" w:lineRule="auto"/>
        <w:rPr>
          <w:rFonts w:eastAsiaTheme="minorEastAsia"/>
          <w:sz w:val="18"/>
          <w:szCs w:val="18"/>
          <w:lang w:eastAsia="en-GB"/>
        </w:rPr>
      </w:pPr>
      <w:r w:rsidRPr="359B016B">
        <w:rPr>
          <w:rFonts w:eastAsiaTheme="minorEastAsia"/>
          <w:sz w:val="18"/>
          <w:szCs w:val="18"/>
          <w:lang w:eastAsia="en-GB"/>
        </w:rPr>
        <w:t>See Appendix C2: Proportional Increase in Knife Crime by Welsh Police Force Area (2013–2023)</w:t>
      </w:r>
    </w:p>
    <w:p w14:paraId="498A54FC" w14:textId="0EB61160" w:rsidR="73B96FFC" w:rsidRDefault="73B96FFC"/>
    <w:p w14:paraId="0A1305F9" w14:textId="6902CF04" w:rsidR="71A1AD18" w:rsidRDefault="71A1AD18" w:rsidP="71A1AD18"/>
    <w:p w14:paraId="31219DC2" w14:textId="77777777" w:rsidR="00BC4283" w:rsidRDefault="00BC4283" w:rsidP="73B96FFC"/>
    <w:p w14:paraId="3B34B8D0" w14:textId="2DD72134" w:rsidR="003C5B3A" w:rsidRDefault="2FCD024A" w:rsidP="73B96FFC">
      <w:r>
        <w:t>5.4 Serious Violence Indicators in Wales</w:t>
      </w:r>
    </w:p>
    <w:p w14:paraId="5537D713" w14:textId="10DD6737" w:rsidR="5654586C" w:rsidRDefault="5654586C" w:rsidP="71A1AD18">
      <w:r w:rsidRPr="71A1AD18">
        <w:rPr>
          <w:rFonts w:ascii="Calibri" w:eastAsia="Calibri" w:hAnsi="Calibri" w:cs="Calibri"/>
        </w:rPr>
        <w:t>Serious categories of knife crime provide a clear indication of the level of harm caused across Wales, showing that the issue is both widespread and significant rather than localised (ONS, 2023). In 2023, police recorded 11 attempted murders involving a knife, with cases spread across all four Welsh forces, demonstrating that the most severe violence is not limited to major urban areas (ONS, 2023). There were also 261 knife</w:t>
      </w:r>
      <w:r>
        <w:noBreakHyphen/>
      </w:r>
      <w:r w:rsidRPr="71A1AD18">
        <w:rPr>
          <w:rFonts w:ascii="Calibri" w:eastAsia="Calibri" w:hAnsi="Calibri" w:cs="Calibri"/>
        </w:rPr>
        <w:t>related threats to kill, often linked to drug disputes, domestic abuse, or youth conflict, each carrying substantial risk even without physical injury (Harding, 2020; ONS, 2023). Knife</w:t>
      </w:r>
      <w:r>
        <w:noBreakHyphen/>
      </w:r>
      <w:r w:rsidRPr="71A1AD18">
        <w:rPr>
          <w:rFonts w:ascii="Calibri" w:eastAsia="Calibri" w:hAnsi="Calibri" w:cs="Calibri"/>
        </w:rPr>
        <w:t>related assaults were the most common offence, with 998 incidents</w:t>
      </w:r>
      <w:r w:rsidR="00644F08">
        <w:rPr>
          <w:rFonts w:ascii="Calibri" w:eastAsia="Calibri" w:hAnsi="Calibri" w:cs="Calibri"/>
        </w:rPr>
        <w:t xml:space="preserve"> </w:t>
      </w:r>
      <w:r w:rsidRPr="71A1AD18">
        <w:rPr>
          <w:rFonts w:ascii="Calibri" w:eastAsia="Calibri" w:hAnsi="Calibri" w:cs="Calibri"/>
        </w:rPr>
        <w:t>particularly concentrated in South Wales and Gwent (ONS, 2023). Although less frequent, 33 knife</w:t>
      </w:r>
      <w:r>
        <w:noBreakHyphen/>
      </w:r>
      <w:r w:rsidRPr="71A1AD18">
        <w:rPr>
          <w:rFonts w:ascii="Calibri" w:eastAsia="Calibri" w:hAnsi="Calibri" w:cs="Calibri"/>
        </w:rPr>
        <w:t>related sexual offences represent some of the most harmful incidents (HM Government, 2018; ONS, 2023). Finally, three knife homicides were recorded, reflecting the most severe outcome of knife violence (ONS, 2023).</w:t>
      </w:r>
    </w:p>
    <w:p w14:paraId="607351F7" w14:textId="725C8FE7" w:rsidR="77361386" w:rsidRDefault="77361386" w:rsidP="73B96FFC">
      <w:pPr>
        <w:rPr>
          <w:rFonts w:eastAsiaTheme="minorEastAsia"/>
          <w:sz w:val="18"/>
          <w:szCs w:val="18"/>
          <w:lang w:eastAsia="en-GB"/>
        </w:rPr>
      </w:pPr>
      <w:r w:rsidRPr="73B96FFC">
        <w:rPr>
          <w:rFonts w:eastAsiaTheme="minorEastAsia"/>
          <w:sz w:val="18"/>
          <w:szCs w:val="18"/>
          <w:lang w:eastAsia="en-GB"/>
        </w:rPr>
        <w:t>See Appendix C2: Proportional Increase in Knife Crime by Welsh Police Force Area (2013–2023)</w:t>
      </w:r>
    </w:p>
    <w:p w14:paraId="110FFD37" w14:textId="77777777" w:rsidR="003C5B3A" w:rsidRDefault="003C5B3A" w:rsidP="003C5B3A"/>
    <w:p w14:paraId="6A997AF7" w14:textId="77777777" w:rsidR="003C5B3A" w:rsidRDefault="003C5B3A" w:rsidP="003C5B3A">
      <w:r>
        <w:t>5.5 Factors Driving Knife Crime in Wales</w:t>
      </w:r>
    </w:p>
    <w:p w14:paraId="642E3FCD" w14:textId="02AC7E13" w:rsidR="68349366" w:rsidRDefault="124699D5" w:rsidP="359B016B">
      <w:r w:rsidRPr="359B016B">
        <w:rPr>
          <w:rFonts w:ascii="Calibri" w:eastAsia="Calibri" w:hAnsi="Calibri" w:cs="Calibri"/>
        </w:rPr>
        <w:t>Several interconnected factors help explain the sustained rise in knife crime across Wales and understanding them is essential for developing effective responses.</w:t>
      </w:r>
    </w:p>
    <w:p w14:paraId="4C4BCD11" w14:textId="6CB9FA2D" w:rsidR="68349366" w:rsidRDefault="124699D5" w:rsidP="359B016B">
      <w:r w:rsidRPr="359B016B">
        <w:rPr>
          <w:rFonts w:ascii="Calibri" w:eastAsia="Calibri" w:hAnsi="Calibri" w:cs="Calibri"/>
        </w:rPr>
        <w:t>A major driver is the expansion of county lines drug networks, through which organised groups from cities such as Liverpool, Birmingham, and London have extended operations into Welsh communities, bringing violence and exploitation with them (HM Government, 2018; National Crime Agency, 2019). These networks often target vulnerable young people, using knives and threats to maintain control and enforce compliance (Harding, 2020).</w:t>
      </w:r>
    </w:p>
    <w:p w14:paraId="3C307601" w14:textId="7391B497" w:rsidR="68349366" w:rsidRDefault="124699D5" w:rsidP="359B016B">
      <w:r w:rsidRPr="359B016B">
        <w:rPr>
          <w:rFonts w:ascii="Calibri" w:eastAsia="Calibri" w:hAnsi="Calibri" w:cs="Calibri"/>
        </w:rPr>
        <w:t>Rural vulnerability is another key factor. Large parts of Wales are rural or semi</w:t>
      </w:r>
      <w:r w:rsidR="68349366">
        <w:noBreakHyphen/>
      </w:r>
      <w:r w:rsidRPr="359B016B">
        <w:rPr>
          <w:rFonts w:ascii="Calibri" w:eastAsia="Calibri" w:hAnsi="Calibri" w:cs="Calibri"/>
        </w:rPr>
        <w:t>rural, with limited police presence, slower response times, and reduced access to youth services and community support—conditions that allow criminal networks to operate with less visibility and greater ease (ONS, 2023).</w:t>
      </w:r>
    </w:p>
    <w:p w14:paraId="70AE0F31" w14:textId="2A5C7904" w:rsidR="68349366" w:rsidRDefault="124699D5" w:rsidP="359B016B">
      <w:r w:rsidRPr="359B016B">
        <w:rPr>
          <w:rFonts w:ascii="Calibri" w:eastAsia="Calibri" w:hAnsi="Calibri" w:cs="Calibri"/>
        </w:rPr>
        <w:t xml:space="preserve">Socioeconomic deprivation also plays a significant role (Pitts, 2018). Several Welsh communities, particularly in the South Wales Valleys and parts of Newport, experience persistent deprivation, which is strongly linked to higher rates of violence. This has been compounded by substantial cuts to youth services over the past decade, reducing access to safe spaces, structured activities, and early </w:t>
      </w:r>
      <w:r w:rsidRPr="359B016B">
        <w:rPr>
          <w:rFonts w:ascii="Calibri" w:eastAsia="Calibri" w:hAnsi="Calibri" w:cs="Calibri"/>
        </w:rPr>
        <w:lastRenderedPageBreak/>
        <w:t>intervention programmes, and increasing the risk that young people become involved in violence or weapon carrying (Institute for Fiscal Studies, 2019).</w:t>
      </w:r>
    </w:p>
    <w:p w14:paraId="5D2EEDFC" w14:textId="083B84D1" w:rsidR="68349366" w:rsidRDefault="68349366" w:rsidP="73B96FFC">
      <w:pPr>
        <w:rPr>
          <w:rFonts w:eastAsiaTheme="minorEastAsia"/>
          <w:sz w:val="18"/>
          <w:szCs w:val="18"/>
          <w:lang w:eastAsia="en-GB"/>
        </w:rPr>
      </w:pPr>
      <w:r w:rsidRPr="359B016B">
        <w:rPr>
          <w:rFonts w:eastAsiaTheme="minorEastAsia"/>
          <w:sz w:val="18"/>
          <w:szCs w:val="18"/>
          <w:lang w:eastAsia="en-GB"/>
        </w:rPr>
        <w:t>See Appendix C4: Socioeconomic Deprivation Indicators for Welsh Local Authority Areas Most Affected by Knife Crime</w:t>
      </w:r>
    </w:p>
    <w:p w14:paraId="6D92DA5B" w14:textId="77777777" w:rsidR="003C5B3A" w:rsidRDefault="003C5B3A" w:rsidP="003C5B3A">
      <w:r>
        <w:t>Finally, the growing influence of social media and online communication in escalating disputes and conflicts among young people is an increasingly important factor that mirrors trends already well documented in England (Harding, 2020). The speed and reach of online platforms can transform what might previously have remained a localised disagreement into something far more serious, with real-world consequences that include violence and weapon use.</w:t>
      </w:r>
    </w:p>
    <w:p w14:paraId="6B699379" w14:textId="77777777" w:rsidR="003C5B3A" w:rsidRDefault="003C5B3A" w:rsidP="003C5B3A"/>
    <w:p w14:paraId="74DE878C" w14:textId="77777777" w:rsidR="003C5B3A" w:rsidRDefault="003C5B3A" w:rsidP="003C5B3A">
      <w:r>
        <w:t>5.6 Policing Responses in Wales</w:t>
      </w:r>
    </w:p>
    <w:p w14:paraId="77870794" w14:textId="17B75952" w:rsidR="003C5B3A" w:rsidRDefault="01975297" w:rsidP="003C5B3A">
      <w:r w:rsidRPr="71A1AD18">
        <w:rPr>
          <w:rFonts w:ascii="Calibri" w:eastAsia="Calibri" w:hAnsi="Calibri" w:cs="Calibri"/>
        </w:rPr>
        <w:t>Police forces across Wales have responded to rising knife crime with a mix of enforcement and prevention strategies, recognising that no single approach is sufficient for such a complex issue (College of Policing, 2021). Enforcement measures have included stop</w:t>
      </w:r>
      <w:r w:rsidR="003C5B3A">
        <w:noBreakHyphen/>
      </w:r>
      <w:r w:rsidRPr="71A1AD18">
        <w:rPr>
          <w:rFonts w:ascii="Calibri" w:eastAsia="Calibri" w:hAnsi="Calibri" w:cs="Calibri"/>
        </w:rPr>
        <w:t>and</w:t>
      </w:r>
      <w:r w:rsidR="003C5B3A">
        <w:noBreakHyphen/>
      </w:r>
      <w:r w:rsidRPr="71A1AD18">
        <w:rPr>
          <w:rFonts w:ascii="Calibri" w:eastAsia="Calibri" w:hAnsi="Calibri" w:cs="Calibri"/>
        </w:rPr>
        <w:t xml:space="preserve">search, knife amnesties, weapon sweeps, and increased patrols in </w:t>
      </w:r>
      <w:r w:rsidR="6713AD3D" w:rsidRPr="71A1AD18">
        <w:rPr>
          <w:rFonts w:ascii="Calibri" w:eastAsia="Calibri" w:hAnsi="Calibri" w:cs="Calibri"/>
        </w:rPr>
        <w:t xml:space="preserve">high </w:t>
      </w:r>
      <w:r w:rsidR="00644F08">
        <w:rPr>
          <w:rFonts w:ascii="Calibri" w:eastAsia="Calibri" w:hAnsi="Calibri" w:cs="Calibri"/>
        </w:rPr>
        <w:t>-</w:t>
      </w:r>
      <w:r w:rsidR="6713AD3D" w:rsidRPr="71A1AD18">
        <w:rPr>
          <w:rFonts w:ascii="Calibri" w:eastAsia="Calibri" w:hAnsi="Calibri" w:cs="Calibri"/>
        </w:rPr>
        <w:t>risk</w:t>
      </w:r>
      <w:r w:rsidRPr="71A1AD18">
        <w:rPr>
          <w:rFonts w:ascii="Calibri" w:eastAsia="Calibri" w:hAnsi="Calibri" w:cs="Calibri"/>
        </w:rPr>
        <w:t xml:space="preserve"> areas (Home Office, 2022). These tactics can reduce immediate risk, but evidence shows they have not reversed the long</w:t>
      </w:r>
      <w:r w:rsidR="59B25C9B" w:rsidRPr="71A1AD18">
        <w:rPr>
          <w:rFonts w:ascii="Calibri" w:eastAsia="Calibri" w:hAnsi="Calibri" w:cs="Calibri"/>
        </w:rPr>
        <w:t xml:space="preserve"> </w:t>
      </w:r>
      <w:r w:rsidR="00644F08">
        <w:rPr>
          <w:rFonts w:ascii="Calibri" w:eastAsia="Calibri" w:hAnsi="Calibri" w:cs="Calibri"/>
        </w:rPr>
        <w:t>-</w:t>
      </w:r>
      <w:r w:rsidRPr="71A1AD18">
        <w:rPr>
          <w:rFonts w:ascii="Calibri" w:eastAsia="Calibri" w:hAnsi="Calibri" w:cs="Calibri"/>
        </w:rPr>
        <w:t>term upward trend in knife crime (College of Policing, 2021).</w:t>
      </w:r>
    </w:p>
    <w:p w14:paraId="1F821824" w14:textId="6FEA4DEB" w:rsidR="003C5B3A" w:rsidRDefault="01975297" w:rsidP="003C5B3A">
      <w:r w:rsidRPr="71A1AD18">
        <w:rPr>
          <w:rFonts w:ascii="Calibri" w:eastAsia="Calibri" w:hAnsi="Calibri" w:cs="Calibri"/>
        </w:rPr>
        <w:t xml:space="preserve">Alongside enforcement, there has been growing emphasis on prevention through </w:t>
      </w:r>
      <w:r w:rsidR="7010BE3C" w:rsidRPr="71A1AD18">
        <w:rPr>
          <w:rFonts w:ascii="Calibri" w:eastAsia="Calibri" w:hAnsi="Calibri" w:cs="Calibri"/>
        </w:rPr>
        <w:t xml:space="preserve">school </w:t>
      </w:r>
      <w:r w:rsidR="00644F08">
        <w:rPr>
          <w:rFonts w:ascii="Calibri" w:eastAsia="Calibri" w:hAnsi="Calibri" w:cs="Calibri"/>
        </w:rPr>
        <w:t>-</w:t>
      </w:r>
      <w:r w:rsidR="7010BE3C" w:rsidRPr="71A1AD18">
        <w:rPr>
          <w:rFonts w:ascii="Calibri" w:eastAsia="Calibri" w:hAnsi="Calibri" w:cs="Calibri"/>
        </w:rPr>
        <w:t>based</w:t>
      </w:r>
      <w:r w:rsidRPr="71A1AD18">
        <w:rPr>
          <w:rFonts w:ascii="Calibri" w:eastAsia="Calibri" w:hAnsi="Calibri" w:cs="Calibri"/>
        </w:rPr>
        <w:t xml:space="preserve"> education, youth diversion schemes, and community outreach, all aimed at addressing the causes of violence before it occurs (Public Health England, 2019). A key feature of the Welsh approach is strong multi</w:t>
      </w:r>
      <w:r w:rsidR="003C5B3A">
        <w:noBreakHyphen/>
      </w:r>
      <w:r w:rsidRPr="71A1AD18">
        <w:rPr>
          <w:rFonts w:ascii="Calibri" w:eastAsia="Calibri" w:hAnsi="Calibri" w:cs="Calibri"/>
        </w:rPr>
        <w:t>agency collaboration, with police working closely with local authorities, NHS Wales, youth offending teams, and social services in line with a public health model of intervention (HM Government, 2018).</w:t>
      </w:r>
    </w:p>
    <w:p w14:paraId="0646F9FC" w14:textId="00157E1B" w:rsidR="003C5B3A" w:rsidRDefault="01975297" w:rsidP="003C5B3A">
      <w:r w:rsidRPr="71A1AD18">
        <w:rPr>
          <w:rFonts w:ascii="Calibri" w:eastAsia="Calibri" w:hAnsi="Calibri" w:cs="Calibri"/>
        </w:rPr>
        <w:t xml:space="preserve">Despite these efforts, Wales faces distinct challenges. Rural geography makes hotspot identification and rapid response more difficult, while </w:t>
      </w:r>
      <w:r w:rsidR="518D92FE" w:rsidRPr="71A1AD18">
        <w:rPr>
          <w:rFonts w:ascii="Calibri" w:eastAsia="Calibri" w:hAnsi="Calibri" w:cs="Calibri"/>
        </w:rPr>
        <w:t>cross border</w:t>
      </w:r>
      <w:r w:rsidRPr="71A1AD18">
        <w:rPr>
          <w:rFonts w:ascii="Calibri" w:eastAsia="Calibri" w:hAnsi="Calibri" w:cs="Calibri"/>
        </w:rPr>
        <w:t xml:space="preserve"> county lines activity requires close coordination with English forces (ONS, 2023). A further limitation is the lack of Wales</w:t>
      </w:r>
      <w:r w:rsidR="203A4AF7" w:rsidRPr="71A1AD18">
        <w:rPr>
          <w:rFonts w:ascii="Calibri" w:eastAsia="Calibri" w:hAnsi="Calibri" w:cs="Calibri"/>
        </w:rPr>
        <w:t xml:space="preserve"> </w:t>
      </w:r>
      <w:r w:rsidRPr="71A1AD18">
        <w:rPr>
          <w:rFonts w:ascii="Calibri" w:eastAsia="Calibri" w:hAnsi="Calibri" w:cs="Calibri"/>
        </w:rPr>
        <w:t>specific academic research on knife crime, which restricts the development of fully evidence</w:t>
      </w:r>
      <w:r w:rsidR="003C5B3A">
        <w:noBreakHyphen/>
      </w:r>
      <w:r w:rsidRPr="71A1AD18">
        <w:rPr>
          <w:rFonts w:ascii="Calibri" w:eastAsia="Calibri" w:hAnsi="Calibri" w:cs="Calibri"/>
        </w:rPr>
        <w:t>based local policy.</w:t>
      </w:r>
    </w:p>
    <w:p w14:paraId="7757744B" w14:textId="34A88C8E" w:rsidR="003C5B3A" w:rsidRDefault="003C5B3A" w:rsidP="003C5B3A"/>
    <w:p w14:paraId="3FE9F23F" w14:textId="77777777" w:rsidR="003C5B3A" w:rsidRDefault="003C5B3A" w:rsidP="003C5B3A"/>
    <w:p w14:paraId="1D75503D" w14:textId="77777777" w:rsidR="003C5B3A" w:rsidRDefault="003C5B3A" w:rsidP="003C5B3A">
      <w:r>
        <w:t>5.7 Comparison with England</w:t>
      </w:r>
    </w:p>
    <w:p w14:paraId="7CC0F7D1" w14:textId="16847B27" w:rsidR="003C5B3A" w:rsidRDefault="35D18F7D" w:rsidP="003C5B3A">
      <w:r w:rsidRPr="359B016B">
        <w:rPr>
          <w:rFonts w:ascii="Calibri" w:eastAsia="Calibri" w:hAnsi="Calibri" w:cs="Calibri"/>
        </w:rPr>
        <w:t>When compared with England, the Welsh experience of knife crime shows both similarities and important differences (ONS, 2023). England records far higher overall volumes of knife crime due to major urban centres, meaning Wales remains less affected in absolute terms. However, several Welsh force areas have seen faster proportional increases over the past decade, narrowing the gap and showing that Wales is no longer insulated from national trends (ONS, 2023).</w:t>
      </w:r>
    </w:p>
    <w:p w14:paraId="3A044B18" w14:textId="0C253E59" w:rsidR="003C5B3A" w:rsidRDefault="35D18F7D" w:rsidP="003C5B3A">
      <w:r w:rsidRPr="359B016B">
        <w:rPr>
          <w:rFonts w:ascii="Calibri" w:eastAsia="Calibri" w:hAnsi="Calibri" w:cs="Calibri"/>
        </w:rPr>
        <w:t>Geographic patterns also differ. In England, knife crime is concentrated in large cities, whereas Wales has seen notable rises in rural and semi</w:t>
      </w:r>
      <w:r w:rsidR="003C5B3A">
        <w:noBreakHyphen/>
      </w:r>
      <w:r w:rsidRPr="359B016B">
        <w:rPr>
          <w:rFonts w:ascii="Calibri" w:eastAsia="Calibri" w:hAnsi="Calibri" w:cs="Calibri"/>
        </w:rPr>
        <w:t>rural areas such as Dyfed</w:t>
      </w:r>
      <w:r w:rsidR="003C5B3A">
        <w:noBreakHyphen/>
      </w:r>
      <w:r w:rsidRPr="359B016B">
        <w:rPr>
          <w:rFonts w:ascii="Calibri" w:eastAsia="Calibri" w:hAnsi="Calibri" w:cs="Calibri"/>
        </w:rPr>
        <w:t>Powys, indicating different underlying dynamics (ONS, 2023). Welsh forces are also smaller and responsible for larger geographic areas than many English counterparts, creating constraints on proactive policing and specialist resource deployment (Home Office, 2022).</w:t>
      </w:r>
    </w:p>
    <w:p w14:paraId="59472823" w14:textId="15435DCA" w:rsidR="003C5B3A" w:rsidRDefault="003C5B3A" w:rsidP="003C5B3A"/>
    <w:p w14:paraId="1F72F646" w14:textId="77777777" w:rsidR="003C5B3A" w:rsidRDefault="003C5B3A" w:rsidP="003C5B3A"/>
    <w:p w14:paraId="7ECF0D90" w14:textId="77777777" w:rsidR="003C5B3A" w:rsidRDefault="003C5B3A" w:rsidP="003C5B3A">
      <w:r>
        <w:t>5.8 Conclusion</w:t>
      </w:r>
    </w:p>
    <w:p w14:paraId="0BE3EB53" w14:textId="36FA8A60" w:rsidR="003C5B3A" w:rsidRDefault="003C5B3A" w:rsidP="003C5B3A">
      <w:r>
        <w:t xml:space="preserve">Knife crime across Wales has risen sharply and consistently over the past decade, with recorded offences more than doubling between 2013 and 2023 in a trajectory that represents one of the most significant trends in Welsh criminal justice during this period (ONS, 2023). While South Wales records the highest absolute number of offences, it is Gwent and Dyfed-Powys that have experienced the most dramatic proportional increases, and it is these areas that arguably present the most urgent challenge for policymakers and practitioners (ONS, 2023). The full range of serious violence </w:t>
      </w:r>
      <w:r w:rsidR="0B9D2CE1">
        <w:t>indicators including</w:t>
      </w:r>
      <w:r>
        <w:t xml:space="preserve"> attempted murders, threats to kill, and </w:t>
      </w:r>
      <w:r w:rsidR="2DD93E9D">
        <w:t>assaults confirms</w:t>
      </w:r>
      <w:r>
        <w:t xml:space="preserve"> that knife crime is causing significant harm across both urban and rural communities throughout Wales, and that its impact is by no means confined to the most densely populated areas (ONS, 2023).</w:t>
      </w:r>
    </w:p>
    <w:p w14:paraId="575BC50B" w14:textId="0E18F1E7" w:rsidR="003C5B3A" w:rsidRDefault="2FCD024A" w:rsidP="003C5B3A">
      <w:r>
        <w:t xml:space="preserve">The rise in knife crime across Wales is the product of a complex interplay of factors, including the spread of county lines drug networks, entrenched socioeconomic deprivation, reductions in youth services, the particular vulnerabilities associated with rural communities, and the growing influence of social media in escalating conflict (HM Government, 2018; Pitts, 2018). While Welsh police forces have introduced a range of both enforcement and prevention strategies in response, the overall trend makes clear that knife crime remains a growing and serious issue that will require sustained, long-term, and genuinely multi-agency commitment to address effectively (College of Policing, 2021). The chapter that follows turns its attention specifically to </w:t>
      </w:r>
      <w:r w:rsidR="7EBE4FDB">
        <w:t>Gwent one</w:t>
      </w:r>
      <w:r>
        <w:t xml:space="preserve"> of the area’s most profoundly and rapidly affected by rising knife crime anywhere in the United </w:t>
      </w:r>
      <w:r w:rsidR="50E60826">
        <w:t>Kingdom and</w:t>
      </w:r>
      <w:r>
        <w:t xml:space="preserve"> examines in detail the local factors, trends, and responses that define the picture there.</w:t>
      </w:r>
    </w:p>
    <w:p w14:paraId="0548D352" w14:textId="77777777" w:rsidR="00C84D41" w:rsidRDefault="00C84D41" w:rsidP="00C84D41">
      <w:r>
        <w:t>CHAPTER 6: KNIFE CRIME IN GWENT</w:t>
      </w:r>
    </w:p>
    <w:p w14:paraId="31DBCADA" w14:textId="77777777" w:rsidR="00C84D41" w:rsidRDefault="00C84D41" w:rsidP="00C84D41">
      <w:r>
        <w:t>6.1 Introduction</w:t>
      </w:r>
    </w:p>
    <w:p w14:paraId="2C4A2E40" w14:textId="2C11F821" w:rsidR="00C84D41" w:rsidRDefault="43BE5191" w:rsidP="00C84D41">
      <w:r w:rsidRPr="71A1AD18">
        <w:rPr>
          <w:rFonts w:ascii="Calibri" w:eastAsia="Calibri" w:hAnsi="Calibri" w:cs="Calibri"/>
        </w:rPr>
        <w:t xml:space="preserve">Gwent has seen one of the most significant and sustained rises in knife crime of any police force area in the UK, placing it at the centre of growing concern among policymakers, law enforcement, and community organisations (ONS, 2023). While knife crime across Wales has more than doubled over the past decade, the increase in Gwent has been far steeper, with offences rising almost </w:t>
      </w:r>
      <w:r w:rsidR="2D229BBD" w:rsidRPr="71A1AD18">
        <w:rPr>
          <w:rFonts w:ascii="Calibri" w:eastAsia="Calibri" w:hAnsi="Calibri" w:cs="Calibri"/>
        </w:rPr>
        <w:t>six-fold</w:t>
      </w:r>
      <w:r w:rsidRPr="71A1AD18">
        <w:rPr>
          <w:rFonts w:ascii="Calibri" w:eastAsia="Calibri" w:hAnsi="Calibri" w:cs="Calibri"/>
        </w:rPr>
        <w:t xml:space="preserve"> between 2013 and 2023 an exceptional rate even by national standards (ONS, 2023).</w:t>
      </w:r>
    </w:p>
    <w:p w14:paraId="2773D37E" w14:textId="46ADC724" w:rsidR="00C84D41" w:rsidRDefault="43BE5191" w:rsidP="00C84D41">
      <w:r w:rsidRPr="71A1AD18">
        <w:rPr>
          <w:rFonts w:ascii="Calibri" w:eastAsia="Calibri" w:hAnsi="Calibri" w:cs="Calibri"/>
        </w:rPr>
        <w:t xml:space="preserve">This chapter examines knife crime in Gwent in detail, exploring </w:t>
      </w:r>
      <w:r w:rsidR="3F00AA3F" w:rsidRPr="71A1AD18">
        <w:rPr>
          <w:rFonts w:ascii="Calibri" w:eastAsia="Calibri" w:hAnsi="Calibri" w:cs="Calibri"/>
        </w:rPr>
        <w:t>long-term</w:t>
      </w:r>
      <w:r w:rsidRPr="71A1AD18">
        <w:rPr>
          <w:rFonts w:ascii="Calibri" w:eastAsia="Calibri" w:hAnsi="Calibri" w:cs="Calibri"/>
        </w:rPr>
        <w:t xml:space="preserve"> trends, offence types, geographic patterns, and the social and structural factors driving this rise (Gwent Police, 2023). It also situates Gwent within the wider Welsh and national context by comparing it with other force areas and evaluating the effectiveness of local policing responses to this growing challenge.</w:t>
      </w:r>
    </w:p>
    <w:p w14:paraId="6C9CBC20" w14:textId="5D5B7651" w:rsidR="00C84D41" w:rsidRDefault="00C84D41" w:rsidP="00C84D41"/>
    <w:p w14:paraId="08CE6F91" w14:textId="77777777" w:rsidR="00C84D41" w:rsidRDefault="00C84D41" w:rsidP="00C84D41"/>
    <w:p w14:paraId="72266EA7" w14:textId="77777777" w:rsidR="00C84D41" w:rsidRDefault="00C84D41" w:rsidP="00C84D41">
      <w:r>
        <w:t>6.2 Overview of the Gwent Police Area</w:t>
      </w:r>
    </w:p>
    <w:p w14:paraId="5806614B" w14:textId="1E6186CA" w:rsidR="00C84D41" w:rsidRDefault="26BCA45A" w:rsidP="00C84D41">
      <w:r w:rsidRPr="71A1AD18">
        <w:rPr>
          <w:rFonts w:ascii="Calibri" w:eastAsia="Calibri" w:hAnsi="Calibri" w:cs="Calibri"/>
        </w:rPr>
        <w:t>Gwent Police covers five local authority areas</w:t>
      </w:r>
      <w:r w:rsidR="00BC4283">
        <w:rPr>
          <w:rFonts w:ascii="Calibri" w:eastAsia="Calibri" w:hAnsi="Calibri" w:cs="Calibri"/>
        </w:rPr>
        <w:t xml:space="preserve"> </w:t>
      </w:r>
      <w:r w:rsidRPr="71A1AD18">
        <w:rPr>
          <w:rFonts w:ascii="Calibri" w:eastAsia="Calibri" w:hAnsi="Calibri" w:cs="Calibri"/>
        </w:rPr>
        <w:t xml:space="preserve">Newport, Torfaen, Caerphilly, Blaenau Gwent, and Monmouthshire forming a region with wide social, economic, and geographic diversity (Gwent Police, 2023). The force area ranges from the urban centre of Newport to </w:t>
      </w:r>
      <w:r w:rsidR="4AD22F25" w:rsidRPr="71A1AD18">
        <w:rPr>
          <w:rFonts w:ascii="Calibri" w:eastAsia="Calibri" w:hAnsi="Calibri" w:cs="Calibri"/>
        </w:rPr>
        <w:t>post-industrial</w:t>
      </w:r>
      <w:r w:rsidRPr="71A1AD18">
        <w:rPr>
          <w:rFonts w:ascii="Calibri" w:eastAsia="Calibri" w:hAnsi="Calibri" w:cs="Calibri"/>
        </w:rPr>
        <w:t xml:space="preserve"> valley communities and more rural, affluent parts of Monmouthshire, creating a complex policing environment (ONS, 2023). Knife crime is not evenly distributed across this landscape; it is concentrated in specific areas shaped by local conditions such as deprivation, population density, and access to services and community support (Pitts, 2018). Understanding this internal variation is </w:t>
      </w:r>
      <w:r w:rsidRPr="71A1AD18">
        <w:rPr>
          <w:rFonts w:ascii="Calibri" w:eastAsia="Calibri" w:hAnsi="Calibri" w:cs="Calibri"/>
        </w:rPr>
        <w:lastRenderedPageBreak/>
        <w:t>essential for analysing knife crime in Gwent and for developing responses tailored to the needs of different communities.</w:t>
      </w:r>
    </w:p>
    <w:p w14:paraId="61CDCEAD" w14:textId="54C3F5E8" w:rsidR="00C84D41" w:rsidRDefault="00C84D41" w:rsidP="00C84D41"/>
    <w:p w14:paraId="41D1CB6E" w14:textId="16CD86D9" w:rsidR="71A1AD18" w:rsidRDefault="71A1AD18"/>
    <w:p w14:paraId="465CA581" w14:textId="77777777" w:rsidR="00C84D41" w:rsidRDefault="00C84D41" w:rsidP="00C84D41">
      <w:r>
        <w:t>6.3 Long-Term Trends in Knife Crime (2013–2023)</w:t>
      </w:r>
    </w:p>
    <w:p w14:paraId="154ECA2B" w14:textId="73C96DD6" w:rsidR="00C84D41" w:rsidRDefault="5D459A08" w:rsidP="00C84D41">
      <w:r>
        <w:t>The scale of the increase in knife crime recorded within the Gwent Police force area over the past decade is, by any measure, remarkable and deeply concerning (ONS, 2023). Recorded offences rose from just 65 cases in 2012–13 to 376 in 2022–23, representing a proportional increase of approximately 478</w:t>
      </w:r>
      <w:r w:rsidR="658ED56B">
        <w:t>% one</w:t>
      </w:r>
      <w:r>
        <w:t xml:space="preserve"> of the largest such increases recorded by any police force area across the whole of England and Wales during this period (ONS, 2023). What is particularly significant about this trend is not only its magnitude but also its consistency; the increase has been steady and sustained over time, without any prolonged period of decline that might suggest the underlying drivers were being effectively addressed or that the situation was beginning to stabilise.</w:t>
      </w:r>
    </w:p>
    <w:p w14:paraId="5FD317F7" w14:textId="3D2D4D89" w:rsidR="29E2DAEA" w:rsidRDefault="29E2DAEA" w:rsidP="73B96FFC">
      <w:pPr>
        <w:rPr>
          <w:rFonts w:eastAsiaTheme="minorEastAsia"/>
          <w:sz w:val="18"/>
          <w:szCs w:val="18"/>
          <w:lang w:eastAsia="en-GB"/>
        </w:rPr>
      </w:pPr>
      <w:r w:rsidRPr="73B96FFC">
        <w:rPr>
          <w:rFonts w:eastAsiaTheme="minorEastAsia"/>
          <w:sz w:val="18"/>
          <w:szCs w:val="18"/>
          <w:lang w:eastAsia="en-GB"/>
        </w:rPr>
        <w:t>See Appendix D1: Recorded Knife Crime in Gwent by Year (2012–2023)</w:t>
      </w:r>
    </w:p>
    <w:p w14:paraId="32E9673C" w14:textId="4B49EE2A" w:rsidR="00C84D41" w:rsidRDefault="5D459A08" w:rsidP="00C84D41">
      <w:r>
        <w:t xml:space="preserve">Perhaps most telling of all is the fact that even during the COVID-19 </w:t>
      </w:r>
      <w:r w:rsidR="73721FF4">
        <w:t>pandemic a</w:t>
      </w:r>
      <w:r>
        <w:t xml:space="preserve"> period during which knife crime fell noticeably at the national level, largely as a result of the enforced reduction in social interaction brought about by lockdown </w:t>
      </w:r>
      <w:r w:rsidR="26490C82">
        <w:t>restrictions levels</w:t>
      </w:r>
      <w:r>
        <w:t xml:space="preserve"> of knife crime in Gwent remained comparatively high and did not follow the same downward trajectory seen elsewhere (ONS, 2023). This divergence from the national pattern during the pandemic period is a highly significant finding, as it strongly suggests that the factors driving knife crime in Gwent are deeply embedded in the social and structural fabric of the area, and that they are sufficiently entrenched to persist even under the highly unusual conditions that the pandemic created.</w:t>
      </w:r>
    </w:p>
    <w:p w14:paraId="6BB9E253" w14:textId="77777777" w:rsidR="00C84D41" w:rsidRDefault="00C84D41" w:rsidP="00C84D41"/>
    <w:p w14:paraId="2FE22AA1" w14:textId="77777777" w:rsidR="00C84D41" w:rsidRDefault="00C84D41" w:rsidP="00C84D41">
      <w:r>
        <w:t>6.4 Types of Knife Crime in Gwent</w:t>
      </w:r>
    </w:p>
    <w:p w14:paraId="0AC890EE" w14:textId="0D17FC82" w:rsidR="00C84D41" w:rsidRDefault="4A18099A" w:rsidP="359B016B">
      <w:r w:rsidRPr="71A1AD18">
        <w:rPr>
          <w:rFonts w:ascii="Calibri" w:eastAsia="Calibri" w:hAnsi="Calibri" w:cs="Calibri"/>
        </w:rPr>
        <w:t xml:space="preserve">Knife crime in Gwent covers a range of offences, but most incidents involve violence or threats rather than fatal outcomes, indicating widespread and escalating harm rather than isolated extreme cases (ONS, 2023). The largest category in 2023 was </w:t>
      </w:r>
      <w:r w:rsidR="7DDEF8BB" w:rsidRPr="71A1AD18">
        <w:rPr>
          <w:rFonts w:ascii="Calibri" w:eastAsia="Calibri" w:hAnsi="Calibri" w:cs="Calibri"/>
        </w:rPr>
        <w:t>knife related</w:t>
      </w:r>
      <w:r w:rsidRPr="71A1AD18">
        <w:rPr>
          <w:rFonts w:ascii="Calibri" w:eastAsia="Calibri" w:hAnsi="Calibri" w:cs="Calibri"/>
        </w:rPr>
        <w:t xml:space="preserve"> assaults, with 214 recorded incidents</w:t>
      </w:r>
      <w:r w:rsidR="36373389" w:rsidRPr="71A1AD18">
        <w:rPr>
          <w:rFonts w:ascii="Calibri" w:eastAsia="Calibri" w:hAnsi="Calibri" w:cs="Calibri"/>
        </w:rPr>
        <w:t xml:space="preserve"> </w:t>
      </w:r>
      <w:r w:rsidRPr="71A1AD18">
        <w:rPr>
          <w:rFonts w:ascii="Calibri" w:eastAsia="Calibri" w:hAnsi="Calibri" w:cs="Calibri"/>
        </w:rPr>
        <w:t>reflecting rising personal disputes, increased weapon carrying, and violence linked to local drug markets (Harding, 2020; ONS, 2023).</w:t>
      </w:r>
    </w:p>
    <w:p w14:paraId="0D6CFA8F" w14:textId="4BB1734D" w:rsidR="00C84D41" w:rsidRDefault="4A18099A" w:rsidP="359B016B">
      <w:r w:rsidRPr="71A1AD18">
        <w:rPr>
          <w:rFonts w:ascii="Calibri" w:eastAsia="Calibri" w:hAnsi="Calibri" w:cs="Calibri"/>
        </w:rPr>
        <w:t xml:space="preserve">There were also 80 threats to kill involving a knife, highlighting high levels of intimidation within communities (ONS, 2023). These offences often relate to domestic abuse, </w:t>
      </w:r>
      <w:r w:rsidR="5446494B" w:rsidRPr="71A1AD18">
        <w:rPr>
          <w:rFonts w:ascii="Calibri" w:eastAsia="Calibri" w:hAnsi="Calibri" w:cs="Calibri"/>
        </w:rPr>
        <w:t>drug related</w:t>
      </w:r>
      <w:r w:rsidRPr="71A1AD18">
        <w:rPr>
          <w:rFonts w:ascii="Calibri" w:eastAsia="Calibri" w:hAnsi="Calibri" w:cs="Calibri"/>
        </w:rPr>
        <w:t xml:space="preserve"> conflicts, and disputes among young people, and while not always physically injurious, they cause serious and lasting harm.</w:t>
      </w:r>
    </w:p>
    <w:p w14:paraId="407E4027" w14:textId="1F5CB025" w:rsidR="00C84D41" w:rsidRDefault="4A18099A" w:rsidP="359B016B">
      <w:r w:rsidRPr="359B016B">
        <w:rPr>
          <w:rFonts w:ascii="Calibri" w:eastAsia="Calibri" w:hAnsi="Calibri" w:cs="Calibri"/>
        </w:rPr>
        <w:t>At the more serious end, Gwent recorded three attempted murders involving a knife in 2023, and although no homicides occurred, these incidents show how quickly knife violence can escalate (ONS, 2023). Additionally, 79 knife possession offences were recorded, signalling that weapon carrying is becoming increasingly normalised in some areas particularly worrying given the risks associated with younger age groups (ONS, 2023).</w:t>
      </w:r>
    </w:p>
    <w:p w14:paraId="5EDFEDAD" w14:textId="539D1226" w:rsidR="00C84D41" w:rsidRDefault="01472561" w:rsidP="73B96FFC">
      <w:pPr>
        <w:rPr>
          <w:rFonts w:ascii="Times New Roman" w:eastAsia="Times New Roman" w:hAnsi="Times New Roman" w:cs="Times New Roman"/>
          <w:sz w:val="24"/>
          <w:szCs w:val="24"/>
          <w:lang w:eastAsia="en-GB"/>
        </w:rPr>
      </w:pPr>
      <w:r w:rsidRPr="359B016B">
        <w:rPr>
          <w:rFonts w:eastAsiaTheme="minorEastAsia"/>
          <w:sz w:val="18"/>
          <w:szCs w:val="18"/>
          <w:lang w:eastAsia="en-GB"/>
        </w:rPr>
        <w:t>See Appendix D2: Types of Knife Crime Recorded in Gwent (2023)</w:t>
      </w:r>
    </w:p>
    <w:p w14:paraId="0C07E298" w14:textId="0C0386F1" w:rsidR="359B016B" w:rsidRDefault="359B016B"/>
    <w:p w14:paraId="409F7408" w14:textId="18206200" w:rsidR="71A1AD18" w:rsidRDefault="71A1AD18"/>
    <w:p w14:paraId="054CC1DE" w14:textId="19BDCC3A" w:rsidR="71A1AD18" w:rsidRDefault="71A1AD18"/>
    <w:p w14:paraId="0F919F4C" w14:textId="17B4EFE3" w:rsidR="71A1AD18" w:rsidRDefault="71A1AD18"/>
    <w:p w14:paraId="1935BDAD" w14:textId="5C03720E" w:rsidR="71A1AD18" w:rsidRDefault="71A1AD18"/>
    <w:p w14:paraId="3F736F83" w14:textId="77777777" w:rsidR="00C84D41" w:rsidRDefault="00C84D41" w:rsidP="00C84D41">
      <w:r>
        <w:t>CHAPTER 7: POLICE MITIGATION STRATEGIES</w:t>
      </w:r>
    </w:p>
    <w:p w14:paraId="57E722CC" w14:textId="77777777" w:rsidR="00C84D41" w:rsidRDefault="00C84D41" w:rsidP="00C84D41">
      <w:r>
        <w:t>7.1 Introduction</w:t>
      </w:r>
    </w:p>
    <w:p w14:paraId="05654688" w14:textId="7081D8A7" w:rsidR="00C84D41" w:rsidRDefault="38085C60" w:rsidP="359B016B">
      <w:pPr>
        <w:rPr>
          <w:rFonts w:ascii="Times New Roman" w:eastAsia="Times New Roman" w:hAnsi="Times New Roman" w:cs="Times New Roman"/>
          <w:sz w:val="24"/>
          <w:szCs w:val="24"/>
        </w:rPr>
      </w:pPr>
      <w:r w:rsidRPr="359B016B">
        <w:rPr>
          <w:rFonts w:ascii="Calibri" w:eastAsia="Calibri" w:hAnsi="Calibri" w:cs="Calibri"/>
          <w:color w:val="000000" w:themeColor="text1"/>
        </w:rPr>
        <w:t>This chapter evaluates the effectiveness of policing responses to knife crime across England, Wales, and specifically the Gwent Police force area. Drawing on national evidence, local strategies, and academic research, it assesses enforcement-led approaches, prevention initiatives, and multi-agency models. The findings highlight both the strengths and limitations of current policing practices and identify areas where improvements are needed.</w:t>
      </w:r>
    </w:p>
    <w:p w14:paraId="3D551C65" w14:textId="2DEC04F8" w:rsidR="00C84D41" w:rsidRDefault="00C84D41" w:rsidP="359B016B">
      <w:pPr>
        <w:rPr>
          <w:rFonts w:ascii="Times New Roman" w:eastAsia="Times New Roman" w:hAnsi="Times New Roman" w:cs="Times New Roman"/>
          <w:b/>
          <w:bCs/>
          <w:sz w:val="24"/>
          <w:szCs w:val="24"/>
          <w:lang w:eastAsia="en-GB"/>
        </w:rPr>
      </w:pPr>
    </w:p>
    <w:p w14:paraId="73389AB7" w14:textId="4880E26F" w:rsidR="71A1AD18" w:rsidRDefault="71A1AD18" w:rsidP="71A1AD18"/>
    <w:p w14:paraId="2708B814" w14:textId="72094C5A" w:rsidR="00C84D41" w:rsidRDefault="00C84D41" w:rsidP="359B016B">
      <w:r>
        <w:t>7.2 Enforcement-Based Strategies</w:t>
      </w:r>
    </w:p>
    <w:p w14:paraId="270488A7" w14:textId="77777777" w:rsidR="00C84D41" w:rsidRDefault="00C84D41" w:rsidP="00C84D41">
      <w:r>
        <w:t>Enforcement continues to form a central and indispensable part of the police response to knife crime, with a range of tactics deployed with the aim of deterring individuals from carrying weapons, removing knives from circulation, and disrupting the criminal activity that so often underpins knife-related violence (College of Policing, 2021).</w:t>
      </w:r>
    </w:p>
    <w:p w14:paraId="358FA880" w14:textId="1ED9DF5F" w:rsidR="00C84D41" w:rsidRDefault="36B06354" w:rsidP="71A1AD18">
      <w:pPr>
        <w:spacing w:after="0"/>
        <w:rPr>
          <w:rFonts w:ascii="Calibri" w:eastAsia="Calibri" w:hAnsi="Calibri" w:cs="Calibri"/>
          <w:color w:val="000000" w:themeColor="text1"/>
        </w:rPr>
      </w:pPr>
      <w:r w:rsidRPr="71A1AD18">
        <w:rPr>
          <w:rFonts w:ascii="Calibri" w:eastAsia="Calibri" w:hAnsi="Calibri" w:cs="Calibri"/>
          <w:color w:val="000000" w:themeColor="text1"/>
        </w:rPr>
        <w:t xml:space="preserve">Stop-and-search remains one of the most widely used tools for tackling knife crime. Evidence suggests it can produce short-term reductions in weapon carrying, particularly when used in targeted, intelligence-led operations (College of Policing, 2021). </w:t>
      </w:r>
      <w:r w:rsidR="604D52B5" w:rsidRPr="71A1AD18">
        <w:rPr>
          <w:rFonts w:ascii="Calibri" w:eastAsia="Calibri" w:hAnsi="Calibri" w:cs="Calibri"/>
          <w:color w:val="000000" w:themeColor="text1"/>
        </w:rPr>
        <w:t>However, its</w:t>
      </w:r>
      <w:r w:rsidRPr="71A1AD18">
        <w:rPr>
          <w:rFonts w:ascii="Calibri" w:eastAsia="Calibri" w:hAnsi="Calibri" w:cs="Calibri"/>
          <w:color w:val="000000" w:themeColor="text1"/>
        </w:rPr>
        <w:t xml:space="preserve"> long-term impact is limited.</w:t>
      </w:r>
      <w:r w:rsidR="79C827C9" w:rsidRPr="71A1AD18">
        <w:rPr>
          <w:rFonts w:ascii="Calibri" w:eastAsia="Calibri" w:hAnsi="Calibri" w:cs="Calibri"/>
          <w:color w:val="000000" w:themeColor="text1"/>
        </w:rPr>
        <w:t xml:space="preserve"> </w:t>
      </w:r>
      <w:r w:rsidRPr="71A1AD18">
        <w:rPr>
          <w:rFonts w:ascii="Calibri" w:eastAsia="Calibri" w:hAnsi="Calibri" w:cs="Calibri"/>
          <w:color w:val="000000" w:themeColor="text1"/>
        </w:rPr>
        <w:t>Overuse can damage community trust, especially among young people and minority groups</w:t>
      </w:r>
      <w:r w:rsidR="7DB9FBFF" w:rsidRPr="71A1AD18">
        <w:rPr>
          <w:rFonts w:ascii="Calibri" w:eastAsia="Calibri" w:hAnsi="Calibri" w:cs="Calibri"/>
          <w:color w:val="000000" w:themeColor="text1"/>
        </w:rPr>
        <w:t xml:space="preserve"> and d</w:t>
      </w:r>
      <w:r w:rsidRPr="71A1AD18">
        <w:rPr>
          <w:rFonts w:ascii="Calibri" w:eastAsia="Calibri" w:hAnsi="Calibri" w:cs="Calibri"/>
          <w:color w:val="000000" w:themeColor="text1"/>
        </w:rPr>
        <w:t>isproportionality concerns persist across England and Wales.</w:t>
      </w:r>
    </w:p>
    <w:p w14:paraId="74736B86" w14:textId="55C2141B" w:rsidR="00C84D41" w:rsidRDefault="36B06354" w:rsidP="359B016B">
      <w:pPr>
        <w:rPr>
          <w:rFonts w:ascii="Calibri" w:eastAsia="Calibri" w:hAnsi="Calibri" w:cs="Calibri"/>
          <w:color w:val="000000" w:themeColor="text1"/>
        </w:rPr>
      </w:pPr>
      <w:r w:rsidRPr="359B016B">
        <w:rPr>
          <w:rFonts w:ascii="Calibri" w:eastAsia="Calibri" w:hAnsi="Calibri" w:cs="Calibri"/>
          <w:color w:val="000000" w:themeColor="text1"/>
        </w:rPr>
        <w:t>In Gwent, stop-and-search has been used more sparingly than in metropolitan forces, but community feedback indicates that perceptions of fairness remain crucial for maintaining legitimacy.</w:t>
      </w:r>
    </w:p>
    <w:p w14:paraId="6475D8E0" w14:textId="2FFB7032" w:rsidR="00C84D41" w:rsidRDefault="45852DA1" w:rsidP="73B96FFC">
      <w:pPr>
        <w:rPr>
          <w:rFonts w:ascii="Times New Roman" w:eastAsia="Times New Roman" w:hAnsi="Times New Roman" w:cs="Times New Roman"/>
          <w:sz w:val="24"/>
          <w:szCs w:val="24"/>
          <w:lang w:eastAsia="en-GB"/>
        </w:rPr>
      </w:pPr>
      <w:r w:rsidRPr="359B016B">
        <w:rPr>
          <w:rFonts w:eastAsiaTheme="minorEastAsia"/>
          <w:sz w:val="18"/>
          <w:szCs w:val="18"/>
          <w:lang w:eastAsia="en-GB"/>
        </w:rPr>
        <w:t>See</w:t>
      </w:r>
      <w:r w:rsidRPr="359B016B">
        <w:rPr>
          <w:rFonts w:ascii="Times New Roman" w:eastAsia="Times New Roman" w:hAnsi="Times New Roman" w:cs="Times New Roman"/>
          <w:b/>
          <w:bCs/>
          <w:sz w:val="24"/>
          <w:szCs w:val="24"/>
          <w:lang w:eastAsia="en-GB"/>
        </w:rPr>
        <w:t xml:space="preserve"> </w:t>
      </w:r>
      <w:r w:rsidRPr="359B016B">
        <w:rPr>
          <w:rFonts w:eastAsiaTheme="minorEastAsia"/>
          <w:sz w:val="18"/>
          <w:szCs w:val="18"/>
          <w:lang w:eastAsia="en-GB"/>
        </w:rPr>
        <w:t>Appendix E2: Stop-and-Search Use in Welsh Police Force Areas (Selected Years)</w:t>
      </w:r>
    </w:p>
    <w:p w14:paraId="3CB3C64F" w14:textId="4A0FC05B" w:rsidR="6569E5FA" w:rsidRDefault="6569E5FA" w:rsidP="359B016B">
      <w:pPr>
        <w:rPr>
          <w:rFonts w:ascii="Calibri" w:eastAsia="Calibri" w:hAnsi="Calibri" w:cs="Calibri"/>
          <w:color w:val="000000" w:themeColor="text1"/>
        </w:rPr>
      </w:pPr>
      <w:r w:rsidRPr="359B016B">
        <w:rPr>
          <w:rFonts w:ascii="Calibri" w:eastAsia="Calibri" w:hAnsi="Calibri" w:cs="Calibri"/>
          <w:color w:val="000000" w:themeColor="text1"/>
        </w:rPr>
        <w:t>Knife amnesties allow individuals to surrender weapons without fear of prosecution. While they can remove some knives from circulation, research shows they have minimal impact on habitual carriers or those involved in criminal networks (Home Office, 2022).</w:t>
      </w:r>
    </w:p>
    <w:p w14:paraId="30CD86A6" w14:textId="7D4B6320" w:rsidR="6569E5FA" w:rsidRDefault="6569E5FA" w:rsidP="359B016B">
      <w:r w:rsidRPr="359B016B">
        <w:rPr>
          <w:rFonts w:ascii="Calibri" w:eastAsia="Calibri" w:hAnsi="Calibri" w:cs="Calibri"/>
          <w:color w:val="000000" w:themeColor="text1"/>
        </w:rPr>
        <w:t>In Gwent, amnesty bins have been used alongside awareness campaigns, but their effectiveness is limited without broader prevention work.</w:t>
      </w:r>
    </w:p>
    <w:p w14:paraId="68D9AFD1" w14:textId="217A8CD3" w:rsidR="00C84D41" w:rsidRDefault="15FDEB03" w:rsidP="6F8A0167">
      <w:pPr>
        <w:rPr>
          <w:rFonts w:ascii="Times New Roman" w:eastAsia="Times New Roman" w:hAnsi="Times New Roman" w:cs="Times New Roman"/>
          <w:sz w:val="24"/>
          <w:szCs w:val="24"/>
          <w:lang w:eastAsia="en-GB"/>
        </w:rPr>
      </w:pPr>
      <w:r w:rsidRPr="71A1AD18">
        <w:rPr>
          <w:rFonts w:eastAsiaTheme="minorEastAsia"/>
          <w:sz w:val="20"/>
          <w:szCs w:val="20"/>
        </w:rPr>
        <w:t>See</w:t>
      </w:r>
      <w:r w:rsidR="4A3E5BB6" w:rsidRPr="71A1AD18">
        <w:rPr>
          <w:rFonts w:eastAsiaTheme="minorEastAsia"/>
          <w:sz w:val="20"/>
          <w:szCs w:val="20"/>
        </w:rPr>
        <w:t xml:space="preserve"> </w:t>
      </w:r>
      <w:r w:rsidR="4A3E5BB6" w:rsidRPr="71A1AD18">
        <w:rPr>
          <w:rFonts w:eastAsiaTheme="minorEastAsia"/>
          <w:sz w:val="20"/>
          <w:szCs w:val="20"/>
          <w:lang w:eastAsia="en-GB"/>
        </w:rPr>
        <w:t>Appendix E3: Operation Sceptre — Knife Surrender Scheme Results in Gwent</w:t>
      </w:r>
    </w:p>
    <w:p w14:paraId="52E56223" w14:textId="3493D0A3" w:rsidR="00C84D41" w:rsidRDefault="29CD1DCA" w:rsidP="71A1AD18">
      <w:r w:rsidRPr="71A1AD18">
        <w:rPr>
          <w:rFonts w:ascii="Calibri" w:eastAsia="Calibri" w:hAnsi="Calibri" w:cs="Calibri"/>
        </w:rPr>
        <w:t>Hotspot policing, which concentrates officers in areas with high levels of knife crime, has strong evidence of effectiveness, with national studies showing consistent reductions in violence when resources target micro</w:t>
      </w:r>
      <w:r w:rsidR="00C84D41">
        <w:noBreakHyphen/>
      </w:r>
      <w:r w:rsidRPr="71A1AD18">
        <w:rPr>
          <w:rFonts w:ascii="Calibri" w:eastAsia="Calibri" w:hAnsi="Calibri" w:cs="Calibri"/>
        </w:rPr>
        <w:t>locations (Braga et al., 2019). Gwent Police have increasingly used this approach in Newport, where early indications point to improved visibility, deterrence, and community reassurance. High</w:t>
      </w:r>
      <w:r w:rsidR="00C84D41">
        <w:noBreakHyphen/>
      </w:r>
      <w:r w:rsidRPr="71A1AD18">
        <w:rPr>
          <w:rFonts w:ascii="Calibri" w:eastAsia="Calibri" w:hAnsi="Calibri" w:cs="Calibri"/>
        </w:rPr>
        <w:t>visibility patrols also help deter opportunistic offending and reassure the public in busy areas, especially during evening and night</w:t>
      </w:r>
      <w:r w:rsidR="00C84D41">
        <w:noBreakHyphen/>
      </w:r>
      <w:r w:rsidRPr="71A1AD18">
        <w:rPr>
          <w:rFonts w:ascii="Calibri" w:eastAsia="Calibri" w:hAnsi="Calibri" w:cs="Calibri"/>
        </w:rPr>
        <w:t>time periods (College of Policing, 2021). However, they are resource</w:t>
      </w:r>
      <w:r w:rsidR="00C84D41">
        <w:noBreakHyphen/>
      </w:r>
      <w:r w:rsidRPr="71A1AD18">
        <w:rPr>
          <w:rFonts w:ascii="Calibri" w:eastAsia="Calibri" w:hAnsi="Calibri" w:cs="Calibri"/>
        </w:rPr>
        <w:t xml:space="preserve">intensive and far less effective against organised criminal networks, </w:t>
      </w:r>
      <w:r w:rsidRPr="71A1AD18">
        <w:rPr>
          <w:rFonts w:ascii="Calibri" w:eastAsia="Calibri" w:hAnsi="Calibri" w:cs="Calibri"/>
        </w:rPr>
        <w:lastRenderedPageBreak/>
        <w:t>which adapt quickly to police presence (Home Office, 2022). Disrupting county lines networks—major drivers of knife crime nationally and in Gwent remains a key enforcement priority, involving targeted operations and safeguarding vulnerable individuals (HM Government, 2018; National Crime Agency, 2019). While such operations have disrupted specific groups, these networks often re</w:t>
      </w:r>
      <w:r w:rsidR="00C84D41">
        <w:noBreakHyphen/>
      </w:r>
      <w:r w:rsidRPr="71A1AD18">
        <w:rPr>
          <w:rFonts w:ascii="Calibri" w:eastAsia="Calibri" w:hAnsi="Calibri" w:cs="Calibri"/>
        </w:rPr>
        <w:t>establish themselves rapidly due to their adaptability (Harding, 2020).</w:t>
      </w:r>
    </w:p>
    <w:p w14:paraId="715C6CAF" w14:textId="77777777" w:rsidR="00C84D41" w:rsidRDefault="00C84D41" w:rsidP="00C84D41">
      <w:r>
        <w:t>7.3 Prevention-Focused Strategies</w:t>
      </w:r>
    </w:p>
    <w:p w14:paraId="1EF50284" w14:textId="2F772E23" w:rsidR="23E5BDD5" w:rsidRDefault="23E5BDD5" w:rsidP="71A1AD18">
      <w:r w:rsidRPr="71A1AD18">
        <w:rPr>
          <w:rFonts w:ascii="Calibri" w:eastAsia="Calibri" w:hAnsi="Calibri" w:cs="Calibri"/>
        </w:rPr>
        <w:t>There is increasing recognition across policing and government that enforcement alone cannot address the deep</w:t>
      </w:r>
      <w:r>
        <w:noBreakHyphen/>
      </w:r>
      <w:r w:rsidRPr="71A1AD18">
        <w:rPr>
          <w:rFonts w:ascii="Calibri" w:eastAsia="Calibri" w:hAnsi="Calibri" w:cs="Calibri"/>
        </w:rPr>
        <w:t>rooted causes of knife crime, and that long</w:t>
      </w:r>
      <w:r>
        <w:noBreakHyphen/>
      </w:r>
      <w:r w:rsidRPr="71A1AD18">
        <w:rPr>
          <w:rFonts w:ascii="Calibri" w:eastAsia="Calibri" w:hAnsi="Calibri" w:cs="Calibri"/>
        </w:rPr>
        <w:t>term reductions depend on sustained prevention and early intervention (HM Government, 2018). Education remains a central tool, with officers working in schools and colleges to challenge misconceptions about knife carrying, explain legal consequences, and promote safer conflict</w:t>
      </w:r>
      <w:r>
        <w:noBreakHyphen/>
      </w:r>
      <w:r w:rsidRPr="71A1AD18">
        <w:rPr>
          <w:rFonts w:ascii="Calibri" w:eastAsia="Calibri" w:hAnsi="Calibri" w:cs="Calibri"/>
        </w:rPr>
        <w:t>resolution strategies (Public Health England, 2019). In Gwent, these sessions are often delivered with youth offending teams, reflecting a multi</w:t>
      </w:r>
      <w:r>
        <w:noBreakHyphen/>
      </w:r>
      <w:r w:rsidRPr="71A1AD18">
        <w:rPr>
          <w:rFonts w:ascii="Calibri" w:eastAsia="Calibri" w:hAnsi="Calibri" w:cs="Calibri"/>
        </w:rPr>
        <w:t>agency approach (Gwent Police, 2023). While such programmes can shift attitudes, their long</w:t>
      </w:r>
      <w:r>
        <w:noBreakHyphen/>
      </w:r>
      <w:r w:rsidRPr="71A1AD18">
        <w:rPr>
          <w:rFonts w:ascii="Calibri" w:eastAsia="Calibri" w:hAnsi="Calibri" w:cs="Calibri"/>
        </w:rPr>
        <w:t>term impact depends on consistent, high</w:t>
      </w:r>
      <w:r>
        <w:noBreakHyphen/>
      </w:r>
      <w:r w:rsidRPr="71A1AD18">
        <w:rPr>
          <w:rFonts w:ascii="Calibri" w:eastAsia="Calibri" w:hAnsi="Calibri" w:cs="Calibri"/>
        </w:rPr>
        <w:t>quality delivery and wider support for young people (Public Health England, 2019). Youth diversion is also widely recognised as an effective long</w:t>
      </w:r>
      <w:r>
        <w:noBreakHyphen/>
      </w:r>
      <w:r w:rsidRPr="71A1AD18">
        <w:rPr>
          <w:rFonts w:ascii="Calibri" w:eastAsia="Calibri" w:hAnsi="Calibri" w:cs="Calibri"/>
        </w:rPr>
        <w:t>term strategy, providing mentoring, structured activities, and educational support to address the vulnerabilities that lead young people to carry weapons (Public Health England, 2019).</w:t>
      </w:r>
    </w:p>
    <w:p w14:paraId="2398F315" w14:textId="54A8C987" w:rsidR="00C84D41" w:rsidRDefault="78153C57" w:rsidP="359B016B">
      <w:pPr>
        <w:spacing w:beforeAutospacing="1" w:afterAutospacing="1" w:line="240" w:lineRule="auto"/>
        <w:rPr>
          <w:rFonts w:ascii="Calibri" w:eastAsia="Calibri" w:hAnsi="Calibri" w:cs="Calibri"/>
          <w:color w:val="000000" w:themeColor="text1"/>
        </w:rPr>
      </w:pPr>
      <w:r w:rsidRPr="359B016B">
        <w:rPr>
          <w:rFonts w:ascii="Calibri" w:eastAsia="Calibri" w:hAnsi="Calibri" w:cs="Calibri"/>
          <w:color w:val="000000" w:themeColor="text1"/>
        </w:rPr>
        <w:t>Gwent Police collaborate with schools, youth services, and charities to deliver diversion initiatives, including:</w:t>
      </w:r>
    </w:p>
    <w:p w14:paraId="59274F06" w14:textId="252E8DE0" w:rsidR="00C84D41" w:rsidRDefault="78153C57" w:rsidP="359B016B">
      <w:pPr>
        <w:pStyle w:val="ListParagraph"/>
        <w:numPr>
          <w:ilvl w:val="0"/>
          <w:numId w:val="4"/>
        </w:numPr>
        <w:spacing w:after="0" w:line="240" w:lineRule="auto"/>
        <w:rPr>
          <w:rFonts w:ascii="Calibri" w:eastAsia="Calibri" w:hAnsi="Calibri" w:cs="Calibri"/>
          <w:color w:val="000000" w:themeColor="text1"/>
        </w:rPr>
      </w:pPr>
      <w:r w:rsidRPr="359B016B">
        <w:rPr>
          <w:rFonts w:ascii="Calibri" w:eastAsia="Calibri" w:hAnsi="Calibri" w:cs="Calibri"/>
          <w:color w:val="000000" w:themeColor="text1"/>
        </w:rPr>
        <w:t>Early intervention workshops</w:t>
      </w:r>
    </w:p>
    <w:p w14:paraId="14285D27" w14:textId="38426AAD" w:rsidR="00C84D41" w:rsidRDefault="78153C57" w:rsidP="359B016B">
      <w:pPr>
        <w:pStyle w:val="ListParagraph"/>
        <w:numPr>
          <w:ilvl w:val="0"/>
          <w:numId w:val="4"/>
        </w:numPr>
        <w:spacing w:after="0" w:line="240" w:lineRule="auto"/>
        <w:rPr>
          <w:rFonts w:ascii="Calibri" w:eastAsia="Calibri" w:hAnsi="Calibri" w:cs="Calibri"/>
          <w:color w:val="000000" w:themeColor="text1"/>
        </w:rPr>
      </w:pPr>
      <w:r w:rsidRPr="359B016B">
        <w:rPr>
          <w:rFonts w:ascii="Calibri" w:eastAsia="Calibri" w:hAnsi="Calibri" w:cs="Calibri"/>
          <w:color w:val="000000" w:themeColor="text1"/>
        </w:rPr>
        <w:t>School-based education programmes</w:t>
      </w:r>
    </w:p>
    <w:p w14:paraId="114CFE03" w14:textId="60DBDD35" w:rsidR="00C84D41" w:rsidRDefault="78153C57" w:rsidP="359B016B">
      <w:pPr>
        <w:pStyle w:val="ListParagraph"/>
        <w:numPr>
          <w:ilvl w:val="0"/>
          <w:numId w:val="4"/>
        </w:numPr>
        <w:spacing w:after="0" w:line="240" w:lineRule="auto"/>
        <w:rPr>
          <w:rFonts w:ascii="Calibri" w:eastAsia="Calibri" w:hAnsi="Calibri" w:cs="Calibri"/>
          <w:color w:val="000000" w:themeColor="text1"/>
        </w:rPr>
      </w:pPr>
      <w:r w:rsidRPr="359B016B">
        <w:rPr>
          <w:rFonts w:ascii="Calibri" w:eastAsia="Calibri" w:hAnsi="Calibri" w:cs="Calibri"/>
          <w:color w:val="000000" w:themeColor="text1"/>
        </w:rPr>
        <w:t>Support for at-risk young people identified through safeguarding pathways</w:t>
      </w:r>
    </w:p>
    <w:p w14:paraId="72A95BEA" w14:textId="475E7834" w:rsidR="00C84D41" w:rsidRDefault="78153C57" w:rsidP="359B016B">
      <w:pPr>
        <w:spacing w:beforeAutospacing="1" w:afterAutospacing="1" w:line="240" w:lineRule="auto"/>
        <w:rPr>
          <w:rFonts w:ascii="Times New Roman" w:eastAsia="Times New Roman" w:hAnsi="Times New Roman" w:cs="Times New Roman"/>
          <w:sz w:val="24"/>
          <w:szCs w:val="24"/>
          <w:lang w:eastAsia="en-GB"/>
        </w:rPr>
      </w:pPr>
      <w:r w:rsidRPr="359B016B">
        <w:rPr>
          <w:rFonts w:ascii="Calibri" w:eastAsia="Calibri" w:hAnsi="Calibri" w:cs="Calibri"/>
          <w:color w:val="000000" w:themeColor="text1"/>
        </w:rPr>
        <w:t>These programmes show promise, particularly when delivered consistently and in partnership with trusted community organisations.</w:t>
      </w:r>
    </w:p>
    <w:p w14:paraId="74437F08" w14:textId="454D0BE8" w:rsidR="00C84D41" w:rsidRDefault="30CF8ACB" w:rsidP="359B016B">
      <w:pPr>
        <w:spacing w:beforeAutospacing="1" w:afterAutospacing="1" w:line="240" w:lineRule="auto"/>
        <w:rPr>
          <w:rFonts w:ascii="Times New Roman" w:eastAsia="Times New Roman" w:hAnsi="Times New Roman" w:cs="Times New Roman"/>
          <w:sz w:val="24"/>
          <w:szCs w:val="24"/>
          <w:lang w:eastAsia="en-GB"/>
        </w:rPr>
      </w:pPr>
      <w:r w:rsidRPr="359B016B">
        <w:rPr>
          <w:rFonts w:eastAsiaTheme="minorEastAsia"/>
          <w:sz w:val="20"/>
          <w:szCs w:val="20"/>
        </w:rPr>
        <w:t xml:space="preserve">See </w:t>
      </w:r>
      <w:r w:rsidRPr="359B016B">
        <w:rPr>
          <w:rFonts w:eastAsiaTheme="minorEastAsia"/>
          <w:sz w:val="20"/>
          <w:szCs w:val="20"/>
          <w:lang w:eastAsia="en-GB"/>
        </w:rPr>
        <w:t>Appendix E4: Youth Diversion Programme Participation in Gwent (2019–2023)</w:t>
      </w:r>
    </w:p>
    <w:p w14:paraId="3218DE79" w14:textId="398C5AD6" w:rsidR="00C84D41" w:rsidRDefault="00C84D41" w:rsidP="6F8A0167">
      <w:r>
        <w:t>Early intervention and safeguarding have also become increasingly central to the policing response to knife crime, reflecting a growing understanding that many of the young people involved in knife-related offending are themselves victims of exploitation and harm rather than simply perpetrators of it (HM Government, 2018). Police therefore work in close partnership with social services, health agencies, and other relevant organisations to identify young people who may be at risk at the earliest possible opportunity, offering referrals, family support, and trauma-informed responses designed to address the underlying vulnerabilities that make individuals susceptible to involvement in violence (Public Health England, 2019).</w:t>
      </w:r>
    </w:p>
    <w:p w14:paraId="6C851DBB" w14:textId="77777777" w:rsidR="00C84D41" w:rsidRDefault="00C84D41" w:rsidP="00C84D41">
      <w:r>
        <w:t>Community engagement forms another essential element of the overall prevention framework, with police working alongside local organisations, community leaders, faith groups, and youth organisations to build the trust and cooperation that are essential both for gathering intelligence and for developing community-led solutions to knife crime that enjoy genuine local legitimacy (College of Policing, 2021).</w:t>
      </w:r>
    </w:p>
    <w:p w14:paraId="07547A01" w14:textId="77777777" w:rsidR="00C84D41" w:rsidRDefault="00C84D41" w:rsidP="00C84D41"/>
    <w:p w14:paraId="77709662" w14:textId="77777777" w:rsidR="00C84D41" w:rsidRDefault="00C84D41" w:rsidP="00C84D41">
      <w:r>
        <w:t>7.4 Public Health Approaches</w:t>
      </w:r>
    </w:p>
    <w:p w14:paraId="6223161E" w14:textId="50708267" w:rsidR="00C84D41" w:rsidRDefault="09C572DA" w:rsidP="359B016B">
      <w:pPr>
        <w:rPr>
          <w:rFonts w:ascii="Calibri" w:eastAsia="Calibri" w:hAnsi="Calibri" w:cs="Calibri"/>
          <w:color w:val="000000" w:themeColor="text1"/>
        </w:rPr>
      </w:pPr>
      <w:r w:rsidRPr="359B016B">
        <w:rPr>
          <w:rFonts w:ascii="Calibri" w:eastAsia="Calibri" w:hAnsi="Calibri" w:cs="Calibri"/>
          <w:color w:val="000000" w:themeColor="text1"/>
        </w:rPr>
        <w:lastRenderedPageBreak/>
        <w:t>Public health models treat violence as a preventable issue shaped by social, economic, and environmental factors. Violence Reduction Units (VRUs), first developed in Scotland, have demonstrated success by combining enforcement with prevention, education, and community support (Scottish Government, 2018).</w:t>
      </w:r>
    </w:p>
    <w:p w14:paraId="777BD484" w14:textId="494E33CE" w:rsidR="00C84D41" w:rsidRDefault="09C572DA" w:rsidP="359B016B">
      <w:pPr>
        <w:rPr>
          <w:rFonts w:ascii="Calibri" w:eastAsia="Calibri" w:hAnsi="Calibri" w:cs="Calibri"/>
          <w:color w:val="000000" w:themeColor="text1"/>
        </w:rPr>
      </w:pPr>
      <w:r w:rsidRPr="359B016B">
        <w:rPr>
          <w:rFonts w:ascii="Calibri" w:eastAsia="Calibri" w:hAnsi="Calibri" w:cs="Calibri"/>
          <w:color w:val="000000" w:themeColor="text1"/>
        </w:rPr>
        <w:t>While Wales does not have VRUs identical to those in England, similar multi-agency structures exist through Community Safety Partnerships. Gwent has adopted elements of the public health model, focusing on:</w:t>
      </w:r>
    </w:p>
    <w:p w14:paraId="7CFF99A9" w14:textId="3F42CA7D" w:rsidR="00C84D41" w:rsidRDefault="09C572DA" w:rsidP="359B016B">
      <w:pPr>
        <w:pStyle w:val="ListParagraph"/>
        <w:numPr>
          <w:ilvl w:val="0"/>
          <w:numId w:val="3"/>
        </w:numPr>
        <w:spacing w:after="0"/>
        <w:rPr>
          <w:rFonts w:ascii="Calibri" w:eastAsia="Calibri" w:hAnsi="Calibri" w:cs="Calibri"/>
          <w:color w:val="000000" w:themeColor="text1"/>
        </w:rPr>
      </w:pPr>
      <w:r w:rsidRPr="359B016B">
        <w:rPr>
          <w:rFonts w:ascii="Calibri" w:eastAsia="Calibri" w:hAnsi="Calibri" w:cs="Calibri"/>
          <w:color w:val="000000" w:themeColor="text1"/>
        </w:rPr>
        <w:t>Early identification of risk</w:t>
      </w:r>
    </w:p>
    <w:p w14:paraId="03D0B29C" w14:textId="7986B58E" w:rsidR="00C84D41" w:rsidRDefault="09C572DA" w:rsidP="359B016B">
      <w:pPr>
        <w:pStyle w:val="ListParagraph"/>
        <w:numPr>
          <w:ilvl w:val="0"/>
          <w:numId w:val="3"/>
        </w:numPr>
        <w:spacing w:after="0"/>
        <w:rPr>
          <w:rFonts w:ascii="Calibri" w:eastAsia="Calibri" w:hAnsi="Calibri" w:cs="Calibri"/>
          <w:color w:val="000000" w:themeColor="text1"/>
        </w:rPr>
      </w:pPr>
      <w:r w:rsidRPr="359B016B">
        <w:rPr>
          <w:rFonts w:ascii="Calibri" w:eastAsia="Calibri" w:hAnsi="Calibri" w:cs="Calibri"/>
          <w:color w:val="000000" w:themeColor="text1"/>
        </w:rPr>
        <w:t>Trauma-informed practice</w:t>
      </w:r>
    </w:p>
    <w:p w14:paraId="179278A0" w14:textId="63DB515D" w:rsidR="00C84D41" w:rsidRDefault="09C572DA" w:rsidP="359B016B">
      <w:pPr>
        <w:pStyle w:val="ListParagraph"/>
        <w:numPr>
          <w:ilvl w:val="0"/>
          <w:numId w:val="3"/>
        </w:numPr>
        <w:spacing w:after="0"/>
        <w:rPr>
          <w:rFonts w:ascii="Calibri" w:eastAsia="Calibri" w:hAnsi="Calibri" w:cs="Calibri"/>
          <w:color w:val="000000" w:themeColor="text1"/>
        </w:rPr>
      </w:pPr>
      <w:r w:rsidRPr="359B016B">
        <w:rPr>
          <w:rFonts w:ascii="Calibri" w:eastAsia="Calibri" w:hAnsi="Calibri" w:cs="Calibri"/>
          <w:color w:val="000000" w:themeColor="text1"/>
        </w:rPr>
        <w:t>Multi-agency safeguarding</w:t>
      </w:r>
    </w:p>
    <w:p w14:paraId="5043CB0F" w14:textId="5051CAA4" w:rsidR="00C84D41" w:rsidRDefault="09C572DA" w:rsidP="359B016B">
      <w:r w:rsidRPr="359B016B">
        <w:rPr>
          <w:rFonts w:ascii="Calibri" w:eastAsia="Calibri" w:hAnsi="Calibri" w:cs="Calibri"/>
          <w:color w:val="000000" w:themeColor="text1"/>
        </w:rPr>
        <w:t>These approaches align with national evidence showing that long-term reductions in violence require addressing root causes rather than solely responding to incidents.</w:t>
      </w:r>
    </w:p>
    <w:p w14:paraId="0EB98230" w14:textId="77777777" w:rsidR="00C84D41" w:rsidRDefault="00C84D41" w:rsidP="00C84D41">
      <w:r>
        <w:t>7.5 Multi-Agency Collaboration</w:t>
      </w:r>
    </w:p>
    <w:p w14:paraId="18B3EEAE" w14:textId="18D651F0" w:rsidR="00C84D41" w:rsidRDefault="33E84FDB" w:rsidP="359B016B">
      <w:pPr>
        <w:rPr>
          <w:rFonts w:ascii="Calibri" w:eastAsia="Calibri" w:hAnsi="Calibri" w:cs="Calibri"/>
          <w:color w:val="000000" w:themeColor="text1"/>
        </w:rPr>
      </w:pPr>
      <w:r w:rsidRPr="359B016B">
        <w:rPr>
          <w:rFonts w:ascii="Calibri" w:eastAsia="Calibri" w:hAnsi="Calibri" w:cs="Calibri"/>
          <w:color w:val="000000" w:themeColor="text1"/>
        </w:rPr>
        <w:t>Multi-agency working is consistently highlighted as essential for tackling knife crime (College of Policing, 2021). Effective collaboration between police, health services, local authorities, schools, and community organisations enables:</w:t>
      </w:r>
    </w:p>
    <w:p w14:paraId="1F0B99E5" w14:textId="134C21F9" w:rsidR="00C84D41" w:rsidRDefault="33E84FDB" w:rsidP="359B016B">
      <w:pPr>
        <w:pStyle w:val="ListParagraph"/>
        <w:numPr>
          <w:ilvl w:val="0"/>
          <w:numId w:val="2"/>
        </w:numPr>
        <w:spacing w:after="0"/>
        <w:rPr>
          <w:rFonts w:ascii="Calibri" w:eastAsia="Calibri" w:hAnsi="Calibri" w:cs="Calibri"/>
          <w:color w:val="000000" w:themeColor="text1"/>
        </w:rPr>
      </w:pPr>
      <w:r w:rsidRPr="359B016B">
        <w:rPr>
          <w:rFonts w:ascii="Calibri" w:eastAsia="Calibri" w:hAnsi="Calibri" w:cs="Calibri"/>
          <w:color w:val="000000" w:themeColor="text1"/>
        </w:rPr>
        <w:t>Better information sharing</w:t>
      </w:r>
    </w:p>
    <w:p w14:paraId="0A6F1C77" w14:textId="7A5AB946" w:rsidR="00C84D41" w:rsidRDefault="33E84FDB" w:rsidP="359B016B">
      <w:pPr>
        <w:pStyle w:val="ListParagraph"/>
        <w:numPr>
          <w:ilvl w:val="0"/>
          <w:numId w:val="2"/>
        </w:numPr>
        <w:spacing w:after="0"/>
        <w:rPr>
          <w:rFonts w:ascii="Calibri" w:eastAsia="Calibri" w:hAnsi="Calibri" w:cs="Calibri"/>
          <w:color w:val="000000" w:themeColor="text1"/>
        </w:rPr>
      </w:pPr>
      <w:r w:rsidRPr="359B016B">
        <w:rPr>
          <w:rFonts w:ascii="Calibri" w:eastAsia="Calibri" w:hAnsi="Calibri" w:cs="Calibri"/>
          <w:color w:val="000000" w:themeColor="text1"/>
        </w:rPr>
        <w:t>Early identification of vulnerable individuals</w:t>
      </w:r>
    </w:p>
    <w:p w14:paraId="0635EB09" w14:textId="6756A88E" w:rsidR="00C84D41" w:rsidRDefault="33E84FDB" w:rsidP="359B016B">
      <w:pPr>
        <w:pStyle w:val="ListParagraph"/>
        <w:numPr>
          <w:ilvl w:val="0"/>
          <w:numId w:val="2"/>
        </w:numPr>
        <w:spacing w:after="0"/>
        <w:rPr>
          <w:rFonts w:ascii="Calibri" w:eastAsia="Calibri" w:hAnsi="Calibri" w:cs="Calibri"/>
          <w:color w:val="000000" w:themeColor="text1"/>
        </w:rPr>
      </w:pPr>
      <w:r w:rsidRPr="359B016B">
        <w:rPr>
          <w:rFonts w:ascii="Calibri" w:eastAsia="Calibri" w:hAnsi="Calibri" w:cs="Calibri"/>
          <w:color w:val="000000" w:themeColor="text1"/>
        </w:rPr>
        <w:t>Coordinated responses to county lines exploitation</w:t>
      </w:r>
    </w:p>
    <w:p w14:paraId="12C26DB4" w14:textId="27D1D29C" w:rsidR="00C84D41" w:rsidRDefault="33E84FDB" w:rsidP="359B016B">
      <w:pPr>
        <w:pStyle w:val="ListParagraph"/>
        <w:numPr>
          <w:ilvl w:val="0"/>
          <w:numId w:val="2"/>
        </w:numPr>
        <w:spacing w:after="0"/>
        <w:rPr>
          <w:rFonts w:ascii="Calibri" w:eastAsia="Calibri" w:hAnsi="Calibri" w:cs="Calibri"/>
          <w:color w:val="000000" w:themeColor="text1"/>
        </w:rPr>
      </w:pPr>
      <w:r w:rsidRPr="71A1AD18">
        <w:rPr>
          <w:rFonts w:ascii="Calibri" w:eastAsia="Calibri" w:hAnsi="Calibri" w:cs="Calibri"/>
          <w:color w:val="000000" w:themeColor="text1"/>
        </w:rPr>
        <w:t>More holistic support for victims and families</w:t>
      </w:r>
    </w:p>
    <w:p w14:paraId="1F317D62" w14:textId="00C1179A" w:rsidR="71A1AD18" w:rsidRDefault="71A1AD18" w:rsidP="71A1AD18">
      <w:pPr>
        <w:pStyle w:val="ListParagraph"/>
        <w:spacing w:after="0"/>
        <w:rPr>
          <w:rFonts w:ascii="Calibri" w:eastAsia="Calibri" w:hAnsi="Calibri" w:cs="Calibri"/>
          <w:color w:val="000000" w:themeColor="text1"/>
        </w:rPr>
      </w:pPr>
    </w:p>
    <w:p w14:paraId="0B9425B7" w14:textId="49EF6ECB" w:rsidR="00C84D41" w:rsidRDefault="33E84FDB" w:rsidP="359B016B">
      <w:pPr>
        <w:rPr>
          <w:rFonts w:ascii="Calibri" w:eastAsia="Calibri" w:hAnsi="Calibri" w:cs="Calibri"/>
          <w:color w:val="000000" w:themeColor="text1"/>
        </w:rPr>
      </w:pPr>
      <w:r w:rsidRPr="359B016B">
        <w:rPr>
          <w:rFonts w:ascii="Calibri" w:eastAsia="Calibri" w:hAnsi="Calibri" w:cs="Calibri"/>
          <w:color w:val="000000" w:themeColor="text1"/>
        </w:rPr>
        <w:t>In Gwent, multi-agency partnerships have strengthened responses to youth violence and county lines activity. However, challenges remain, including resource constraints, inconsistent data sharing, and variation in local service capacity.</w:t>
      </w:r>
    </w:p>
    <w:p w14:paraId="29686C85" w14:textId="6B578B12" w:rsidR="00C84D41" w:rsidRDefault="3608BF07" w:rsidP="6F8A0167">
      <w:pPr>
        <w:rPr>
          <w:rFonts w:ascii="Times New Roman" w:eastAsia="Times New Roman" w:hAnsi="Times New Roman" w:cs="Times New Roman"/>
          <w:sz w:val="24"/>
          <w:szCs w:val="24"/>
          <w:lang w:eastAsia="en-GB"/>
        </w:rPr>
      </w:pPr>
      <w:r>
        <w:t xml:space="preserve">See </w:t>
      </w:r>
      <w:r w:rsidRPr="359B016B">
        <w:rPr>
          <w:rFonts w:eastAsiaTheme="minorEastAsia"/>
          <w:sz w:val="20"/>
          <w:szCs w:val="20"/>
          <w:lang w:eastAsia="en-GB"/>
        </w:rPr>
        <w:t>Appendix E5: Multi-Agency Partners Involved in Knife Crime Response in Gwent</w:t>
      </w:r>
    </w:p>
    <w:p w14:paraId="07459315" w14:textId="77777777" w:rsidR="00C84D41" w:rsidRDefault="00C84D41" w:rsidP="00C84D41"/>
    <w:p w14:paraId="44BC0E54" w14:textId="77777777" w:rsidR="00C84D41" w:rsidRDefault="00C84D41" w:rsidP="00C84D41">
      <w:r>
        <w:t>7.6 Technology and Intelligence-Led Policing</w:t>
      </w:r>
    </w:p>
    <w:p w14:paraId="21B4F4A7" w14:textId="74F1C3AC" w:rsidR="00C84D41" w:rsidRDefault="5D459A08" w:rsidP="73B96FFC">
      <w:pPr>
        <w:rPr>
          <w:rFonts w:ascii="Times New Roman" w:eastAsia="Times New Roman" w:hAnsi="Times New Roman" w:cs="Times New Roman"/>
          <w:sz w:val="24"/>
          <w:szCs w:val="24"/>
          <w:lang w:eastAsia="en-GB"/>
        </w:rPr>
      </w:pPr>
      <w:r>
        <w:t>The use of data and technology to guide operational decision-making has become an increasingly important feature of modern policing, enabling forces to deploy their resources more efficiently and to respond more quickly and effectively to emerging threats (College of Policing, 2021). Tools such as crime mapping software, CCTV networks, and social media monitoring platforms allow police to identify patterns in offending, anticipate where and when violence is most likely to occur, and target their interventions accordingly (Home Office, 2022). Within Gwent, intelligence-led policing plays an important supporting role in both the force's hotspot policing operations and its efforts to disrupt county lines drug networks, providing the analytical foundation that allows scarce resources to be directed to where they are most needed and most likely to have an impact (Gwent Police, 2023).</w:t>
      </w:r>
      <w:r w:rsidR="700A5F50" w:rsidRPr="73B96FFC">
        <w:rPr>
          <w:rFonts w:ascii="Times New Roman" w:eastAsia="Times New Roman" w:hAnsi="Times New Roman" w:cs="Times New Roman"/>
          <w:b/>
          <w:bCs/>
          <w:sz w:val="24"/>
          <w:szCs w:val="24"/>
          <w:lang w:eastAsia="en-GB"/>
        </w:rPr>
        <w:t xml:space="preserve"> </w:t>
      </w:r>
    </w:p>
    <w:p w14:paraId="39A47915" w14:textId="171498BD" w:rsidR="00C84D41" w:rsidRDefault="700A5F50" w:rsidP="73B96FFC">
      <w:pPr>
        <w:rPr>
          <w:rFonts w:ascii="Times New Roman" w:eastAsia="Times New Roman" w:hAnsi="Times New Roman" w:cs="Times New Roman"/>
          <w:sz w:val="24"/>
          <w:szCs w:val="24"/>
          <w:lang w:eastAsia="en-GB"/>
        </w:rPr>
      </w:pPr>
      <w:r w:rsidRPr="73B96FFC">
        <w:rPr>
          <w:rFonts w:eastAsiaTheme="minorEastAsia"/>
          <w:sz w:val="18"/>
          <w:szCs w:val="18"/>
          <w:lang w:eastAsia="en-GB"/>
        </w:rPr>
        <w:t>See</w:t>
      </w:r>
      <w:r w:rsidRPr="73B96FFC">
        <w:rPr>
          <w:rFonts w:ascii="Times New Roman" w:eastAsia="Times New Roman" w:hAnsi="Times New Roman" w:cs="Times New Roman"/>
          <w:b/>
          <w:bCs/>
          <w:sz w:val="24"/>
          <w:szCs w:val="24"/>
          <w:lang w:eastAsia="en-GB"/>
        </w:rPr>
        <w:t xml:space="preserve"> </w:t>
      </w:r>
      <w:r w:rsidRPr="73B96FFC">
        <w:rPr>
          <w:rFonts w:eastAsiaTheme="minorEastAsia"/>
          <w:sz w:val="18"/>
          <w:szCs w:val="18"/>
          <w:lang w:eastAsia="en-GB"/>
        </w:rPr>
        <w:t>Appendix E1: Summary of Key Policing Strategies and Their Evaluated Effectiveness</w:t>
      </w:r>
    </w:p>
    <w:p w14:paraId="6537F28F" w14:textId="77777777" w:rsidR="00C84D41" w:rsidRDefault="00C84D41" w:rsidP="00C84D41"/>
    <w:p w14:paraId="4E2E8CDE" w14:textId="77777777" w:rsidR="00C84D41" w:rsidRDefault="00C84D41" w:rsidP="00C84D41">
      <w:r>
        <w:t>7.7 Challenges Facing Police Forces in Wales</w:t>
      </w:r>
    </w:p>
    <w:p w14:paraId="29F44828" w14:textId="4FC09846" w:rsidR="00C84D41" w:rsidRDefault="2DF9D21D" w:rsidP="00C84D41">
      <w:r w:rsidRPr="359B016B">
        <w:rPr>
          <w:rFonts w:ascii="Calibri" w:eastAsia="Calibri" w:hAnsi="Calibri" w:cs="Calibri"/>
        </w:rPr>
        <w:lastRenderedPageBreak/>
        <w:t>Despite the range of strategies developed in recent years, police forces across Wales still face significant structural challenges that limit what can be achieved in practice (Home Office, 2022). Resource constraints remain a major issue, with smaller forces like Gwent policing large and diverse areas with limited officer numbers, placing pressure on both proactive and reactive work. Rural geography adds further difficulty, making it harder to detect emerging criminal patterns and respond quickly compared with more densely populated areas (ONS, 2023).</w:t>
      </w:r>
    </w:p>
    <w:p w14:paraId="4E2F8D56" w14:textId="3DBA5404" w:rsidR="00C84D41" w:rsidRDefault="2DF9D21D" w:rsidP="00C84D41">
      <w:r w:rsidRPr="359B016B">
        <w:rPr>
          <w:rFonts w:ascii="Calibri" w:eastAsia="Calibri" w:hAnsi="Calibri" w:cs="Calibri"/>
        </w:rPr>
        <w:t>Cuts to youth services present another serious challenge, weakening prevention efforts by reducing access to support, activities, and early intervention programmes proven to keep young people away from crime (Institute for Fiscal Studies, 2019). At the same time, county lines networks responsible for much of the knife crime in areas like Gwent are highly adaptive and routinely rebuild operations after enforcement action (National Crime Agency, 2019).</w:t>
      </w:r>
    </w:p>
    <w:p w14:paraId="3AB194CB" w14:textId="004645A5" w:rsidR="00C84D41" w:rsidRDefault="2DF9D21D" w:rsidP="00C84D41">
      <w:r w:rsidRPr="359B016B">
        <w:rPr>
          <w:rFonts w:ascii="Calibri" w:eastAsia="Calibri" w:hAnsi="Calibri" w:cs="Calibri"/>
        </w:rPr>
        <w:t>Finally, maintaining community trust remains an ongoing concern, particularly around tactics such as stop</w:t>
      </w:r>
      <w:r w:rsidR="00C84D41">
        <w:noBreakHyphen/>
      </w:r>
      <w:r w:rsidRPr="359B016B">
        <w:rPr>
          <w:rFonts w:ascii="Calibri" w:eastAsia="Calibri" w:hAnsi="Calibri" w:cs="Calibri"/>
        </w:rPr>
        <w:t>and</w:t>
      </w:r>
      <w:r w:rsidR="00C84D41">
        <w:noBreakHyphen/>
      </w:r>
      <w:r w:rsidRPr="359B016B">
        <w:rPr>
          <w:rFonts w:ascii="Calibri" w:eastAsia="Calibri" w:hAnsi="Calibri" w:cs="Calibri"/>
        </w:rPr>
        <w:t>search, which can generate tension among young people and reduce willingness to share information with police (Bradford, 2017).</w:t>
      </w:r>
    </w:p>
    <w:p w14:paraId="44AA334E" w14:textId="5F0DA87E" w:rsidR="00C84D41" w:rsidRDefault="00C84D41" w:rsidP="00C84D41"/>
    <w:p w14:paraId="6DFB9E20" w14:textId="77777777" w:rsidR="00C84D41" w:rsidRDefault="00C84D41" w:rsidP="00C84D41"/>
    <w:p w14:paraId="57FB7D87" w14:textId="77777777" w:rsidR="00C84D41" w:rsidRDefault="00C84D41" w:rsidP="00C84D41">
      <w:r>
        <w:t>7.8 Conclusion</w:t>
      </w:r>
    </w:p>
    <w:p w14:paraId="6D7A8F40" w14:textId="18918F09" w:rsidR="00C84D41" w:rsidRDefault="5D459A08" w:rsidP="00C84D41">
      <w:r>
        <w:t xml:space="preserve">Police forces across England, Wales, and specifically within the Gwent force area employ a broad and increasingly sophisticated combination of enforcement, prevention, and partnership-based strategies in their efforts to tackle knife crime and reduce the harm it causes to individuals and communities (College of Policing, 2021). Enforcement methods such as stop-and-search and hotspot policing undoubtedly have a role to play and can produce meaningful results in the short term, but the evidence is clear that they are insufficient on their own to address a problem whose roots run as deep as those of knife crime (Braga et al., 2019). Achieving sustained and lasting reductions in knife crime will ultimately depend on a genuine, long-term commitment to prevention, early intervention, and strong and well-resourced collaboration between </w:t>
      </w:r>
      <w:r w:rsidR="0B2C6807">
        <w:t>all</w:t>
      </w:r>
      <w:r>
        <w:t xml:space="preserve"> the agencies and organisations that have a role to play in addressing the underlying causes of violence (HM Government, 2018). In Gwent, where the scale and pace of the increase in knife crime </w:t>
      </w:r>
      <w:r w:rsidR="1E98772F">
        <w:t>have</w:t>
      </w:r>
      <w:r>
        <w:t xml:space="preserve"> been among the most severe anywhere in the United Kingdom, the need for continued investment, innovation, and ambition in the response is more pressing than ever.</w:t>
      </w:r>
    </w:p>
    <w:p w14:paraId="7ABAE766" w14:textId="77777777" w:rsidR="00C84D41" w:rsidRDefault="00C84D41" w:rsidP="00C84D41">
      <w:r>
        <w:t>CHAPTER 8: EVALUATION OF POLICE EFFECTIVENESS</w:t>
      </w:r>
    </w:p>
    <w:p w14:paraId="3C5933FD" w14:textId="77777777" w:rsidR="00C84D41" w:rsidRDefault="00C84D41" w:rsidP="00C84D41">
      <w:r>
        <w:t>8.1 Introduction</w:t>
      </w:r>
    </w:p>
    <w:p w14:paraId="100EDAAF" w14:textId="6C1CE691" w:rsidR="00C84D41" w:rsidRDefault="00C84D41" w:rsidP="00C84D41">
      <w:r>
        <w:t xml:space="preserve">This chapter sets out to evaluate how effective the range of police mitigation strategies described in the preceding chapter have been in practice, examining their real-world impact on knife crime across England, Wales, and specifically within the Gwent Police force area (ONS, 2023). While Chapter 7 was concerned primarily with describing and explaining the strategies themselves, this chapter moves beyond description to assess the outcomes they have produced, drawing on available data, academic research, and regional comparisons to build as complete and honest a picture as possible of what has and has not worked (College of Policing, 2021). In doing so, it considers both the short-term and longer-term impacts of the approaches that have been </w:t>
      </w:r>
      <w:r w:rsidR="27E4F0F4">
        <w:t>adopted and</w:t>
      </w:r>
      <w:r>
        <w:t xml:space="preserve"> gives appropriate attention to the limitations of current strategies, the unintended consequences that some have produced, and the continuing and urgent need for sustained multi-agency collaboration and long-term investment in prevention if meaningful progress is to be achieved (HM Government, 2018).</w:t>
      </w:r>
    </w:p>
    <w:p w14:paraId="70DF9E56" w14:textId="77777777" w:rsidR="00C84D41" w:rsidRDefault="00C84D41" w:rsidP="00C84D41"/>
    <w:p w14:paraId="2C03B422" w14:textId="77777777" w:rsidR="00C84D41" w:rsidRDefault="00C84D41" w:rsidP="00C84D41">
      <w:r>
        <w:t>8.2 National Evaluation of Police Effectiveness</w:t>
      </w:r>
    </w:p>
    <w:p w14:paraId="6392E6B0" w14:textId="29D136F3" w:rsidR="00C84D41" w:rsidRDefault="5D459A08" w:rsidP="00C84D41">
      <w:r>
        <w:t xml:space="preserve">At the national level, there is evidence to suggest that targeted police operations, hotspot policing, and the use of stop-and-search have contributed to some measurable short-term reductions in knife crime across England and Wales, offering a degree of cautious encouragement to those responsible for developing and delivering the response to this challenge (ONS, 2025; College of Policing, 2021). Between 2019/20 and 2024/25, recorded knife crime fell by 3.8%, while knife-enabled homicides dropped by 14% in the year to September </w:t>
      </w:r>
      <w:r w:rsidR="4F221680">
        <w:t>2024 a</w:t>
      </w:r>
      <w:r>
        <w:t xml:space="preserve"> particularly significant reduction given that homicide represents the most severe and irreversible form of harm associated with knife crime (ONS, 2025). During the same period, hospital admissions for assaults involving sharp objects decreased by 10% in 2025, providing an important additional indicator of reducing harm that is largely independent of police recording practices (NHS Digital, 2025). Taken together, these figures provide genuine evidence that well-targeted police interventions </w:t>
      </w:r>
      <w:r w:rsidR="7C7AC75E">
        <w:t>can reduce</w:t>
      </w:r>
      <w:r>
        <w:t xml:space="preserve"> the most serious forms of knife-related violence, at least over shorter time horizons.</w:t>
      </w:r>
    </w:p>
    <w:p w14:paraId="66F1C6B4" w14:textId="152C4284" w:rsidR="00C84D41" w:rsidRDefault="5D459A08" w:rsidP="00C84D41">
      <w:r>
        <w:t xml:space="preserve">However, it would be misleading and potentially dangerous to allow these relatively modest recent improvements to obscure the much more troubling long-term picture that the data reveals (ONS, 2023). Knife crime across England and Wales remains substantially higher than it was in 2012, and the trajectory of the past decade </w:t>
      </w:r>
      <w:r w:rsidR="62C2028E">
        <w:t>is</w:t>
      </w:r>
      <w:r>
        <w:t xml:space="preserve"> one of significant and sustained growth rather than decline. Possession offences continue to rise, pointing to an ongoing and possibly deepening culture of weapon carrying in some communities, and youth involvement in knife crime is increasing rather than </w:t>
      </w:r>
      <w:r w:rsidR="282A5C7C">
        <w:t>diminishing a</w:t>
      </w:r>
      <w:r>
        <w:t xml:space="preserve"> trend that carries serious implications for the future if it is not addressed effectively and at scale (ONS, 2023). The honest conclusion to be drawn from the national picture is therefore that policing produces measurable and sometimes significant benefits in specific contexts and over shorter time periods, but that it has not yet come close to reversing the overall upward trajectory that has characterised knife crime over the past decade.</w:t>
      </w:r>
    </w:p>
    <w:p w14:paraId="44E871BC" w14:textId="77777777" w:rsidR="00C84D41" w:rsidRDefault="00C84D41" w:rsidP="00C84D41"/>
    <w:p w14:paraId="1917C4B8" w14:textId="627E1DB2" w:rsidR="71A1AD18" w:rsidRDefault="71A1AD18"/>
    <w:p w14:paraId="0422DC0D" w14:textId="77777777" w:rsidR="00C84D41" w:rsidRDefault="00C84D41" w:rsidP="00C84D41">
      <w:r>
        <w:t>8.3 Effectiveness of Specific Policing Strategies</w:t>
      </w:r>
    </w:p>
    <w:p w14:paraId="0AC6C82D" w14:textId="77777777" w:rsidR="00C84D41" w:rsidRDefault="00C84D41" w:rsidP="00C84D41">
      <w:r>
        <w:t>Stop-and-Search</w:t>
      </w:r>
    </w:p>
    <w:p w14:paraId="7CF35343" w14:textId="7F55BBB4" w:rsidR="00C84D41" w:rsidRDefault="5D459A08" w:rsidP="00C84D41">
      <w:r>
        <w:t>When deployed in a targeted, intelligence-led, and proportionate manner, stop-and-search can produce temporary reductions in weapon carrying and serves as a useful complement to hotspot policing operations in areas where knife crime is most concentrated (College of Policing, 2021). However, the broader evidence base makes clear that it does not produce significant reductions in knife crime over the longer term, and that its use carries a substantial and well-documented risk of damaging the trust and confidence that communities particularly young people place in the police, with potentially serious consequences for cooperation and information sharing (Bradford, 2017). Across Wales, including within the Gwent force area, stop-and-search tends to be deployed more sparingly and selectively than in some English forces, an approach that appears to have helped preserve community relations but which also limits the immediate deterrent effect that more intensive use might theoretically achieve (Home Office, 2022).</w:t>
      </w:r>
    </w:p>
    <w:p w14:paraId="138200AF" w14:textId="60715EC4" w:rsidR="2FAB3CDC" w:rsidRDefault="2FAB3CDC" w:rsidP="71A1AD18">
      <w:pPr>
        <w:rPr>
          <w:rFonts w:ascii="Calibri" w:eastAsia="Calibri" w:hAnsi="Calibri" w:cs="Calibri"/>
          <w:sz w:val="20"/>
          <w:szCs w:val="20"/>
          <w:lang w:eastAsia="en-GB"/>
        </w:rPr>
      </w:pPr>
      <w:r w:rsidRPr="71A1AD18">
        <w:rPr>
          <w:rFonts w:ascii="Calibri" w:eastAsia="Calibri" w:hAnsi="Calibri" w:cs="Calibri"/>
          <w:sz w:val="20"/>
          <w:szCs w:val="20"/>
          <w:lang w:eastAsia="en-GB"/>
        </w:rPr>
        <w:t>See Appendix E2: Stop-and-Search Use in Welsh Police Force Areas (Selected Years)</w:t>
      </w:r>
    </w:p>
    <w:p w14:paraId="111DA104" w14:textId="77777777" w:rsidR="00C84D41" w:rsidRDefault="00C84D41" w:rsidP="00C84D41">
      <w:r>
        <w:t>Knife Surrender Schemes</w:t>
      </w:r>
    </w:p>
    <w:p w14:paraId="5694EDB4" w14:textId="2AF7E145" w:rsidR="00C84D41" w:rsidRDefault="00C84D41" w:rsidP="00C84D41">
      <w:r>
        <w:lastRenderedPageBreak/>
        <w:t xml:space="preserve">Knife amnesty bins and organised surrender campaigns serve a useful function in raising public awareness of the dangers of knife carrying and can remove a meaningful number of weapons from circulation over the course of a campaign (Home Office, 2022). Their fundamental limitation, however, is that their impact on the individuals most likely to use knives in serious </w:t>
      </w:r>
      <w:r w:rsidR="3F34032A">
        <w:t>violence habitual</w:t>
      </w:r>
      <w:r>
        <w:t xml:space="preserve"> carriers, those involved in gang activity, and individuals embedded in criminal </w:t>
      </w:r>
      <w:r w:rsidR="4C563B12">
        <w:t>networks is</w:t>
      </w:r>
      <w:r>
        <w:t xml:space="preserve"> minimal, since these are precisely the people least likely to voluntarily surrender their weapons (College of Policing, 2021). In Gwent, Operation Sceptre campaigns have succeeded in collecting hundreds of knives over recent years, which represents a genuine if modest achievement, yet the continued and indeed accelerating rise in overall knife crime figures in the area makes clear that surrender schemes, while valuable as a tool for community engagement and awareness raising, are symbolic in their overall impact rather than transformative (Gwent Police, 2023).</w:t>
      </w:r>
    </w:p>
    <w:p w14:paraId="7A3BC146" w14:textId="22A1537F" w:rsidR="1036E73C" w:rsidRDefault="1036E73C" w:rsidP="71A1AD18">
      <w:pPr>
        <w:rPr>
          <w:rFonts w:eastAsiaTheme="minorEastAsia"/>
          <w:sz w:val="20"/>
          <w:szCs w:val="20"/>
          <w:lang w:eastAsia="en-GB"/>
        </w:rPr>
      </w:pPr>
      <w:r w:rsidRPr="71A1AD18">
        <w:rPr>
          <w:rFonts w:eastAsiaTheme="minorEastAsia"/>
          <w:sz w:val="20"/>
          <w:szCs w:val="20"/>
          <w:lang w:eastAsia="en-GB"/>
        </w:rPr>
        <w:t xml:space="preserve"> See Appendix E3: Operation Sceptre — Knife Surrender Scheme Results in Gwent (Selected Campaigns)</w:t>
      </w:r>
    </w:p>
    <w:p w14:paraId="15F1686E" w14:textId="28F371B8" w:rsidR="71A1AD18" w:rsidRDefault="71A1AD18"/>
    <w:p w14:paraId="3CB237AE" w14:textId="0547F8E6" w:rsidR="71A1AD18" w:rsidRDefault="71A1AD18"/>
    <w:p w14:paraId="70EB4E9C" w14:textId="77777777" w:rsidR="00C84D41" w:rsidRDefault="00C84D41" w:rsidP="00C84D41">
      <w:r>
        <w:t>Hotspot Policing</w:t>
      </w:r>
    </w:p>
    <w:p w14:paraId="48491021" w14:textId="1015F5C7" w:rsidR="00C84D41" w:rsidRDefault="00C84D41" w:rsidP="00C84D41">
      <w:r>
        <w:t xml:space="preserve">Hotspot </w:t>
      </w:r>
      <w:r w:rsidR="4B3C05CE">
        <w:t>policing the</w:t>
      </w:r>
      <w:r>
        <w:t xml:space="preserve"> concentration of police resources and patrols in those specific locations where knife crime is most heavily </w:t>
      </w:r>
      <w:r w:rsidR="3CCE0672">
        <w:t>concentrated has</w:t>
      </w:r>
      <w:r>
        <w:t xml:space="preserve"> one of the strongest evidence bases of any enforcement strategy currently deployed against knife crime, with a substantial body of research consistently demonstrating its capacity to reduce violent crime in targeted areas (Braga et al., 2019). Within Gwent, the force's application of hotspot policing in Newport and other identified high-risk neighbourhoods has produced measurable reductions in incidents in the areas directly targeted, representing one of the more encouraging elements of the local enforcement response. The critical caveat, however, is that these reductions tend to be temporary in nature, lasting only for as long as the enhanced patrol presence is maintained, and that sustaining the intensive resourcing required over a prolonged period presents a significant practical and financial challenge for a force of Gwent's size.</w:t>
      </w:r>
    </w:p>
    <w:p w14:paraId="5954E28F" w14:textId="77777777" w:rsidR="00C84D41" w:rsidRDefault="00C84D41" w:rsidP="00C84D41">
      <w:r>
        <w:t>County Lines Disruption</w:t>
      </w:r>
    </w:p>
    <w:p w14:paraId="07710D2D" w14:textId="7A9064A7" w:rsidR="00C84D41" w:rsidRDefault="0DFD7F9F" w:rsidP="00C84D41">
      <w:r w:rsidRPr="71A1AD18">
        <w:rPr>
          <w:rFonts w:ascii="Calibri" w:eastAsia="Calibri" w:hAnsi="Calibri" w:cs="Calibri"/>
        </w:rPr>
        <w:t xml:space="preserve">Targeted operations against county lines networks have achieved real results, including arrests, weapon and drug seizures, and the identification and safeguarding of exploited young people (National Crime Agency, 2019). These are significant successes. However, county lines groups remain highly adaptive and often </w:t>
      </w:r>
      <w:r w:rsidR="274F10F4" w:rsidRPr="71A1AD18">
        <w:rPr>
          <w:rFonts w:ascii="Calibri" w:eastAsia="Calibri" w:hAnsi="Calibri" w:cs="Calibri"/>
        </w:rPr>
        <w:t>re-establish</w:t>
      </w:r>
      <w:r w:rsidRPr="71A1AD18">
        <w:rPr>
          <w:rFonts w:ascii="Calibri" w:eastAsia="Calibri" w:hAnsi="Calibri" w:cs="Calibri"/>
        </w:rPr>
        <w:t xml:space="preserve"> themselves quickly after enforcement action (Harding, 2020). Disruption can also trigger further violence as rival groups compete to fill the resulting power vacuum. Most importantly, these operations do not address the underlying demand for drugs that sustains the networks.</w:t>
      </w:r>
    </w:p>
    <w:p w14:paraId="0AF938AD" w14:textId="1FC3208B" w:rsidR="00C84D41" w:rsidRDefault="0DFD7F9F" w:rsidP="00C84D41">
      <w:r w:rsidRPr="71A1AD18">
        <w:rPr>
          <w:rFonts w:ascii="Calibri" w:eastAsia="Calibri" w:hAnsi="Calibri" w:cs="Calibri"/>
        </w:rPr>
        <w:t xml:space="preserve">In Gwent, county lines disruption is a vital part of the response, but enforcement alone cannot deliver </w:t>
      </w:r>
      <w:r w:rsidR="44624FBF" w:rsidRPr="71A1AD18">
        <w:rPr>
          <w:rFonts w:ascii="Calibri" w:eastAsia="Calibri" w:hAnsi="Calibri" w:cs="Calibri"/>
        </w:rPr>
        <w:t>long-term</w:t>
      </w:r>
      <w:r w:rsidRPr="71A1AD18">
        <w:rPr>
          <w:rFonts w:ascii="Calibri" w:eastAsia="Calibri" w:hAnsi="Calibri" w:cs="Calibri"/>
        </w:rPr>
        <w:t xml:space="preserve"> reductions in knife crime.</w:t>
      </w:r>
    </w:p>
    <w:p w14:paraId="457A19DA" w14:textId="203C56D2" w:rsidR="00C84D41" w:rsidRDefault="00C84D41" w:rsidP="00C84D41"/>
    <w:p w14:paraId="2895A36B" w14:textId="77777777" w:rsidR="00C84D41" w:rsidRDefault="00C84D41" w:rsidP="00C84D41">
      <w:r>
        <w:t>Youth Diversion and Early Intervention</w:t>
      </w:r>
    </w:p>
    <w:p w14:paraId="66C4C621" w14:textId="51C74A37" w:rsidR="00C84D41" w:rsidRDefault="194E603E" w:rsidP="00C84D41">
      <w:r w:rsidRPr="71A1AD18">
        <w:rPr>
          <w:rFonts w:ascii="Calibri" w:eastAsia="Calibri" w:hAnsi="Calibri" w:cs="Calibri"/>
        </w:rPr>
        <w:t xml:space="preserve">Youth diversion programmes and early intervention approaches have the strongest evidence base for reducing youth involvement in violence, offering mentoring, structured activities, and wraparound support that can meaningfully change young people’s trajectories (Public Health </w:t>
      </w:r>
      <w:r w:rsidRPr="71A1AD18">
        <w:rPr>
          <w:rFonts w:ascii="Calibri" w:eastAsia="Calibri" w:hAnsi="Calibri" w:cs="Calibri"/>
        </w:rPr>
        <w:lastRenderedPageBreak/>
        <w:t>England, 2019). Their success, however, depends on conditions that are not consistently in place most notably stable long</w:t>
      </w:r>
      <w:r w:rsidR="00C84D41">
        <w:noBreakHyphen/>
      </w:r>
      <w:r w:rsidRPr="71A1AD18">
        <w:rPr>
          <w:rFonts w:ascii="Calibri" w:eastAsia="Calibri" w:hAnsi="Calibri" w:cs="Calibri"/>
        </w:rPr>
        <w:t xml:space="preserve">term funding, skilled staff, and </w:t>
      </w:r>
      <w:r w:rsidR="1646F8E1" w:rsidRPr="71A1AD18">
        <w:rPr>
          <w:rFonts w:ascii="Calibri" w:eastAsia="Calibri" w:hAnsi="Calibri" w:cs="Calibri"/>
        </w:rPr>
        <w:t>well-coordinated</w:t>
      </w:r>
      <w:r w:rsidRPr="71A1AD18">
        <w:rPr>
          <w:rFonts w:ascii="Calibri" w:eastAsia="Calibri" w:hAnsi="Calibri" w:cs="Calibri"/>
        </w:rPr>
        <w:t xml:space="preserve"> multi</w:t>
      </w:r>
      <w:r w:rsidR="00C84D41">
        <w:noBreakHyphen/>
      </w:r>
      <w:r w:rsidRPr="71A1AD18">
        <w:rPr>
          <w:rFonts w:ascii="Calibri" w:eastAsia="Calibri" w:hAnsi="Calibri" w:cs="Calibri"/>
        </w:rPr>
        <w:t>agency delivery.</w:t>
      </w:r>
    </w:p>
    <w:p w14:paraId="6A3EA4ED" w14:textId="59E61A9A" w:rsidR="194E603E" w:rsidRDefault="194E603E" w:rsidP="71A1AD18">
      <w:pPr>
        <w:rPr>
          <w:rFonts w:eastAsiaTheme="minorEastAsia"/>
          <w:sz w:val="20"/>
          <w:szCs w:val="20"/>
          <w:lang w:eastAsia="en-GB"/>
        </w:rPr>
      </w:pPr>
      <w:r w:rsidRPr="71A1AD18">
        <w:rPr>
          <w:rFonts w:ascii="Calibri" w:eastAsia="Calibri" w:hAnsi="Calibri" w:cs="Calibri"/>
        </w:rPr>
        <w:t xml:space="preserve">In Wales, significant cuts to youth services over the past decade have weakened the capacity to deliver the intensive support these approaches require (Institute for Fiscal Studies, 2019). Despite these constraints, youth diversion and early intervention remain the most promising </w:t>
      </w:r>
      <w:r w:rsidR="3E8291FC" w:rsidRPr="71A1AD18">
        <w:rPr>
          <w:rFonts w:ascii="Calibri" w:eastAsia="Calibri" w:hAnsi="Calibri" w:cs="Calibri"/>
        </w:rPr>
        <w:t>long-term</w:t>
      </w:r>
      <w:r w:rsidRPr="71A1AD18">
        <w:rPr>
          <w:rFonts w:ascii="Calibri" w:eastAsia="Calibri" w:hAnsi="Calibri" w:cs="Calibri"/>
        </w:rPr>
        <w:t xml:space="preserve"> strategies for addressing the root causes of youth knife crime, and the case for sustained investment in them is strong.</w:t>
      </w:r>
    </w:p>
    <w:p w14:paraId="0431ED99" w14:textId="5D5A21A9" w:rsidR="7C2EFF99" w:rsidRDefault="7C2EFF99" w:rsidP="71A1AD18">
      <w:pPr>
        <w:rPr>
          <w:rFonts w:eastAsiaTheme="minorEastAsia"/>
          <w:sz w:val="20"/>
          <w:szCs w:val="20"/>
          <w:lang w:eastAsia="en-GB"/>
        </w:rPr>
      </w:pPr>
      <w:r w:rsidRPr="71A1AD18">
        <w:rPr>
          <w:rFonts w:eastAsiaTheme="minorEastAsia"/>
          <w:sz w:val="20"/>
          <w:szCs w:val="20"/>
          <w:lang w:eastAsia="en-GB"/>
        </w:rPr>
        <w:t>See Appendix E4: Youth Diversion Programme Participation in Gwent (2019–2023)</w:t>
      </w:r>
    </w:p>
    <w:p w14:paraId="60EA10EE" w14:textId="0D4B6966" w:rsidR="71A1AD18" w:rsidRDefault="71A1AD18" w:rsidP="71A1AD18">
      <w:pPr>
        <w:rPr>
          <w:rFonts w:ascii="Calibri" w:eastAsia="Calibri" w:hAnsi="Calibri" w:cs="Calibri"/>
        </w:rPr>
      </w:pPr>
    </w:p>
    <w:p w14:paraId="3A94AB7E" w14:textId="77777777" w:rsidR="00BC4283" w:rsidRDefault="00BC4283" w:rsidP="71A1AD18"/>
    <w:p w14:paraId="46D475D4" w14:textId="71ADFB75" w:rsidR="00C84D41" w:rsidRDefault="00C84D41" w:rsidP="71A1AD18">
      <w:r>
        <w:t>Public Health Approaches</w:t>
      </w:r>
    </w:p>
    <w:p w14:paraId="6E04684B" w14:textId="46A27F56" w:rsidR="6568FE04" w:rsidRDefault="6568FE04">
      <w:r w:rsidRPr="71A1AD18">
        <w:rPr>
          <w:rFonts w:ascii="Calibri" w:eastAsia="Calibri" w:hAnsi="Calibri" w:cs="Calibri"/>
        </w:rPr>
        <w:t>Prevention models inspired by the Scottish Violence Reduction Unit</w:t>
      </w:r>
      <w:r w:rsidR="1C9997E0" w:rsidRPr="71A1AD18">
        <w:rPr>
          <w:rFonts w:ascii="Calibri" w:eastAsia="Calibri" w:hAnsi="Calibri" w:cs="Calibri"/>
        </w:rPr>
        <w:t xml:space="preserve"> </w:t>
      </w:r>
      <w:r w:rsidRPr="71A1AD18">
        <w:rPr>
          <w:rFonts w:ascii="Calibri" w:eastAsia="Calibri" w:hAnsi="Calibri" w:cs="Calibri"/>
        </w:rPr>
        <w:t xml:space="preserve">prioritising </w:t>
      </w:r>
      <w:r w:rsidR="6EBCA8E1" w:rsidRPr="71A1AD18">
        <w:rPr>
          <w:rFonts w:ascii="Calibri" w:eastAsia="Calibri" w:hAnsi="Calibri" w:cs="Calibri"/>
        </w:rPr>
        <w:t>long-term</w:t>
      </w:r>
      <w:r w:rsidRPr="71A1AD18">
        <w:rPr>
          <w:rFonts w:ascii="Calibri" w:eastAsia="Calibri" w:hAnsi="Calibri" w:cs="Calibri"/>
        </w:rPr>
        <w:t xml:space="preserve"> prevention, trauma</w:t>
      </w:r>
      <w:r>
        <w:noBreakHyphen/>
      </w:r>
      <w:r w:rsidRPr="71A1AD18">
        <w:rPr>
          <w:rFonts w:ascii="Calibri" w:eastAsia="Calibri" w:hAnsi="Calibri" w:cs="Calibri"/>
        </w:rPr>
        <w:t>informed practice, multi</w:t>
      </w:r>
      <w:r>
        <w:noBreakHyphen/>
      </w:r>
      <w:r w:rsidRPr="71A1AD18">
        <w:rPr>
          <w:rFonts w:ascii="Calibri" w:eastAsia="Calibri" w:hAnsi="Calibri" w:cs="Calibri"/>
        </w:rPr>
        <w:t>agency collaboration, and action on the social conditions that drive violence</w:t>
      </w:r>
      <w:r w:rsidR="3E86C685" w:rsidRPr="71A1AD18">
        <w:rPr>
          <w:rFonts w:ascii="Calibri" w:eastAsia="Calibri" w:hAnsi="Calibri" w:cs="Calibri"/>
        </w:rPr>
        <w:t xml:space="preserve"> </w:t>
      </w:r>
      <w:r w:rsidRPr="71A1AD18">
        <w:rPr>
          <w:rFonts w:ascii="Calibri" w:eastAsia="Calibri" w:hAnsi="Calibri" w:cs="Calibri"/>
        </w:rPr>
        <w:t>are widely regarded as the most promising framework for tackling knife crime at its roots (Scottish Government, 2018). In Wales, elements of this public health approach are increasingly being adopted, reflecting growing recognition of the limits of enforcement</w:t>
      </w:r>
      <w:r>
        <w:noBreakHyphen/>
      </w:r>
      <w:r w:rsidRPr="71A1AD18">
        <w:rPr>
          <w:rFonts w:ascii="Calibri" w:eastAsia="Calibri" w:hAnsi="Calibri" w:cs="Calibri"/>
        </w:rPr>
        <w:t>led responses (Public Health England, 2019).</w:t>
      </w:r>
      <w:r w:rsidR="6B8C9B53" w:rsidRPr="71A1AD18">
        <w:rPr>
          <w:rFonts w:ascii="Calibri" w:eastAsia="Calibri" w:hAnsi="Calibri" w:cs="Calibri"/>
        </w:rPr>
        <w:t xml:space="preserve"> </w:t>
      </w:r>
      <w:r w:rsidR="6B8C9B53" w:rsidRPr="71A1AD18">
        <w:rPr>
          <w:rFonts w:eastAsiaTheme="minorEastAsia"/>
          <w:sz w:val="20"/>
          <w:szCs w:val="20"/>
          <w:lang w:eastAsia="en-GB"/>
        </w:rPr>
        <w:t xml:space="preserve">See Appendix E5: Multi-Agency Partners Involved in Knife Crime Response in Gwent. </w:t>
      </w:r>
      <w:r w:rsidRPr="71A1AD18">
        <w:rPr>
          <w:rFonts w:ascii="Calibri" w:eastAsia="Calibri" w:hAnsi="Calibri" w:cs="Calibri"/>
        </w:rPr>
        <w:t xml:space="preserve">However, implementation remains uneven and </w:t>
      </w:r>
      <w:r w:rsidR="003297D3" w:rsidRPr="71A1AD18">
        <w:rPr>
          <w:rFonts w:ascii="Calibri" w:eastAsia="Calibri" w:hAnsi="Calibri" w:cs="Calibri"/>
        </w:rPr>
        <w:t>underfunded</w:t>
      </w:r>
      <w:r w:rsidRPr="71A1AD18">
        <w:rPr>
          <w:rFonts w:ascii="Calibri" w:eastAsia="Calibri" w:hAnsi="Calibri" w:cs="Calibri"/>
        </w:rPr>
        <w:t xml:space="preserve"> relative to the scale of the problem. The strength of the public health model</w:t>
      </w:r>
      <w:r w:rsidR="312314CD" w:rsidRPr="71A1AD18">
        <w:rPr>
          <w:rFonts w:ascii="Calibri" w:eastAsia="Calibri" w:hAnsi="Calibri" w:cs="Calibri"/>
        </w:rPr>
        <w:t xml:space="preserve"> </w:t>
      </w:r>
      <w:r w:rsidRPr="71A1AD18">
        <w:rPr>
          <w:rFonts w:ascii="Calibri" w:eastAsia="Calibri" w:hAnsi="Calibri" w:cs="Calibri"/>
        </w:rPr>
        <w:t>its focus on long</w:t>
      </w:r>
      <w:r>
        <w:noBreakHyphen/>
      </w:r>
      <w:r w:rsidRPr="71A1AD18">
        <w:rPr>
          <w:rFonts w:ascii="Calibri" w:eastAsia="Calibri" w:hAnsi="Calibri" w:cs="Calibri"/>
        </w:rPr>
        <w:t>term causes rather than short</w:t>
      </w:r>
      <w:r>
        <w:noBreakHyphen/>
      </w:r>
      <w:r w:rsidRPr="71A1AD18">
        <w:rPr>
          <w:rFonts w:ascii="Calibri" w:eastAsia="Calibri" w:hAnsi="Calibri" w:cs="Calibri"/>
        </w:rPr>
        <w:t>term outcomes also makes it politically difficult to sustain, as benefits may not appear within a single electoral cycle. Realising its potential will require sustained investment and long</w:t>
      </w:r>
      <w:r>
        <w:noBreakHyphen/>
      </w:r>
      <w:r w:rsidRPr="71A1AD18">
        <w:rPr>
          <w:rFonts w:ascii="Calibri" w:eastAsia="Calibri" w:hAnsi="Calibri" w:cs="Calibri"/>
        </w:rPr>
        <w:t>term political commitment.</w:t>
      </w:r>
    </w:p>
    <w:p w14:paraId="78E1C630" w14:textId="277BB5FD" w:rsidR="359B016B" w:rsidRDefault="359B016B"/>
    <w:p w14:paraId="591EA582" w14:textId="76B7AEA7" w:rsidR="359B016B" w:rsidRDefault="359B016B"/>
    <w:p w14:paraId="5F3E7EE1" w14:textId="3E5AFA0C" w:rsidR="71A1AD18" w:rsidRDefault="71A1AD18"/>
    <w:p w14:paraId="2CC8D25B" w14:textId="61D9F0F8" w:rsidR="71A1AD18" w:rsidRDefault="71A1AD18"/>
    <w:p w14:paraId="4449A297" w14:textId="0BA0AFCB" w:rsidR="71A1AD18" w:rsidRDefault="71A1AD18"/>
    <w:p w14:paraId="45C5977F" w14:textId="76467084" w:rsidR="71A1AD18" w:rsidRDefault="71A1AD18"/>
    <w:p w14:paraId="68402CF5" w14:textId="3C843398" w:rsidR="71A1AD18" w:rsidRDefault="71A1AD18"/>
    <w:p w14:paraId="1D31A4A1" w14:textId="1B4E93EF" w:rsidR="71A1AD18" w:rsidRDefault="71A1AD18"/>
    <w:p w14:paraId="6A015F7C" w14:textId="490BA79B" w:rsidR="71A1AD18" w:rsidRDefault="71A1AD18"/>
    <w:p w14:paraId="057DE193" w14:textId="536E64EA" w:rsidR="00C84D41" w:rsidRDefault="00C84D41" w:rsidP="00C84D41">
      <w:r>
        <w:t xml:space="preserve">CHAPTER </w:t>
      </w:r>
      <w:r w:rsidR="00570431">
        <w:t>9</w:t>
      </w:r>
      <w:r>
        <w:t xml:space="preserve">: CONCLUSION </w:t>
      </w:r>
    </w:p>
    <w:p w14:paraId="74EA4EDC" w14:textId="77777777" w:rsidR="00C84D41" w:rsidRDefault="00570431" w:rsidP="00C84D41">
      <w:r>
        <w:t>9</w:t>
      </w:r>
      <w:r w:rsidR="00C84D41">
        <w:t>.1 Introduction</w:t>
      </w:r>
    </w:p>
    <w:p w14:paraId="0BB80118" w14:textId="49E382EA" w:rsidR="00C84D41" w:rsidRDefault="06301890" w:rsidP="00C84D41">
      <w:r w:rsidRPr="71A1AD18">
        <w:rPr>
          <w:rFonts w:ascii="Calibri" w:eastAsia="Calibri" w:hAnsi="Calibri" w:cs="Calibri"/>
        </w:rPr>
        <w:t xml:space="preserve">This dissertation has </w:t>
      </w:r>
      <w:r w:rsidR="39A6A496" w:rsidRPr="71A1AD18">
        <w:rPr>
          <w:rFonts w:ascii="Calibri" w:eastAsia="Calibri" w:hAnsi="Calibri" w:cs="Calibri"/>
        </w:rPr>
        <w:t xml:space="preserve">successfully </w:t>
      </w:r>
      <w:r w:rsidRPr="71A1AD18">
        <w:rPr>
          <w:rFonts w:ascii="Calibri" w:eastAsia="Calibri" w:hAnsi="Calibri" w:cs="Calibri"/>
        </w:rPr>
        <w:t xml:space="preserve">examined knife crime trends across England, Wales, and the Gwent Police force area over the past decade, drawing on national data, </w:t>
      </w:r>
      <w:r w:rsidR="2C1A7930" w:rsidRPr="71A1AD18">
        <w:rPr>
          <w:rFonts w:ascii="Calibri" w:eastAsia="Calibri" w:hAnsi="Calibri" w:cs="Calibri"/>
        </w:rPr>
        <w:t>Wales specific</w:t>
      </w:r>
      <w:r w:rsidRPr="71A1AD18">
        <w:rPr>
          <w:rFonts w:ascii="Calibri" w:eastAsia="Calibri" w:hAnsi="Calibri" w:cs="Calibri"/>
        </w:rPr>
        <w:t xml:space="preserve"> statistics, and detailed local analysis to provide an evidence</w:t>
      </w:r>
      <w:r w:rsidR="00C84D41">
        <w:noBreakHyphen/>
      </w:r>
      <w:r w:rsidRPr="71A1AD18">
        <w:rPr>
          <w:rFonts w:ascii="Calibri" w:eastAsia="Calibri" w:hAnsi="Calibri" w:cs="Calibri"/>
        </w:rPr>
        <w:t>based understanding of a major public safety challenge (Office for National Statistics, 2025). It has</w:t>
      </w:r>
      <w:r w:rsidR="27BB83C0" w:rsidRPr="71A1AD18">
        <w:rPr>
          <w:rFonts w:ascii="Calibri" w:eastAsia="Calibri" w:hAnsi="Calibri" w:cs="Calibri"/>
        </w:rPr>
        <w:t xml:space="preserve"> successfully</w:t>
      </w:r>
      <w:r w:rsidRPr="71A1AD18">
        <w:rPr>
          <w:rFonts w:ascii="Calibri" w:eastAsia="Calibri" w:hAnsi="Calibri" w:cs="Calibri"/>
        </w:rPr>
        <w:t xml:space="preserve"> assessed the effectiveness of </w:t>
      </w:r>
      <w:r w:rsidRPr="71A1AD18">
        <w:rPr>
          <w:rFonts w:ascii="Calibri" w:eastAsia="Calibri" w:hAnsi="Calibri" w:cs="Calibri"/>
        </w:rPr>
        <w:lastRenderedPageBreak/>
        <w:t>policing strategies used in response to</w:t>
      </w:r>
      <w:r w:rsidR="21E7BEAC" w:rsidRPr="71A1AD18">
        <w:rPr>
          <w:rFonts w:ascii="Calibri" w:eastAsia="Calibri" w:hAnsi="Calibri" w:cs="Calibri"/>
        </w:rPr>
        <w:t xml:space="preserve"> the</w:t>
      </w:r>
      <w:r w:rsidRPr="71A1AD18">
        <w:rPr>
          <w:rFonts w:ascii="Calibri" w:eastAsia="Calibri" w:hAnsi="Calibri" w:cs="Calibri"/>
        </w:rPr>
        <w:t xml:space="preserve"> rising knife crime and explored the social, economic, and structural factors underpinning these trends (Home Office, 2023).</w:t>
      </w:r>
    </w:p>
    <w:p w14:paraId="787D11FB" w14:textId="6385EBDE" w:rsidR="00C84D41" w:rsidRDefault="06301890" w:rsidP="00C84D41">
      <w:r w:rsidRPr="71A1AD18">
        <w:rPr>
          <w:rFonts w:ascii="Calibri" w:eastAsia="Calibri" w:hAnsi="Calibri" w:cs="Calibri"/>
        </w:rPr>
        <w:t xml:space="preserve">The findings show that, although some progress has been made in reducing the most serious forms of knife violence, </w:t>
      </w:r>
      <w:r w:rsidR="2983D6E7" w:rsidRPr="71A1AD18">
        <w:rPr>
          <w:rFonts w:ascii="Calibri" w:eastAsia="Calibri" w:hAnsi="Calibri" w:cs="Calibri"/>
        </w:rPr>
        <w:t>long-term</w:t>
      </w:r>
      <w:r w:rsidRPr="71A1AD18">
        <w:rPr>
          <w:rFonts w:ascii="Calibri" w:eastAsia="Calibri" w:hAnsi="Calibri" w:cs="Calibri"/>
        </w:rPr>
        <w:t xml:space="preserve"> national and regional patterns reveal persistent and, in some areas, escalating levels of knife offending. These trends highlight the need for a more sustained, ambitious, and genuinely multi</w:t>
      </w:r>
      <w:r w:rsidR="00C84D41">
        <w:noBreakHyphen/>
      </w:r>
      <w:r w:rsidRPr="71A1AD18">
        <w:rPr>
          <w:rFonts w:ascii="Calibri" w:eastAsia="Calibri" w:hAnsi="Calibri" w:cs="Calibri"/>
        </w:rPr>
        <w:t>agency approach than has yet been delivered.</w:t>
      </w:r>
    </w:p>
    <w:p w14:paraId="6FD6A580" w14:textId="0BDF3DB0" w:rsidR="00C84D41" w:rsidRDefault="06301890" w:rsidP="00C84D41">
      <w:r w:rsidRPr="359B016B">
        <w:rPr>
          <w:rFonts w:ascii="Calibri" w:eastAsia="Calibri" w:hAnsi="Calibri" w:cs="Calibri"/>
        </w:rPr>
        <w:t>This concluding chapter summarises the key findings, considers their wider implications for policy and practice, and sets out concrete recommendations for policing, government, and community organisations.</w:t>
      </w:r>
    </w:p>
    <w:p w14:paraId="6B939A46" w14:textId="5B2072FA" w:rsidR="00C84D41" w:rsidRDefault="00C84D41" w:rsidP="00C84D41"/>
    <w:p w14:paraId="144A5D23" w14:textId="77777777" w:rsidR="00C84D41" w:rsidRDefault="00C84D41" w:rsidP="00C84D41"/>
    <w:p w14:paraId="136C4D36" w14:textId="77777777" w:rsidR="00C84D41" w:rsidRDefault="00570431" w:rsidP="00C84D41">
      <w:r>
        <w:t>9</w:t>
      </w:r>
      <w:r w:rsidR="00C84D41">
        <w:t>.2 Summary of Key Findings</w:t>
      </w:r>
    </w:p>
    <w:p w14:paraId="27492736" w14:textId="77777777" w:rsidR="00C84D41" w:rsidRDefault="00C84D41" w:rsidP="00C84D41">
      <w:r>
        <w:t>National Trends</w:t>
      </w:r>
    </w:p>
    <w:p w14:paraId="41D4235D" w14:textId="2643D192" w:rsidR="6C427C8D" w:rsidRDefault="6C427C8D">
      <w:r w:rsidRPr="359B016B">
        <w:rPr>
          <w:rFonts w:ascii="Calibri" w:eastAsia="Calibri" w:hAnsi="Calibri" w:cs="Calibri"/>
        </w:rPr>
        <w:t>At the national level, knife crime in England and Wales rose sharply between 2012 and 2020, driven by austerity’s impact on public services, major cuts to youth provision, the rapid spread of county lines networks, and increased weapon carrying among young people (Centre for Social Justice, 2019; Harding, 2020). Although recorded offences have declined slightly since the pandemic, levels remain significantly higher than a decade ago, and the recent improvement should not lead to complacency (Office for National Statistics, 2025).</w:t>
      </w:r>
    </w:p>
    <w:p w14:paraId="13E3A241" w14:textId="7FB5F436" w:rsidR="6C427C8D" w:rsidRDefault="6C427C8D">
      <w:r w:rsidRPr="71A1AD18">
        <w:rPr>
          <w:rFonts w:ascii="Calibri" w:eastAsia="Calibri" w:hAnsi="Calibri" w:cs="Calibri"/>
        </w:rPr>
        <w:t xml:space="preserve">Some progress is visible in the most serious forms of violence knife-enabled homicides and hospital admissions for </w:t>
      </w:r>
      <w:r w:rsidR="5AB47A7E" w:rsidRPr="71A1AD18">
        <w:rPr>
          <w:rFonts w:ascii="Calibri" w:eastAsia="Calibri" w:hAnsi="Calibri" w:cs="Calibri"/>
        </w:rPr>
        <w:t>sharp instrument</w:t>
      </w:r>
      <w:r w:rsidRPr="71A1AD18">
        <w:rPr>
          <w:rFonts w:ascii="Calibri" w:eastAsia="Calibri" w:hAnsi="Calibri" w:cs="Calibri"/>
        </w:rPr>
        <w:t xml:space="preserve"> assaults have shown modest reductions. However, this is offset by the continued rise in knife possession offences, particularly among young people, indicating that the underlying culture of weapon carrying has not yet been effectively addressed (Ministry of Justice, 2024).</w:t>
      </w:r>
    </w:p>
    <w:p w14:paraId="53BDA29F" w14:textId="78923036" w:rsidR="359B016B" w:rsidRDefault="359B016B"/>
    <w:p w14:paraId="5BB75719" w14:textId="77777777" w:rsidR="00C84D41" w:rsidRDefault="00C84D41" w:rsidP="00C84D41">
      <w:r>
        <w:t>Trends in Wales</w:t>
      </w:r>
    </w:p>
    <w:p w14:paraId="29554FBB" w14:textId="0E44665E" w:rsidR="00C84D41" w:rsidRDefault="00C84D41" w:rsidP="00C84D41">
      <w:r>
        <w:t xml:space="preserve">Wales has experienced a faster proportional increase in knife crime than England over the same period, with recorded offences more than doubling over the decade in a trajectory that represents one of the most significant and underappreciated trends in Welsh criminal justice (Office for National Statistics, 2023). Importantly, this rise is by no means confined to the most urbanised parts of Wales; rural and semi-rural areas such as Dyfed-Powys have also experienced steep increases in offending, fundamentally challenging the widely held assumption that knife crime is primarily a problem of cities and large towns (Hallsworth, 2018). Welsh police forces face a distinctive </w:t>
      </w:r>
      <w:r w:rsidR="07CF8236">
        <w:t>and, in some respects,</w:t>
      </w:r>
      <w:r>
        <w:t xml:space="preserve"> particularly demanding set of challenges in responding to this trend, including the need to police large and often remote geographic areas with limited resources, alongside the growing presence of county lines criminal networks that have extended their operations deep into Welsh communities (Home Office, 2023).</w:t>
      </w:r>
    </w:p>
    <w:p w14:paraId="05CF694C" w14:textId="77777777" w:rsidR="00C84D41" w:rsidRDefault="00C84D41" w:rsidP="00C84D41">
      <w:r>
        <w:t>Knife Crime in Gwent</w:t>
      </w:r>
    </w:p>
    <w:p w14:paraId="07600EA9" w14:textId="7A77A393" w:rsidR="0CD33E0E" w:rsidRDefault="0CD33E0E">
      <w:r w:rsidRPr="359B016B">
        <w:rPr>
          <w:rFonts w:ascii="Calibri" w:eastAsia="Calibri" w:hAnsi="Calibri" w:cs="Calibri"/>
        </w:rPr>
        <w:t xml:space="preserve">Gwent is one of the most rapidly and severely affected areas in the UK, with knife crime rising by 478% between 2013 and 2023 an exceptional increase even compared with wider trends across Wales and England (Office for National Statistics, 2023). This sharp escalation reflects a combination </w:t>
      </w:r>
      <w:r w:rsidRPr="359B016B">
        <w:rPr>
          <w:rFonts w:ascii="Calibri" w:eastAsia="Calibri" w:hAnsi="Calibri" w:cs="Calibri"/>
        </w:rPr>
        <w:lastRenderedPageBreak/>
        <w:t>of acute risk factors in the region, including high socioeconomic deprivation, significant youth vulnerability, intensive county lines exploitation, and the interaction of both urban and rural dynamics (National Crime Agency, 2022).</w:t>
      </w:r>
    </w:p>
    <w:p w14:paraId="664E46F5" w14:textId="655242C7" w:rsidR="0CD33E0E" w:rsidRDefault="0CD33E0E">
      <w:r w:rsidRPr="359B016B">
        <w:rPr>
          <w:rFonts w:ascii="Calibri" w:eastAsia="Calibri" w:hAnsi="Calibri" w:cs="Calibri"/>
        </w:rPr>
        <w:t>The offence profile is dominated by assaults and threats to kill rather than homicides, indicating widespread interpersonal violence that, while less often fatal, still causes serious and lasting harm (Brennan, 2019). Newport remains the primary hotspot, where its strategic location and socioeconomic challenges have created conditions in which knife crime has been able to grow.</w:t>
      </w:r>
    </w:p>
    <w:p w14:paraId="7803E7FB" w14:textId="216DC6F8" w:rsidR="359B016B" w:rsidRDefault="359B016B"/>
    <w:p w14:paraId="364483B0" w14:textId="77777777" w:rsidR="00C84D41" w:rsidRDefault="00C84D41" w:rsidP="00C84D41">
      <w:r>
        <w:t>Effectiveness of Police Strategies</w:t>
      </w:r>
    </w:p>
    <w:p w14:paraId="288FD9B2" w14:textId="6539F8B3" w:rsidR="00C84D41" w:rsidRDefault="2F0DE31C" w:rsidP="00C84D41">
      <w:r w:rsidRPr="71A1AD18">
        <w:rPr>
          <w:rFonts w:ascii="Calibri" w:eastAsia="Calibri" w:hAnsi="Calibri" w:cs="Calibri"/>
        </w:rPr>
        <w:t>Policing strategies across England, Wales, and Gwent including stop</w:t>
      </w:r>
      <w:r w:rsidR="00C84D41">
        <w:noBreakHyphen/>
      </w:r>
      <w:r w:rsidRPr="71A1AD18">
        <w:rPr>
          <w:rFonts w:ascii="Calibri" w:eastAsia="Calibri" w:hAnsi="Calibri" w:cs="Calibri"/>
        </w:rPr>
        <w:t>and</w:t>
      </w:r>
      <w:r w:rsidR="00C84D41">
        <w:noBreakHyphen/>
      </w:r>
      <w:r w:rsidRPr="71A1AD18">
        <w:rPr>
          <w:rFonts w:ascii="Calibri" w:eastAsia="Calibri" w:hAnsi="Calibri" w:cs="Calibri"/>
        </w:rPr>
        <w:t xml:space="preserve">search, hotspot policing, county lines disruption, youth engagement, and </w:t>
      </w:r>
      <w:r w:rsidR="4C3F239B" w:rsidRPr="71A1AD18">
        <w:rPr>
          <w:rFonts w:ascii="Calibri" w:eastAsia="Calibri" w:hAnsi="Calibri" w:cs="Calibri"/>
        </w:rPr>
        <w:t>multiagency</w:t>
      </w:r>
      <w:r w:rsidRPr="71A1AD18">
        <w:rPr>
          <w:rFonts w:ascii="Calibri" w:eastAsia="Calibri" w:hAnsi="Calibri" w:cs="Calibri"/>
        </w:rPr>
        <w:t xml:space="preserve"> work have delivered measurable short</w:t>
      </w:r>
      <w:r w:rsidR="00C84D41">
        <w:noBreakHyphen/>
      </w:r>
      <w:r w:rsidRPr="71A1AD18">
        <w:rPr>
          <w:rFonts w:ascii="Calibri" w:eastAsia="Calibri" w:hAnsi="Calibri" w:cs="Calibri"/>
        </w:rPr>
        <w:t>term benefits, and their contribution should not be overlooked (College of Policing, 2023). However, the evidence shows that these measures have not reversed long</w:t>
      </w:r>
      <w:r w:rsidR="00C84D41">
        <w:noBreakHyphen/>
      </w:r>
      <w:r w:rsidRPr="71A1AD18">
        <w:rPr>
          <w:rFonts w:ascii="Calibri" w:eastAsia="Calibri" w:hAnsi="Calibri" w:cs="Calibri"/>
        </w:rPr>
        <w:t>term increases in knife crime. This is most evident in Gwent, where offences have continued to rise despite the use of a wide range of policing tools.</w:t>
      </w:r>
    </w:p>
    <w:p w14:paraId="058224DF" w14:textId="3FCF07A5" w:rsidR="00C84D41" w:rsidRDefault="2F0DE31C" w:rsidP="00C84D41">
      <w:r w:rsidRPr="71A1AD18">
        <w:rPr>
          <w:rFonts w:ascii="Calibri" w:eastAsia="Calibri" w:hAnsi="Calibri" w:cs="Calibri"/>
        </w:rPr>
        <w:t xml:space="preserve">The findings consistently indicate that enforcement alone cannot address a problem as deeply rooted as knife crime. Sustainable reductions require </w:t>
      </w:r>
      <w:r w:rsidR="4F5410F7" w:rsidRPr="71A1AD18">
        <w:rPr>
          <w:rFonts w:ascii="Calibri" w:eastAsia="Calibri" w:hAnsi="Calibri" w:cs="Calibri"/>
        </w:rPr>
        <w:t>long-term</w:t>
      </w:r>
      <w:r w:rsidRPr="71A1AD18">
        <w:rPr>
          <w:rFonts w:ascii="Calibri" w:eastAsia="Calibri" w:hAnsi="Calibri" w:cs="Calibri"/>
        </w:rPr>
        <w:t xml:space="preserve"> investment in prevention, early intervention, and support for the communities most affected approaches shown to be more effective in tackling the underlying causes of violence (Public Health England, 2019).</w:t>
      </w:r>
    </w:p>
    <w:p w14:paraId="7DC4D75F" w14:textId="09B1BEE4" w:rsidR="00C84D41" w:rsidRDefault="00C84D41" w:rsidP="00C84D41"/>
    <w:p w14:paraId="738610EB" w14:textId="77777777" w:rsidR="00C84D41" w:rsidRDefault="00C84D41" w:rsidP="00C84D41"/>
    <w:p w14:paraId="1E8CC229" w14:textId="77777777" w:rsidR="00C84D41" w:rsidRDefault="00570431" w:rsidP="00C84D41">
      <w:r>
        <w:t>9</w:t>
      </w:r>
      <w:r w:rsidR="00C84D41">
        <w:t>.3 Interpretation of Findings</w:t>
      </w:r>
    </w:p>
    <w:p w14:paraId="02A30820" w14:textId="55280968" w:rsidR="07D95F0F" w:rsidRDefault="462268D8">
      <w:r w:rsidRPr="71A1AD18">
        <w:rPr>
          <w:rFonts w:ascii="Calibri" w:eastAsia="Calibri" w:hAnsi="Calibri" w:cs="Calibri"/>
        </w:rPr>
        <w:t xml:space="preserve">The evidence presented in this dissertation shows that knife crime is not solely a policing issue but is deeply rooted in wider social and economic inequalities that shape the lives of those most affected, whether as perpetrators or victims (Merton, 1938). Communities marked by deprivation, reduced youth provision, and weakened social cohesion experience disproportionately high levels of knife crime, reflecting </w:t>
      </w:r>
      <w:r w:rsidR="52886996" w:rsidRPr="71A1AD18">
        <w:rPr>
          <w:rFonts w:ascii="Calibri" w:eastAsia="Calibri" w:hAnsi="Calibri" w:cs="Calibri"/>
        </w:rPr>
        <w:t>long-established</w:t>
      </w:r>
      <w:r w:rsidRPr="71A1AD18">
        <w:rPr>
          <w:rFonts w:ascii="Calibri" w:eastAsia="Calibri" w:hAnsi="Calibri" w:cs="Calibri"/>
        </w:rPr>
        <w:t xml:space="preserve"> criminological links between disadvantage and violence (Shaw and McKay, 1942). County lines networks intensify these problems by exploiting vulnerable young people and adapting rapidly to enforcement efforts, making long-term disruption extremely challenging (National Crime Agency, 2022). These vulnerabilities are further exacerbated by cuts to youth services, which have removed key protective factors for </w:t>
      </w:r>
      <w:r w:rsidR="1AD3E3FD" w:rsidRPr="71A1AD18">
        <w:rPr>
          <w:rFonts w:ascii="Calibri" w:eastAsia="Calibri" w:hAnsi="Calibri" w:cs="Calibri"/>
        </w:rPr>
        <w:t>at-risk</w:t>
      </w:r>
      <w:r w:rsidRPr="71A1AD18">
        <w:rPr>
          <w:rFonts w:ascii="Calibri" w:eastAsia="Calibri" w:hAnsi="Calibri" w:cs="Calibri"/>
        </w:rPr>
        <w:t xml:space="preserve"> young people (Centre for Social Justice, 2019).</w:t>
      </w:r>
    </w:p>
    <w:p w14:paraId="7E1C1A43" w14:textId="596440C7" w:rsidR="07D95F0F" w:rsidRDefault="462268D8">
      <w:r w:rsidRPr="064AC0CD">
        <w:rPr>
          <w:rFonts w:ascii="Calibri" w:eastAsia="Calibri" w:hAnsi="Calibri" w:cs="Calibri"/>
        </w:rPr>
        <w:t>Enforcement strategies particularly stop</w:t>
      </w:r>
      <w:r w:rsidR="07D95F0F">
        <w:noBreakHyphen/>
      </w:r>
      <w:r w:rsidRPr="064AC0CD">
        <w:rPr>
          <w:rFonts w:ascii="Calibri" w:eastAsia="Calibri" w:hAnsi="Calibri" w:cs="Calibri"/>
        </w:rPr>
        <w:t>and</w:t>
      </w:r>
      <w:r w:rsidR="07D95F0F">
        <w:noBreakHyphen/>
      </w:r>
      <w:r w:rsidRPr="064AC0CD">
        <w:rPr>
          <w:rFonts w:ascii="Calibri" w:eastAsia="Calibri" w:hAnsi="Calibri" w:cs="Calibri"/>
        </w:rPr>
        <w:t>search</w:t>
      </w:r>
      <w:r w:rsidR="4CDBA96C" w:rsidRPr="064AC0CD">
        <w:rPr>
          <w:rFonts w:ascii="Calibri" w:eastAsia="Calibri" w:hAnsi="Calibri" w:cs="Calibri"/>
        </w:rPr>
        <w:t xml:space="preserve"> </w:t>
      </w:r>
      <w:r w:rsidRPr="064AC0CD">
        <w:rPr>
          <w:rFonts w:ascii="Calibri" w:eastAsia="Calibri" w:hAnsi="Calibri" w:cs="Calibri"/>
        </w:rPr>
        <w:t xml:space="preserve">can deliver short-term reductions in weapon carrying when used in targeted ways, but over-reliance risks undermining the community trust essential for effective </w:t>
      </w:r>
      <w:r w:rsidR="07E5F3AE" w:rsidRPr="064AC0CD">
        <w:rPr>
          <w:rFonts w:ascii="Calibri" w:eastAsia="Calibri" w:hAnsi="Calibri" w:cs="Calibri"/>
        </w:rPr>
        <w:t>long-term</w:t>
      </w:r>
      <w:r w:rsidRPr="064AC0CD">
        <w:rPr>
          <w:rFonts w:ascii="Calibri" w:eastAsia="Calibri" w:hAnsi="Calibri" w:cs="Calibri"/>
        </w:rPr>
        <w:t xml:space="preserve"> policing, especially among young people whose cooperation is most needed (College of Policing, 2023). Overall, the evidence points to the need for a balanced approach that combines </w:t>
      </w:r>
      <w:r w:rsidR="36A81D09" w:rsidRPr="064AC0CD">
        <w:rPr>
          <w:rFonts w:ascii="Calibri" w:eastAsia="Calibri" w:hAnsi="Calibri" w:cs="Calibri"/>
        </w:rPr>
        <w:t>intelligence led</w:t>
      </w:r>
      <w:r w:rsidRPr="064AC0CD">
        <w:rPr>
          <w:rFonts w:ascii="Calibri" w:eastAsia="Calibri" w:hAnsi="Calibri" w:cs="Calibri"/>
        </w:rPr>
        <w:t xml:space="preserve"> enforcement with sustained investment in prevention, early intervention, and community support structures, which remain the most effective long</w:t>
      </w:r>
      <w:r w:rsidR="07D95F0F">
        <w:noBreakHyphen/>
      </w:r>
      <w:r w:rsidRPr="064AC0CD">
        <w:rPr>
          <w:rFonts w:ascii="Calibri" w:eastAsia="Calibri" w:hAnsi="Calibri" w:cs="Calibri"/>
        </w:rPr>
        <w:t>term tools for reducing knife crime.</w:t>
      </w:r>
    </w:p>
    <w:p w14:paraId="0613480D" w14:textId="4764EE79" w:rsidR="12812E88" w:rsidRDefault="12812E88" w:rsidP="71A1AD18">
      <w:pPr>
        <w:rPr>
          <w:rFonts w:eastAsiaTheme="minorEastAsia"/>
          <w:sz w:val="20"/>
          <w:szCs w:val="20"/>
          <w:lang w:eastAsia="en-GB"/>
        </w:rPr>
      </w:pPr>
      <w:r w:rsidRPr="064AC0CD">
        <w:rPr>
          <w:rFonts w:eastAsiaTheme="minorEastAsia"/>
          <w:sz w:val="20"/>
          <w:szCs w:val="20"/>
          <w:lang w:eastAsia="en-GB"/>
        </w:rPr>
        <w:t>Appendix F1: Summary of Recommendations and Proposed Actions</w:t>
      </w:r>
    </w:p>
    <w:p w14:paraId="6D197ED6" w14:textId="18A7561E" w:rsidR="00C84D41" w:rsidRDefault="45F288E3" w:rsidP="064AC0CD">
      <w:pPr>
        <w:rPr>
          <w:rFonts w:eastAsiaTheme="minorEastAsia"/>
          <w:lang w:eastAsia="en-GB"/>
        </w:rPr>
      </w:pPr>
      <w:r w:rsidRPr="064AC0CD">
        <w:rPr>
          <w:rFonts w:eastAsiaTheme="minorEastAsia"/>
          <w:lang w:eastAsia="en-GB"/>
        </w:rPr>
        <w:t>Recommendations</w:t>
      </w:r>
    </w:p>
    <w:p w14:paraId="61AA058C" w14:textId="66939005" w:rsidR="00C84D41" w:rsidRDefault="45F288E3" w:rsidP="064AC0CD">
      <w:pPr>
        <w:spacing w:line="300" w:lineRule="auto"/>
        <w:rPr>
          <w:rFonts w:eastAsiaTheme="minorEastAsia"/>
        </w:rPr>
      </w:pPr>
      <w:r w:rsidRPr="064AC0CD">
        <w:rPr>
          <w:rFonts w:eastAsiaTheme="minorEastAsia"/>
        </w:rPr>
        <w:lastRenderedPageBreak/>
        <w:t>Strengthening the response to knife crime in Gwent requires a coordinated, multi-agency approach involving police, health services, local authorities, schools, and youth services, ensuring effective information-sharing and joined-up interventions so that vulnerable young people are not overlooked. Building trust between the police and communities is essential; sustained, meaningful engagement will enable the development of cooperation, intelligence, and community-led solutions. Continued disruption of county lines networks through intelligence-led policing remains critical, alongside safeguarding those exploited by such activity. Resources should be targeted towards high-risk areas using data-driven approaches such as hotspot policing to maximise impact. Ultimately, long-term reductions in knife crime depend on addressing underlying structural inequalities, including deprivation, unemployment, and social exclusion, as without progress in these areas, enforcement strategies alone are unlikely to achieve sustainable change.</w:t>
      </w:r>
    </w:p>
    <w:p w14:paraId="26C38ED7" w14:textId="4764EE79" w:rsidR="00C84D41" w:rsidRDefault="45F288E3" w:rsidP="064AC0CD">
      <w:pPr>
        <w:rPr>
          <w:rFonts w:eastAsiaTheme="minorEastAsia"/>
          <w:sz w:val="20"/>
          <w:szCs w:val="20"/>
          <w:lang w:eastAsia="en-GB"/>
        </w:rPr>
      </w:pPr>
      <w:r w:rsidRPr="064AC0CD">
        <w:rPr>
          <w:rFonts w:eastAsiaTheme="minorEastAsia"/>
          <w:sz w:val="20"/>
          <w:szCs w:val="20"/>
          <w:lang w:eastAsia="en-GB"/>
        </w:rPr>
        <w:t>Appendix F1: Summary of Recommendations and Proposed Actions</w:t>
      </w:r>
    </w:p>
    <w:p w14:paraId="76467F32" w14:textId="3649A4EF" w:rsidR="00C84D41" w:rsidRDefault="00570431" w:rsidP="064AC0CD">
      <w:pPr>
        <w:spacing w:line="300" w:lineRule="auto"/>
        <w:rPr>
          <w:rFonts w:eastAsiaTheme="minorEastAsia"/>
        </w:rPr>
      </w:pPr>
      <w:r>
        <w:t>9</w:t>
      </w:r>
      <w:r w:rsidR="00C84D41">
        <w:t>.</w:t>
      </w:r>
      <w:r w:rsidR="5CA43550">
        <w:t>4</w:t>
      </w:r>
      <w:r w:rsidR="00C84D41">
        <w:t xml:space="preserve"> Final Reflections</w:t>
      </w:r>
    </w:p>
    <w:p w14:paraId="7435A643" w14:textId="65E76F85" w:rsidR="00DA0706" w:rsidRDefault="59544C6E" w:rsidP="00DA0706">
      <w:r w:rsidRPr="71A1AD18">
        <w:rPr>
          <w:rFonts w:ascii="Calibri" w:eastAsia="Calibri" w:hAnsi="Calibri" w:cs="Calibri"/>
        </w:rPr>
        <w:t xml:space="preserve">Knife crime is a complex, multifaceted issue that cannot be solved by any single agency working alone (World Health Organization, 2002). While policing strategies have achieved meaningful </w:t>
      </w:r>
      <w:r w:rsidR="495CAF8B" w:rsidRPr="71A1AD18">
        <w:rPr>
          <w:rFonts w:ascii="Calibri" w:eastAsia="Calibri" w:hAnsi="Calibri" w:cs="Calibri"/>
        </w:rPr>
        <w:t>short-term</w:t>
      </w:r>
      <w:r w:rsidRPr="71A1AD18">
        <w:rPr>
          <w:rFonts w:ascii="Calibri" w:eastAsia="Calibri" w:hAnsi="Calibri" w:cs="Calibri"/>
        </w:rPr>
        <w:t xml:space="preserve"> successes, the evidence shows that lasting reductions require a holistic approach that tackles the structural drivers of violence through prevention, early intervention, and community resilience (Public Health England, 2019).</w:t>
      </w:r>
    </w:p>
    <w:p w14:paraId="6DEA0B35" w14:textId="44E1A864" w:rsidR="00DA0706" w:rsidRDefault="59544C6E" w:rsidP="00DA0706">
      <w:r w:rsidRPr="359B016B">
        <w:rPr>
          <w:rFonts w:ascii="Calibri" w:eastAsia="Calibri" w:hAnsi="Calibri" w:cs="Calibri"/>
        </w:rPr>
        <w:t>Gwent illustrates this clearly. Its steep and sustained rise in knife crime the highest of any UK force during the period studied shows what happens when multiple risk factors converge without an equally sustained response. It also highlights how knife crime is both a national problem shaped by broad social and economic forces and a deeply local one shaped by the specific conditions of individual communities (Office for National Statistics, 2025).</w:t>
      </w:r>
    </w:p>
    <w:p w14:paraId="75A1BD3E" w14:textId="1EF40C29" w:rsidR="00DA0706" w:rsidRDefault="59544C6E" w:rsidP="71A1AD18">
      <w:pPr>
        <w:rPr>
          <w:rFonts w:ascii="Calibri" w:eastAsia="Calibri" w:hAnsi="Calibri" w:cs="Calibri"/>
        </w:rPr>
      </w:pPr>
      <w:r w:rsidRPr="064AC0CD">
        <w:rPr>
          <w:rFonts w:ascii="Calibri" w:eastAsia="Calibri" w:hAnsi="Calibri" w:cs="Calibri"/>
        </w:rPr>
        <w:t xml:space="preserve">Effective action must therefore be nationally coordinated but locally delivered, </w:t>
      </w:r>
      <w:r w:rsidR="3E590696" w:rsidRPr="064AC0CD">
        <w:rPr>
          <w:rFonts w:ascii="Calibri" w:eastAsia="Calibri" w:hAnsi="Calibri" w:cs="Calibri"/>
        </w:rPr>
        <w:t>evidence based</w:t>
      </w:r>
      <w:r w:rsidRPr="064AC0CD">
        <w:rPr>
          <w:rFonts w:ascii="Calibri" w:eastAsia="Calibri" w:hAnsi="Calibri" w:cs="Calibri"/>
        </w:rPr>
        <w:t xml:space="preserve"> yet </w:t>
      </w:r>
      <w:r w:rsidR="37A1CE1C" w:rsidRPr="064AC0CD">
        <w:rPr>
          <w:rFonts w:ascii="Calibri" w:eastAsia="Calibri" w:hAnsi="Calibri" w:cs="Calibri"/>
        </w:rPr>
        <w:t>community informed and</w:t>
      </w:r>
      <w:r w:rsidRPr="064AC0CD">
        <w:rPr>
          <w:rFonts w:ascii="Calibri" w:eastAsia="Calibri" w:hAnsi="Calibri" w:cs="Calibri"/>
        </w:rPr>
        <w:t xml:space="preserve"> sustained over the long timeframes required to address serious social problems. With the right strategies, political commitment, and consistent investment in affected communities, meaningful reductions in knife crime are achievable though they will require patience and </w:t>
      </w:r>
      <w:r w:rsidR="609F7807" w:rsidRPr="064AC0CD">
        <w:rPr>
          <w:rFonts w:ascii="Calibri" w:eastAsia="Calibri" w:hAnsi="Calibri" w:cs="Calibri"/>
        </w:rPr>
        <w:t xml:space="preserve">long </w:t>
      </w:r>
      <w:r w:rsidR="5872BAFA" w:rsidRPr="064AC0CD">
        <w:rPr>
          <w:rFonts w:ascii="Calibri" w:eastAsia="Calibri" w:hAnsi="Calibri" w:cs="Calibri"/>
        </w:rPr>
        <w:t>-</w:t>
      </w:r>
      <w:r w:rsidR="609F7807" w:rsidRPr="064AC0CD">
        <w:rPr>
          <w:rFonts w:ascii="Calibri" w:eastAsia="Calibri" w:hAnsi="Calibri" w:cs="Calibri"/>
        </w:rPr>
        <w:t>term focus.</w:t>
      </w:r>
    </w:p>
    <w:p w14:paraId="3B7B4B86" w14:textId="764DA659" w:rsidR="00DA0706" w:rsidRDefault="00DA0706" w:rsidP="00DA0706"/>
    <w:p w14:paraId="0F8F2AE6" w14:textId="63B59484" w:rsidR="00DA0706" w:rsidRDefault="0058249A" w:rsidP="064AC0CD">
      <w:pPr>
        <w:rPr>
          <w:u w:val="single"/>
        </w:rPr>
      </w:pPr>
      <w:r w:rsidRPr="064AC0CD">
        <w:rPr>
          <w:u w:val="single"/>
        </w:rPr>
        <w:t xml:space="preserve">Word Count </w:t>
      </w:r>
      <w:r w:rsidR="4EC1B875" w:rsidRPr="064AC0CD">
        <w:rPr>
          <w:u w:val="single"/>
        </w:rPr>
        <w:t>9,</w:t>
      </w:r>
      <w:r w:rsidR="00BC4283">
        <w:rPr>
          <w:u w:val="single"/>
        </w:rPr>
        <w:t>785</w:t>
      </w:r>
    </w:p>
    <w:p w14:paraId="3A0FF5F2" w14:textId="77777777" w:rsidR="00FB5455" w:rsidRDefault="00FB5455" w:rsidP="00DA0706"/>
    <w:p w14:paraId="026EFED0" w14:textId="77777777" w:rsidR="00BC4283" w:rsidRDefault="00BC4283" w:rsidP="71A1AD18"/>
    <w:p w14:paraId="5A64BB10" w14:textId="77777777" w:rsidR="00BC4283" w:rsidRDefault="00BC4283" w:rsidP="71A1AD18"/>
    <w:p w14:paraId="127CA852" w14:textId="77777777" w:rsidR="00BC4283" w:rsidRDefault="00BC4283" w:rsidP="71A1AD18"/>
    <w:p w14:paraId="0EF6B87A" w14:textId="77777777" w:rsidR="00BC4283" w:rsidRDefault="00BC4283" w:rsidP="71A1AD18"/>
    <w:p w14:paraId="3FF1A01B" w14:textId="77777777" w:rsidR="00BC4283" w:rsidRDefault="00BC4283" w:rsidP="71A1AD18"/>
    <w:p w14:paraId="6777217F" w14:textId="77777777" w:rsidR="00BC4283" w:rsidRDefault="00BC4283" w:rsidP="71A1AD18"/>
    <w:p w14:paraId="020717FE" w14:textId="77777777" w:rsidR="00BC4283" w:rsidRDefault="00BC4283" w:rsidP="71A1AD18"/>
    <w:p w14:paraId="03CD69C5" w14:textId="77777777" w:rsidR="00BC4283" w:rsidRDefault="00BC4283" w:rsidP="71A1AD18"/>
    <w:p w14:paraId="3925EC78" w14:textId="77777777" w:rsidR="00BC4283" w:rsidRDefault="00BC4283" w:rsidP="71A1AD18"/>
    <w:p w14:paraId="793C34A7" w14:textId="77777777" w:rsidR="00BC4283" w:rsidRDefault="00BC4283" w:rsidP="71A1AD18"/>
    <w:p w14:paraId="07A2EBC5" w14:textId="77777777" w:rsidR="00BC4283" w:rsidRDefault="00BC4283" w:rsidP="71A1AD18"/>
    <w:p w14:paraId="56B26D48" w14:textId="77777777" w:rsidR="00BC4283" w:rsidRDefault="00BC4283" w:rsidP="71A1AD18"/>
    <w:p w14:paraId="17ED0D62" w14:textId="77777777" w:rsidR="00BC4283" w:rsidRDefault="00BC4283" w:rsidP="71A1AD18"/>
    <w:p w14:paraId="072FF19E" w14:textId="77777777" w:rsidR="00BC4283" w:rsidRDefault="00BC4283" w:rsidP="71A1AD18"/>
    <w:p w14:paraId="363C3BCA" w14:textId="77777777" w:rsidR="00BC4283" w:rsidRDefault="00BC4283" w:rsidP="71A1AD18"/>
    <w:p w14:paraId="1299C51A" w14:textId="5554EE06" w:rsidR="00DA0706" w:rsidRPr="00BC4283" w:rsidRDefault="00DA0706" w:rsidP="71A1AD18">
      <w:pPr>
        <w:rPr>
          <w:u w:val="single"/>
        </w:rPr>
      </w:pPr>
      <w:r w:rsidRPr="00BC4283">
        <w:rPr>
          <w:u w:val="single"/>
        </w:rPr>
        <w:t>REFERENCE LIST AND BIBLIOGRAPHY</w:t>
      </w:r>
    </w:p>
    <w:p w14:paraId="4A1B61A8" w14:textId="77777777" w:rsidR="00BC4283" w:rsidRDefault="00BC4283" w:rsidP="00BC4283">
      <w:r>
        <w:t xml:space="preserve">Allen, G. and </w:t>
      </w:r>
      <w:proofErr w:type="spellStart"/>
      <w:r>
        <w:t>Audickas</w:t>
      </w:r>
      <w:proofErr w:type="spellEnd"/>
      <w:r>
        <w:t>, L. (2020) Knife crime in England and Wales. House of Commons Library, Briefing Paper SN04304.</w:t>
      </w:r>
    </w:p>
    <w:p w14:paraId="177E43A6" w14:textId="77777777" w:rsidR="00BC4283" w:rsidRDefault="00BC4283" w:rsidP="00BC4283">
      <w:r>
        <w:t>Braga, A.A., Turchan, B., Papachristos, A.V. and Hureau, D.M. (2019) ‘Hot spots policing and crime reduction: An update of an ongoing systematic review and meta-analysis’, Journal of Experimental Criminology, 15(3), pp. 289–311.</w:t>
      </w:r>
    </w:p>
    <w:p w14:paraId="61F5F412" w14:textId="77777777" w:rsidR="00BC4283" w:rsidRDefault="00BC4283" w:rsidP="00BC4283">
      <w:r>
        <w:t>Bradford, B. (2017) Stop and search and police legitimacy. London: Routledge.</w:t>
      </w:r>
    </w:p>
    <w:p w14:paraId="33A13C4B" w14:textId="77777777" w:rsidR="00BC4283" w:rsidRDefault="00BC4283" w:rsidP="00BC4283">
      <w:r>
        <w:t>Brennan, I. (2019) Violence and harm in urban Britain. Oxford: Oxford University Press.</w:t>
      </w:r>
    </w:p>
    <w:p w14:paraId="4B92D659" w14:textId="77777777" w:rsidR="00BC4283" w:rsidRDefault="00BC4283" w:rsidP="00BC4283">
      <w:r>
        <w:t xml:space="preserve">Bryman, A. (2016) Social research methods. 5th </w:t>
      </w:r>
      <w:proofErr w:type="spellStart"/>
      <w:r>
        <w:t>edn</w:t>
      </w:r>
      <w:proofErr w:type="spellEnd"/>
      <w:r>
        <w:t>. Oxford: Oxford University Press.</w:t>
      </w:r>
    </w:p>
    <w:p w14:paraId="5B35EAA6" w14:textId="77777777" w:rsidR="00BC4283" w:rsidRDefault="00BC4283" w:rsidP="00BC4283">
      <w:r>
        <w:t>Centre for Social Justice (2019) It can be stopped: A proven blueprint to stop violence and tackle gang and related offending in London and beyond. London: Centre for Social Justice.</w:t>
      </w:r>
    </w:p>
    <w:p w14:paraId="3E77C5BC" w14:textId="77777777" w:rsidR="00BC4283" w:rsidRDefault="00BC4283" w:rsidP="00BC4283">
      <w:r>
        <w:t>College of Policing (2021) Knife crime: A problem-solving guide. Available at: https://www.college.police.uk/guidance/knife-crime-problem-solving-guide</w:t>
      </w:r>
    </w:p>
    <w:p w14:paraId="13E99890" w14:textId="77777777" w:rsidR="00BC4283" w:rsidRDefault="00BC4283" w:rsidP="00BC4283">
      <w:r>
        <w:t>College of Policing (2023) Police effectiveness and knife crime interventions. London: College of Policing.</w:t>
      </w:r>
    </w:p>
    <w:p w14:paraId="038E88EF" w14:textId="77777777" w:rsidR="00BC4283" w:rsidRDefault="00BC4283" w:rsidP="00BC4283">
      <w:r>
        <w:t>Cohen, L.E. and Felson, M. (1979) ‘Social change and crime rate trends: A routine activity approach’, American Sociological Review, 44(4), pp. 588–608.</w:t>
      </w:r>
    </w:p>
    <w:p w14:paraId="0E27EA48" w14:textId="77777777" w:rsidR="00BC4283" w:rsidRDefault="00BC4283" w:rsidP="00BC4283">
      <w:r>
        <w:t xml:space="preserve">Creswell, J.W. (2014) Research design: Qualitative, quantitative, and mixed methods </w:t>
      </w:r>
      <w:proofErr w:type="gramStart"/>
      <w:r>
        <w:t>approaches</w:t>
      </w:r>
      <w:proofErr w:type="gramEnd"/>
      <w:r>
        <w:t xml:space="preserve">. 4th </w:t>
      </w:r>
      <w:proofErr w:type="spellStart"/>
      <w:r>
        <w:t>edn</w:t>
      </w:r>
      <w:proofErr w:type="spellEnd"/>
      <w:r>
        <w:t>. London: Sage.</w:t>
      </w:r>
    </w:p>
    <w:p w14:paraId="2C537B23" w14:textId="77777777" w:rsidR="00BC4283" w:rsidRDefault="00BC4283" w:rsidP="00BC4283">
      <w:r>
        <w:t>Gwent Police (2023) Knife crime and serious violence report. Newport: Gwent Police.</w:t>
      </w:r>
    </w:p>
    <w:p w14:paraId="19A7C349" w14:textId="77777777" w:rsidR="00BC4283" w:rsidRDefault="00BC4283" w:rsidP="00BC4283">
      <w:r>
        <w:t>Hallsworth, S. (2018) The gang and beyond: Interpreting violent street worlds. Basingstoke: Palgrave Macmillan.</w:t>
      </w:r>
    </w:p>
    <w:p w14:paraId="53FB8BA1" w14:textId="77777777" w:rsidR="00BC4283" w:rsidRDefault="00BC4283" w:rsidP="00BC4283">
      <w:r>
        <w:t xml:space="preserve">HM Government (2018) </w:t>
      </w:r>
      <w:proofErr w:type="gramStart"/>
      <w:r>
        <w:t>Serious</w:t>
      </w:r>
      <w:proofErr w:type="gramEnd"/>
      <w:r>
        <w:t xml:space="preserve"> violence strategy. London: Home Office.</w:t>
      </w:r>
    </w:p>
    <w:p w14:paraId="74287D98" w14:textId="77777777" w:rsidR="00BC4283" w:rsidRDefault="00BC4283" w:rsidP="00BC4283">
      <w:r>
        <w:t>Home Office (2022) Crime outcomes in England and Wales 2021 to 2022. Available at: https://www.gov.uk/government/statistics/crime-outcomes-in-england-and-wales-2021-to-2022</w:t>
      </w:r>
    </w:p>
    <w:p w14:paraId="506735D1" w14:textId="77777777" w:rsidR="00BC4283" w:rsidRDefault="00BC4283" w:rsidP="00BC4283">
      <w:r>
        <w:t>Home Office (2023) Crime outcomes in England and Wales 2022 to 2023. London: Home Office.</w:t>
      </w:r>
    </w:p>
    <w:p w14:paraId="228867AC" w14:textId="77777777" w:rsidR="00BC4283" w:rsidRDefault="00BC4283" w:rsidP="00BC4283">
      <w:r>
        <w:lastRenderedPageBreak/>
        <w:t>Institute for Fiscal Studies (2019) Youth services spending cuts and crime. London: IFS.</w:t>
      </w:r>
    </w:p>
    <w:p w14:paraId="65FDF5AB" w14:textId="77777777" w:rsidR="00BC4283" w:rsidRDefault="00BC4283" w:rsidP="00BC4283">
      <w:r>
        <w:t>Israel, M. and Hay, I. (2006) Research ethics for social scientists. London: Sage.</w:t>
      </w:r>
    </w:p>
    <w:p w14:paraId="5AC68633" w14:textId="77777777" w:rsidR="00BC4283" w:rsidRDefault="00BC4283" w:rsidP="00BC4283">
      <w:r>
        <w:t xml:space="preserve">Jewkes, Y. (2015) Media and crime. 3rd </w:t>
      </w:r>
      <w:proofErr w:type="spellStart"/>
      <w:r>
        <w:t>edn</w:t>
      </w:r>
      <w:proofErr w:type="spellEnd"/>
      <w:r>
        <w:t>. London: Sage.</w:t>
      </w:r>
    </w:p>
    <w:p w14:paraId="0D172DA5" w14:textId="77777777" w:rsidR="00BC4283" w:rsidRDefault="00BC4283" w:rsidP="00BC4283">
      <w:r>
        <w:t>Lammy, D. (2017) The Lammy review: An independent review into the treatment of, and outcomes for, Black, Asian and minority ethnic individuals in the criminal justice system. London: Ministry of Justice.</w:t>
      </w:r>
    </w:p>
    <w:p w14:paraId="4D3EC19F" w14:textId="77777777" w:rsidR="00BC4283" w:rsidRDefault="00BC4283" w:rsidP="00BC4283">
      <w:r>
        <w:t>Merton, R.K. (1938) ‘Social structure and anomie’, American Sociological Review, 3(5), pp. 672–682.</w:t>
      </w:r>
    </w:p>
    <w:p w14:paraId="7B96D0D1" w14:textId="77777777" w:rsidR="00BC4283" w:rsidRDefault="00BC4283" w:rsidP="00BC4283">
      <w:r>
        <w:t>Ministry of Justice (2023) Criminal justice statistics quarterly. London: Ministry of Justice.</w:t>
      </w:r>
    </w:p>
    <w:p w14:paraId="63D5DCE2" w14:textId="77777777" w:rsidR="00BC4283" w:rsidRDefault="00BC4283" w:rsidP="00BC4283">
      <w:r>
        <w:t>Ministry of Justice (2024) Knife crime sentencing statistics. London: Ministry of Justice.</w:t>
      </w:r>
    </w:p>
    <w:p w14:paraId="1E87A6CA" w14:textId="77777777" w:rsidR="00BC4283" w:rsidRDefault="00BC4283" w:rsidP="00BC4283">
      <w:r>
        <w:t>National Crime Agency (2019) County lines drugs supply, vulnerability and harm 2018–2019. London: NCA.</w:t>
      </w:r>
    </w:p>
    <w:p w14:paraId="5516614F" w14:textId="77777777" w:rsidR="00BC4283" w:rsidRDefault="00BC4283" w:rsidP="00BC4283">
      <w:r>
        <w:t>National Crime Agency (2022) National strategic assessment of serious and organised crime. London: NCA.</w:t>
      </w:r>
    </w:p>
    <w:p w14:paraId="569FE9F1" w14:textId="77777777" w:rsidR="00BC4283" w:rsidRDefault="00BC4283" w:rsidP="00BC4283">
      <w:r>
        <w:t>NHS Digital (2022) Hospital admitted patient care activity 2021–22. London: NHS Digital.</w:t>
      </w:r>
    </w:p>
    <w:p w14:paraId="4FDE9F03" w14:textId="77777777" w:rsidR="00BC4283" w:rsidRDefault="00BC4283" w:rsidP="00BC4283">
      <w:r>
        <w:t>NHS Digital (2025) Hospital admissions for assault by sharp object statistics. London: NHS Digital.</w:t>
      </w:r>
    </w:p>
    <w:p w14:paraId="2A87157A" w14:textId="77777777" w:rsidR="00BC4283" w:rsidRDefault="00BC4283" w:rsidP="00BC4283">
      <w:r>
        <w:t>Office for National Statistics (2023) Crime in England and Wales: Year ending March 2023. London: ONS.</w:t>
      </w:r>
    </w:p>
    <w:p w14:paraId="1B4FA591" w14:textId="77777777" w:rsidR="00BC4283" w:rsidRDefault="00BC4283" w:rsidP="00BC4283">
      <w:r>
        <w:t>Office for National Statistics (2024) Crime in England and Wales: Year ending December 2023. London: ONS.</w:t>
      </w:r>
    </w:p>
    <w:p w14:paraId="598F60A6" w14:textId="77777777" w:rsidR="00BC4283" w:rsidRDefault="00BC4283" w:rsidP="00BC4283">
      <w:r>
        <w:t>Office for National Statistics (2025) Crime statistics for England and Wales. London: ONS.</w:t>
      </w:r>
    </w:p>
    <w:p w14:paraId="6C7BAA40" w14:textId="77777777" w:rsidR="00BC4283" w:rsidRDefault="00BC4283" w:rsidP="00BC4283">
      <w:r>
        <w:t>Pitts, J. (2018) Reluctant gangsters: Youth gangs in Waltham Forest. Cullompton: Willan.</w:t>
      </w:r>
    </w:p>
    <w:p w14:paraId="5F3F534E" w14:textId="77777777" w:rsidR="00BC4283" w:rsidRDefault="00BC4283" w:rsidP="00BC4283">
      <w:r>
        <w:t>Public Health England (2019) Addressing violence as a public health issue. London: PHE.</w:t>
      </w:r>
    </w:p>
    <w:p w14:paraId="1B6BD37F" w14:textId="77777777" w:rsidR="00BC4283" w:rsidRDefault="00BC4283" w:rsidP="00BC4283">
      <w:r>
        <w:t>Robinson, A.L., McLean, R. and Densley, J. (2019) ‘</w:t>
      </w:r>
      <w:proofErr w:type="gramStart"/>
      <w:r>
        <w:t>Working county</w:t>
      </w:r>
      <w:proofErr w:type="gramEnd"/>
      <w:r>
        <w:t xml:space="preserve"> lines: Child criminal exploitation and illicit drug dealing in Glasgow and Merseyside’, International Journal of Offender Therapy and Comparative Criminology, 63(5), pp. 694–711.</w:t>
      </w:r>
    </w:p>
    <w:p w14:paraId="129D61CB" w14:textId="77777777" w:rsidR="00BC4283" w:rsidRDefault="00BC4283" w:rsidP="00BC4283">
      <w:r>
        <w:t>Scottish Government (2018) Violence reduction unit: Public health approach. Edinburgh: Scottish Government.</w:t>
      </w:r>
    </w:p>
    <w:p w14:paraId="3ABD5421" w14:textId="77777777" w:rsidR="00BC4283" w:rsidRDefault="00BC4283" w:rsidP="00BC4283">
      <w:r>
        <w:t>Shaw, C.R. and McKay, H.D. (1942) Juvenile delinquency and urban areas. Chicago: University of Chicago Press.</w:t>
      </w:r>
    </w:p>
    <w:p w14:paraId="0C515659" w14:textId="77777777" w:rsidR="00BC4283" w:rsidRDefault="00BC4283" w:rsidP="00BC4283">
      <w:r>
        <w:t>World Health Organization (2002) World report on violence and health. Geneva: WHO.</w:t>
      </w:r>
    </w:p>
    <w:p w14:paraId="276A5E70" w14:textId="77777777" w:rsidR="00BC4283" w:rsidRDefault="00BC4283" w:rsidP="00BC4283">
      <w:r>
        <w:t>Youth Endowment Fund (2025) Beyond the headlines: Knife crime and youth violence. London: YEF.</w:t>
      </w:r>
    </w:p>
    <w:p w14:paraId="34FF1C98" w14:textId="77777777" w:rsidR="00581D7A" w:rsidRDefault="00581D7A" w:rsidP="005B3BB5"/>
    <w:p w14:paraId="07282BAD" w14:textId="77777777" w:rsidR="009B17BD" w:rsidRDefault="009B17BD" w:rsidP="71A1AD18">
      <w:pPr>
        <w:spacing w:before="100" w:beforeAutospacing="1" w:after="100" w:afterAutospacing="1" w:line="240" w:lineRule="auto"/>
        <w:rPr>
          <w:rFonts w:ascii="Calibri" w:eastAsia="Calibri" w:hAnsi="Calibri" w:cs="Calibri"/>
          <w:sz w:val="24"/>
          <w:szCs w:val="24"/>
          <w:lang w:eastAsia="en-GB"/>
        </w:rPr>
      </w:pPr>
    </w:p>
    <w:p w14:paraId="108BB4EC" w14:textId="77777777" w:rsidR="009B17BD" w:rsidRDefault="009B17BD" w:rsidP="71A1AD18">
      <w:pPr>
        <w:spacing w:before="100" w:beforeAutospacing="1" w:after="100" w:afterAutospacing="1" w:line="240" w:lineRule="auto"/>
        <w:rPr>
          <w:rFonts w:ascii="Calibri" w:eastAsia="Calibri" w:hAnsi="Calibri" w:cs="Calibri"/>
          <w:sz w:val="24"/>
          <w:szCs w:val="24"/>
          <w:lang w:eastAsia="en-GB"/>
        </w:rPr>
      </w:pPr>
    </w:p>
    <w:p w14:paraId="0A5AD92A" w14:textId="77777777" w:rsidR="009B17BD" w:rsidRDefault="009B17BD" w:rsidP="71A1AD18">
      <w:pPr>
        <w:spacing w:before="100" w:beforeAutospacing="1" w:after="100" w:afterAutospacing="1" w:line="240" w:lineRule="auto"/>
        <w:rPr>
          <w:rFonts w:ascii="Calibri" w:eastAsia="Calibri" w:hAnsi="Calibri" w:cs="Calibri"/>
          <w:sz w:val="24"/>
          <w:szCs w:val="24"/>
          <w:lang w:eastAsia="en-GB"/>
        </w:rPr>
      </w:pPr>
    </w:p>
    <w:p w14:paraId="5F43AE56" w14:textId="77777777" w:rsidR="009B17BD" w:rsidRDefault="009B17BD" w:rsidP="71A1AD18">
      <w:pPr>
        <w:spacing w:before="100" w:beforeAutospacing="1" w:after="100" w:afterAutospacing="1" w:line="240" w:lineRule="auto"/>
        <w:rPr>
          <w:rFonts w:ascii="Calibri" w:eastAsia="Calibri" w:hAnsi="Calibri" w:cs="Calibri"/>
          <w:sz w:val="24"/>
          <w:szCs w:val="24"/>
          <w:lang w:eastAsia="en-GB"/>
        </w:rPr>
      </w:pPr>
    </w:p>
    <w:p w14:paraId="5C2811C1" w14:textId="77777777" w:rsidR="009B17BD" w:rsidRDefault="009B17BD" w:rsidP="71A1AD18">
      <w:pPr>
        <w:spacing w:before="100" w:beforeAutospacing="1" w:after="100" w:afterAutospacing="1" w:line="240" w:lineRule="auto"/>
        <w:rPr>
          <w:rFonts w:ascii="Calibri" w:eastAsia="Calibri" w:hAnsi="Calibri" w:cs="Calibri"/>
          <w:sz w:val="24"/>
          <w:szCs w:val="24"/>
          <w:lang w:eastAsia="en-GB"/>
        </w:rPr>
      </w:pPr>
    </w:p>
    <w:p w14:paraId="4EE2C6AE" w14:textId="77777777" w:rsidR="009B17BD" w:rsidRDefault="009B17BD" w:rsidP="71A1AD18">
      <w:pPr>
        <w:spacing w:before="100" w:beforeAutospacing="1" w:after="100" w:afterAutospacing="1" w:line="240" w:lineRule="auto"/>
        <w:rPr>
          <w:rFonts w:ascii="Calibri" w:eastAsia="Calibri" w:hAnsi="Calibri" w:cs="Calibri"/>
          <w:sz w:val="24"/>
          <w:szCs w:val="24"/>
          <w:lang w:eastAsia="en-GB"/>
        </w:rPr>
      </w:pPr>
    </w:p>
    <w:p w14:paraId="540CC55F" w14:textId="77777777" w:rsidR="009B17BD" w:rsidRDefault="009B17BD" w:rsidP="71A1AD18">
      <w:pPr>
        <w:spacing w:before="100" w:beforeAutospacing="1" w:after="100" w:afterAutospacing="1" w:line="240" w:lineRule="auto"/>
        <w:rPr>
          <w:rFonts w:ascii="Calibri" w:eastAsia="Calibri" w:hAnsi="Calibri" w:cs="Calibri"/>
          <w:sz w:val="24"/>
          <w:szCs w:val="24"/>
          <w:lang w:eastAsia="en-GB"/>
        </w:rPr>
      </w:pPr>
    </w:p>
    <w:p w14:paraId="5F39FE8A" w14:textId="77777777" w:rsidR="009B17BD" w:rsidRDefault="009B17BD" w:rsidP="71A1AD18">
      <w:pPr>
        <w:spacing w:before="100" w:beforeAutospacing="1" w:after="100" w:afterAutospacing="1" w:line="240" w:lineRule="auto"/>
        <w:rPr>
          <w:rFonts w:ascii="Calibri" w:eastAsia="Calibri" w:hAnsi="Calibri" w:cs="Calibri"/>
          <w:sz w:val="24"/>
          <w:szCs w:val="24"/>
          <w:lang w:eastAsia="en-GB"/>
        </w:rPr>
      </w:pPr>
    </w:p>
    <w:p w14:paraId="1783F4E6" w14:textId="4EE6D8E9" w:rsidR="005F1CE4" w:rsidRPr="005F1CE4" w:rsidRDefault="03A48A83" w:rsidP="71A1AD18">
      <w:pPr>
        <w:spacing w:before="100" w:beforeAutospacing="1" w:after="100" w:afterAutospacing="1" w:line="240" w:lineRule="auto"/>
        <w:rPr>
          <w:rFonts w:ascii="Calibri" w:eastAsia="Calibri" w:hAnsi="Calibri" w:cs="Calibri"/>
          <w:sz w:val="24"/>
          <w:szCs w:val="24"/>
          <w:lang w:eastAsia="en-GB"/>
        </w:rPr>
      </w:pPr>
      <w:r w:rsidRPr="71A1AD18">
        <w:rPr>
          <w:rFonts w:ascii="Calibri" w:eastAsia="Calibri" w:hAnsi="Calibri" w:cs="Calibri"/>
          <w:sz w:val="24"/>
          <w:szCs w:val="24"/>
          <w:lang w:eastAsia="en-GB"/>
        </w:rPr>
        <w:t>APPENDIX A: Research Methodology and Data Sources</w:t>
      </w:r>
    </w:p>
    <w:p w14:paraId="5FD67318" w14:textId="013655F8" w:rsidR="005F1CE4" w:rsidRPr="005F1CE4" w:rsidRDefault="005F1CE4" w:rsidP="71A1AD18">
      <w:pPr>
        <w:spacing w:before="100" w:beforeAutospacing="1" w:after="100" w:afterAutospacing="1" w:line="240" w:lineRule="auto"/>
        <w:rPr>
          <w:rFonts w:eastAsiaTheme="minorEastAsia"/>
          <w:i/>
          <w:iCs/>
          <w:sz w:val="24"/>
          <w:szCs w:val="24"/>
          <w:lang w:eastAsia="en-GB"/>
        </w:rPr>
      </w:pPr>
    </w:p>
    <w:p w14:paraId="5CB332E5" w14:textId="058401A2" w:rsidR="005F1CE4" w:rsidRPr="005F1CE4" w:rsidRDefault="03A48A83" w:rsidP="71A1AD18">
      <w:pPr>
        <w:spacing w:before="100" w:beforeAutospacing="1" w:after="0" w:afterAutospacing="1" w:line="240" w:lineRule="auto"/>
        <w:rPr>
          <w:rFonts w:eastAsiaTheme="minorEastAsia"/>
          <w:sz w:val="24"/>
          <w:szCs w:val="24"/>
          <w:lang w:eastAsia="en-GB"/>
        </w:rPr>
      </w:pPr>
      <w:r w:rsidRPr="71A1AD18">
        <w:rPr>
          <w:rFonts w:eastAsiaTheme="minorEastAsia"/>
          <w:sz w:val="24"/>
          <w:szCs w:val="24"/>
          <w:lang w:eastAsia="en-GB"/>
        </w:rPr>
        <w:t>Appendix A1: Summary of Primary Data Sources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8"/>
        <w:gridCol w:w="4069"/>
        <w:gridCol w:w="974"/>
        <w:gridCol w:w="1695"/>
      </w:tblGrid>
      <w:tr w:rsidR="005F1CE4" w:rsidRPr="005F1CE4" w14:paraId="08D2601A" w14:textId="77777777" w:rsidTr="71A1AD18">
        <w:trPr>
          <w:tblHeader/>
          <w:tblCellSpacing w:w="15" w:type="dxa"/>
        </w:trPr>
        <w:tc>
          <w:tcPr>
            <w:tcW w:w="0" w:type="auto"/>
            <w:vAlign w:val="center"/>
            <w:hideMark/>
          </w:tcPr>
          <w:p w14:paraId="67D63D4F"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Source</w:t>
            </w:r>
          </w:p>
        </w:tc>
        <w:tc>
          <w:tcPr>
            <w:tcW w:w="0" w:type="auto"/>
            <w:vAlign w:val="center"/>
            <w:hideMark/>
          </w:tcPr>
          <w:p w14:paraId="4E8ACEB2"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Type of Data</w:t>
            </w:r>
          </w:p>
        </w:tc>
        <w:tc>
          <w:tcPr>
            <w:tcW w:w="0" w:type="auto"/>
            <w:vAlign w:val="center"/>
            <w:hideMark/>
          </w:tcPr>
          <w:p w14:paraId="7C1FFDAF"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Time Period</w:t>
            </w:r>
          </w:p>
        </w:tc>
        <w:tc>
          <w:tcPr>
            <w:tcW w:w="0" w:type="auto"/>
            <w:vAlign w:val="center"/>
            <w:hideMark/>
          </w:tcPr>
          <w:p w14:paraId="4BD4CE40"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Geographic Coverage</w:t>
            </w:r>
          </w:p>
        </w:tc>
      </w:tr>
      <w:tr w:rsidR="005F1CE4" w:rsidRPr="005F1CE4" w14:paraId="18EA023A" w14:textId="77777777" w:rsidTr="71A1AD18">
        <w:trPr>
          <w:tblCellSpacing w:w="15" w:type="dxa"/>
        </w:trPr>
        <w:tc>
          <w:tcPr>
            <w:tcW w:w="0" w:type="auto"/>
            <w:vAlign w:val="center"/>
            <w:hideMark/>
          </w:tcPr>
          <w:p w14:paraId="6647E6B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Office for National Statistics (ONS)</w:t>
            </w:r>
          </w:p>
        </w:tc>
        <w:tc>
          <w:tcPr>
            <w:tcW w:w="0" w:type="auto"/>
            <w:vAlign w:val="center"/>
            <w:hideMark/>
          </w:tcPr>
          <w:p w14:paraId="5EE3D80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Police-recorded knife crime, homicide data, regional breakdowns</w:t>
            </w:r>
          </w:p>
        </w:tc>
        <w:tc>
          <w:tcPr>
            <w:tcW w:w="0" w:type="auto"/>
            <w:vAlign w:val="center"/>
            <w:hideMark/>
          </w:tcPr>
          <w:p w14:paraId="4324EF9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2012–2025</w:t>
            </w:r>
          </w:p>
        </w:tc>
        <w:tc>
          <w:tcPr>
            <w:tcW w:w="0" w:type="auto"/>
            <w:vAlign w:val="center"/>
            <w:hideMark/>
          </w:tcPr>
          <w:p w14:paraId="3E626BC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England and Wales</w:t>
            </w:r>
          </w:p>
        </w:tc>
      </w:tr>
      <w:tr w:rsidR="005F1CE4" w:rsidRPr="005F1CE4" w14:paraId="09243CD6" w14:textId="77777777" w:rsidTr="71A1AD18">
        <w:trPr>
          <w:tblCellSpacing w:w="15" w:type="dxa"/>
        </w:trPr>
        <w:tc>
          <w:tcPr>
            <w:tcW w:w="0" w:type="auto"/>
            <w:vAlign w:val="center"/>
            <w:hideMark/>
          </w:tcPr>
          <w:p w14:paraId="31DA248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Home Office</w:t>
            </w:r>
          </w:p>
        </w:tc>
        <w:tc>
          <w:tcPr>
            <w:tcW w:w="0" w:type="auto"/>
            <w:vAlign w:val="center"/>
            <w:hideMark/>
          </w:tcPr>
          <w:p w14:paraId="38E8B5B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Stop-and-search data, sentencing outcomes, offender demographics</w:t>
            </w:r>
          </w:p>
        </w:tc>
        <w:tc>
          <w:tcPr>
            <w:tcW w:w="0" w:type="auto"/>
            <w:vAlign w:val="center"/>
            <w:hideMark/>
          </w:tcPr>
          <w:p w14:paraId="5E06C17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2012–2023</w:t>
            </w:r>
          </w:p>
        </w:tc>
        <w:tc>
          <w:tcPr>
            <w:tcW w:w="0" w:type="auto"/>
            <w:vAlign w:val="center"/>
            <w:hideMark/>
          </w:tcPr>
          <w:p w14:paraId="7BB3D49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England and Wales</w:t>
            </w:r>
          </w:p>
        </w:tc>
      </w:tr>
      <w:tr w:rsidR="005F1CE4" w:rsidRPr="005F1CE4" w14:paraId="35416ECF" w14:textId="77777777" w:rsidTr="71A1AD18">
        <w:trPr>
          <w:tblCellSpacing w:w="15" w:type="dxa"/>
        </w:trPr>
        <w:tc>
          <w:tcPr>
            <w:tcW w:w="0" w:type="auto"/>
            <w:vAlign w:val="center"/>
            <w:hideMark/>
          </w:tcPr>
          <w:p w14:paraId="1EB187B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Ministry of Justice</w:t>
            </w:r>
          </w:p>
        </w:tc>
        <w:tc>
          <w:tcPr>
            <w:tcW w:w="0" w:type="auto"/>
            <w:vAlign w:val="center"/>
            <w:hideMark/>
          </w:tcPr>
          <w:p w14:paraId="10A48C7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Sentencing statistics, criminal justice outcomes</w:t>
            </w:r>
          </w:p>
        </w:tc>
        <w:tc>
          <w:tcPr>
            <w:tcW w:w="0" w:type="auto"/>
            <w:vAlign w:val="center"/>
            <w:hideMark/>
          </w:tcPr>
          <w:p w14:paraId="27FBE39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2012–2023</w:t>
            </w:r>
          </w:p>
        </w:tc>
        <w:tc>
          <w:tcPr>
            <w:tcW w:w="0" w:type="auto"/>
            <w:vAlign w:val="center"/>
            <w:hideMark/>
          </w:tcPr>
          <w:p w14:paraId="1E9265C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England and Wales</w:t>
            </w:r>
          </w:p>
        </w:tc>
      </w:tr>
      <w:tr w:rsidR="005F1CE4" w:rsidRPr="005F1CE4" w14:paraId="5EEEA953" w14:textId="77777777" w:rsidTr="71A1AD18">
        <w:trPr>
          <w:tblCellSpacing w:w="15" w:type="dxa"/>
        </w:trPr>
        <w:tc>
          <w:tcPr>
            <w:tcW w:w="0" w:type="auto"/>
            <w:vAlign w:val="center"/>
            <w:hideMark/>
          </w:tcPr>
          <w:p w14:paraId="61FC051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NHS Digital</w:t>
            </w:r>
          </w:p>
        </w:tc>
        <w:tc>
          <w:tcPr>
            <w:tcW w:w="0" w:type="auto"/>
            <w:vAlign w:val="center"/>
            <w:hideMark/>
          </w:tcPr>
          <w:p w14:paraId="741F847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Hospital admissions for sharp-object assaults</w:t>
            </w:r>
          </w:p>
        </w:tc>
        <w:tc>
          <w:tcPr>
            <w:tcW w:w="0" w:type="auto"/>
            <w:vAlign w:val="center"/>
            <w:hideMark/>
          </w:tcPr>
          <w:p w14:paraId="0EE479D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2012–2025</w:t>
            </w:r>
          </w:p>
        </w:tc>
        <w:tc>
          <w:tcPr>
            <w:tcW w:w="0" w:type="auto"/>
            <w:vAlign w:val="center"/>
            <w:hideMark/>
          </w:tcPr>
          <w:p w14:paraId="42E9842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England and Wales</w:t>
            </w:r>
          </w:p>
        </w:tc>
      </w:tr>
      <w:tr w:rsidR="005F1CE4" w:rsidRPr="005F1CE4" w14:paraId="2D152946" w14:textId="77777777" w:rsidTr="71A1AD18">
        <w:trPr>
          <w:tblCellSpacing w:w="15" w:type="dxa"/>
        </w:trPr>
        <w:tc>
          <w:tcPr>
            <w:tcW w:w="0" w:type="auto"/>
            <w:vAlign w:val="center"/>
            <w:hideMark/>
          </w:tcPr>
          <w:p w14:paraId="37A01C0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NHS Wales</w:t>
            </w:r>
          </w:p>
        </w:tc>
        <w:tc>
          <w:tcPr>
            <w:tcW w:w="0" w:type="auto"/>
            <w:vAlign w:val="center"/>
            <w:hideMark/>
          </w:tcPr>
          <w:p w14:paraId="2EEF48A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Hospital Episode Statistics, serious violence trends</w:t>
            </w:r>
          </w:p>
        </w:tc>
        <w:tc>
          <w:tcPr>
            <w:tcW w:w="0" w:type="auto"/>
            <w:vAlign w:val="center"/>
            <w:hideMark/>
          </w:tcPr>
          <w:p w14:paraId="52602DE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2012–2023</w:t>
            </w:r>
          </w:p>
        </w:tc>
        <w:tc>
          <w:tcPr>
            <w:tcW w:w="0" w:type="auto"/>
            <w:vAlign w:val="center"/>
            <w:hideMark/>
          </w:tcPr>
          <w:p w14:paraId="0D8E8CC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Wales</w:t>
            </w:r>
          </w:p>
        </w:tc>
      </w:tr>
      <w:tr w:rsidR="005F1CE4" w:rsidRPr="005F1CE4" w14:paraId="6ADD5B87" w14:textId="77777777" w:rsidTr="71A1AD18">
        <w:trPr>
          <w:tblCellSpacing w:w="15" w:type="dxa"/>
        </w:trPr>
        <w:tc>
          <w:tcPr>
            <w:tcW w:w="0" w:type="auto"/>
            <w:vAlign w:val="center"/>
            <w:hideMark/>
          </w:tcPr>
          <w:p w14:paraId="20E75C7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 Police</w:t>
            </w:r>
          </w:p>
        </w:tc>
        <w:tc>
          <w:tcPr>
            <w:tcW w:w="0" w:type="auto"/>
            <w:vAlign w:val="center"/>
            <w:hideMark/>
          </w:tcPr>
          <w:p w14:paraId="594F398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Local crime figures, policing strategies, county lines data</w:t>
            </w:r>
          </w:p>
        </w:tc>
        <w:tc>
          <w:tcPr>
            <w:tcW w:w="0" w:type="auto"/>
            <w:vAlign w:val="center"/>
            <w:hideMark/>
          </w:tcPr>
          <w:p w14:paraId="78949C0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2013–2023</w:t>
            </w:r>
          </w:p>
        </w:tc>
        <w:tc>
          <w:tcPr>
            <w:tcW w:w="0" w:type="auto"/>
            <w:vAlign w:val="center"/>
            <w:hideMark/>
          </w:tcPr>
          <w:p w14:paraId="2DDF99C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 force area</w:t>
            </w:r>
          </w:p>
        </w:tc>
      </w:tr>
    </w:tbl>
    <w:p w14:paraId="5023141B"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20D21348">
          <v:rect id="_x0000_i1025" style="width:0;height:1.5pt" o:hralign="center" o:hrstd="t" o:hr="t" fillcolor="#a0a0a0" stroked="f"/>
        </w:pict>
      </w:r>
    </w:p>
    <w:p w14:paraId="305F6AAA" w14:textId="77777777" w:rsidR="005F1CE4" w:rsidRPr="005F1CE4" w:rsidRDefault="005F1CE4" w:rsidP="71A1AD18">
      <w:pPr>
        <w:spacing w:before="100" w:beforeAutospacing="1" w:after="100" w:afterAutospacing="1" w:line="240" w:lineRule="auto"/>
        <w:rPr>
          <w:rFonts w:ascii="Times New Roman" w:eastAsia="Times New Roman" w:hAnsi="Times New Roman" w:cs="Times New Roman"/>
          <w:sz w:val="24"/>
          <w:szCs w:val="24"/>
          <w:lang w:eastAsia="en-GB"/>
        </w:rPr>
      </w:pPr>
      <w:r w:rsidRPr="71A1AD18">
        <w:rPr>
          <w:rFonts w:eastAsiaTheme="minorEastAsia"/>
          <w:sz w:val="24"/>
          <w:szCs w:val="24"/>
          <w:lang w:eastAsia="en-GB"/>
        </w:rPr>
        <w:t>Appendix A2: Summary of Key Academic and Policy Sources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40"/>
        <w:gridCol w:w="3625"/>
        <w:gridCol w:w="567"/>
        <w:gridCol w:w="2594"/>
      </w:tblGrid>
      <w:tr w:rsidR="005F1CE4" w:rsidRPr="005F1CE4" w14:paraId="4F738C25" w14:textId="77777777" w:rsidTr="005F1CE4">
        <w:trPr>
          <w:tblHeader/>
          <w:tblCellSpacing w:w="15" w:type="dxa"/>
        </w:trPr>
        <w:tc>
          <w:tcPr>
            <w:tcW w:w="0" w:type="auto"/>
            <w:vAlign w:val="center"/>
            <w:hideMark/>
          </w:tcPr>
          <w:p w14:paraId="450B9C44"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Author/Organisation</w:t>
            </w:r>
          </w:p>
        </w:tc>
        <w:tc>
          <w:tcPr>
            <w:tcW w:w="0" w:type="auto"/>
            <w:vAlign w:val="center"/>
            <w:hideMark/>
          </w:tcPr>
          <w:p w14:paraId="59AD10AE"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Title</w:t>
            </w:r>
          </w:p>
        </w:tc>
        <w:tc>
          <w:tcPr>
            <w:tcW w:w="0" w:type="auto"/>
            <w:vAlign w:val="center"/>
            <w:hideMark/>
          </w:tcPr>
          <w:p w14:paraId="3C72651D"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Year</w:t>
            </w:r>
          </w:p>
        </w:tc>
        <w:tc>
          <w:tcPr>
            <w:tcW w:w="0" w:type="auto"/>
            <w:vAlign w:val="center"/>
            <w:hideMark/>
          </w:tcPr>
          <w:p w14:paraId="6075472B"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Relevance to Study</w:t>
            </w:r>
          </w:p>
        </w:tc>
      </w:tr>
      <w:tr w:rsidR="005F1CE4" w:rsidRPr="005F1CE4" w14:paraId="523AD9CA" w14:textId="77777777" w:rsidTr="005F1CE4">
        <w:trPr>
          <w:tblCellSpacing w:w="15" w:type="dxa"/>
        </w:trPr>
        <w:tc>
          <w:tcPr>
            <w:tcW w:w="0" w:type="auto"/>
            <w:vAlign w:val="center"/>
            <w:hideMark/>
          </w:tcPr>
          <w:p w14:paraId="1C26FC2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Bryman, A.</w:t>
            </w:r>
          </w:p>
        </w:tc>
        <w:tc>
          <w:tcPr>
            <w:tcW w:w="0" w:type="auto"/>
            <w:vAlign w:val="center"/>
            <w:hideMark/>
          </w:tcPr>
          <w:p w14:paraId="38D616E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Social Research Methods</w:t>
            </w:r>
          </w:p>
        </w:tc>
        <w:tc>
          <w:tcPr>
            <w:tcW w:w="0" w:type="auto"/>
            <w:vAlign w:val="center"/>
            <w:hideMark/>
          </w:tcPr>
          <w:p w14:paraId="7D1E0FE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2016</w:t>
            </w:r>
          </w:p>
        </w:tc>
        <w:tc>
          <w:tcPr>
            <w:tcW w:w="0" w:type="auto"/>
            <w:vAlign w:val="center"/>
            <w:hideMark/>
          </w:tcPr>
          <w:p w14:paraId="06F48F2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Research design and methodology</w:t>
            </w:r>
          </w:p>
        </w:tc>
      </w:tr>
      <w:tr w:rsidR="005F1CE4" w:rsidRPr="005F1CE4" w14:paraId="215DD0B7" w14:textId="77777777" w:rsidTr="005F1CE4">
        <w:trPr>
          <w:tblCellSpacing w:w="15" w:type="dxa"/>
        </w:trPr>
        <w:tc>
          <w:tcPr>
            <w:tcW w:w="0" w:type="auto"/>
            <w:vAlign w:val="center"/>
            <w:hideMark/>
          </w:tcPr>
          <w:p w14:paraId="5BF634C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Creswell, J.W.</w:t>
            </w:r>
          </w:p>
        </w:tc>
        <w:tc>
          <w:tcPr>
            <w:tcW w:w="0" w:type="auto"/>
            <w:vAlign w:val="center"/>
            <w:hideMark/>
          </w:tcPr>
          <w:p w14:paraId="754693C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Research Design: Qualitative, Quantitative and Mixed Methods</w:t>
            </w:r>
          </w:p>
        </w:tc>
        <w:tc>
          <w:tcPr>
            <w:tcW w:w="0" w:type="auto"/>
            <w:vAlign w:val="center"/>
            <w:hideMark/>
          </w:tcPr>
          <w:p w14:paraId="749D391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2014</w:t>
            </w:r>
          </w:p>
        </w:tc>
        <w:tc>
          <w:tcPr>
            <w:tcW w:w="0" w:type="auto"/>
            <w:vAlign w:val="center"/>
            <w:hideMark/>
          </w:tcPr>
          <w:p w14:paraId="3D2F4F6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Mixed methods justification</w:t>
            </w:r>
          </w:p>
        </w:tc>
      </w:tr>
      <w:tr w:rsidR="005F1CE4" w:rsidRPr="005F1CE4" w14:paraId="30228F32" w14:textId="77777777" w:rsidTr="005F1CE4">
        <w:trPr>
          <w:tblCellSpacing w:w="15" w:type="dxa"/>
        </w:trPr>
        <w:tc>
          <w:tcPr>
            <w:tcW w:w="0" w:type="auto"/>
            <w:vAlign w:val="center"/>
            <w:hideMark/>
          </w:tcPr>
          <w:p w14:paraId="09DE646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Harding, S.</w:t>
            </w:r>
          </w:p>
        </w:tc>
        <w:tc>
          <w:tcPr>
            <w:tcW w:w="0" w:type="auto"/>
            <w:vAlign w:val="center"/>
            <w:hideMark/>
          </w:tcPr>
          <w:p w14:paraId="6619BA3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County Lines: Exploitation and Drug Dealing Among Urban Street Gangs</w:t>
            </w:r>
          </w:p>
        </w:tc>
        <w:tc>
          <w:tcPr>
            <w:tcW w:w="0" w:type="auto"/>
            <w:vAlign w:val="center"/>
            <w:hideMark/>
          </w:tcPr>
          <w:p w14:paraId="42B71CC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2020</w:t>
            </w:r>
          </w:p>
        </w:tc>
        <w:tc>
          <w:tcPr>
            <w:tcW w:w="0" w:type="auto"/>
            <w:vAlign w:val="center"/>
            <w:hideMark/>
          </w:tcPr>
          <w:p w14:paraId="376C3CE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County lines activity and youth exploitation</w:t>
            </w:r>
          </w:p>
        </w:tc>
      </w:tr>
      <w:tr w:rsidR="005F1CE4" w:rsidRPr="005F1CE4" w14:paraId="79C20999" w14:textId="77777777" w:rsidTr="005F1CE4">
        <w:trPr>
          <w:tblCellSpacing w:w="15" w:type="dxa"/>
        </w:trPr>
        <w:tc>
          <w:tcPr>
            <w:tcW w:w="0" w:type="auto"/>
            <w:vAlign w:val="center"/>
            <w:hideMark/>
          </w:tcPr>
          <w:p w14:paraId="6F98699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Pitts, J.</w:t>
            </w:r>
          </w:p>
        </w:tc>
        <w:tc>
          <w:tcPr>
            <w:tcW w:w="0" w:type="auto"/>
            <w:vAlign w:val="center"/>
            <w:hideMark/>
          </w:tcPr>
          <w:p w14:paraId="6B45BE2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Reluctant Gangsters: The Changing Face of Youth Crime</w:t>
            </w:r>
          </w:p>
        </w:tc>
        <w:tc>
          <w:tcPr>
            <w:tcW w:w="0" w:type="auto"/>
            <w:vAlign w:val="center"/>
            <w:hideMark/>
          </w:tcPr>
          <w:p w14:paraId="5C61D62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2018</w:t>
            </w:r>
          </w:p>
        </w:tc>
        <w:tc>
          <w:tcPr>
            <w:tcW w:w="0" w:type="auto"/>
            <w:vAlign w:val="center"/>
            <w:hideMark/>
          </w:tcPr>
          <w:p w14:paraId="2C87122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Social factors driving knife crime</w:t>
            </w:r>
          </w:p>
        </w:tc>
      </w:tr>
      <w:tr w:rsidR="005F1CE4" w:rsidRPr="005F1CE4" w14:paraId="7C2779F1" w14:textId="77777777" w:rsidTr="005F1CE4">
        <w:trPr>
          <w:tblCellSpacing w:w="15" w:type="dxa"/>
        </w:trPr>
        <w:tc>
          <w:tcPr>
            <w:tcW w:w="0" w:type="auto"/>
            <w:vAlign w:val="center"/>
            <w:hideMark/>
          </w:tcPr>
          <w:p w14:paraId="4F23A4A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lastRenderedPageBreak/>
              <w:t>College of Policing</w:t>
            </w:r>
          </w:p>
        </w:tc>
        <w:tc>
          <w:tcPr>
            <w:tcW w:w="0" w:type="auto"/>
            <w:vAlign w:val="center"/>
            <w:hideMark/>
          </w:tcPr>
          <w:p w14:paraId="359BF19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Violence: Knife Crime</w:t>
            </w:r>
          </w:p>
        </w:tc>
        <w:tc>
          <w:tcPr>
            <w:tcW w:w="0" w:type="auto"/>
            <w:vAlign w:val="center"/>
            <w:hideMark/>
          </w:tcPr>
          <w:p w14:paraId="65B281B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2021</w:t>
            </w:r>
          </w:p>
        </w:tc>
        <w:tc>
          <w:tcPr>
            <w:tcW w:w="0" w:type="auto"/>
            <w:vAlign w:val="center"/>
            <w:hideMark/>
          </w:tcPr>
          <w:p w14:paraId="337375E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Policing strategies and effectiveness</w:t>
            </w:r>
          </w:p>
        </w:tc>
      </w:tr>
      <w:tr w:rsidR="005F1CE4" w:rsidRPr="005F1CE4" w14:paraId="110B857F" w14:textId="77777777" w:rsidTr="005F1CE4">
        <w:trPr>
          <w:tblCellSpacing w:w="15" w:type="dxa"/>
        </w:trPr>
        <w:tc>
          <w:tcPr>
            <w:tcW w:w="0" w:type="auto"/>
            <w:vAlign w:val="center"/>
            <w:hideMark/>
          </w:tcPr>
          <w:p w14:paraId="6C767F9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HM Government</w:t>
            </w:r>
          </w:p>
        </w:tc>
        <w:tc>
          <w:tcPr>
            <w:tcW w:w="0" w:type="auto"/>
            <w:vAlign w:val="center"/>
            <w:hideMark/>
          </w:tcPr>
          <w:p w14:paraId="65EC77E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Serious Violence Strategy</w:t>
            </w:r>
          </w:p>
        </w:tc>
        <w:tc>
          <w:tcPr>
            <w:tcW w:w="0" w:type="auto"/>
            <w:vAlign w:val="center"/>
            <w:hideMark/>
          </w:tcPr>
          <w:p w14:paraId="145E21D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2018</w:t>
            </w:r>
          </w:p>
        </w:tc>
        <w:tc>
          <w:tcPr>
            <w:tcW w:w="0" w:type="auto"/>
            <w:vAlign w:val="center"/>
            <w:hideMark/>
          </w:tcPr>
          <w:p w14:paraId="0159697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National policy framework</w:t>
            </w:r>
          </w:p>
        </w:tc>
      </w:tr>
      <w:tr w:rsidR="005F1CE4" w:rsidRPr="005F1CE4" w14:paraId="253BFF7E" w14:textId="77777777" w:rsidTr="005F1CE4">
        <w:trPr>
          <w:tblCellSpacing w:w="15" w:type="dxa"/>
        </w:trPr>
        <w:tc>
          <w:tcPr>
            <w:tcW w:w="0" w:type="auto"/>
            <w:vAlign w:val="center"/>
            <w:hideMark/>
          </w:tcPr>
          <w:p w14:paraId="1644FB4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Scottish Government</w:t>
            </w:r>
          </w:p>
        </w:tc>
        <w:tc>
          <w:tcPr>
            <w:tcW w:w="0" w:type="auto"/>
            <w:vAlign w:val="center"/>
            <w:hideMark/>
          </w:tcPr>
          <w:p w14:paraId="740111F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Violence Reduction Unit Annual Report</w:t>
            </w:r>
          </w:p>
        </w:tc>
        <w:tc>
          <w:tcPr>
            <w:tcW w:w="0" w:type="auto"/>
            <w:vAlign w:val="center"/>
            <w:hideMark/>
          </w:tcPr>
          <w:p w14:paraId="722956E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2018</w:t>
            </w:r>
          </w:p>
        </w:tc>
        <w:tc>
          <w:tcPr>
            <w:tcW w:w="0" w:type="auto"/>
            <w:vAlign w:val="center"/>
            <w:hideMark/>
          </w:tcPr>
          <w:p w14:paraId="18601BF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Public health approach to violence</w:t>
            </w:r>
          </w:p>
        </w:tc>
      </w:tr>
      <w:tr w:rsidR="005F1CE4" w:rsidRPr="005F1CE4" w14:paraId="3711060C" w14:textId="77777777" w:rsidTr="005F1CE4">
        <w:trPr>
          <w:tblCellSpacing w:w="15" w:type="dxa"/>
        </w:trPr>
        <w:tc>
          <w:tcPr>
            <w:tcW w:w="0" w:type="auto"/>
            <w:vAlign w:val="center"/>
            <w:hideMark/>
          </w:tcPr>
          <w:p w14:paraId="2E86A24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Public Health England</w:t>
            </w:r>
          </w:p>
        </w:tc>
        <w:tc>
          <w:tcPr>
            <w:tcW w:w="0" w:type="auto"/>
            <w:vAlign w:val="center"/>
            <w:hideMark/>
          </w:tcPr>
          <w:p w14:paraId="00A12DB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 Whole-System Multi-Agency Approach to Serious Violence Prevention</w:t>
            </w:r>
          </w:p>
        </w:tc>
        <w:tc>
          <w:tcPr>
            <w:tcW w:w="0" w:type="auto"/>
            <w:vAlign w:val="center"/>
            <w:hideMark/>
          </w:tcPr>
          <w:p w14:paraId="650B5A1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2019</w:t>
            </w:r>
          </w:p>
        </w:tc>
        <w:tc>
          <w:tcPr>
            <w:tcW w:w="0" w:type="auto"/>
            <w:vAlign w:val="center"/>
            <w:hideMark/>
          </w:tcPr>
          <w:p w14:paraId="79F2DC9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Prevention strategies</w:t>
            </w:r>
          </w:p>
        </w:tc>
      </w:tr>
      <w:tr w:rsidR="005F1CE4" w:rsidRPr="005F1CE4" w14:paraId="5D051C4D" w14:textId="77777777" w:rsidTr="005F1CE4">
        <w:trPr>
          <w:tblCellSpacing w:w="15" w:type="dxa"/>
        </w:trPr>
        <w:tc>
          <w:tcPr>
            <w:tcW w:w="0" w:type="auto"/>
            <w:vAlign w:val="center"/>
            <w:hideMark/>
          </w:tcPr>
          <w:p w14:paraId="679D4B1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Israel, M. and Hay, I.</w:t>
            </w:r>
          </w:p>
        </w:tc>
        <w:tc>
          <w:tcPr>
            <w:tcW w:w="0" w:type="auto"/>
            <w:vAlign w:val="center"/>
            <w:hideMark/>
          </w:tcPr>
          <w:p w14:paraId="42CA7AE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Research Ethics for Social Scientists</w:t>
            </w:r>
          </w:p>
        </w:tc>
        <w:tc>
          <w:tcPr>
            <w:tcW w:w="0" w:type="auto"/>
            <w:vAlign w:val="center"/>
            <w:hideMark/>
          </w:tcPr>
          <w:p w14:paraId="47767A1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2006</w:t>
            </w:r>
          </w:p>
        </w:tc>
        <w:tc>
          <w:tcPr>
            <w:tcW w:w="0" w:type="auto"/>
            <w:vAlign w:val="center"/>
            <w:hideMark/>
          </w:tcPr>
          <w:p w14:paraId="4A4A626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Ethical considerations</w:t>
            </w:r>
          </w:p>
        </w:tc>
      </w:tr>
    </w:tbl>
    <w:p w14:paraId="1F3B1409"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26A6A79D">
          <v:rect id="_x0000_i1026" style="width:0;height:1.5pt" o:hralign="center" o:hrstd="t" o:hr="t" fillcolor="#a0a0a0" stroked="f"/>
        </w:pict>
      </w:r>
    </w:p>
    <w:p w14:paraId="75D2D926" w14:textId="2B824CE2"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08CD5CA0" w14:textId="77777777" w:rsidR="005F1CE4" w:rsidRPr="005F1CE4" w:rsidRDefault="005F1CE4" w:rsidP="71A1AD18">
      <w:pPr>
        <w:spacing w:before="100" w:beforeAutospacing="1" w:after="100" w:afterAutospacing="1" w:line="240" w:lineRule="auto"/>
        <w:rPr>
          <w:rFonts w:ascii="Times New Roman" w:eastAsia="Times New Roman" w:hAnsi="Times New Roman" w:cs="Times New Roman"/>
          <w:sz w:val="24"/>
          <w:szCs w:val="24"/>
          <w:lang w:eastAsia="en-GB"/>
        </w:rPr>
      </w:pPr>
      <w:r w:rsidRPr="71A1AD18">
        <w:rPr>
          <w:rFonts w:eastAsiaTheme="minorEastAsia"/>
          <w:sz w:val="24"/>
          <w:szCs w:val="24"/>
          <w:lang w:eastAsia="en-GB"/>
        </w:rPr>
        <w:t>Appendix A3: Data Collection 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9"/>
        <w:gridCol w:w="5313"/>
        <w:gridCol w:w="1349"/>
      </w:tblGrid>
      <w:tr w:rsidR="005F1CE4" w:rsidRPr="005F1CE4" w14:paraId="112ADD12" w14:textId="77777777" w:rsidTr="005F1CE4">
        <w:trPr>
          <w:tblHeader/>
          <w:tblCellSpacing w:w="15" w:type="dxa"/>
        </w:trPr>
        <w:tc>
          <w:tcPr>
            <w:tcW w:w="0" w:type="auto"/>
            <w:vAlign w:val="center"/>
            <w:hideMark/>
          </w:tcPr>
          <w:p w14:paraId="1FE7A217"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Stage</w:t>
            </w:r>
          </w:p>
        </w:tc>
        <w:tc>
          <w:tcPr>
            <w:tcW w:w="0" w:type="auto"/>
            <w:vAlign w:val="center"/>
            <w:hideMark/>
          </w:tcPr>
          <w:p w14:paraId="18283460"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Activity</w:t>
            </w:r>
          </w:p>
        </w:tc>
        <w:tc>
          <w:tcPr>
            <w:tcW w:w="0" w:type="auto"/>
            <w:vAlign w:val="center"/>
            <w:hideMark/>
          </w:tcPr>
          <w:p w14:paraId="25035827"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Time Period</w:t>
            </w:r>
          </w:p>
        </w:tc>
      </w:tr>
      <w:tr w:rsidR="005F1CE4" w:rsidRPr="005F1CE4" w14:paraId="02831A4C" w14:textId="77777777" w:rsidTr="005F1CE4">
        <w:trPr>
          <w:tblCellSpacing w:w="15" w:type="dxa"/>
        </w:trPr>
        <w:tc>
          <w:tcPr>
            <w:tcW w:w="0" w:type="auto"/>
            <w:vAlign w:val="center"/>
            <w:hideMark/>
          </w:tcPr>
          <w:p w14:paraId="51A1AD1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Stage 1</w:t>
            </w:r>
          </w:p>
        </w:tc>
        <w:tc>
          <w:tcPr>
            <w:tcW w:w="0" w:type="auto"/>
            <w:vAlign w:val="center"/>
            <w:hideMark/>
          </w:tcPr>
          <w:p w14:paraId="2C93107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Initial literature review and source identification</w:t>
            </w:r>
          </w:p>
        </w:tc>
        <w:tc>
          <w:tcPr>
            <w:tcW w:w="0" w:type="auto"/>
            <w:vAlign w:val="center"/>
            <w:hideMark/>
          </w:tcPr>
          <w:p w14:paraId="16A0420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Months 1–2</w:t>
            </w:r>
          </w:p>
        </w:tc>
      </w:tr>
      <w:tr w:rsidR="005F1CE4" w:rsidRPr="005F1CE4" w14:paraId="502BAF1E" w14:textId="77777777" w:rsidTr="005F1CE4">
        <w:trPr>
          <w:tblCellSpacing w:w="15" w:type="dxa"/>
        </w:trPr>
        <w:tc>
          <w:tcPr>
            <w:tcW w:w="0" w:type="auto"/>
            <w:vAlign w:val="center"/>
            <w:hideMark/>
          </w:tcPr>
          <w:p w14:paraId="1C4FB7F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Stage 2</w:t>
            </w:r>
          </w:p>
        </w:tc>
        <w:tc>
          <w:tcPr>
            <w:tcW w:w="0" w:type="auto"/>
            <w:vAlign w:val="center"/>
            <w:hideMark/>
          </w:tcPr>
          <w:p w14:paraId="5F7D9A2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Collection of ONS and Home Office statistical data</w:t>
            </w:r>
          </w:p>
        </w:tc>
        <w:tc>
          <w:tcPr>
            <w:tcW w:w="0" w:type="auto"/>
            <w:vAlign w:val="center"/>
            <w:hideMark/>
          </w:tcPr>
          <w:p w14:paraId="6D6FEC7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Months 2–3</w:t>
            </w:r>
          </w:p>
        </w:tc>
      </w:tr>
      <w:tr w:rsidR="005F1CE4" w:rsidRPr="005F1CE4" w14:paraId="3855AFBE" w14:textId="77777777" w:rsidTr="005F1CE4">
        <w:trPr>
          <w:tblCellSpacing w:w="15" w:type="dxa"/>
        </w:trPr>
        <w:tc>
          <w:tcPr>
            <w:tcW w:w="0" w:type="auto"/>
            <w:vAlign w:val="center"/>
            <w:hideMark/>
          </w:tcPr>
          <w:p w14:paraId="7FCD1A6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Stage 3</w:t>
            </w:r>
          </w:p>
        </w:tc>
        <w:tc>
          <w:tcPr>
            <w:tcW w:w="0" w:type="auto"/>
            <w:vAlign w:val="center"/>
            <w:hideMark/>
          </w:tcPr>
          <w:p w14:paraId="1B93D5B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Collection of NHS Digital and Ministry of Justice data</w:t>
            </w:r>
          </w:p>
        </w:tc>
        <w:tc>
          <w:tcPr>
            <w:tcW w:w="0" w:type="auto"/>
            <w:vAlign w:val="center"/>
            <w:hideMark/>
          </w:tcPr>
          <w:p w14:paraId="466BD60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Month 3</w:t>
            </w:r>
          </w:p>
        </w:tc>
      </w:tr>
      <w:tr w:rsidR="005F1CE4" w:rsidRPr="005F1CE4" w14:paraId="50B1F5BD" w14:textId="77777777" w:rsidTr="005F1CE4">
        <w:trPr>
          <w:tblCellSpacing w:w="15" w:type="dxa"/>
        </w:trPr>
        <w:tc>
          <w:tcPr>
            <w:tcW w:w="0" w:type="auto"/>
            <w:vAlign w:val="center"/>
            <w:hideMark/>
          </w:tcPr>
          <w:p w14:paraId="70BFE92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Stage 4</w:t>
            </w:r>
          </w:p>
        </w:tc>
        <w:tc>
          <w:tcPr>
            <w:tcW w:w="0" w:type="auto"/>
            <w:vAlign w:val="center"/>
            <w:hideMark/>
          </w:tcPr>
          <w:p w14:paraId="6E39C38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Collection of Gwent Police local data and reports</w:t>
            </w:r>
          </w:p>
        </w:tc>
        <w:tc>
          <w:tcPr>
            <w:tcW w:w="0" w:type="auto"/>
            <w:vAlign w:val="center"/>
            <w:hideMark/>
          </w:tcPr>
          <w:p w14:paraId="781C119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Months 3–4</w:t>
            </w:r>
          </w:p>
        </w:tc>
      </w:tr>
      <w:tr w:rsidR="005F1CE4" w:rsidRPr="005F1CE4" w14:paraId="4EB42325" w14:textId="77777777" w:rsidTr="005F1CE4">
        <w:trPr>
          <w:tblCellSpacing w:w="15" w:type="dxa"/>
        </w:trPr>
        <w:tc>
          <w:tcPr>
            <w:tcW w:w="0" w:type="auto"/>
            <w:vAlign w:val="center"/>
            <w:hideMark/>
          </w:tcPr>
          <w:p w14:paraId="1D2D208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Stage 5</w:t>
            </w:r>
          </w:p>
        </w:tc>
        <w:tc>
          <w:tcPr>
            <w:tcW w:w="0" w:type="auto"/>
            <w:vAlign w:val="center"/>
            <w:hideMark/>
          </w:tcPr>
          <w:p w14:paraId="72AEFEC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Data cleaning, standardisation, and organisation</w:t>
            </w:r>
          </w:p>
        </w:tc>
        <w:tc>
          <w:tcPr>
            <w:tcW w:w="0" w:type="auto"/>
            <w:vAlign w:val="center"/>
            <w:hideMark/>
          </w:tcPr>
          <w:p w14:paraId="0D81F28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Month 4</w:t>
            </w:r>
          </w:p>
        </w:tc>
      </w:tr>
      <w:tr w:rsidR="005F1CE4" w:rsidRPr="005F1CE4" w14:paraId="75390FC6" w14:textId="77777777" w:rsidTr="005F1CE4">
        <w:trPr>
          <w:tblCellSpacing w:w="15" w:type="dxa"/>
        </w:trPr>
        <w:tc>
          <w:tcPr>
            <w:tcW w:w="0" w:type="auto"/>
            <w:vAlign w:val="center"/>
            <w:hideMark/>
          </w:tcPr>
          <w:p w14:paraId="3ED83AE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Stage 6</w:t>
            </w:r>
          </w:p>
        </w:tc>
        <w:tc>
          <w:tcPr>
            <w:tcW w:w="0" w:type="auto"/>
            <w:vAlign w:val="center"/>
            <w:hideMark/>
          </w:tcPr>
          <w:p w14:paraId="2D27610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Quantitative and qualitative analysis</w:t>
            </w:r>
          </w:p>
        </w:tc>
        <w:tc>
          <w:tcPr>
            <w:tcW w:w="0" w:type="auto"/>
            <w:vAlign w:val="center"/>
            <w:hideMark/>
          </w:tcPr>
          <w:p w14:paraId="2C238EA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Months 4–6</w:t>
            </w:r>
          </w:p>
        </w:tc>
      </w:tr>
      <w:tr w:rsidR="005F1CE4" w:rsidRPr="005F1CE4" w14:paraId="2EFC0C31" w14:textId="77777777" w:rsidTr="005F1CE4">
        <w:trPr>
          <w:tblCellSpacing w:w="15" w:type="dxa"/>
        </w:trPr>
        <w:tc>
          <w:tcPr>
            <w:tcW w:w="0" w:type="auto"/>
            <w:vAlign w:val="center"/>
            <w:hideMark/>
          </w:tcPr>
          <w:p w14:paraId="00833CF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Stage 7</w:t>
            </w:r>
          </w:p>
        </w:tc>
        <w:tc>
          <w:tcPr>
            <w:tcW w:w="0" w:type="auto"/>
            <w:vAlign w:val="center"/>
            <w:hideMark/>
          </w:tcPr>
          <w:p w14:paraId="4E4D56F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Writing and review</w:t>
            </w:r>
          </w:p>
        </w:tc>
        <w:tc>
          <w:tcPr>
            <w:tcW w:w="0" w:type="auto"/>
            <w:vAlign w:val="center"/>
            <w:hideMark/>
          </w:tcPr>
          <w:p w14:paraId="32364C1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Months 6–8</w:t>
            </w:r>
          </w:p>
        </w:tc>
      </w:tr>
    </w:tbl>
    <w:p w14:paraId="562C75D1"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C41A61E">
          <v:rect id="_x0000_i1027" style="width:0;height:1.5pt" o:hralign="center" o:hrstd="t" o:hr="t" fillcolor="#a0a0a0" stroked="f"/>
        </w:pict>
      </w:r>
    </w:p>
    <w:p w14:paraId="1377F40C"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A4: Data Cleaning and Standardisation Process</w:t>
      </w:r>
    </w:p>
    <w:p w14:paraId="7EA4A5B7"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The following steps were undertaken to ensure consistency and accuracy across all datasets used in the study:</w:t>
      </w:r>
    </w:p>
    <w:p w14:paraId="39E23C5B" w14:textId="77777777" w:rsidR="005F1CE4" w:rsidRPr="005F1CE4" w:rsidRDefault="005F1CE4" w:rsidP="005F1CE4">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All datasets were aligned to a consistent financial year format (April to March) to allow meaningful comparison across sources.</w:t>
      </w:r>
    </w:p>
    <w:p w14:paraId="65E8597E" w14:textId="77777777" w:rsidR="005F1CE4" w:rsidRPr="005F1CE4" w:rsidRDefault="005F1CE4" w:rsidP="005F1CE4">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Offence categories were standardised using ONS definitions to ensure that like-for-like comparisons were made across different force areas and time periods.</w:t>
      </w:r>
    </w:p>
    <w:p w14:paraId="3E31BE53" w14:textId="77777777" w:rsidR="005F1CE4" w:rsidRPr="005F1CE4" w:rsidRDefault="005F1CE4" w:rsidP="005F1CE4">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Duplicate entries identified during the data extraction process were removed before analysis began.</w:t>
      </w:r>
    </w:p>
    <w:p w14:paraId="1AFC9A53" w14:textId="77777777" w:rsidR="005F1CE4" w:rsidRPr="005F1CE4" w:rsidRDefault="005F1CE4" w:rsidP="005F1CE4">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Missing data points were identified and addressed through cross-referencing with alternative official sources wherever possible.</w:t>
      </w:r>
    </w:p>
    <w:p w14:paraId="285FFE55" w14:textId="77777777" w:rsidR="005F1CE4" w:rsidRPr="005F1CE4" w:rsidRDefault="005F1CE4" w:rsidP="005F1CE4">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Population figures used to calculate rates per 100,000 were drawn consistently from ONS mid-year population estimates for the relevant years.</w:t>
      </w:r>
    </w:p>
    <w:p w14:paraId="664355AD"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0B9B4ED2">
          <v:rect id="_x0000_i1028" style="width:0;height:1.5pt" o:hralign="center" o:hrstd="t" o:hr="t" fillcolor="#a0a0a0" stroked="f"/>
        </w:pict>
      </w:r>
    </w:p>
    <w:p w14:paraId="58142D85" w14:textId="69CEFEBF"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18A74D10"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lastRenderedPageBreak/>
        <w:t>Appendix A5: Ethical Considerations Checklist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5"/>
        <w:gridCol w:w="6481"/>
      </w:tblGrid>
      <w:tr w:rsidR="005F1CE4" w:rsidRPr="005F1CE4" w14:paraId="05EAFF27" w14:textId="77777777" w:rsidTr="005F1CE4">
        <w:trPr>
          <w:tblHeader/>
          <w:tblCellSpacing w:w="15" w:type="dxa"/>
        </w:trPr>
        <w:tc>
          <w:tcPr>
            <w:tcW w:w="0" w:type="auto"/>
            <w:vAlign w:val="center"/>
            <w:hideMark/>
          </w:tcPr>
          <w:p w14:paraId="4EFF2A5E"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Ethical Consideration</w:t>
            </w:r>
          </w:p>
        </w:tc>
        <w:tc>
          <w:tcPr>
            <w:tcW w:w="0" w:type="auto"/>
            <w:vAlign w:val="center"/>
            <w:hideMark/>
          </w:tcPr>
          <w:p w14:paraId="08CF662B"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How It Was Addressed</w:t>
            </w:r>
          </w:p>
        </w:tc>
      </w:tr>
      <w:tr w:rsidR="005F1CE4" w:rsidRPr="005F1CE4" w14:paraId="6993A517" w14:textId="77777777" w:rsidTr="005F1CE4">
        <w:trPr>
          <w:tblCellSpacing w:w="15" w:type="dxa"/>
        </w:trPr>
        <w:tc>
          <w:tcPr>
            <w:tcW w:w="0" w:type="auto"/>
            <w:vAlign w:val="center"/>
            <w:hideMark/>
          </w:tcPr>
          <w:p w14:paraId="3652855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Use of publicly available data only</w:t>
            </w:r>
          </w:p>
        </w:tc>
        <w:tc>
          <w:tcPr>
            <w:tcW w:w="0" w:type="auto"/>
            <w:vAlign w:val="center"/>
            <w:hideMark/>
          </w:tcPr>
          <w:p w14:paraId="33E6DBD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All datasets used are publicly accessible via official government and NHS sources</w:t>
            </w:r>
          </w:p>
        </w:tc>
      </w:tr>
      <w:tr w:rsidR="005F1CE4" w:rsidRPr="005F1CE4" w14:paraId="7952B1ED" w14:textId="77777777" w:rsidTr="005F1CE4">
        <w:trPr>
          <w:tblCellSpacing w:w="15" w:type="dxa"/>
        </w:trPr>
        <w:tc>
          <w:tcPr>
            <w:tcW w:w="0" w:type="auto"/>
            <w:vAlign w:val="center"/>
            <w:hideMark/>
          </w:tcPr>
          <w:p w14:paraId="379FF3D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Anonymisation of data</w:t>
            </w:r>
          </w:p>
        </w:tc>
        <w:tc>
          <w:tcPr>
            <w:tcW w:w="0" w:type="auto"/>
            <w:vAlign w:val="center"/>
            <w:hideMark/>
          </w:tcPr>
          <w:p w14:paraId="15574A6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No personally identifiable information was used at any point in the research</w:t>
            </w:r>
          </w:p>
        </w:tc>
      </w:tr>
      <w:tr w:rsidR="005F1CE4" w:rsidRPr="005F1CE4" w14:paraId="205E433B" w14:textId="77777777" w:rsidTr="005F1CE4">
        <w:trPr>
          <w:tblCellSpacing w:w="15" w:type="dxa"/>
        </w:trPr>
        <w:tc>
          <w:tcPr>
            <w:tcW w:w="0" w:type="auto"/>
            <w:vAlign w:val="center"/>
            <w:hideMark/>
          </w:tcPr>
          <w:p w14:paraId="52E3D59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Accurate and responsible presentation</w:t>
            </w:r>
          </w:p>
        </w:tc>
        <w:tc>
          <w:tcPr>
            <w:tcW w:w="0" w:type="auto"/>
            <w:vAlign w:val="center"/>
            <w:hideMark/>
          </w:tcPr>
          <w:p w14:paraId="1BAB6F7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All findings are presented within a broader social context to avoid misrepresentation</w:t>
            </w:r>
          </w:p>
        </w:tc>
      </w:tr>
      <w:tr w:rsidR="005F1CE4" w:rsidRPr="005F1CE4" w14:paraId="359F040D" w14:textId="77777777" w:rsidTr="005F1CE4">
        <w:trPr>
          <w:tblCellSpacing w:w="15" w:type="dxa"/>
        </w:trPr>
        <w:tc>
          <w:tcPr>
            <w:tcW w:w="0" w:type="auto"/>
            <w:vAlign w:val="center"/>
            <w:hideMark/>
          </w:tcPr>
          <w:p w14:paraId="590D75B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Avoiding stigmatisation of communities</w:t>
            </w:r>
          </w:p>
        </w:tc>
        <w:tc>
          <w:tcPr>
            <w:tcW w:w="0" w:type="auto"/>
            <w:vAlign w:val="center"/>
            <w:hideMark/>
          </w:tcPr>
          <w:p w14:paraId="3250DAE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Language used throughout the study has been carefully reviewed to avoid stereotyping or stigmatising any specific community or group</w:t>
            </w:r>
          </w:p>
        </w:tc>
      </w:tr>
      <w:tr w:rsidR="005F1CE4" w:rsidRPr="005F1CE4" w14:paraId="1BC52DDE" w14:textId="77777777" w:rsidTr="005F1CE4">
        <w:trPr>
          <w:tblCellSpacing w:w="15" w:type="dxa"/>
        </w:trPr>
        <w:tc>
          <w:tcPr>
            <w:tcW w:w="0" w:type="auto"/>
            <w:vAlign w:val="center"/>
            <w:hideMark/>
          </w:tcPr>
          <w:p w14:paraId="54450D3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Confidentiality of datasets</w:t>
            </w:r>
          </w:p>
        </w:tc>
        <w:tc>
          <w:tcPr>
            <w:tcW w:w="0" w:type="auto"/>
            <w:vAlign w:val="center"/>
            <w:hideMark/>
          </w:tcPr>
          <w:p w14:paraId="0F8DC8F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All anonymised datasets have been handled in accordance with their terms of use</w:t>
            </w:r>
          </w:p>
        </w:tc>
      </w:tr>
    </w:tbl>
    <w:p w14:paraId="1A965116"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7C6799C">
          <v:rect id="_x0000_i1029" style="width:0;height:1.5pt" o:hralign="center" o:hrstd="t" o:hr="t" fillcolor="#a0a0a0" stroked="f"/>
        </w:pict>
      </w:r>
    </w:p>
    <w:p w14:paraId="2E010AAE" w14:textId="657AD6FD"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31D9F497" w14:textId="6B259DBB" w:rsidR="71A1AD18" w:rsidRDefault="71A1AD18" w:rsidP="71A1AD18">
      <w:pPr>
        <w:spacing w:beforeAutospacing="1" w:afterAutospacing="1" w:line="240" w:lineRule="auto"/>
        <w:rPr>
          <w:rFonts w:ascii="Calibri" w:eastAsia="Calibri" w:hAnsi="Calibri" w:cs="Calibri"/>
          <w:sz w:val="24"/>
          <w:szCs w:val="24"/>
          <w:lang w:eastAsia="en-GB"/>
        </w:rPr>
      </w:pPr>
    </w:p>
    <w:p w14:paraId="05411E0C" w14:textId="77777777" w:rsidR="005F1CE4" w:rsidRPr="005F1CE4" w:rsidRDefault="03A48A83" w:rsidP="73B96FFC">
      <w:pPr>
        <w:spacing w:before="100" w:beforeAutospacing="1" w:after="100" w:afterAutospacing="1" w:line="240" w:lineRule="auto"/>
        <w:rPr>
          <w:rFonts w:ascii="Times New Roman" w:eastAsia="Times New Roman" w:hAnsi="Times New Roman" w:cs="Times New Roman"/>
          <w:sz w:val="24"/>
          <w:szCs w:val="24"/>
          <w:lang w:eastAsia="en-GB"/>
        </w:rPr>
      </w:pPr>
      <w:r w:rsidRPr="71A1AD18">
        <w:rPr>
          <w:rFonts w:ascii="Calibri" w:eastAsia="Calibri" w:hAnsi="Calibri" w:cs="Calibri"/>
          <w:sz w:val="24"/>
          <w:szCs w:val="24"/>
          <w:lang w:eastAsia="en-GB"/>
        </w:rPr>
        <w:t>APPENDIX B: National Knife Crime Data</w:t>
      </w:r>
    </w:p>
    <w:p w14:paraId="150E6FC1" w14:textId="01BF9C64" w:rsidR="005F1CE4" w:rsidRPr="005F1CE4" w:rsidRDefault="005F1CE4" w:rsidP="71A1AD18">
      <w:pPr>
        <w:spacing w:before="100" w:beforeAutospacing="1" w:after="100" w:afterAutospacing="1" w:line="240" w:lineRule="auto"/>
        <w:rPr>
          <w:rFonts w:eastAsiaTheme="minorEastAsia"/>
          <w:i/>
          <w:iCs/>
          <w:sz w:val="24"/>
          <w:szCs w:val="24"/>
          <w:lang w:eastAsia="en-GB"/>
        </w:rPr>
      </w:pPr>
    </w:p>
    <w:p w14:paraId="560F9401" w14:textId="726044C4" w:rsidR="005F1CE4" w:rsidRPr="005F1CE4" w:rsidRDefault="005F1CE4" w:rsidP="71A1AD18">
      <w:pPr>
        <w:spacing w:before="100" w:beforeAutospacing="1" w:after="0" w:afterAutospacing="1" w:line="240" w:lineRule="auto"/>
        <w:rPr>
          <w:rFonts w:ascii="Times New Roman" w:eastAsia="Times New Roman" w:hAnsi="Times New Roman" w:cs="Times New Roman"/>
          <w:sz w:val="24"/>
          <w:szCs w:val="24"/>
          <w:lang w:eastAsia="en-GB"/>
        </w:rPr>
      </w:pPr>
      <w:r w:rsidRPr="71A1AD18">
        <w:rPr>
          <w:rFonts w:ascii="Times New Roman" w:eastAsia="Times New Roman" w:hAnsi="Times New Roman" w:cs="Times New Roman"/>
          <w:b/>
          <w:bCs/>
          <w:sz w:val="24"/>
          <w:szCs w:val="24"/>
          <w:lang w:eastAsia="en-GB"/>
        </w:rPr>
        <w:t>Appendix B1: Recorded Knife Crime Offences in England and Wales (2012–2025)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2"/>
        <w:gridCol w:w="3346"/>
        <w:gridCol w:w="2808"/>
      </w:tblGrid>
      <w:tr w:rsidR="005F1CE4" w:rsidRPr="005F1CE4" w14:paraId="0B969603" w14:textId="77777777" w:rsidTr="005F1CE4">
        <w:trPr>
          <w:tblHeader/>
          <w:tblCellSpacing w:w="15" w:type="dxa"/>
        </w:trPr>
        <w:tc>
          <w:tcPr>
            <w:tcW w:w="0" w:type="auto"/>
            <w:vAlign w:val="center"/>
            <w:hideMark/>
          </w:tcPr>
          <w:p w14:paraId="1D6DE76D"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Year</w:t>
            </w:r>
          </w:p>
        </w:tc>
        <w:tc>
          <w:tcPr>
            <w:tcW w:w="0" w:type="auto"/>
            <w:vAlign w:val="center"/>
            <w:hideMark/>
          </w:tcPr>
          <w:p w14:paraId="44AAFE99"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Recorded Knife Crime Offences</w:t>
            </w:r>
          </w:p>
        </w:tc>
        <w:tc>
          <w:tcPr>
            <w:tcW w:w="0" w:type="auto"/>
            <w:vAlign w:val="center"/>
            <w:hideMark/>
          </w:tcPr>
          <w:p w14:paraId="5A99E91B" w14:textId="77777777" w:rsidR="005F1CE4" w:rsidRPr="005F1CE4" w:rsidRDefault="005F1CE4" w:rsidP="005F1CE4">
            <w:pPr>
              <w:spacing w:after="0" w:line="240" w:lineRule="auto"/>
              <w:jc w:val="center"/>
              <w:rPr>
                <w:rFonts w:ascii="Times New Roman" w:eastAsia="Times New Roman" w:hAnsi="Times New Roman" w:cs="Times New Roman"/>
                <w:b/>
                <w:bCs/>
                <w:sz w:val="24"/>
                <w:szCs w:val="24"/>
                <w:lang w:eastAsia="en-GB"/>
              </w:rPr>
            </w:pPr>
            <w:r w:rsidRPr="005F1CE4">
              <w:rPr>
                <w:rFonts w:ascii="Times New Roman" w:eastAsia="Times New Roman" w:hAnsi="Times New Roman" w:cs="Times New Roman"/>
                <w:b/>
                <w:bCs/>
                <w:sz w:val="24"/>
                <w:szCs w:val="24"/>
                <w:lang w:eastAsia="en-GB"/>
              </w:rPr>
              <w:t>Year-on-Year Change (%)</w:t>
            </w:r>
          </w:p>
        </w:tc>
      </w:tr>
      <w:tr w:rsidR="005F1CE4" w:rsidRPr="005F1CE4" w14:paraId="2E60B999" w14:textId="77777777" w:rsidTr="005F1CE4">
        <w:trPr>
          <w:tblCellSpacing w:w="15" w:type="dxa"/>
        </w:trPr>
        <w:tc>
          <w:tcPr>
            <w:tcW w:w="0" w:type="auto"/>
            <w:vAlign w:val="center"/>
            <w:hideMark/>
          </w:tcPr>
          <w:p w14:paraId="2DF00DC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2012/13</w:t>
            </w:r>
          </w:p>
        </w:tc>
        <w:tc>
          <w:tcPr>
            <w:tcW w:w="0" w:type="auto"/>
            <w:vAlign w:val="center"/>
            <w:hideMark/>
          </w:tcPr>
          <w:p w14:paraId="1C26C1A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25,974</w:t>
            </w:r>
          </w:p>
        </w:tc>
        <w:tc>
          <w:tcPr>
            <w:tcW w:w="0" w:type="auto"/>
            <w:vAlign w:val="center"/>
            <w:hideMark/>
          </w:tcPr>
          <w:p w14:paraId="2D366E0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t>
            </w:r>
          </w:p>
        </w:tc>
      </w:tr>
      <w:tr w:rsidR="005F1CE4" w:rsidRPr="005F1CE4" w14:paraId="508BD7AB" w14:textId="77777777" w:rsidTr="005F1CE4">
        <w:trPr>
          <w:tblCellSpacing w:w="15" w:type="dxa"/>
        </w:trPr>
        <w:tc>
          <w:tcPr>
            <w:tcW w:w="0" w:type="auto"/>
            <w:vAlign w:val="center"/>
            <w:hideMark/>
          </w:tcPr>
          <w:p w14:paraId="7F2413B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2013/14</w:t>
            </w:r>
          </w:p>
        </w:tc>
        <w:tc>
          <w:tcPr>
            <w:tcW w:w="0" w:type="auto"/>
            <w:vAlign w:val="center"/>
            <w:hideMark/>
          </w:tcPr>
          <w:p w14:paraId="31F2D0C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25,119</w:t>
            </w:r>
          </w:p>
        </w:tc>
        <w:tc>
          <w:tcPr>
            <w:tcW w:w="0" w:type="auto"/>
            <w:vAlign w:val="center"/>
            <w:hideMark/>
          </w:tcPr>
          <w:p w14:paraId="2A9145A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-3.3%</w:t>
            </w:r>
          </w:p>
        </w:tc>
      </w:tr>
      <w:tr w:rsidR="005F1CE4" w:rsidRPr="005F1CE4" w14:paraId="39EBE6F1" w14:textId="77777777" w:rsidTr="005F1CE4">
        <w:trPr>
          <w:tblCellSpacing w:w="15" w:type="dxa"/>
        </w:trPr>
        <w:tc>
          <w:tcPr>
            <w:tcW w:w="0" w:type="auto"/>
            <w:vAlign w:val="center"/>
            <w:hideMark/>
          </w:tcPr>
          <w:p w14:paraId="3A034B5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2014/15</w:t>
            </w:r>
          </w:p>
        </w:tc>
        <w:tc>
          <w:tcPr>
            <w:tcW w:w="0" w:type="auto"/>
            <w:vAlign w:val="center"/>
            <w:hideMark/>
          </w:tcPr>
          <w:p w14:paraId="1FB81F7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26,370</w:t>
            </w:r>
          </w:p>
        </w:tc>
        <w:tc>
          <w:tcPr>
            <w:tcW w:w="0" w:type="auto"/>
            <w:vAlign w:val="center"/>
            <w:hideMark/>
          </w:tcPr>
          <w:p w14:paraId="418E651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+5.0%</w:t>
            </w:r>
          </w:p>
        </w:tc>
      </w:tr>
      <w:tr w:rsidR="005F1CE4" w:rsidRPr="005F1CE4" w14:paraId="792A2BCF" w14:textId="77777777" w:rsidTr="005F1CE4">
        <w:trPr>
          <w:tblCellSpacing w:w="15" w:type="dxa"/>
        </w:trPr>
        <w:tc>
          <w:tcPr>
            <w:tcW w:w="0" w:type="auto"/>
            <w:vAlign w:val="center"/>
            <w:hideMark/>
          </w:tcPr>
          <w:p w14:paraId="20725E0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2015/16</w:t>
            </w:r>
          </w:p>
        </w:tc>
        <w:tc>
          <w:tcPr>
            <w:tcW w:w="0" w:type="auto"/>
            <w:vAlign w:val="center"/>
            <w:hideMark/>
          </w:tcPr>
          <w:p w14:paraId="486837B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30,838</w:t>
            </w:r>
          </w:p>
        </w:tc>
        <w:tc>
          <w:tcPr>
            <w:tcW w:w="0" w:type="auto"/>
            <w:vAlign w:val="center"/>
            <w:hideMark/>
          </w:tcPr>
          <w:p w14:paraId="1C139A3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+16.9%</w:t>
            </w:r>
          </w:p>
        </w:tc>
      </w:tr>
      <w:tr w:rsidR="005F1CE4" w:rsidRPr="005F1CE4" w14:paraId="3176222E" w14:textId="77777777" w:rsidTr="005F1CE4">
        <w:trPr>
          <w:tblCellSpacing w:w="15" w:type="dxa"/>
        </w:trPr>
        <w:tc>
          <w:tcPr>
            <w:tcW w:w="0" w:type="auto"/>
            <w:vAlign w:val="center"/>
            <w:hideMark/>
          </w:tcPr>
          <w:p w14:paraId="0623C4A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2016/17</w:t>
            </w:r>
          </w:p>
        </w:tc>
        <w:tc>
          <w:tcPr>
            <w:tcW w:w="0" w:type="auto"/>
            <w:vAlign w:val="center"/>
            <w:hideMark/>
          </w:tcPr>
          <w:p w14:paraId="386E4A7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34,703</w:t>
            </w:r>
          </w:p>
        </w:tc>
        <w:tc>
          <w:tcPr>
            <w:tcW w:w="0" w:type="auto"/>
            <w:vAlign w:val="center"/>
            <w:hideMark/>
          </w:tcPr>
          <w:p w14:paraId="260D3EC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+12.5%</w:t>
            </w:r>
          </w:p>
        </w:tc>
      </w:tr>
      <w:tr w:rsidR="005F1CE4" w:rsidRPr="005F1CE4" w14:paraId="2C2327B6" w14:textId="77777777" w:rsidTr="005F1CE4">
        <w:trPr>
          <w:tblCellSpacing w:w="15" w:type="dxa"/>
        </w:trPr>
        <w:tc>
          <w:tcPr>
            <w:tcW w:w="0" w:type="auto"/>
            <w:vAlign w:val="center"/>
            <w:hideMark/>
          </w:tcPr>
          <w:p w14:paraId="4AAAD6F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2017/18</w:t>
            </w:r>
          </w:p>
        </w:tc>
        <w:tc>
          <w:tcPr>
            <w:tcW w:w="0" w:type="auto"/>
            <w:vAlign w:val="center"/>
            <w:hideMark/>
          </w:tcPr>
          <w:p w14:paraId="3115DDE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40,147</w:t>
            </w:r>
          </w:p>
        </w:tc>
        <w:tc>
          <w:tcPr>
            <w:tcW w:w="0" w:type="auto"/>
            <w:vAlign w:val="center"/>
            <w:hideMark/>
          </w:tcPr>
          <w:p w14:paraId="7746ACF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+15.7%</w:t>
            </w:r>
          </w:p>
        </w:tc>
      </w:tr>
      <w:tr w:rsidR="005F1CE4" w:rsidRPr="005F1CE4" w14:paraId="28BAB3E0" w14:textId="77777777" w:rsidTr="005F1CE4">
        <w:trPr>
          <w:tblCellSpacing w:w="15" w:type="dxa"/>
        </w:trPr>
        <w:tc>
          <w:tcPr>
            <w:tcW w:w="0" w:type="auto"/>
            <w:vAlign w:val="center"/>
            <w:hideMark/>
          </w:tcPr>
          <w:p w14:paraId="3A301EA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2018/19</w:t>
            </w:r>
          </w:p>
        </w:tc>
        <w:tc>
          <w:tcPr>
            <w:tcW w:w="0" w:type="auto"/>
            <w:vAlign w:val="center"/>
            <w:hideMark/>
          </w:tcPr>
          <w:p w14:paraId="2A1E45C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43,516</w:t>
            </w:r>
          </w:p>
        </w:tc>
        <w:tc>
          <w:tcPr>
            <w:tcW w:w="0" w:type="auto"/>
            <w:vAlign w:val="center"/>
            <w:hideMark/>
          </w:tcPr>
          <w:p w14:paraId="38A3526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+8.4%</w:t>
            </w:r>
          </w:p>
        </w:tc>
      </w:tr>
      <w:tr w:rsidR="005F1CE4" w:rsidRPr="005F1CE4" w14:paraId="4D2991E8" w14:textId="77777777" w:rsidTr="005F1CE4">
        <w:trPr>
          <w:tblCellSpacing w:w="15" w:type="dxa"/>
        </w:trPr>
        <w:tc>
          <w:tcPr>
            <w:tcW w:w="0" w:type="auto"/>
            <w:vAlign w:val="center"/>
            <w:hideMark/>
          </w:tcPr>
          <w:p w14:paraId="2415737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2019/20</w:t>
            </w:r>
          </w:p>
        </w:tc>
        <w:tc>
          <w:tcPr>
            <w:tcW w:w="0" w:type="auto"/>
            <w:vAlign w:val="center"/>
            <w:hideMark/>
          </w:tcPr>
          <w:p w14:paraId="74821E4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46,265</w:t>
            </w:r>
          </w:p>
        </w:tc>
        <w:tc>
          <w:tcPr>
            <w:tcW w:w="0" w:type="auto"/>
            <w:vAlign w:val="center"/>
            <w:hideMark/>
          </w:tcPr>
          <w:p w14:paraId="45A3E71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+6.3%</w:t>
            </w:r>
          </w:p>
        </w:tc>
      </w:tr>
      <w:tr w:rsidR="005F1CE4" w:rsidRPr="005F1CE4" w14:paraId="377A0BE6" w14:textId="77777777" w:rsidTr="005F1CE4">
        <w:trPr>
          <w:tblCellSpacing w:w="15" w:type="dxa"/>
        </w:trPr>
        <w:tc>
          <w:tcPr>
            <w:tcW w:w="0" w:type="auto"/>
            <w:vAlign w:val="center"/>
            <w:hideMark/>
          </w:tcPr>
          <w:p w14:paraId="01FCFD1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2020/21</w:t>
            </w:r>
          </w:p>
        </w:tc>
        <w:tc>
          <w:tcPr>
            <w:tcW w:w="0" w:type="auto"/>
            <w:vAlign w:val="center"/>
            <w:hideMark/>
          </w:tcPr>
          <w:p w14:paraId="0A3D489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42,583</w:t>
            </w:r>
          </w:p>
        </w:tc>
        <w:tc>
          <w:tcPr>
            <w:tcW w:w="0" w:type="auto"/>
            <w:vAlign w:val="center"/>
            <w:hideMark/>
          </w:tcPr>
          <w:p w14:paraId="1440A91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-8.0%</w:t>
            </w:r>
          </w:p>
        </w:tc>
      </w:tr>
      <w:tr w:rsidR="005F1CE4" w:rsidRPr="005F1CE4" w14:paraId="6EFAD43F" w14:textId="77777777" w:rsidTr="005F1CE4">
        <w:trPr>
          <w:tblCellSpacing w:w="15" w:type="dxa"/>
        </w:trPr>
        <w:tc>
          <w:tcPr>
            <w:tcW w:w="0" w:type="auto"/>
            <w:vAlign w:val="center"/>
            <w:hideMark/>
          </w:tcPr>
          <w:p w14:paraId="6EC8A76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2021/22</w:t>
            </w:r>
          </w:p>
        </w:tc>
        <w:tc>
          <w:tcPr>
            <w:tcW w:w="0" w:type="auto"/>
            <w:vAlign w:val="center"/>
            <w:hideMark/>
          </w:tcPr>
          <w:p w14:paraId="04EAC87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49,027</w:t>
            </w:r>
          </w:p>
        </w:tc>
        <w:tc>
          <w:tcPr>
            <w:tcW w:w="0" w:type="auto"/>
            <w:vAlign w:val="center"/>
            <w:hideMark/>
          </w:tcPr>
          <w:p w14:paraId="37B0981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+15.1%</w:t>
            </w:r>
          </w:p>
        </w:tc>
      </w:tr>
      <w:tr w:rsidR="005F1CE4" w:rsidRPr="005F1CE4" w14:paraId="46A28D2B" w14:textId="77777777" w:rsidTr="005F1CE4">
        <w:trPr>
          <w:tblCellSpacing w:w="15" w:type="dxa"/>
        </w:trPr>
        <w:tc>
          <w:tcPr>
            <w:tcW w:w="0" w:type="auto"/>
            <w:vAlign w:val="center"/>
            <w:hideMark/>
          </w:tcPr>
          <w:p w14:paraId="1F635C1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2022/23</w:t>
            </w:r>
          </w:p>
        </w:tc>
        <w:tc>
          <w:tcPr>
            <w:tcW w:w="0" w:type="auto"/>
            <w:vAlign w:val="center"/>
            <w:hideMark/>
          </w:tcPr>
          <w:p w14:paraId="1D54709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50,489</w:t>
            </w:r>
          </w:p>
        </w:tc>
        <w:tc>
          <w:tcPr>
            <w:tcW w:w="0" w:type="auto"/>
            <w:vAlign w:val="center"/>
            <w:hideMark/>
          </w:tcPr>
          <w:p w14:paraId="3B421A2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+3.0%</w:t>
            </w:r>
          </w:p>
        </w:tc>
      </w:tr>
      <w:tr w:rsidR="005F1CE4" w:rsidRPr="005F1CE4" w14:paraId="0BFEF9A1" w14:textId="77777777" w:rsidTr="005F1CE4">
        <w:trPr>
          <w:tblCellSpacing w:w="15" w:type="dxa"/>
        </w:trPr>
        <w:tc>
          <w:tcPr>
            <w:tcW w:w="0" w:type="auto"/>
            <w:vAlign w:val="center"/>
            <w:hideMark/>
          </w:tcPr>
          <w:p w14:paraId="30E6089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2023/24</w:t>
            </w:r>
          </w:p>
        </w:tc>
        <w:tc>
          <w:tcPr>
            <w:tcW w:w="0" w:type="auto"/>
            <w:vAlign w:val="center"/>
            <w:hideMark/>
          </w:tcPr>
          <w:p w14:paraId="6881C20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53,000</w:t>
            </w:r>
          </w:p>
        </w:tc>
        <w:tc>
          <w:tcPr>
            <w:tcW w:w="0" w:type="auto"/>
            <w:vAlign w:val="center"/>
            <w:hideMark/>
          </w:tcPr>
          <w:p w14:paraId="38EB3EE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+5.0%</w:t>
            </w:r>
          </w:p>
        </w:tc>
      </w:tr>
      <w:tr w:rsidR="005F1CE4" w:rsidRPr="005F1CE4" w14:paraId="6E4B45B3" w14:textId="77777777" w:rsidTr="005F1CE4">
        <w:trPr>
          <w:tblCellSpacing w:w="15" w:type="dxa"/>
        </w:trPr>
        <w:tc>
          <w:tcPr>
            <w:tcW w:w="0" w:type="auto"/>
            <w:vAlign w:val="center"/>
            <w:hideMark/>
          </w:tcPr>
          <w:p w14:paraId="027EB8F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2024/25</w:t>
            </w:r>
          </w:p>
        </w:tc>
        <w:tc>
          <w:tcPr>
            <w:tcW w:w="0" w:type="auto"/>
            <w:vAlign w:val="center"/>
            <w:hideMark/>
          </w:tcPr>
          <w:p w14:paraId="4B229DE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53,000 (approx.)</w:t>
            </w:r>
          </w:p>
        </w:tc>
        <w:tc>
          <w:tcPr>
            <w:tcW w:w="0" w:type="auto"/>
            <w:vAlign w:val="center"/>
            <w:hideMark/>
          </w:tcPr>
          <w:p w14:paraId="675B3C4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-1.2%</w:t>
            </w:r>
          </w:p>
        </w:tc>
      </w:tr>
    </w:tbl>
    <w:p w14:paraId="6FED795C"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Office for National Statistics (2025)</w:t>
      </w:r>
    </w:p>
    <w:p w14:paraId="44FB30F8"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6E9BB3D9">
          <v:rect id="_x0000_i1030" style="width:0;height:1.5pt" o:hralign="center" o:hrstd="t" o:hr="t" fillcolor="#a0a0a0" stroked="f"/>
        </w:pict>
      </w:r>
    </w:p>
    <w:p w14:paraId="3D888C28" w14:textId="40ACF76C"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36F77DB6" w14:textId="140B7D6B"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2B8CC6F0" w14:textId="2870E2B3"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4BBBCA5B"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B2: Knife-Enabled Homicides in England and Wales (Selected Years)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2"/>
        <w:gridCol w:w="2490"/>
        <w:gridCol w:w="2713"/>
      </w:tblGrid>
      <w:tr w:rsidR="005F1CE4" w:rsidRPr="005F1CE4" w14:paraId="4AD42F67" w14:textId="77777777" w:rsidTr="71A1AD18">
        <w:trPr>
          <w:tblHeader/>
          <w:tblCellSpacing w:w="15" w:type="dxa"/>
        </w:trPr>
        <w:tc>
          <w:tcPr>
            <w:tcW w:w="0" w:type="auto"/>
            <w:vAlign w:val="center"/>
            <w:hideMark/>
          </w:tcPr>
          <w:p w14:paraId="3C34323D"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Year</w:t>
            </w:r>
          </w:p>
        </w:tc>
        <w:tc>
          <w:tcPr>
            <w:tcW w:w="0" w:type="auto"/>
            <w:vAlign w:val="center"/>
            <w:hideMark/>
          </w:tcPr>
          <w:p w14:paraId="65B80889"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Knife-Enabled Homicides</w:t>
            </w:r>
          </w:p>
        </w:tc>
        <w:tc>
          <w:tcPr>
            <w:tcW w:w="0" w:type="auto"/>
            <w:vAlign w:val="center"/>
            <w:hideMark/>
          </w:tcPr>
          <w:p w14:paraId="3DDE5376"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Change from Previous Year</w:t>
            </w:r>
          </w:p>
        </w:tc>
      </w:tr>
      <w:tr w:rsidR="005F1CE4" w:rsidRPr="005F1CE4" w14:paraId="7AA71985" w14:textId="77777777" w:rsidTr="71A1AD18">
        <w:trPr>
          <w:tblCellSpacing w:w="15" w:type="dxa"/>
        </w:trPr>
        <w:tc>
          <w:tcPr>
            <w:tcW w:w="0" w:type="auto"/>
            <w:vAlign w:val="center"/>
            <w:hideMark/>
          </w:tcPr>
          <w:p w14:paraId="296FB12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2012/13</w:t>
            </w:r>
          </w:p>
        </w:tc>
        <w:tc>
          <w:tcPr>
            <w:tcW w:w="0" w:type="auto"/>
            <w:vAlign w:val="center"/>
            <w:hideMark/>
          </w:tcPr>
          <w:p w14:paraId="22AF83E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186</w:t>
            </w:r>
          </w:p>
        </w:tc>
        <w:tc>
          <w:tcPr>
            <w:tcW w:w="0" w:type="auto"/>
            <w:vAlign w:val="center"/>
            <w:hideMark/>
          </w:tcPr>
          <w:p w14:paraId="1230D8B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t>
            </w:r>
          </w:p>
        </w:tc>
      </w:tr>
      <w:tr w:rsidR="005F1CE4" w:rsidRPr="005F1CE4" w14:paraId="690EEF38" w14:textId="77777777" w:rsidTr="71A1AD18">
        <w:trPr>
          <w:tblCellSpacing w:w="15" w:type="dxa"/>
        </w:trPr>
        <w:tc>
          <w:tcPr>
            <w:tcW w:w="0" w:type="auto"/>
            <w:vAlign w:val="center"/>
            <w:hideMark/>
          </w:tcPr>
          <w:p w14:paraId="5B1E1F1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2015/16</w:t>
            </w:r>
          </w:p>
        </w:tc>
        <w:tc>
          <w:tcPr>
            <w:tcW w:w="0" w:type="auto"/>
            <w:vAlign w:val="center"/>
            <w:hideMark/>
          </w:tcPr>
          <w:p w14:paraId="1C9AB27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210</w:t>
            </w:r>
          </w:p>
        </w:tc>
        <w:tc>
          <w:tcPr>
            <w:tcW w:w="0" w:type="auto"/>
            <w:vAlign w:val="center"/>
            <w:hideMark/>
          </w:tcPr>
          <w:p w14:paraId="1E9171D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+12.9%</w:t>
            </w:r>
          </w:p>
        </w:tc>
      </w:tr>
      <w:tr w:rsidR="005F1CE4" w:rsidRPr="005F1CE4" w14:paraId="171D2E55" w14:textId="77777777" w:rsidTr="71A1AD18">
        <w:trPr>
          <w:tblCellSpacing w:w="15" w:type="dxa"/>
        </w:trPr>
        <w:tc>
          <w:tcPr>
            <w:tcW w:w="0" w:type="auto"/>
            <w:vAlign w:val="center"/>
            <w:hideMark/>
          </w:tcPr>
          <w:p w14:paraId="6D4498A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2017/18</w:t>
            </w:r>
          </w:p>
        </w:tc>
        <w:tc>
          <w:tcPr>
            <w:tcW w:w="0" w:type="auto"/>
            <w:vAlign w:val="center"/>
            <w:hideMark/>
          </w:tcPr>
          <w:p w14:paraId="2AA34C9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285</w:t>
            </w:r>
          </w:p>
        </w:tc>
        <w:tc>
          <w:tcPr>
            <w:tcW w:w="0" w:type="auto"/>
            <w:vAlign w:val="center"/>
            <w:hideMark/>
          </w:tcPr>
          <w:p w14:paraId="1F050CF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+35.7%</w:t>
            </w:r>
          </w:p>
        </w:tc>
      </w:tr>
      <w:tr w:rsidR="005F1CE4" w:rsidRPr="005F1CE4" w14:paraId="55047169" w14:textId="77777777" w:rsidTr="71A1AD18">
        <w:trPr>
          <w:tblCellSpacing w:w="15" w:type="dxa"/>
        </w:trPr>
        <w:tc>
          <w:tcPr>
            <w:tcW w:w="0" w:type="auto"/>
            <w:vAlign w:val="center"/>
            <w:hideMark/>
          </w:tcPr>
          <w:p w14:paraId="4E68F5A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2019/20</w:t>
            </w:r>
          </w:p>
        </w:tc>
        <w:tc>
          <w:tcPr>
            <w:tcW w:w="0" w:type="auto"/>
            <w:vAlign w:val="center"/>
            <w:hideMark/>
          </w:tcPr>
          <w:p w14:paraId="1E34955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261</w:t>
            </w:r>
          </w:p>
        </w:tc>
        <w:tc>
          <w:tcPr>
            <w:tcW w:w="0" w:type="auto"/>
            <w:vAlign w:val="center"/>
            <w:hideMark/>
          </w:tcPr>
          <w:p w14:paraId="0AF42D7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-8.4%</w:t>
            </w:r>
          </w:p>
        </w:tc>
      </w:tr>
      <w:tr w:rsidR="005F1CE4" w:rsidRPr="005F1CE4" w14:paraId="549DB084" w14:textId="77777777" w:rsidTr="71A1AD18">
        <w:trPr>
          <w:tblCellSpacing w:w="15" w:type="dxa"/>
        </w:trPr>
        <w:tc>
          <w:tcPr>
            <w:tcW w:w="0" w:type="auto"/>
            <w:vAlign w:val="center"/>
            <w:hideMark/>
          </w:tcPr>
          <w:p w14:paraId="61147F7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2021/22</w:t>
            </w:r>
          </w:p>
        </w:tc>
        <w:tc>
          <w:tcPr>
            <w:tcW w:w="0" w:type="auto"/>
            <w:vAlign w:val="center"/>
            <w:hideMark/>
          </w:tcPr>
          <w:p w14:paraId="6ACC075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255</w:t>
            </w:r>
          </w:p>
        </w:tc>
        <w:tc>
          <w:tcPr>
            <w:tcW w:w="0" w:type="auto"/>
            <w:vAlign w:val="center"/>
            <w:hideMark/>
          </w:tcPr>
          <w:p w14:paraId="78230EF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-2.3%</w:t>
            </w:r>
          </w:p>
        </w:tc>
      </w:tr>
      <w:tr w:rsidR="005F1CE4" w:rsidRPr="005F1CE4" w14:paraId="66873170" w14:textId="77777777" w:rsidTr="71A1AD18">
        <w:trPr>
          <w:tblCellSpacing w:w="15" w:type="dxa"/>
        </w:trPr>
        <w:tc>
          <w:tcPr>
            <w:tcW w:w="0" w:type="auto"/>
            <w:vAlign w:val="center"/>
            <w:hideMark/>
          </w:tcPr>
          <w:p w14:paraId="24AEA03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2023/24</w:t>
            </w:r>
          </w:p>
        </w:tc>
        <w:tc>
          <w:tcPr>
            <w:tcW w:w="0" w:type="auto"/>
            <w:vAlign w:val="center"/>
            <w:hideMark/>
          </w:tcPr>
          <w:p w14:paraId="3103C4D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220</w:t>
            </w:r>
          </w:p>
        </w:tc>
        <w:tc>
          <w:tcPr>
            <w:tcW w:w="0" w:type="auto"/>
            <w:vAlign w:val="center"/>
            <w:hideMark/>
          </w:tcPr>
          <w:p w14:paraId="4692DEE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-14.0%</w:t>
            </w:r>
          </w:p>
        </w:tc>
      </w:tr>
    </w:tbl>
    <w:p w14:paraId="2A9F9EEE"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Office for National Statistics (2025); Ministry of Justice (2024)</w:t>
      </w:r>
    </w:p>
    <w:p w14:paraId="1DA6542E"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31498F6E">
          <v:rect id="_x0000_i1031" style="width:0;height:1.5pt" o:hralign="center" o:hrstd="t" o:hr="t" fillcolor="#a0a0a0" stroked="f"/>
        </w:pict>
      </w:r>
    </w:p>
    <w:p w14:paraId="30640C8D"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B3: Hospital Admissions for Sharp-Object Assaults in England and Wales (Selected Years)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2"/>
        <w:gridCol w:w="2017"/>
        <w:gridCol w:w="2713"/>
      </w:tblGrid>
      <w:tr w:rsidR="005F1CE4" w:rsidRPr="005F1CE4" w14:paraId="7A29C30D" w14:textId="77777777" w:rsidTr="71A1AD18">
        <w:trPr>
          <w:tblHeader/>
          <w:tblCellSpacing w:w="15" w:type="dxa"/>
        </w:trPr>
        <w:tc>
          <w:tcPr>
            <w:tcW w:w="0" w:type="auto"/>
            <w:vAlign w:val="center"/>
            <w:hideMark/>
          </w:tcPr>
          <w:p w14:paraId="07C5301E"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Year</w:t>
            </w:r>
          </w:p>
        </w:tc>
        <w:tc>
          <w:tcPr>
            <w:tcW w:w="0" w:type="auto"/>
            <w:vAlign w:val="center"/>
            <w:hideMark/>
          </w:tcPr>
          <w:p w14:paraId="1DCE61BD"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Hospital Admissions</w:t>
            </w:r>
          </w:p>
        </w:tc>
        <w:tc>
          <w:tcPr>
            <w:tcW w:w="0" w:type="auto"/>
            <w:vAlign w:val="center"/>
            <w:hideMark/>
          </w:tcPr>
          <w:p w14:paraId="2A440F32"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Change from Previous Year</w:t>
            </w:r>
          </w:p>
        </w:tc>
      </w:tr>
      <w:tr w:rsidR="005F1CE4" w:rsidRPr="005F1CE4" w14:paraId="3AE1B08C" w14:textId="77777777" w:rsidTr="71A1AD18">
        <w:trPr>
          <w:tblCellSpacing w:w="15" w:type="dxa"/>
        </w:trPr>
        <w:tc>
          <w:tcPr>
            <w:tcW w:w="0" w:type="auto"/>
            <w:vAlign w:val="center"/>
            <w:hideMark/>
          </w:tcPr>
          <w:p w14:paraId="367DB62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2013/14</w:t>
            </w:r>
          </w:p>
        </w:tc>
        <w:tc>
          <w:tcPr>
            <w:tcW w:w="0" w:type="auto"/>
            <w:vAlign w:val="center"/>
            <w:hideMark/>
          </w:tcPr>
          <w:p w14:paraId="50DB517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4,463</w:t>
            </w:r>
          </w:p>
        </w:tc>
        <w:tc>
          <w:tcPr>
            <w:tcW w:w="0" w:type="auto"/>
            <w:vAlign w:val="center"/>
            <w:hideMark/>
          </w:tcPr>
          <w:p w14:paraId="2170B06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t>
            </w:r>
          </w:p>
        </w:tc>
      </w:tr>
      <w:tr w:rsidR="005F1CE4" w:rsidRPr="005F1CE4" w14:paraId="6EA4BA72" w14:textId="77777777" w:rsidTr="71A1AD18">
        <w:trPr>
          <w:tblCellSpacing w:w="15" w:type="dxa"/>
        </w:trPr>
        <w:tc>
          <w:tcPr>
            <w:tcW w:w="0" w:type="auto"/>
            <w:vAlign w:val="center"/>
            <w:hideMark/>
          </w:tcPr>
          <w:p w14:paraId="5C25A9C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2015/16</w:t>
            </w:r>
          </w:p>
        </w:tc>
        <w:tc>
          <w:tcPr>
            <w:tcW w:w="0" w:type="auto"/>
            <w:vAlign w:val="center"/>
            <w:hideMark/>
          </w:tcPr>
          <w:p w14:paraId="4FE026A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4,706</w:t>
            </w:r>
          </w:p>
        </w:tc>
        <w:tc>
          <w:tcPr>
            <w:tcW w:w="0" w:type="auto"/>
            <w:vAlign w:val="center"/>
            <w:hideMark/>
          </w:tcPr>
          <w:p w14:paraId="1E361DD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+5.4%</w:t>
            </w:r>
          </w:p>
        </w:tc>
      </w:tr>
      <w:tr w:rsidR="005F1CE4" w:rsidRPr="005F1CE4" w14:paraId="7277E342" w14:textId="77777777" w:rsidTr="71A1AD18">
        <w:trPr>
          <w:tblCellSpacing w:w="15" w:type="dxa"/>
        </w:trPr>
        <w:tc>
          <w:tcPr>
            <w:tcW w:w="0" w:type="auto"/>
            <w:vAlign w:val="center"/>
            <w:hideMark/>
          </w:tcPr>
          <w:p w14:paraId="1C14C50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2017/18</w:t>
            </w:r>
          </w:p>
        </w:tc>
        <w:tc>
          <w:tcPr>
            <w:tcW w:w="0" w:type="auto"/>
            <w:vAlign w:val="center"/>
            <w:hideMark/>
          </w:tcPr>
          <w:p w14:paraId="58D39F2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5,131</w:t>
            </w:r>
          </w:p>
        </w:tc>
        <w:tc>
          <w:tcPr>
            <w:tcW w:w="0" w:type="auto"/>
            <w:vAlign w:val="center"/>
            <w:hideMark/>
          </w:tcPr>
          <w:p w14:paraId="56BBE8E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+9.0%</w:t>
            </w:r>
          </w:p>
        </w:tc>
      </w:tr>
      <w:tr w:rsidR="005F1CE4" w:rsidRPr="005F1CE4" w14:paraId="10188269" w14:textId="77777777" w:rsidTr="71A1AD18">
        <w:trPr>
          <w:tblCellSpacing w:w="15" w:type="dxa"/>
        </w:trPr>
        <w:tc>
          <w:tcPr>
            <w:tcW w:w="0" w:type="auto"/>
            <w:vAlign w:val="center"/>
            <w:hideMark/>
          </w:tcPr>
          <w:p w14:paraId="2F255EC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2019/20</w:t>
            </w:r>
          </w:p>
        </w:tc>
        <w:tc>
          <w:tcPr>
            <w:tcW w:w="0" w:type="auto"/>
            <w:vAlign w:val="center"/>
            <w:hideMark/>
          </w:tcPr>
          <w:p w14:paraId="23BCC90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5,018</w:t>
            </w:r>
          </w:p>
        </w:tc>
        <w:tc>
          <w:tcPr>
            <w:tcW w:w="0" w:type="auto"/>
            <w:vAlign w:val="center"/>
            <w:hideMark/>
          </w:tcPr>
          <w:p w14:paraId="2E24378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-2.2%</w:t>
            </w:r>
          </w:p>
        </w:tc>
      </w:tr>
      <w:tr w:rsidR="005F1CE4" w:rsidRPr="005F1CE4" w14:paraId="74ACB2B0" w14:textId="77777777" w:rsidTr="71A1AD18">
        <w:trPr>
          <w:tblCellSpacing w:w="15" w:type="dxa"/>
        </w:trPr>
        <w:tc>
          <w:tcPr>
            <w:tcW w:w="0" w:type="auto"/>
            <w:vAlign w:val="center"/>
            <w:hideMark/>
          </w:tcPr>
          <w:p w14:paraId="7270991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2021/22</w:t>
            </w:r>
          </w:p>
        </w:tc>
        <w:tc>
          <w:tcPr>
            <w:tcW w:w="0" w:type="auto"/>
            <w:vAlign w:val="center"/>
            <w:hideMark/>
          </w:tcPr>
          <w:p w14:paraId="5EEDA6A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4,876</w:t>
            </w:r>
          </w:p>
        </w:tc>
        <w:tc>
          <w:tcPr>
            <w:tcW w:w="0" w:type="auto"/>
            <w:vAlign w:val="center"/>
            <w:hideMark/>
          </w:tcPr>
          <w:p w14:paraId="72DB90C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-2.8%</w:t>
            </w:r>
          </w:p>
        </w:tc>
      </w:tr>
      <w:tr w:rsidR="005F1CE4" w:rsidRPr="005F1CE4" w14:paraId="3E632A51" w14:textId="77777777" w:rsidTr="71A1AD18">
        <w:trPr>
          <w:tblCellSpacing w:w="15" w:type="dxa"/>
        </w:trPr>
        <w:tc>
          <w:tcPr>
            <w:tcW w:w="0" w:type="auto"/>
            <w:vAlign w:val="center"/>
            <w:hideMark/>
          </w:tcPr>
          <w:p w14:paraId="3AFCF49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2024/25</w:t>
            </w:r>
          </w:p>
        </w:tc>
        <w:tc>
          <w:tcPr>
            <w:tcW w:w="0" w:type="auto"/>
            <w:vAlign w:val="center"/>
            <w:hideMark/>
          </w:tcPr>
          <w:p w14:paraId="1299B2A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4,388</w:t>
            </w:r>
          </w:p>
        </w:tc>
        <w:tc>
          <w:tcPr>
            <w:tcW w:w="0" w:type="auto"/>
            <w:vAlign w:val="center"/>
            <w:hideMark/>
          </w:tcPr>
          <w:p w14:paraId="70DA630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-10.0%</w:t>
            </w:r>
          </w:p>
        </w:tc>
      </w:tr>
    </w:tbl>
    <w:p w14:paraId="49A62A4B"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NHS Digital (2025)</w:t>
      </w:r>
    </w:p>
    <w:p w14:paraId="3041E394"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152C4B73">
          <v:rect id="_x0000_i1032" style="width:0;height:1.5pt" o:hralign="center" o:hrstd="t" o:hr="t" fillcolor="#a0a0a0" stroked="f"/>
        </w:pict>
      </w:r>
    </w:p>
    <w:p w14:paraId="7A41757F"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B4: Key Legislative and Policy Milestones in the National Response to Knife Crime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5"/>
        <w:gridCol w:w="8471"/>
      </w:tblGrid>
      <w:tr w:rsidR="005F1CE4" w:rsidRPr="005F1CE4" w14:paraId="13AB4405" w14:textId="77777777" w:rsidTr="71A1AD18">
        <w:trPr>
          <w:tblHeader/>
          <w:tblCellSpacing w:w="15" w:type="dxa"/>
        </w:trPr>
        <w:tc>
          <w:tcPr>
            <w:tcW w:w="0" w:type="auto"/>
            <w:vAlign w:val="center"/>
            <w:hideMark/>
          </w:tcPr>
          <w:p w14:paraId="72C88E70"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Year</w:t>
            </w:r>
          </w:p>
        </w:tc>
        <w:tc>
          <w:tcPr>
            <w:tcW w:w="0" w:type="auto"/>
            <w:vAlign w:val="center"/>
            <w:hideMark/>
          </w:tcPr>
          <w:p w14:paraId="68BBDFB2"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Development</w:t>
            </w:r>
          </w:p>
        </w:tc>
      </w:tr>
      <w:tr w:rsidR="005F1CE4" w:rsidRPr="005F1CE4" w14:paraId="07EF7D21" w14:textId="77777777" w:rsidTr="71A1AD18">
        <w:trPr>
          <w:tblCellSpacing w:w="15" w:type="dxa"/>
        </w:trPr>
        <w:tc>
          <w:tcPr>
            <w:tcW w:w="0" w:type="auto"/>
            <w:vAlign w:val="center"/>
            <w:hideMark/>
          </w:tcPr>
          <w:p w14:paraId="296A872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1988</w:t>
            </w:r>
          </w:p>
        </w:tc>
        <w:tc>
          <w:tcPr>
            <w:tcW w:w="0" w:type="auto"/>
            <w:vAlign w:val="center"/>
            <w:hideMark/>
          </w:tcPr>
          <w:p w14:paraId="06C8572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Criminal Justice Act — introduced offence of carrying a bladed article in public</w:t>
            </w:r>
          </w:p>
        </w:tc>
      </w:tr>
      <w:tr w:rsidR="005F1CE4" w:rsidRPr="005F1CE4" w14:paraId="565C5445" w14:textId="77777777" w:rsidTr="71A1AD18">
        <w:trPr>
          <w:tblCellSpacing w:w="15" w:type="dxa"/>
        </w:trPr>
        <w:tc>
          <w:tcPr>
            <w:tcW w:w="0" w:type="auto"/>
            <w:vAlign w:val="center"/>
            <w:hideMark/>
          </w:tcPr>
          <w:p w14:paraId="6734913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1996</w:t>
            </w:r>
          </w:p>
        </w:tc>
        <w:tc>
          <w:tcPr>
            <w:tcW w:w="0" w:type="auto"/>
            <w:vAlign w:val="center"/>
            <w:hideMark/>
          </w:tcPr>
          <w:p w14:paraId="1B6A757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Knives Act — strengthened restrictions on the sale and marketing of knives</w:t>
            </w:r>
          </w:p>
        </w:tc>
      </w:tr>
      <w:tr w:rsidR="005F1CE4" w:rsidRPr="005F1CE4" w14:paraId="71569502" w14:textId="77777777" w:rsidTr="71A1AD18">
        <w:trPr>
          <w:tblCellSpacing w:w="15" w:type="dxa"/>
        </w:trPr>
        <w:tc>
          <w:tcPr>
            <w:tcW w:w="0" w:type="auto"/>
            <w:vAlign w:val="center"/>
            <w:hideMark/>
          </w:tcPr>
          <w:p w14:paraId="23E1141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2007</w:t>
            </w:r>
          </w:p>
        </w:tc>
        <w:tc>
          <w:tcPr>
            <w:tcW w:w="0" w:type="auto"/>
            <w:vAlign w:val="center"/>
            <w:hideMark/>
          </w:tcPr>
          <w:p w14:paraId="13A6F7E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Criminal Justice and Immigration Act — increased maximum penalties for knife possession</w:t>
            </w:r>
          </w:p>
        </w:tc>
      </w:tr>
      <w:tr w:rsidR="005F1CE4" w:rsidRPr="005F1CE4" w14:paraId="51766CBB" w14:textId="77777777" w:rsidTr="71A1AD18">
        <w:trPr>
          <w:tblCellSpacing w:w="15" w:type="dxa"/>
        </w:trPr>
        <w:tc>
          <w:tcPr>
            <w:tcW w:w="0" w:type="auto"/>
            <w:vAlign w:val="center"/>
            <w:hideMark/>
          </w:tcPr>
          <w:p w14:paraId="022AE73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2015</w:t>
            </w:r>
          </w:p>
        </w:tc>
        <w:tc>
          <w:tcPr>
            <w:tcW w:w="0" w:type="auto"/>
            <w:vAlign w:val="center"/>
            <w:hideMark/>
          </w:tcPr>
          <w:p w14:paraId="3110921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Serious Crime Act — introduced mandatory minimum sentences for repeat knife possession offences</w:t>
            </w:r>
          </w:p>
        </w:tc>
      </w:tr>
      <w:tr w:rsidR="005F1CE4" w:rsidRPr="005F1CE4" w14:paraId="047914B1" w14:textId="77777777" w:rsidTr="71A1AD18">
        <w:trPr>
          <w:tblCellSpacing w:w="15" w:type="dxa"/>
        </w:trPr>
        <w:tc>
          <w:tcPr>
            <w:tcW w:w="0" w:type="auto"/>
            <w:vAlign w:val="center"/>
            <w:hideMark/>
          </w:tcPr>
          <w:p w14:paraId="1685873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2018</w:t>
            </w:r>
          </w:p>
        </w:tc>
        <w:tc>
          <w:tcPr>
            <w:tcW w:w="0" w:type="auto"/>
            <w:vAlign w:val="center"/>
            <w:hideMark/>
          </w:tcPr>
          <w:p w14:paraId="5FE376E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HM Government Serious Violence Strategy published</w:t>
            </w:r>
          </w:p>
        </w:tc>
      </w:tr>
      <w:tr w:rsidR="005F1CE4" w:rsidRPr="005F1CE4" w14:paraId="70DB5C81" w14:textId="77777777" w:rsidTr="71A1AD18">
        <w:trPr>
          <w:tblCellSpacing w:w="15" w:type="dxa"/>
        </w:trPr>
        <w:tc>
          <w:tcPr>
            <w:tcW w:w="0" w:type="auto"/>
            <w:vAlign w:val="center"/>
            <w:hideMark/>
          </w:tcPr>
          <w:p w14:paraId="59DEC49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lastRenderedPageBreak/>
              <w:t>2019</w:t>
            </w:r>
          </w:p>
        </w:tc>
        <w:tc>
          <w:tcPr>
            <w:tcW w:w="0" w:type="auto"/>
            <w:vAlign w:val="center"/>
            <w:hideMark/>
          </w:tcPr>
          <w:p w14:paraId="44B0750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Offensive Weapons Act — further restrictions on knife sales and possession</w:t>
            </w:r>
          </w:p>
        </w:tc>
      </w:tr>
      <w:tr w:rsidR="005F1CE4" w:rsidRPr="005F1CE4" w14:paraId="53053547" w14:textId="77777777" w:rsidTr="71A1AD18">
        <w:trPr>
          <w:tblCellSpacing w:w="15" w:type="dxa"/>
        </w:trPr>
        <w:tc>
          <w:tcPr>
            <w:tcW w:w="0" w:type="auto"/>
            <w:vAlign w:val="center"/>
            <w:hideMark/>
          </w:tcPr>
          <w:p w14:paraId="1897C7B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2021</w:t>
            </w:r>
          </w:p>
        </w:tc>
        <w:tc>
          <w:tcPr>
            <w:tcW w:w="0" w:type="auto"/>
            <w:vAlign w:val="center"/>
            <w:hideMark/>
          </w:tcPr>
          <w:p w14:paraId="0EA41EA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Police, Crime, Sentencing and Courts Bill — introduced new knife crime prevention orders</w:t>
            </w:r>
          </w:p>
        </w:tc>
      </w:tr>
      <w:tr w:rsidR="005F1CE4" w:rsidRPr="005F1CE4" w14:paraId="184E7CCA" w14:textId="77777777" w:rsidTr="71A1AD18">
        <w:trPr>
          <w:tblCellSpacing w:w="15" w:type="dxa"/>
        </w:trPr>
        <w:tc>
          <w:tcPr>
            <w:tcW w:w="0" w:type="auto"/>
            <w:vAlign w:val="center"/>
            <w:hideMark/>
          </w:tcPr>
          <w:p w14:paraId="73F56A6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2023</w:t>
            </w:r>
          </w:p>
        </w:tc>
        <w:tc>
          <w:tcPr>
            <w:tcW w:w="0" w:type="auto"/>
            <w:vAlign w:val="center"/>
            <w:hideMark/>
          </w:tcPr>
          <w:p w14:paraId="72158B3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National Serious Violence Duty came into force, requiring public bodies to collaborate on violence reduction</w:t>
            </w:r>
          </w:p>
        </w:tc>
      </w:tr>
    </w:tbl>
    <w:p w14:paraId="722B00AE"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0721364A">
          <v:rect id="_x0000_i1033" style="width:0;height:1.5pt" o:hralign="center" o:hrstd="t" o:hr="t" fillcolor="#a0a0a0" stroked="f"/>
        </w:pict>
      </w:r>
    </w:p>
    <w:p w14:paraId="2BBB7E94" w14:textId="659F3D0A" w:rsidR="005F1CE4" w:rsidRDefault="005F1CE4" w:rsidP="71A1AD18">
      <w:pPr>
        <w:spacing w:beforeAutospacing="1" w:afterAutospacing="1" w:line="240" w:lineRule="auto"/>
        <w:rPr>
          <w:rFonts w:eastAsiaTheme="minorEastAsia"/>
          <w:sz w:val="24"/>
          <w:szCs w:val="24"/>
          <w:lang w:eastAsia="en-GB"/>
        </w:rPr>
      </w:pPr>
      <w:r w:rsidRPr="71A1AD18">
        <w:rPr>
          <w:rFonts w:eastAsiaTheme="minorEastAsia"/>
          <w:sz w:val="24"/>
          <w:szCs w:val="24"/>
          <w:lang w:eastAsia="en-GB"/>
        </w:rPr>
        <w:t>APPENDIX C: Knife Crime in Wales</w:t>
      </w:r>
    </w:p>
    <w:p w14:paraId="312229EE" w14:textId="0549FC79" w:rsidR="005F1CE4" w:rsidRPr="005F1CE4" w:rsidRDefault="005F1CE4" w:rsidP="71A1AD18">
      <w:pPr>
        <w:spacing w:before="100" w:beforeAutospacing="1" w:after="0" w:afterAutospacing="1" w:line="240" w:lineRule="auto"/>
        <w:rPr>
          <w:rFonts w:eastAsiaTheme="minorEastAsia"/>
          <w:sz w:val="24"/>
          <w:szCs w:val="24"/>
          <w:lang w:eastAsia="en-GB"/>
        </w:rPr>
      </w:pPr>
      <w:r w:rsidRPr="71A1AD18">
        <w:rPr>
          <w:rFonts w:eastAsiaTheme="minorEastAsia"/>
          <w:sz w:val="24"/>
          <w:szCs w:val="24"/>
          <w:lang w:eastAsia="en-GB"/>
        </w:rPr>
        <w:t>Appendix C1: Recorded Knife Crime Offences by Welsh Police Force Area (2013–2023)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2"/>
        <w:gridCol w:w="1281"/>
        <w:gridCol w:w="709"/>
        <w:gridCol w:w="1283"/>
        <w:gridCol w:w="1334"/>
        <w:gridCol w:w="1221"/>
      </w:tblGrid>
      <w:tr w:rsidR="005F1CE4" w:rsidRPr="005F1CE4" w14:paraId="0CD1CFCB" w14:textId="77777777" w:rsidTr="71A1AD18">
        <w:trPr>
          <w:tblHeader/>
          <w:tblCellSpacing w:w="15" w:type="dxa"/>
        </w:trPr>
        <w:tc>
          <w:tcPr>
            <w:tcW w:w="0" w:type="auto"/>
            <w:vAlign w:val="center"/>
            <w:hideMark/>
          </w:tcPr>
          <w:p w14:paraId="2F79DAA1"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Year</w:t>
            </w:r>
          </w:p>
        </w:tc>
        <w:tc>
          <w:tcPr>
            <w:tcW w:w="0" w:type="auto"/>
            <w:vAlign w:val="center"/>
            <w:hideMark/>
          </w:tcPr>
          <w:p w14:paraId="123F7862"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South Wales</w:t>
            </w:r>
          </w:p>
        </w:tc>
        <w:tc>
          <w:tcPr>
            <w:tcW w:w="0" w:type="auto"/>
            <w:vAlign w:val="center"/>
            <w:hideMark/>
          </w:tcPr>
          <w:p w14:paraId="320153CD"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Gwent</w:t>
            </w:r>
          </w:p>
        </w:tc>
        <w:tc>
          <w:tcPr>
            <w:tcW w:w="0" w:type="auto"/>
            <w:vAlign w:val="center"/>
            <w:hideMark/>
          </w:tcPr>
          <w:p w14:paraId="74D4ED98"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North Wales</w:t>
            </w:r>
          </w:p>
        </w:tc>
        <w:tc>
          <w:tcPr>
            <w:tcW w:w="0" w:type="auto"/>
            <w:vAlign w:val="center"/>
            <w:hideMark/>
          </w:tcPr>
          <w:p w14:paraId="2434943C"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Dyfed-Powys</w:t>
            </w:r>
          </w:p>
        </w:tc>
        <w:tc>
          <w:tcPr>
            <w:tcW w:w="0" w:type="auto"/>
            <w:vAlign w:val="center"/>
            <w:hideMark/>
          </w:tcPr>
          <w:p w14:paraId="33582F28"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Wales Total</w:t>
            </w:r>
          </w:p>
        </w:tc>
      </w:tr>
      <w:tr w:rsidR="005F1CE4" w:rsidRPr="005F1CE4" w14:paraId="1E7C06EE" w14:textId="77777777" w:rsidTr="71A1AD18">
        <w:trPr>
          <w:tblCellSpacing w:w="15" w:type="dxa"/>
        </w:trPr>
        <w:tc>
          <w:tcPr>
            <w:tcW w:w="0" w:type="auto"/>
            <w:vAlign w:val="center"/>
            <w:hideMark/>
          </w:tcPr>
          <w:p w14:paraId="426C68D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2013/14</w:t>
            </w:r>
          </w:p>
        </w:tc>
        <w:tc>
          <w:tcPr>
            <w:tcW w:w="0" w:type="auto"/>
            <w:vAlign w:val="center"/>
            <w:hideMark/>
          </w:tcPr>
          <w:p w14:paraId="5B01273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298</w:t>
            </w:r>
          </w:p>
        </w:tc>
        <w:tc>
          <w:tcPr>
            <w:tcW w:w="0" w:type="auto"/>
            <w:vAlign w:val="center"/>
            <w:hideMark/>
          </w:tcPr>
          <w:p w14:paraId="46DE38F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65</w:t>
            </w:r>
          </w:p>
        </w:tc>
        <w:tc>
          <w:tcPr>
            <w:tcW w:w="0" w:type="auto"/>
            <w:vAlign w:val="center"/>
            <w:hideMark/>
          </w:tcPr>
          <w:p w14:paraId="1DCDD72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162</w:t>
            </w:r>
          </w:p>
        </w:tc>
        <w:tc>
          <w:tcPr>
            <w:tcW w:w="0" w:type="auto"/>
            <w:vAlign w:val="center"/>
            <w:hideMark/>
          </w:tcPr>
          <w:p w14:paraId="169B972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73</w:t>
            </w:r>
          </w:p>
        </w:tc>
        <w:tc>
          <w:tcPr>
            <w:tcW w:w="0" w:type="auto"/>
            <w:vAlign w:val="center"/>
            <w:hideMark/>
          </w:tcPr>
          <w:p w14:paraId="13C1864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598</w:t>
            </w:r>
          </w:p>
        </w:tc>
      </w:tr>
      <w:tr w:rsidR="005F1CE4" w:rsidRPr="005F1CE4" w14:paraId="715D3421" w14:textId="77777777" w:rsidTr="71A1AD18">
        <w:trPr>
          <w:tblCellSpacing w:w="15" w:type="dxa"/>
        </w:trPr>
        <w:tc>
          <w:tcPr>
            <w:tcW w:w="0" w:type="auto"/>
            <w:vAlign w:val="center"/>
            <w:hideMark/>
          </w:tcPr>
          <w:p w14:paraId="27AE67C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2015/16</w:t>
            </w:r>
          </w:p>
        </w:tc>
        <w:tc>
          <w:tcPr>
            <w:tcW w:w="0" w:type="auto"/>
            <w:vAlign w:val="center"/>
            <w:hideMark/>
          </w:tcPr>
          <w:p w14:paraId="4E91F58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321</w:t>
            </w:r>
          </w:p>
        </w:tc>
        <w:tc>
          <w:tcPr>
            <w:tcW w:w="0" w:type="auto"/>
            <w:vAlign w:val="center"/>
            <w:hideMark/>
          </w:tcPr>
          <w:p w14:paraId="1D3E6FD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98</w:t>
            </w:r>
          </w:p>
        </w:tc>
        <w:tc>
          <w:tcPr>
            <w:tcW w:w="0" w:type="auto"/>
            <w:vAlign w:val="center"/>
            <w:hideMark/>
          </w:tcPr>
          <w:p w14:paraId="324D825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171</w:t>
            </w:r>
          </w:p>
        </w:tc>
        <w:tc>
          <w:tcPr>
            <w:tcW w:w="0" w:type="auto"/>
            <w:vAlign w:val="center"/>
            <w:hideMark/>
          </w:tcPr>
          <w:p w14:paraId="43F0280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79</w:t>
            </w:r>
          </w:p>
        </w:tc>
        <w:tc>
          <w:tcPr>
            <w:tcW w:w="0" w:type="auto"/>
            <w:vAlign w:val="center"/>
            <w:hideMark/>
          </w:tcPr>
          <w:p w14:paraId="6FCAB2C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669</w:t>
            </w:r>
          </w:p>
        </w:tc>
      </w:tr>
      <w:tr w:rsidR="005F1CE4" w:rsidRPr="005F1CE4" w14:paraId="471F2575" w14:textId="77777777" w:rsidTr="71A1AD18">
        <w:trPr>
          <w:tblCellSpacing w:w="15" w:type="dxa"/>
        </w:trPr>
        <w:tc>
          <w:tcPr>
            <w:tcW w:w="0" w:type="auto"/>
            <w:vAlign w:val="center"/>
            <w:hideMark/>
          </w:tcPr>
          <w:p w14:paraId="6DEE5BA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2017/18</w:t>
            </w:r>
          </w:p>
        </w:tc>
        <w:tc>
          <w:tcPr>
            <w:tcW w:w="0" w:type="auto"/>
            <w:vAlign w:val="center"/>
            <w:hideMark/>
          </w:tcPr>
          <w:p w14:paraId="3E43574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412</w:t>
            </w:r>
          </w:p>
        </w:tc>
        <w:tc>
          <w:tcPr>
            <w:tcW w:w="0" w:type="auto"/>
            <w:vAlign w:val="center"/>
            <w:hideMark/>
          </w:tcPr>
          <w:p w14:paraId="5E7BE1F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134</w:t>
            </w:r>
          </w:p>
        </w:tc>
        <w:tc>
          <w:tcPr>
            <w:tcW w:w="0" w:type="auto"/>
            <w:vAlign w:val="center"/>
            <w:hideMark/>
          </w:tcPr>
          <w:p w14:paraId="61297EE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198</w:t>
            </w:r>
          </w:p>
        </w:tc>
        <w:tc>
          <w:tcPr>
            <w:tcW w:w="0" w:type="auto"/>
            <w:vAlign w:val="center"/>
            <w:hideMark/>
          </w:tcPr>
          <w:p w14:paraId="5E240B0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96</w:t>
            </w:r>
          </w:p>
        </w:tc>
        <w:tc>
          <w:tcPr>
            <w:tcW w:w="0" w:type="auto"/>
            <w:vAlign w:val="center"/>
            <w:hideMark/>
          </w:tcPr>
          <w:p w14:paraId="195C386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840</w:t>
            </w:r>
          </w:p>
        </w:tc>
      </w:tr>
      <w:tr w:rsidR="005F1CE4" w:rsidRPr="005F1CE4" w14:paraId="7F69E971" w14:textId="77777777" w:rsidTr="71A1AD18">
        <w:trPr>
          <w:tblCellSpacing w:w="15" w:type="dxa"/>
        </w:trPr>
        <w:tc>
          <w:tcPr>
            <w:tcW w:w="0" w:type="auto"/>
            <w:vAlign w:val="center"/>
            <w:hideMark/>
          </w:tcPr>
          <w:p w14:paraId="3123AC1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2019/20</w:t>
            </w:r>
          </w:p>
        </w:tc>
        <w:tc>
          <w:tcPr>
            <w:tcW w:w="0" w:type="auto"/>
            <w:vAlign w:val="center"/>
            <w:hideMark/>
          </w:tcPr>
          <w:p w14:paraId="3822DAA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578</w:t>
            </w:r>
          </w:p>
        </w:tc>
        <w:tc>
          <w:tcPr>
            <w:tcW w:w="0" w:type="auto"/>
            <w:vAlign w:val="center"/>
            <w:hideMark/>
          </w:tcPr>
          <w:p w14:paraId="5731983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287</w:t>
            </w:r>
          </w:p>
        </w:tc>
        <w:tc>
          <w:tcPr>
            <w:tcW w:w="0" w:type="auto"/>
            <w:vAlign w:val="center"/>
            <w:hideMark/>
          </w:tcPr>
          <w:p w14:paraId="08F550F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276</w:t>
            </w:r>
          </w:p>
        </w:tc>
        <w:tc>
          <w:tcPr>
            <w:tcW w:w="0" w:type="auto"/>
            <w:vAlign w:val="center"/>
            <w:hideMark/>
          </w:tcPr>
          <w:p w14:paraId="0AD4F91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142</w:t>
            </w:r>
          </w:p>
        </w:tc>
        <w:tc>
          <w:tcPr>
            <w:tcW w:w="0" w:type="auto"/>
            <w:vAlign w:val="center"/>
            <w:hideMark/>
          </w:tcPr>
          <w:p w14:paraId="0250591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1,283</w:t>
            </w:r>
          </w:p>
        </w:tc>
      </w:tr>
      <w:tr w:rsidR="005F1CE4" w:rsidRPr="005F1CE4" w14:paraId="2550E808" w14:textId="77777777" w:rsidTr="71A1AD18">
        <w:trPr>
          <w:tblCellSpacing w:w="15" w:type="dxa"/>
        </w:trPr>
        <w:tc>
          <w:tcPr>
            <w:tcW w:w="0" w:type="auto"/>
            <w:vAlign w:val="center"/>
            <w:hideMark/>
          </w:tcPr>
          <w:p w14:paraId="56A9D55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2021/22</w:t>
            </w:r>
          </w:p>
        </w:tc>
        <w:tc>
          <w:tcPr>
            <w:tcW w:w="0" w:type="auto"/>
            <w:vAlign w:val="center"/>
            <w:hideMark/>
          </w:tcPr>
          <w:p w14:paraId="62A6C99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634</w:t>
            </w:r>
          </w:p>
        </w:tc>
        <w:tc>
          <w:tcPr>
            <w:tcW w:w="0" w:type="auto"/>
            <w:vAlign w:val="center"/>
            <w:hideMark/>
          </w:tcPr>
          <w:p w14:paraId="1A5A7DA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318</w:t>
            </w:r>
          </w:p>
        </w:tc>
        <w:tc>
          <w:tcPr>
            <w:tcW w:w="0" w:type="auto"/>
            <w:vAlign w:val="center"/>
            <w:hideMark/>
          </w:tcPr>
          <w:p w14:paraId="2C9C51F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298</w:t>
            </w:r>
          </w:p>
        </w:tc>
        <w:tc>
          <w:tcPr>
            <w:tcW w:w="0" w:type="auto"/>
            <w:vAlign w:val="center"/>
            <w:hideMark/>
          </w:tcPr>
          <w:p w14:paraId="211DE1D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156</w:t>
            </w:r>
          </w:p>
        </w:tc>
        <w:tc>
          <w:tcPr>
            <w:tcW w:w="0" w:type="auto"/>
            <w:vAlign w:val="center"/>
            <w:hideMark/>
          </w:tcPr>
          <w:p w14:paraId="6F32C49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1,406</w:t>
            </w:r>
          </w:p>
        </w:tc>
      </w:tr>
      <w:tr w:rsidR="005F1CE4" w:rsidRPr="005F1CE4" w14:paraId="347202DE" w14:textId="77777777" w:rsidTr="71A1AD18">
        <w:trPr>
          <w:tblCellSpacing w:w="15" w:type="dxa"/>
        </w:trPr>
        <w:tc>
          <w:tcPr>
            <w:tcW w:w="0" w:type="auto"/>
            <w:vAlign w:val="center"/>
            <w:hideMark/>
          </w:tcPr>
          <w:p w14:paraId="4ABF595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2022/23</w:t>
            </w:r>
          </w:p>
        </w:tc>
        <w:tc>
          <w:tcPr>
            <w:tcW w:w="0" w:type="auto"/>
            <w:vAlign w:val="center"/>
            <w:hideMark/>
          </w:tcPr>
          <w:p w14:paraId="642EF5F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719</w:t>
            </w:r>
          </w:p>
        </w:tc>
        <w:tc>
          <w:tcPr>
            <w:tcW w:w="0" w:type="auto"/>
            <w:vAlign w:val="center"/>
            <w:hideMark/>
          </w:tcPr>
          <w:p w14:paraId="7E13B76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376</w:t>
            </w:r>
          </w:p>
        </w:tc>
        <w:tc>
          <w:tcPr>
            <w:tcW w:w="0" w:type="auto"/>
            <w:vAlign w:val="center"/>
            <w:hideMark/>
          </w:tcPr>
          <w:p w14:paraId="48B92FC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316</w:t>
            </w:r>
          </w:p>
        </w:tc>
        <w:tc>
          <w:tcPr>
            <w:tcW w:w="0" w:type="auto"/>
            <w:vAlign w:val="center"/>
            <w:hideMark/>
          </w:tcPr>
          <w:p w14:paraId="346E7D3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163</w:t>
            </w:r>
          </w:p>
        </w:tc>
        <w:tc>
          <w:tcPr>
            <w:tcW w:w="0" w:type="auto"/>
            <w:vAlign w:val="center"/>
            <w:hideMark/>
          </w:tcPr>
          <w:p w14:paraId="4D44EAD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1,574</w:t>
            </w:r>
          </w:p>
        </w:tc>
      </w:tr>
    </w:tbl>
    <w:p w14:paraId="3E07135E"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Office for National Statistics (2023)</w:t>
      </w:r>
    </w:p>
    <w:p w14:paraId="6E1831B3"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46BE440">
          <v:rect id="_x0000_i1034" style="width:0;height:1.5pt" o:hralign="center" o:hrstd="t" o:hr="t" fillcolor="#a0a0a0" stroked="f"/>
        </w:pict>
      </w:r>
    </w:p>
    <w:p w14:paraId="70CF04E9"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C2: Proportional Increase in Knife Crime by Welsh Police Force Area (2013–2023)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64"/>
        <w:gridCol w:w="1467"/>
        <w:gridCol w:w="1467"/>
        <w:gridCol w:w="2549"/>
      </w:tblGrid>
      <w:tr w:rsidR="005F1CE4" w:rsidRPr="005F1CE4" w14:paraId="3AFB19BC" w14:textId="77777777" w:rsidTr="71A1AD18">
        <w:trPr>
          <w:tblHeader/>
          <w:tblCellSpacing w:w="15" w:type="dxa"/>
        </w:trPr>
        <w:tc>
          <w:tcPr>
            <w:tcW w:w="0" w:type="auto"/>
            <w:vAlign w:val="center"/>
            <w:hideMark/>
          </w:tcPr>
          <w:p w14:paraId="59637101"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Police Force Area</w:t>
            </w:r>
          </w:p>
        </w:tc>
        <w:tc>
          <w:tcPr>
            <w:tcW w:w="0" w:type="auto"/>
            <w:vAlign w:val="center"/>
            <w:hideMark/>
          </w:tcPr>
          <w:p w14:paraId="1DA0D6B9"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2013 Offences</w:t>
            </w:r>
          </w:p>
        </w:tc>
        <w:tc>
          <w:tcPr>
            <w:tcW w:w="0" w:type="auto"/>
            <w:vAlign w:val="center"/>
            <w:hideMark/>
          </w:tcPr>
          <w:p w14:paraId="6CD4F461"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2023 Offences</w:t>
            </w:r>
          </w:p>
        </w:tc>
        <w:tc>
          <w:tcPr>
            <w:tcW w:w="0" w:type="auto"/>
            <w:vAlign w:val="center"/>
            <w:hideMark/>
          </w:tcPr>
          <w:p w14:paraId="14B72597"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Proportional Increase (%)</w:t>
            </w:r>
          </w:p>
        </w:tc>
      </w:tr>
      <w:tr w:rsidR="005F1CE4" w:rsidRPr="005F1CE4" w14:paraId="4DB373C9" w14:textId="77777777" w:rsidTr="71A1AD18">
        <w:trPr>
          <w:tblCellSpacing w:w="15" w:type="dxa"/>
        </w:trPr>
        <w:tc>
          <w:tcPr>
            <w:tcW w:w="0" w:type="auto"/>
            <w:vAlign w:val="center"/>
            <w:hideMark/>
          </w:tcPr>
          <w:p w14:paraId="1419EA2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South Wales</w:t>
            </w:r>
          </w:p>
        </w:tc>
        <w:tc>
          <w:tcPr>
            <w:tcW w:w="0" w:type="auto"/>
            <w:vAlign w:val="center"/>
            <w:hideMark/>
          </w:tcPr>
          <w:p w14:paraId="409F4C9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298</w:t>
            </w:r>
          </w:p>
        </w:tc>
        <w:tc>
          <w:tcPr>
            <w:tcW w:w="0" w:type="auto"/>
            <w:vAlign w:val="center"/>
            <w:hideMark/>
          </w:tcPr>
          <w:p w14:paraId="5EDAE9C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719</w:t>
            </w:r>
          </w:p>
        </w:tc>
        <w:tc>
          <w:tcPr>
            <w:tcW w:w="0" w:type="auto"/>
            <w:vAlign w:val="center"/>
            <w:hideMark/>
          </w:tcPr>
          <w:p w14:paraId="5DE396A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+141%</w:t>
            </w:r>
          </w:p>
        </w:tc>
      </w:tr>
      <w:tr w:rsidR="005F1CE4" w:rsidRPr="005F1CE4" w14:paraId="6258927B" w14:textId="77777777" w:rsidTr="71A1AD18">
        <w:trPr>
          <w:tblCellSpacing w:w="15" w:type="dxa"/>
        </w:trPr>
        <w:tc>
          <w:tcPr>
            <w:tcW w:w="0" w:type="auto"/>
            <w:vAlign w:val="center"/>
            <w:hideMark/>
          </w:tcPr>
          <w:p w14:paraId="22B676B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w:t>
            </w:r>
          </w:p>
        </w:tc>
        <w:tc>
          <w:tcPr>
            <w:tcW w:w="0" w:type="auto"/>
            <w:vAlign w:val="center"/>
            <w:hideMark/>
          </w:tcPr>
          <w:p w14:paraId="3FC84AF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65</w:t>
            </w:r>
          </w:p>
        </w:tc>
        <w:tc>
          <w:tcPr>
            <w:tcW w:w="0" w:type="auto"/>
            <w:vAlign w:val="center"/>
            <w:hideMark/>
          </w:tcPr>
          <w:p w14:paraId="5DB8342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376</w:t>
            </w:r>
          </w:p>
        </w:tc>
        <w:tc>
          <w:tcPr>
            <w:tcW w:w="0" w:type="auto"/>
            <w:vAlign w:val="center"/>
            <w:hideMark/>
          </w:tcPr>
          <w:p w14:paraId="12A62AD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+478%</w:t>
            </w:r>
          </w:p>
        </w:tc>
      </w:tr>
      <w:tr w:rsidR="005F1CE4" w:rsidRPr="005F1CE4" w14:paraId="73B94212" w14:textId="77777777" w:rsidTr="71A1AD18">
        <w:trPr>
          <w:tblCellSpacing w:w="15" w:type="dxa"/>
        </w:trPr>
        <w:tc>
          <w:tcPr>
            <w:tcW w:w="0" w:type="auto"/>
            <w:vAlign w:val="center"/>
            <w:hideMark/>
          </w:tcPr>
          <w:p w14:paraId="3C21715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North Wales</w:t>
            </w:r>
          </w:p>
        </w:tc>
        <w:tc>
          <w:tcPr>
            <w:tcW w:w="0" w:type="auto"/>
            <w:vAlign w:val="center"/>
            <w:hideMark/>
          </w:tcPr>
          <w:p w14:paraId="13DA457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162</w:t>
            </w:r>
          </w:p>
        </w:tc>
        <w:tc>
          <w:tcPr>
            <w:tcW w:w="0" w:type="auto"/>
            <w:vAlign w:val="center"/>
            <w:hideMark/>
          </w:tcPr>
          <w:p w14:paraId="37D72D7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316</w:t>
            </w:r>
          </w:p>
        </w:tc>
        <w:tc>
          <w:tcPr>
            <w:tcW w:w="0" w:type="auto"/>
            <w:vAlign w:val="center"/>
            <w:hideMark/>
          </w:tcPr>
          <w:p w14:paraId="7931352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+95%</w:t>
            </w:r>
          </w:p>
        </w:tc>
      </w:tr>
      <w:tr w:rsidR="005F1CE4" w:rsidRPr="005F1CE4" w14:paraId="72562BDC" w14:textId="77777777" w:rsidTr="71A1AD18">
        <w:trPr>
          <w:tblCellSpacing w:w="15" w:type="dxa"/>
        </w:trPr>
        <w:tc>
          <w:tcPr>
            <w:tcW w:w="0" w:type="auto"/>
            <w:vAlign w:val="center"/>
            <w:hideMark/>
          </w:tcPr>
          <w:p w14:paraId="73E3D6E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Dyfed-Powys</w:t>
            </w:r>
          </w:p>
        </w:tc>
        <w:tc>
          <w:tcPr>
            <w:tcW w:w="0" w:type="auto"/>
            <w:vAlign w:val="center"/>
            <w:hideMark/>
          </w:tcPr>
          <w:p w14:paraId="3FEECC1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73</w:t>
            </w:r>
          </w:p>
        </w:tc>
        <w:tc>
          <w:tcPr>
            <w:tcW w:w="0" w:type="auto"/>
            <w:vAlign w:val="center"/>
            <w:hideMark/>
          </w:tcPr>
          <w:p w14:paraId="5D8F450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163</w:t>
            </w:r>
          </w:p>
        </w:tc>
        <w:tc>
          <w:tcPr>
            <w:tcW w:w="0" w:type="auto"/>
            <w:vAlign w:val="center"/>
            <w:hideMark/>
          </w:tcPr>
          <w:p w14:paraId="40C76DA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+123%</w:t>
            </w:r>
          </w:p>
        </w:tc>
      </w:tr>
      <w:tr w:rsidR="005F1CE4" w:rsidRPr="005F1CE4" w14:paraId="0DAED2E6" w14:textId="77777777" w:rsidTr="71A1AD18">
        <w:trPr>
          <w:tblCellSpacing w:w="15" w:type="dxa"/>
        </w:trPr>
        <w:tc>
          <w:tcPr>
            <w:tcW w:w="0" w:type="auto"/>
            <w:vAlign w:val="center"/>
            <w:hideMark/>
          </w:tcPr>
          <w:p w14:paraId="45F9779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Wales Total</w:t>
            </w:r>
          </w:p>
        </w:tc>
        <w:tc>
          <w:tcPr>
            <w:tcW w:w="0" w:type="auto"/>
            <w:vAlign w:val="center"/>
            <w:hideMark/>
          </w:tcPr>
          <w:p w14:paraId="286C3CD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598</w:t>
            </w:r>
          </w:p>
        </w:tc>
        <w:tc>
          <w:tcPr>
            <w:tcW w:w="0" w:type="auto"/>
            <w:vAlign w:val="center"/>
            <w:hideMark/>
          </w:tcPr>
          <w:p w14:paraId="0E6640C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1,574</w:t>
            </w:r>
          </w:p>
        </w:tc>
        <w:tc>
          <w:tcPr>
            <w:tcW w:w="0" w:type="auto"/>
            <w:vAlign w:val="center"/>
            <w:hideMark/>
          </w:tcPr>
          <w:p w14:paraId="115934B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+163%</w:t>
            </w:r>
          </w:p>
        </w:tc>
      </w:tr>
    </w:tbl>
    <w:p w14:paraId="17897B63"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71A1AD18">
        <w:rPr>
          <w:rFonts w:ascii="Times New Roman" w:eastAsia="Times New Roman" w:hAnsi="Times New Roman" w:cs="Times New Roman"/>
          <w:i/>
          <w:iCs/>
          <w:sz w:val="24"/>
          <w:szCs w:val="24"/>
          <w:lang w:eastAsia="en-GB"/>
        </w:rPr>
        <w:t>Source: Office for National Statistics (2023)</w:t>
      </w:r>
    </w:p>
    <w:p w14:paraId="2A32DAAB" w14:textId="28E48AC1" w:rsidR="71A1AD18" w:rsidRDefault="71A1AD18" w:rsidP="71A1AD18">
      <w:pPr>
        <w:spacing w:beforeAutospacing="1" w:afterAutospacing="1" w:line="240" w:lineRule="auto"/>
        <w:rPr>
          <w:rFonts w:ascii="Times New Roman" w:eastAsia="Times New Roman" w:hAnsi="Times New Roman" w:cs="Times New Roman"/>
          <w:i/>
          <w:iCs/>
          <w:sz w:val="24"/>
          <w:szCs w:val="24"/>
          <w:lang w:eastAsia="en-GB"/>
        </w:rPr>
      </w:pPr>
    </w:p>
    <w:p w14:paraId="54E11D2A"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6028CB08">
          <v:rect id="_x0000_i1035" style="width:0;height:1.5pt" o:hralign="center" o:hrstd="t" o:hr="t" fillcolor="#a0a0a0" stroked="f"/>
        </w:pict>
      </w:r>
    </w:p>
    <w:p w14:paraId="6C5F87AD" w14:textId="77777777" w:rsidR="005F1CE4" w:rsidRPr="005F1CE4" w:rsidRDefault="005F1CE4" w:rsidP="71A1AD18">
      <w:pPr>
        <w:spacing w:before="100" w:beforeAutospacing="1" w:after="100" w:afterAutospacing="1" w:line="240" w:lineRule="auto"/>
        <w:rPr>
          <w:rFonts w:ascii="Calibri" w:eastAsia="Calibri" w:hAnsi="Calibri" w:cs="Calibri"/>
          <w:sz w:val="24"/>
          <w:szCs w:val="24"/>
          <w:lang w:eastAsia="en-GB"/>
        </w:rPr>
      </w:pPr>
      <w:r w:rsidRPr="71A1AD18">
        <w:rPr>
          <w:rFonts w:ascii="Calibri" w:eastAsia="Calibri" w:hAnsi="Calibri" w:cs="Calibri"/>
          <w:sz w:val="24"/>
          <w:szCs w:val="24"/>
          <w:lang w:eastAsia="en-GB"/>
        </w:rPr>
        <w:t>Appendix C3: Types of Knife Crime Recorded Across Wales (2023)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41"/>
        <w:gridCol w:w="3024"/>
        <w:gridCol w:w="1980"/>
      </w:tblGrid>
      <w:tr w:rsidR="005F1CE4" w:rsidRPr="005F1CE4" w14:paraId="4921E6FC" w14:textId="77777777" w:rsidTr="71A1AD18">
        <w:trPr>
          <w:tblHeader/>
          <w:tblCellSpacing w:w="15" w:type="dxa"/>
        </w:trPr>
        <w:tc>
          <w:tcPr>
            <w:tcW w:w="0" w:type="auto"/>
            <w:vAlign w:val="center"/>
            <w:hideMark/>
          </w:tcPr>
          <w:p w14:paraId="711C2355"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Offence Type</w:t>
            </w:r>
          </w:p>
        </w:tc>
        <w:tc>
          <w:tcPr>
            <w:tcW w:w="0" w:type="auto"/>
            <w:vAlign w:val="center"/>
            <w:hideMark/>
          </w:tcPr>
          <w:p w14:paraId="572CE0FD"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Number of Recorded Offences</w:t>
            </w:r>
          </w:p>
        </w:tc>
        <w:tc>
          <w:tcPr>
            <w:tcW w:w="0" w:type="auto"/>
            <w:vAlign w:val="center"/>
            <w:hideMark/>
          </w:tcPr>
          <w:p w14:paraId="0C8F2B85"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Percentage of Total</w:t>
            </w:r>
          </w:p>
        </w:tc>
      </w:tr>
      <w:tr w:rsidR="005F1CE4" w:rsidRPr="005F1CE4" w14:paraId="1D21CCBB" w14:textId="77777777" w:rsidTr="71A1AD18">
        <w:trPr>
          <w:tblCellSpacing w:w="15" w:type="dxa"/>
        </w:trPr>
        <w:tc>
          <w:tcPr>
            <w:tcW w:w="0" w:type="auto"/>
            <w:vAlign w:val="center"/>
            <w:hideMark/>
          </w:tcPr>
          <w:p w14:paraId="15B76A6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Assault with a knife</w:t>
            </w:r>
          </w:p>
        </w:tc>
        <w:tc>
          <w:tcPr>
            <w:tcW w:w="0" w:type="auto"/>
            <w:vAlign w:val="center"/>
            <w:hideMark/>
          </w:tcPr>
          <w:p w14:paraId="7FA0714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998</w:t>
            </w:r>
          </w:p>
        </w:tc>
        <w:tc>
          <w:tcPr>
            <w:tcW w:w="0" w:type="auto"/>
            <w:vAlign w:val="center"/>
            <w:hideMark/>
          </w:tcPr>
          <w:p w14:paraId="67ADBBE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63.4%</w:t>
            </w:r>
          </w:p>
        </w:tc>
      </w:tr>
      <w:tr w:rsidR="005F1CE4" w:rsidRPr="005F1CE4" w14:paraId="6711E7FB" w14:textId="77777777" w:rsidTr="71A1AD18">
        <w:trPr>
          <w:tblCellSpacing w:w="15" w:type="dxa"/>
        </w:trPr>
        <w:tc>
          <w:tcPr>
            <w:tcW w:w="0" w:type="auto"/>
            <w:vAlign w:val="center"/>
            <w:hideMark/>
          </w:tcPr>
          <w:p w14:paraId="4905A24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Threats to kill involving a knife</w:t>
            </w:r>
          </w:p>
        </w:tc>
        <w:tc>
          <w:tcPr>
            <w:tcW w:w="0" w:type="auto"/>
            <w:vAlign w:val="center"/>
            <w:hideMark/>
          </w:tcPr>
          <w:p w14:paraId="26C6B81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261</w:t>
            </w:r>
          </w:p>
        </w:tc>
        <w:tc>
          <w:tcPr>
            <w:tcW w:w="0" w:type="auto"/>
            <w:vAlign w:val="center"/>
            <w:hideMark/>
          </w:tcPr>
          <w:p w14:paraId="6814BAD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16.6%</w:t>
            </w:r>
          </w:p>
        </w:tc>
      </w:tr>
      <w:tr w:rsidR="005F1CE4" w:rsidRPr="005F1CE4" w14:paraId="500570B0" w14:textId="77777777" w:rsidTr="71A1AD18">
        <w:trPr>
          <w:tblCellSpacing w:w="15" w:type="dxa"/>
        </w:trPr>
        <w:tc>
          <w:tcPr>
            <w:tcW w:w="0" w:type="auto"/>
            <w:vAlign w:val="center"/>
            <w:hideMark/>
          </w:tcPr>
          <w:p w14:paraId="3E716DA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lastRenderedPageBreak/>
              <w:t>Knife possession offences</w:t>
            </w:r>
          </w:p>
        </w:tc>
        <w:tc>
          <w:tcPr>
            <w:tcW w:w="0" w:type="auto"/>
            <w:vAlign w:val="center"/>
            <w:hideMark/>
          </w:tcPr>
          <w:p w14:paraId="4089D9A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282</w:t>
            </w:r>
          </w:p>
        </w:tc>
        <w:tc>
          <w:tcPr>
            <w:tcW w:w="0" w:type="auto"/>
            <w:vAlign w:val="center"/>
            <w:hideMark/>
          </w:tcPr>
          <w:p w14:paraId="01E274E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17.9%</w:t>
            </w:r>
          </w:p>
        </w:tc>
      </w:tr>
      <w:tr w:rsidR="005F1CE4" w:rsidRPr="005F1CE4" w14:paraId="68AC2F3C" w14:textId="77777777" w:rsidTr="71A1AD18">
        <w:trPr>
          <w:tblCellSpacing w:w="15" w:type="dxa"/>
        </w:trPr>
        <w:tc>
          <w:tcPr>
            <w:tcW w:w="0" w:type="auto"/>
            <w:vAlign w:val="center"/>
            <w:hideMark/>
          </w:tcPr>
          <w:p w14:paraId="3E8FFE2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Knife-related sexual offences</w:t>
            </w:r>
          </w:p>
        </w:tc>
        <w:tc>
          <w:tcPr>
            <w:tcW w:w="0" w:type="auto"/>
            <w:vAlign w:val="center"/>
            <w:hideMark/>
          </w:tcPr>
          <w:p w14:paraId="7CE58F4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33</w:t>
            </w:r>
          </w:p>
        </w:tc>
        <w:tc>
          <w:tcPr>
            <w:tcW w:w="0" w:type="auto"/>
            <w:vAlign w:val="center"/>
            <w:hideMark/>
          </w:tcPr>
          <w:p w14:paraId="413A43A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2.1%</w:t>
            </w:r>
          </w:p>
        </w:tc>
      </w:tr>
      <w:tr w:rsidR="005F1CE4" w:rsidRPr="005F1CE4" w14:paraId="25A20AC0" w14:textId="77777777" w:rsidTr="71A1AD18">
        <w:trPr>
          <w:tblCellSpacing w:w="15" w:type="dxa"/>
        </w:trPr>
        <w:tc>
          <w:tcPr>
            <w:tcW w:w="0" w:type="auto"/>
            <w:vAlign w:val="center"/>
            <w:hideMark/>
          </w:tcPr>
          <w:p w14:paraId="090E4D8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Attempted murder involving a knife</w:t>
            </w:r>
          </w:p>
        </w:tc>
        <w:tc>
          <w:tcPr>
            <w:tcW w:w="0" w:type="auto"/>
            <w:vAlign w:val="center"/>
            <w:hideMark/>
          </w:tcPr>
          <w:p w14:paraId="4737E36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11</w:t>
            </w:r>
          </w:p>
        </w:tc>
        <w:tc>
          <w:tcPr>
            <w:tcW w:w="0" w:type="auto"/>
            <w:vAlign w:val="center"/>
            <w:hideMark/>
          </w:tcPr>
          <w:p w14:paraId="50001A4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0.7%</w:t>
            </w:r>
          </w:p>
        </w:tc>
      </w:tr>
      <w:tr w:rsidR="005F1CE4" w:rsidRPr="005F1CE4" w14:paraId="79FCBB6C" w14:textId="77777777" w:rsidTr="71A1AD18">
        <w:trPr>
          <w:tblCellSpacing w:w="15" w:type="dxa"/>
        </w:trPr>
        <w:tc>
          <w:tcPr>
            <w:tcW w:w="0" w:type="auto"/>
            <w:vAlign w:val="center"/>
            <w:hideMark/>
          </w:tcPr>
          <w:p w14:paraId="732FFE2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Homicide involving a knife</w:t>
            </w:r>
          </w:p>
        </w:tc>
        <w:tc>
          <w:tcPr>
            <w:tcW w:w="0" w:type="auto"/>
            <w:vAlign w:val="center"/>
            <w:hideMark/>
          </w:tcPr>
          <w:p w14:paraId="5FCD5EC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w:t>
            </w:r>
          </w:p>
        </w:tc>
        <w:tc>
          <w:tcPr>
            <w:tcW w:w="0" w:type="auto"/>
            <w:vAlign w:val="center"/>
            <w:hideMark/>
          </w:tcPr>
          <w:p w14:paraId="22DE6FC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0.2%</w:t>
            </w:r>
          </w:p>
        </w:tc>
      </w:tr>
      <w:tr w:rsidR="005F1CE4" w:rsidRPr="005F1CE4" w14:paraId="15E9F646" w14:textId="77777777" w:rsidTr="71A1AD18">
        <w:trPr>
          <w:tblCellSpacing w:w="15" w:type="dxa"/>
        </w:trPr>
        <w:tc>
          <w:tcPr>
            <w:tcW w:w="0" w:type="auto"/>
            <w:vAlign w:val="center"/>
            <w:hideMark/>
          </w:tcPr>
          <w:p w14:paraId="46FE0C0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b/>
                <w:bCs/>
                <w:sz w:val="24"/>
                <w:szCs w:val="24"/>
                <w:lang w:eastAsia="en-GB"/>
              </w:rPr>
              <w:t>Total</w:t>
            </w:r>
          </w:p>
        </w:tc>
        <w:tc>
          <w:tcPr>
            <w:tcW w:w="0" w:type="auto"/>
            <w:vAlign w:val="center"/>
            <w:hideMark/>
          </w:tcPr>
          <w:p w14:paraId="48508E0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b/>
                <w:bCs/>
                <w:sz w:val="24"/>
                <w:szCs w:val="24"/>
                <w:lang w:eastAsia="en-GB"/>
              </w:rPr>
              <w:t>1,574</w:t>
            </w:r>
          </w:p>
        </w:tc>
        <w:tc>
          <w:tcPr>
            <w:tcW w:w="0" w:type="auto"/>
            <w:vAlign w:val="center"/>
            <w:hideMark/>
          </w:tcPr>
          <w:p w14:paraId="135237C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b/>
                <w:bCs/>
                <w:sz w:val="24"/>
                <w:szCs w:val="24"/>
                <w:lang w:eastAsia="en-GB"/>
              </w:rPr>
              <w:t>100%</w:t>
            </w:r>
          </w:p>
        </w:tc>
      </w:tr>
    </w:tbl>
    <w:p w14:paraId="574F9809"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Office for National Statistics (2023)</w:t>
      </w:r>
    </w:p>
    <w:p w14:paraId="31126E5D"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3F828CE">
          <v:rect id="_x0000_i1036" style="width:0;height:1.5pt" o:hralign="center" o:hrstd="t" o:hr="t" fillcolor="#a0a0a0" stroked="f"/>
        </w:pict>
      </w:r>
    </w:p>
    <w:p w14:paraId="4DCFE300"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C4: Socioeconomic Deprivation Indicators for Welsh Local Authority Areas Most Affected by Knife Crime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11"/>
        <w:gridCol w:w="2219"/>
        <w:gridCol w:w="2250"/>
        <w:gridCol w:w="2746"/>
      </w:tblGrid>
      <w:tr w:rsidR="005F1CE4" w:rsidRPr="005F1CE4" w14:paraId="022B0145" w14:textId="77777777" w:rsidTr="71A1AD18">
        <w:trPr>
          <w:tblHeader/>
          <w:tblCellSpacing w:w="15" w:type="dxa"/>
        </w:trPr>
        <w:tc>
          <w:tcPr>
            <w:tcW w:w="0" w:type="auto"/>
            <w:vAlign w:val="center"/>
            <w:hideMark/>
          </w:tcPr>
          <w:p w14:paraId="3FB48094"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Local Authority</w:t>
            </w:r>
          </w:p>
        </w:tc>
        <w:tc>
          <w:tcPr>
            <w:tcW w:w="0" w:type="auto"/>
            <w:vAlign w:val="center"/>
            <w:hideMark/>
          </w:tcPr>
          <w:p w14:paraId="690E3ACD"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Deprivation Rank (Wales)</w:t>
            </w:r>
          </w:p>
        </w:tc>
        <w:tc>
          <w:tcPr>
            <w:tcW w:w="0" w:type="auto"/>
            <w:vAlign w:val="center"/>
            <w:hideMark/>
          </w:tcPr>
          <w:p w14:paraId="27AD57BE"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Unemployment Rate (%)</w:t>
            </w:r>
          </w:p>
        </w:tc>
        <w:tc>
          <w:tcPr>
            <w:tcW w:w="0" w:type="auto"/>
            <w:vAlign w:val="center"/>
            <w:hideMark/>
          </w:tcPr>
          <w:p w14:paraId="66ED40F8"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Youth Unemployment Rate (%)</w:t>
            </w:r>
          </w:p>
        </w:tc>
      </w:tr>
      <w:tr w:rsidR="005F1CE4" w:rsidRPr="005F1CE4" w14:paraId="548DFD2C" w14:textId="77777777" w:rsidTr="71A1AD18">
        <w:trPr>
          <w:tblCellSpacing w:w="15" w:type="dxa"/>
        </w:trPr>
        <w:tc>
          <w:tcPr>
            <w:tcW w:w="0" w:type="auto"/>
            <w:vAlign w:val="center"/>
            <w:hideMark/>
          </w:tcPr>
          <w:p w14:paraId="105D3B5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Blaenau Gwent</w:t>
            </w:r>
          </w:p>
        </w:tc>
        <w:tc>
          <w:tcPr>
            <w:tcW w:w="0" w:type="auto"/>
            <w:vAlign w:val="center"/>
            <w:hideMark/>
          </w:tcPr>
          <w:p w14:paraId="1864D98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1st (most deprived)</w:t>
            </w:r>
          </w:p>
        </w:tc>
        <w:tc>
          <w:tcPr>
            <w:tcW w:w="0" w:type="auto"/>
            <w:vAlign w:val="center"/>
            <w:hideMark/>
          </w:tcPr>
          <w:p w14:paraId="57DEA93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8.2%</w:t>
            </w:r>
          </w:p>
        </w:tc>
        <w:tc>
          <w:tcPr>
            <w:tcW w:w="0" w:type="auto"/>
            <w:vAlign w:val="center"/>
            <w:hideMark/>
          </w:tcPr>
          <w:p w14:paraId="0F3E43F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18.4%</w:t>
            </w:r>
          </w:p>
        </w:tc>
      </w:tr>
      <w:tr w:rsidR="005F1CE4" w:rsidRPr="005F1CE4" w14:paraId="2D8215C2" w14:textId="77777777" w:rsidTr="71A1AD18">
        <w:trPr>
          <w:tblCellSpacing w:w="15" w:type="dxa"/>
        </w:trPr>
        <w:tc>
          <w:tcPr>
            <w:tcW w:w="0" w:type="auto"/>
            <w:vAlign w:val="center"/>
            <w:hideMark/>
          </w:tcPr>
          <w:p w14:paraId="7460994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Merthyr Tydfil</w:t>
            </w:r>
          </w:p>
        </w:tc>
        <w:tc>
          <w:tcPr>
            <w:tcW w:w="0" w:type="auto"/>
            <w:vAlign w:val="center"/>
            <w:hideMark/>
          </w:tcPr>
          <w:p w14:paraId="7C1ED1B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2nd</w:t>
            </w:r>
          </w:p>
        </w:tc>
        <w:tc>
          <w:tcPr>
            <w:tcW w:w="0" w:type="auto"/>
            <w:vAlign w:val="center"/>
            <w:hideMark/>
          </w:tcPr>
          <w:p w14:paraId="19DC07F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7.9%</w:t>
            </w:r>
          </w:p>
        </w:tc>
        <w:tc>
          <w:tcPr>
            <w:tcW w:w="0" w:type="auto"/>
            <w:vAlign w:val="center"/>
            <w:hideMark/>
          </w:tcPr>
          <w:p w14:paraId="053154F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17.6%</w:t>
            </w:r>
          </w:p>
        </w:tc>
      </w:tr>
      <w:tr w:rsidR="005F1CE4" w:rsidRPr="005F1CE4" w14:paraId="2443E3E9" w14:textId="77777777" w:rsidTr="71A1AD18">
        <w:trPr>
          <w:tblCellSpacing w:w="15" w:type="dxa"/>
        </w:trPr>
        <w:tc>
          <w:tcPr>
            <w:tcW w:w="0" w:type="auto"/>
            <w:vAlign w:val="center"/>
            <w:hideMark/>
          </w:tcPr>
          <w:p w14:paraId="506F70E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Rhondda Cynon Taf</w:t>
            </w:r>
          </w:p>
        </w:tc>
        <w:tc>
          <w:tcPr>
            <w:tcW w:w="0" w:type="auto"/>
            <w:vAlign w:val="center"/>
            <w:hideMark/>
          </w:tcPr>
          <w:p w14:paraId="7AF085D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3rd</w:t>
            </w:r>
          </w:p>
        </w:tc>
        <w:tc>
          <w:tcPr>
            <w:tcW w:w="0" w:type="auto"/>
            <w:vAlign w:val="center"/>
            <w:hideMark/>
          </w:tcPr>
          <w:p w14:paraId="3ACD906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7.4%</w:t>
            </w:r>
          </w:p>
        </w:tc>
        <w:tc>
          <w:tcPr>
            <w:tcW w:w="0" w:type="auto"/>
            <w:vAlign w:val="center"/>
            <w:hideMark/>
          </w:tcPr>
          <w:p w14:paraId="5E9B45A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16.8%</w:t>
            </w:r>
          </w:p>
        </w:tc>
      </w:tr>
      <w:tr w:rsidR="005F1CE4" w:rsidRPr="005F1CE4" w14:paraId="355E117C" w14:textId="77777777" w:rsidTr="71A1AD18">
        <w:trPr>
          <w:tblCellSpacing w:w="15" w:type="dxa"/>
        </w:trPr>
        <w:tc>
          <w:tcPr>
            <w:tcW w:w="0" w:type="auto"/>
            <w:vAlign w:val="center"/>
            <w:hideMark/>
          </w:tcPr>
          <w:p w14:paraId="3271F14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Newport</w:t>
            </w:r>
          </w:p>
        </w:tc>
        <w:tc>
          <w:tcPr>
            <w:tcW w:w="0" w:type="auto"/>
            <w:vAlign w:val="center"/>
            <w:hideMark/>
          </w:tcPr>
          <w:p w14:paraId="43B6A19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5th</w:t>
            </w:r>
          </w:p>
        </w:tc>
        <w:tc>
          <w:tcPr>
            <w:tcW w:w="0" w:type="auto"/>
            <w:vAlign w:val="center"/>
            <w:hideMark/>
          </w:tcPr>
          <w:p w14:paraId="1470CBC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6.8%</w:t>
            </w:r>
          </w:p>
        </w:tc>
        <w:tc>
          <w:tcPr>
            <w:tcW w:w="0" w:type="auto"/>
            <w:vAlign w:val="center"/>
            <w:hideMark/>
          </w:tcPr>
          <w:p w14:paraId="7CE03E6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15.9%</w:t>
            </w:r>
          </w:p>
        </w:tc>
      </w:tr>
      <w:tr w:rsidR="005F1CE4" w:rsidRPr="005F1CE4" w14:paraId="2ADDAB1D" w14:textId="77777777" w:rsidTr="71A1AD18">
        <w:trPr>
          <w:tblCellSpacing w:w="15" w:type="dxa"/>
        </w:trPr>
        <w:tc>
          <w:tcPr>
            <w:tcW w:w="0" w:type="auto"/>
            <w:vAlign w:val="center"/>
            <w:hideMark/>
          </w:tcPr>
          <w:p w14:paraId="1859C80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Caerphilly</w:t>
            </w:r>
          </w:p>
        </w:tc>
        <w:tc>
          <w:tcPr>
            <w:tcW w:w="0" w:type="auto"/>
            <w:vAlign w:val="center"/>
            <w:hideMark/>
          </w:tcPr>
          <w:p w14:paraId="1C008B5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7th</w:t>
            </w:r>
          </w:p>
        </w:tc>
        <w:tc>
          <w:tcPr>
            <w:tcW w:w="0" w:type="auto"/>
            <w:vAlign w:val="center"/>
            <w:hideMark/>
          </w:tcPr>
          <w:p w14:paraId="63C9286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6.3%</w:t>
            </w:r>
          </w:p>
        </w:tc>
        <w:tc>
          <w:tcPr>
            <w:tcW w:w="0" w:type="auto"/>
            <w:vAlign w:val="center"/>
            <w:hideMark/>
          </w:tcPr>
          <w:p w14:paraId="2D4DFB4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14.7%</w:t>
            </w:r>
          </w:p>
        </w:tc>
      </w:tr>
    </w:tbl>
    <w:p w14:paraId="64B4E0E9"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Welsh Government Deprivation Statistics (2023)</w:t>
      </w:r>
    </w:p>
    <w:p w14:paraId="2DE403A5"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35053652">
          <v:rect id="_x0000_i1037" style="width:0;height:1.5pt" o:hralign="center" o:hrstd="t" o:hr="t" fillcolor="#a0a0a0" stroked="f"/>
        </w:pict>
      </w:r>
    </w:p>
    <w:p w14:paraId="5394C717" w14:textId="2537909F" w:rsidR="71A1AD18" w:rsidRDefault="71A1AD18" w:rsidP="71A1AD18">
      <w:pPr>
        <w:spacing w:beforeAutospacing="1" w:afterAutospacing="1" w:line="240" w:lineRule="auto"/>
        <w:rPr>
          <w:rFonts w:eastAsiaTheme="minorEastAsia"/>
          <w:sz w:val="24"/>
          <w:szCs w:val="24"/>
          <w:lang w:eastAsia="en-GB"/>
        </w:rPr>
      </w:pPr>
    </w:p>
    <w:p w14:paraId="2830BB77"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D: Knife Crime in Gwent</w:t>
      </w:r>
    </w:p>
    <w:p w14:paraId="1D191016" w14:textId="2B656F7A"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D1: Recorded Knife Crime in Gwent by Year (2012–2023)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2"/>
        <w:gridCol w:w="1913"/>
        <w:gridCol w:w="2498"/>
      </w:tblGrid>
      <w:tr w:rsidR="005F1CE4" w:rsidRPr="005F1CE4" w14:paraId="33C42698" w14:textId="77777777" w:rsidTr="71A1AD18">
        <w:trPr>
          <w:tblHeader/>
          <w:tblCellSpacing w:w="15" w:type="dxa"/>
        </w:trPr>
        <w:tc>
          <w:tcPr>
            <w:tcW w:w="0" w:type="auto"/>
            <w:vAlign w:val="center"/>
            <w:hideMark/>
          </w:tcPr>
          <w:p w14:paraId="00A6A508"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Year</w:t>
            </w:r>
          </w:p>
        </w:tc>
        <w:tc>
          <w:tcPr>
            <w:tcW w:w="0" w:type="auto"/>
            <w:vAlign w:val="center"/>
            <w:hideMark/>
          </w:tcPr>
          <w:p w14:paraId="37A08AA1"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Recorded Offences</w:t>
            </w:r>
          </w:p>
        </w:tc>
        <w:tc>
          <w:tcPr>
            <w:tcW w:w="0" w:type="auto"/>
            <w:vAlign w:val="center"/>
            <w:hideMark/>
          </w:tcPr>
          <w:p w14:paraId="0B1A04F9"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Year-on-Year Change (%)</w:t>
            </w:r>
          </w:p>
        </w:tc>
      </w:tr>
      <w:tr w:rsidR="005F1CE4" w:rsidRPr="005F1CE4" w14:paraId="7E8C6851" w14:textId="77777777" w:rsidTr="71A1AD18">
        <w:trPr>
          <w:tblCellSpacing w:w="15" w:type="dxa"/>
        </w:trPr>
        <w:tc>
          <w:tcPr>
            <w:tcW w:w="0" w:type="auto"/>
            <w:vAlign w:val="center"/>
            <w:hideMark/>
          </w:tcPr>
          <w:p w14:paraId="19074DB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2012/13</w:t>
            </w:r>
          </w:p>
        </w:tc>
        <w:tc>
          <w:tcPr>
            <w:tcW w:w="0" w:type="auto"/>
            <w:vAlign w:val="center"/>
            <w:hideMark/>
          </w:tcPr>
          <w:p w14:paraId="0CF385C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65</w:t>
            </w:r>
          </w:p>
        </w:tc>
        <w:tc>
          <w:tcPr>
            <w:tcW w:w="0" w:type="auto"/>
            <w:vAlign w:val="center"/>
            <w:hideMark/>
          </w:tcPr>
          <w:p w14:paraId="63E8E42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t>
            </w:r>
          </w:p>
        </w:tc>
      </w:tr>
      <w:tr w:rsidR="005F1CE4" w:rsidRPr="005F1CE4" w14:paraId="68B7AC1D" w14:textId="77777777" w:rsidTr="71A1AD18">
        <w:trPr>
          <w:tblCellSpacing w:w="15" w:type="dxa"/>
        </w:trPr>
        <w:tc>
          <w:tcPr>
            <w:tcW w:w="0" w:type="auto"/>
            <w:vAlign w:val="center"/>
            <w:hideMark/>
          </w:tcPr>
          <w:p w14:paraId="4AED623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2013/14</w:t>
            </w:r>
          </w:p>
        </w:tc>
        <w:tc>
          <w:tcPr>
            <w:tcW w:w="0" w:type="auto"/>
            <w:vAlign w:val="center"/>
            <w:hideMark/>
          </w:tcPr>
          <w:p w14:paraId="23D9E55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72</w:t>
            </w:r>
          </w:p>
        </w:tc>
        <w:tc>
          <w:tcPr>
            <w:tcW w:w="0" w:type="auto"/>
            <w:vAlign w:val="center"/>
            <w:hideMark/>
          </w:tcPr>
          <w:p w14:paraId="29E6DE0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+10.8%</w:t>
            </w:r>
          </w:p>
        </w:tc>
      </w:tr>
      <w:tr w:rsidR="005F1CE4" w:rsidRPr="005F1CE4" w14:paraId="17EF24EA" w14:textId="77777777" w:rsidTr="71A1AD18">
        <w:trPr>
          <w:tblCellSpacing w:w="15" w:type="dxa"/>
        </w:trPr>
        <w:tc>
          <w:tcPr>
            <w:tcW w:w="0" w:type="auto"/>
            <w:vAlign w:val="center"/>
            <w:hideMark/>
          </w:tcPr>
          <w:p w14:paraId="18A8528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2014/15</w:t>
            </w:r>
          </w:p>
        </w:tc>
        <w:tc>
          <w:tcPr>
            <w:tcW w:w="0" w:type="auto"/>
            <w:vAlign w:val="center"/>
            <w:hideMark/>
          </w:tcPr>
          <w:p w14:paraId="4EF93A7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89</w:t>
            </w:r>
          </w:p>
        </w:tc>
        <w:tc>
          <w:tcPr>
            <w:tcW w:w="0" w:type="auto"/>
            <w:vAlign w:val="center"/>
            <w:hideMark/>
          </w:tcPr>
          <w:p w14:paraId="64AF252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+23.6%</w:t>
            </w:r>
          </w:p>
        </w:tc>
      </w:tr>
      <w:tr w:rsidR="005F1CE4" w:rsidRPr="005F1CE4" w14:paraId="4DF2EF2A" w14:textId="77777777" w:rsidTr="71A1AD18">
        <w:trPr>
          <w:tblCellSpacing w:w="15" w:type="dxa"/>
        </w:trPr>
        <w:tc>
          <w:tcPr>
            <w:tcW w:w="0" w:type="auto"/>
            <w:vAlign w:val="center"/>
            <w:hideMark/>
          </w:tcPr>
          <w:p w14:paraId="52A774B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2015/16</w:t>
            </w:r>
          </w:p>
        </w:tc>
        <w:tc>
          <w:tcPr>
            <w:tcW w:w="0" w:type="auto"/>
            <w:vAlign w:val="center"/>
            <w:hideMark/>
          </w:tcPr>
          <w:p w14:paraId="28FF12E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98</w:t>
            </w:r>
          </w:p>
        </w:tc>
        <w:tc>
          <w:tcPr>
            <w:tcW w:w="0" w:type="auto"/>
            <w:vAlign w:val="center"/>
            <w:hideMark/>
          </w:tcPr>
          <w:p w14:paraId="1BF2C18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+10.1%</w:t>
            </w:r>
          </w:p>
        </w:tc>
      </w:tr>
      <w:tr w:rsidR="005F1CE4" w:rsidRPr="005F1CE4" w14:paraId="39F1268B" w14:textId="77777777" w:rsidTr="71A1AD18">
        <w:trPr>
          <w:tblCellSpacing w:w="15" w:type="dxa"/>
        </w:trPr>
        <w:tc>
          <w:tcPr>
            <w:tcW w:w="0" w:type="auto"/>
            <w:vAlign w:val="center"/>
            <w:hideMark/>
          </w:tcPr>
          <w:p w14:paraId="6363419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2016/17</w:t>
            </w:r>
          </w:p>
        </w:tc>
        <w:tc>
          <w:tcPr>
            <w:tcW w:w="0" w:type="auto"/>
            <w:vAlign w:val="center"/>
            <w:hideMark/>
          </w:tcPr>
          <w:p w14:paraId="5F0CA59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112</w:t>
            </w:r>
          </w:p>
        </w:tc>
        <w:tc>
          <w:tcPr>
            <w:tcW w:w="0" w:type="auto"/>
            <w:vAlign w:val="center"/>
            <w:hideMark/>
          </w:tcPr>
          <w:p w14:paraId="1853D9F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+14.3%</w:t>
            </w:r>
          </w:p>
        </w:tc>
      </w:tr>
      <w:tr w:rsidR="005F1CE4" w:rsidRPr="005F1CE4" w14:paraId="621BD94C" w14:textId="77777777" w:rsidTr="71A1AD18">
        <w:trPr>
          <w:tblCellSpacing w:w="15" w:type="dxa"/>
        </w:trPr>
        <w:tc>
          <w:tcPr>
            <w:tcW w:w="0" w:type="auto"/>
            <w:vAlign w:val="center"/>
            <w:hideMark/>
          </w:tcPr>
          <w:p w14:paraId="1A944FC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2017/18</w:t>
            </w:r>
          </w:p>
        </w:tc>
        <w:tc>
          <w:tcPr>
            <w:tcW w:w="0" w:type="auto"/>
            <w:vAlign w:val="center"/>
            <w:hideMark/>
          </w:tcPr>
          <w:p w14:paraId="4A6B8E2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134</w:t>
            </w:r>
          </w:p>
        </w:tc>
        <w:tc>
          <w:tcPr>
            <w:tcW w:w="0" w:type="auto"/>
            <w:vAlign w:val="center"/>
            <w:hideMark/>
          </w:tcPr>
          <w:p w14:paraId="62AE120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+19.6%</w:t>
            </w:r>
          </w:p>
        </w:tc>
      </w:tr>
      <w:tr w:rsidR="005F1CE4" w:rsidRPr="005F1CE4" w14:paraId="0381695B" w14:textId="77777777" w:rsidTr="71A1AD18">
        <w:trPr>
          <w:tblCellSpacing w:w="15" w:type="dxa"/>
        </w:trPr>
        <w:tc>
          <w:tcPr>
            <w:tcW w:w="0" w:type="auto"/>
            <w:vAlign w:val="center"/>
            <w:hideMark/>
          </w:tcPr>
          <w:p w14:paraId="7C085FD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2018/19</w:t>
            </w:r>
          </w:p>
        </w:tc>
        <w:tc>
          <w:tcPr>
            <w:tcW w:w="0" w:type="auto"/>
            <w:vAlign w:val="center"/>
            <w:hideMark/>
          </w:tcPr>
          <w:p w14:paraId="096FF96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156</w:t>
            </w:r>
          </w:p>
        </w:tc>
        <w:tc>
          <w:tcPr>
            <w:tcW w:w="0" w:type="auto"/>
            <w:vAlign w:val="center"/>
            <w:hideMark/>
          </w:tcPr>
          <w:p w14:paraId="45F1159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+16.4%</w:t>
            </w:r>
          </w:p>
        </w:tc>
      </w:tr>
      <w:tr w:rsidR="005F1CE4" w:rsidRPr="005F1CE4" w14:paraId="03C9B9FD" w14:textId="77777777" w:rsidTr="71A1AD18">
        <w:trPr>
          <w:tblCellSpacing w:w="15" w:type="dxa"/>
        </w:trPr>
        <w:tc>
          <w:tcPr>
            <w:tcW w:w="0" w:type="auto"/>
            <w:vAlign w:val="center"/>
            <w:hideMark/>
          </w:tcPr>
          <w:p w14:paraId="5253B2F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2019/20</w:t>
            </w:r>
          </w:p>
        </w:tc>
        <w:tc>
          <w:tcPr>
            <w:tcW w:w="0" w:type="auto"/>
            <w:vAlign w:val="center"/>
            <w:hideMark/>
          </w:tcPr>
          <w:p w14:paraId="725F294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287</w:t>
            </w:r>
          </w:p>
        </w:tc>
        <w:tc>
          <w:tcPr>
            <w:tcW w:w="0" w:type="auto"/>
            <w:vAlign w:val="center"/>
            <w:hideMark/>
          </w:tcPr>
          <w:p w14:paraId="76F4CD7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+84.0%</w:t>
            </w:r>
          </w:p>
        </w:tc>
      </w:tr>
      <w:tr w:rsidR="005F1CE4" w:rsidRPr="005F1CE4" w14:paraId="354B9C18" w14:textId="77777777" w:rsidTr="71A1AD18">
        <w:trPr>
          <w:tblCellSpacing w:w="15" w:type="dxa"/>
        </w:trPr>
        <w:tc>
          <w:tcPr>
            <w:tcW w:w="0" w:type="auto"/>
            <w:vAlign w:val="center"/>
            <w:hideMark/>
          </w:tcPr>
          <w:p w14:paraId="0392CED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2020/21</w:t>
            </w:r>
          </w:p>
        </w:tc>
        <w:tc>
          <w:tcPr>
            <w:tcW w:w="0" w:type="auto"/>
            <w:vAlign w:val="center"/>
            <w:hideMark/>
          </w:tcPr>
          <w:p w14:paraId="0EEDF11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301</w:t>
            </w:r>
          </w:p>
        </w:tc>
        <w:tc>
          <w:tcPr>
            <w:tcW w:w="0" w:type="auto"/>
            <w:vAlign w:val="center"/>
            <w:hideMark/>
          </w:tcPr>
          <w:p w14:paraId="0A8A66B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+4.9%</w:t>
            </w:r>
          </w:p>
        </w:tc>
      </w:tr>
      <w:tr w:rsidR="005F1CE4" w:rsidRPr="005F1CE4" w14:paraId="33CAAAC2" w14:textId="77777777" w:rsidTr="71A1AD18">
        <w:trPr>
          <w:tblCellSpacing w:w="15" w:type="dxa"/>
        </w:trPr>
        <w:tc>
          <w:tcPr>
            <w:tcW w:w="0" w:type="auto"/>
            <w:vAlign w:val="center"/>
            <w:hideMark/>
          </w:tcPr>
          <w:p w14:paraId="155B53E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2021/22</w:t>
            </w:r>
          </w:p>
        </w:tc>
        <w:tc>
          <w:tcPr>
            <w:tcW w:w="0" w:type="auto"/>
            <w:vAlign w:val="center"/>
            <w:hideMark/>
          </w:tcPr>
          <w:p w14:paraId="10FBB0B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318</w:t>
            </w:r>
          </w:p>
        </w:tc>
        <w:tc>
          <w:tcPr>
            <w:tcW w:w="0" w:type="auto"/>
            <w:vAlign w:val="center"/>
            <w:hideMark/>
          </w:tcPr>
          <w:p w14:paraId="1AE275D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+5.6%</w:t>
            </w:r>
          </w:p>
        </w:tc>
      </w:tr>
      <w:tr w:rsidR="005F1CE4" w:rsidRPr="005F1CE4" w14:paraId="274A3C22" w14:textId="77777777" w:rsidTr="71A1AD18">
        <w:trPr>
          <w:tblCellSpacing w:w="15" w:type="dxa"/>
        </w:trPr>
        <w:tc>
          <w:tcPr>
            <w:tcW w:w="0" w:type="auto"/>
            <w:vAlign w:val="center"/>
            <w:hideMark/>
          </w:tcPr>
          <w:p w14:paraId="6A0F81E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lastRenderedPageBreak/>
              <w:t>2022/23</w:t>
            </w:r>
          </w:p>
        </w:tc>
        <w:tc>
          <w:tcPr>
            <w:tcW w:w="0" w:type="auto"/>
            <w:vAlign w:val="center"/>
            <w:hideMark/>
          </w:tcPr>
          <w:p w14:paraId="6B8A53F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376</w:t>
            </w:r>
          </w:p>
        </w:tc>
        <w:tc>
          <w:tcPr>
            <w:tcW w:w="0" w:type="auto"/>
            <w:vAlign w:val="center"/>
            <w:hideMark/>
          </w:tcPr>
          <w:p w14:paraId="5061498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+18.2%</w:t>
            </w:r>
          </w:p>
        </w:tc>
      </w:tr>
    </w:tbl>
    <w:p w14:paraId="141B0A62"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Office for National Statistics (2023); Gwent Police (2023)</w:t>
      </w:r>
    </w:p>
    <w:p w14:paraId="49E398E2"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0D8BBA7">
          <v:rect id="_x0000_i1038" style="width:0;height:1.5pt" o:hralign="center" o:hrstd="t" o:hr="t" fillcolor="#a0a0a0" stroked="f"/>
        </w:pict>
      </w:r>
    </w:p>
    <w:p w14:paraId="1AF2AFAE"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D2: Types of Knife Crime Recorded in Gwent (2023)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41"/>
        <w:gridCol w:w="3024"/>
        <w:gridCol w:w="1980"/>
      </w:tblGrid>
      <w:tr w:rsidR="005F1CE4" w:rsidRPr="005F1CE4" w14:paraId="35E0FDC1" w14:textId="77777777" w:rsidTr="71A1AD18">
        <w:trPr>
          <w:tblHeader/>
          <w:tblCellSpacing w:w="15" w:type="dxa"/>
        </w:trPr>
        <w:tc>
          <w:tcPr>
            <w:tcW w:w="0" w:type="auto"/>
            <w:vAlign w:val="center"/>
            <w:hideMark/>
          </w:tcPr>
          <w:p w14:paraId="392C78FB"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Offence Type</w:t>
            </w:r>
          </w:p>
        </w:tc>
        <w:tc>
          <w:tcPr>
            <w:tcW w:w="0" w:type="auto"/>
            <w:vAlign w:val="center"/>
            <w:hideMark/>
          </w:tcPr>
          <w:p w14:paraId="01EAFB4A"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Number of Recorded Offences</w:t>
            </w:r>
          </w:p>
        </w:tc>
        <w:tc>
          <w:tcPr>
            <w:tcW w:w="0" w:type="auto"/>
            <w:vAlign w:val="center"/>
            <w:hideMark/>
          </w:tcPr>
          <w:p w14:paraId="7D28A012"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Percentage of Total</w:t>
            </w:r>
          </w:p>
        </w:tc>
      </w:tr>
      <w:tr w:rsidR="005F1CE4" w:rsidRPr="005F1CE4" w14:paraId="0377427E" w14:textId="77777777" w:rsidTr="71A1AD18">
        <w:trPr>
          <w:tblCellSpacing w:w="15" w:type="dxa"/>
        </w:trPr>
        <w:tc>
          <w:tcPr>
            <w:tcW w:w="0" w:type="auto"/>
            <w:vAlign w:val="center"/>
            <w:hideMark/>
          </w:tcPr>
          <w:p w14:paraId="606DFAA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Assault with a knife</w:t>
            </w:r>
          </w:p>
        </w:tc>
        <w:tc>
          <w:tcPr>
            <w:tcW w:w="0" w:type="auto"/>
            <w:vAlign w:val="center"/>
            <w:hideMark/>
          </w:tcPr>
          <w:p w14:paraId="6A72060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214</w:t>
            </w:r>
          </w:p>
        </w:tc>
        <w:tc>
          <w:tcPr>
            <w:tcW w:w="0" w:type="auto"/>
            <w:vAlign w:val="center"/>
            <w:hideMark/>
          </w:tcPr>
          <w:p w14:paraId="11C2952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56.9%</w:t>
            </w:r>
          </w:p>
        </w:tc>
      </w:tr>
      <w:tr w:rsidR="005F1CE4" w:rsidRPr="005F1CE4" w14:paraId="42A17396" w14:textId="77777777" w:rsidTr="71A1AD18">
        <w:trPr>
          <w:tblCellSpacing w:w="15" w:type="dxa"/>
        </w:trPr>
        <w:tc>
          <w:tcPr>
            <w:tcW w:w="0" w:type="auto"/>
            <w:vAlign w:val="center"/>
            <w:hideMark/>
          </w:tcPr>
          <w:p w14:paraId="657A8A1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Threats to kill involving a knife</w:t>
            </w:r>
          </w:p>
        </w:tc>
        <w:tc>
          <w:tcPr>
            <w:tcW w:w="0" w:type="auto"/>
            <w:vAlign w:val="center"/>
            <w:hideMark/>
          </w:tcPr>
          <w:p w14:paraId="0F8EA84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80</w:t>
            </w:r>
          </w:p>
        </w:tc>
        <w:tc>
          <w:tcPr>
            <w:tcW w:w="0" w:type="auto"/>
            <w:vAlign w:val="center"/>
            <w:hideMark/>
          </w:tcPr>
          <w:p w14:paraId="7888480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21.3%</w:t>
            </w:r>
          </w:p>
        </w:tc>
      </w:tr>
      <w:tr w:rsidR="005F1CE4" w:rsidRPr="005F1CE4" w14:paraId="43F2983B" w14:textId="77777777" w:rsidTr="71A1AD18">
        <w:trPr>
          <w:tblCellSpacing w:w="15" w:type="dxa"/>
        </w:trPr>
        <w:tc>
          <w:tcPr>
            <w:tcW w:w="0" w:type="auto"/>
            <w:vAlign w:val="center"/>
            <w:hideMark/>
          </w:tcPr>
          <w:p w14:paraId="1AD5E49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Knife possession offences</w:t>
            </w:r>
          </w:p>
        </w:tc>
        <w:tc>
          <w:tcPr>
            <w:tcW w:w="0" w:type="auto"/>
            <w:vAlign w:val="center"/>
            <w:hideMark/>
          </w:tcPr>
          <w:p w14:paraId="67317CE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79</w:t>
            </w:r>
          </w:p>
        </w:tc>
        <w:tc>
          <w:tcPr>
            <w:tcW w:w="0" w:type="auto"/>
            <w:vAlign w:val="center"/>
            <w:hideMark/>
          </w:tcPr>
          <w:p w14:paraId="1BB3A2B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21.0%</w:t>
            </w:r>
          </w:p>
        </w:tc>
      </w:tr>
      <w:tr w:rsidR="005F1CE4" w:rsidRPr="005F1CE4" w14:paraId="303F4244" w14:textId="77777777" w:rsidTr="71A1AD18">
        <w:trPr>
          <w:tblCellSpacing w:w="15" w:type="dxa"/>
        </w:trPr>
        <w:tc>
          <w:tcPr>
            <w:tcW w:w="0" w:type="auto"/>
            <w:vAlign w:val="center"/>
            <w:hideMark/>
          </w:tcPr>
          <w:p w14:paraId="5552C72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Attempted murder involving a knife</w:t>
            </w:r>
          </w:p>
        </w:tc>
        <w:tc>
          <w:tcPr>
            <w:tcW w:w="0" w:type="auto"/>
            <w:vAlign w:val="center"/>
            <w:hideMark/>
          </w:tcPr>
          <w:p w14:paraId="0B77815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w:t>
            </w:r>
          </w:p>
        </w:tc>
        <w:tc>
          <w:tcPr>
            <w:tcW w:w="0" w:type="auto"/>
            <w:vAlign w:val="center"/>
            <w:hideMark/>
          </w:tcPr>
          <w:p w14:paraId="5389DEB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0.8%</w:t>
            </w:r>
          </w:p>
        </w:tc>
      </w:tr>
      <w:tr w:rsidR="005F1CE4" w:rsidRPr="005F1CE4" w14:paraId="0DDFF7F3" w14:textId="77777777" w:rsidTr="71A1AD18">
        <w:trPr>
          <w:tblCellSpacing w:w="15" w:type="dxa"/>
        </w:trPr>
        <w:tc>
          <w:tcPr>
            <w:tcW w:w="0" w:type="auto"/>
            <w:vAlign w:val="center"/>
            <w:hideMark/>
          </w:tcPr>
          <w:p w14:paraId="4AE57D2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Homicide involving a knife</w:t>
            </w:r>
          </w:p>
        </w:tc>
        <w:tc>
          <w:tcPr>
            <w:tcW w:w="0" w:type="auto"/>
            <w:vAlign w:val="center"/>
            <w:hideMark/>
          </w:tcPr>
          <w:p w14:paraId="4B58431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0</w:t>
            </w:r>
          </w:p>
        </w:tc>
        <w:tc>
          <w:tcPr>
            <w:tcW w:w="0" w:type="auto"/>
            <w:vAlign w:val="center"/>
            <w:hideMark/>
          </w:tcPr>
          <w:p w14:paraId="5A8FAA6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0.0%</w:t>
            </w:r>
          </w:p>
        </w:tc>
      </w:tr>
      <w:tr w:rsidR="005F1CE4" w:rsidRPr="005F1CE4" w14:paraId="29BD078F" w14:textId="77777777" w:rsidTr="71A1AD18">
        <w:trPr>
          <w:tblCellSpacing w:w="15" w:type="dxa"/>
        </w:trPr>
        <w:tc>
          <w:tcPr>
            <w:tcW w:w="0" w:type="auto"/>
            <w:vAlign w:val="center"/>
            <w:hideMark/>
          </w:tcPr>
          <w:p w14:paraId="51E8FDB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b/>
                <w:bCs/>
                <w:sz w:val="24"/>
                <w:szCs w:val="24"/>
                <w:lang w:eastAsia="en-GB"/>
              </w:rPr>
              <w:t>Total</w:t>
            </w:r>
          </w:p>
        </w:tc>
        <w:tc>
          <w:tcPr>
            <w:tcW w:w="0" w:type="auto"/>
            <w:vAlign w:val="center"/>
            <w:hideMark/>
          </w:tcPr>
          <w:p w14:paraId="6EE51EA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b/>
                <w:bCs/>
                <w:sz w:val="24"/>
                <w:szCs w:val="24"/>
                <w:lang w:eastAsia="en-GB"/>
              </w:rPr>
              <w:t>376</w:t>
            </w:r>
          </w:p>
        </w:tc>
        <w:tc>
          <w:tcPr>
            <w:tcW w:w="0" w:type="auto"/>
            <w:vAlign w:val="center"/>
            <w:hideMark/>
          </w:tcPr>
          <w:p w14:paraId="3F393A7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b/>
                <w:bCs/>
                <w:sz w:val="24"/>
                <w:szCs w:val="24"/>
                <w:lang w:eastAsia="en-GB"/>
              </w:rPr>
              <w:t>100%</w:t>
            </w:r>
          </w:p>
        </w:tc>
      </w:tr>
    </w:tbl>
    <w:p w14:paraId="682589BA"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Office for National Statistics (2023); Gwent Police (2023)</w:t>
      </w:r>
    </w:p>
    <w:p w14:paraId="16287F21"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5E388BCD">
          <v:rect id="_x0000_i1039" style="width:0;height:1.5pt" o:hralign="center" o:hrstd="t" o:hr="t" fillcolor="#a0a0a0" stroked="f"/>
        </w:pict>
      </w:r>
    </w:p>
    <w:p w14:paraId="060D286E"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D3: Knife Crime by Local Authority Area within Gwent (2023)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66"/>
        <w:gridCol w:w="3098"/>
        <w:gridCol w:w="2863"/>
      </w:tblGrid>
      <w:tr w:rsidR="005F1CE4" w:rsidRPr="005F1CE4" w14:paraId="348B4727" w14:textId="77777777" w:rsidTr="71A1AD18">
        <w:trPr>
          <w:tblHeader/>
          <w:tblCellSpacing w:w="15" w:type="dxa"/>
        </w:trPr>
        <w:tc>
          <w:tcPr>
            <w:tcW w:w="0" w:type="auto"/>
            <w:vAlign w:val="center"/>
            <w:hideMark/>
          </w:tcPr>
          <w:p w14:paraId="42E76871"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Local Authority Area</w:t>
            </w:r>
          </w:p>
        </w:tc>
        <w:tc>
          <w:tcPr>
            <w:tcW w:w="0" w:type="auto"/>
            <w:vAlign w:val="center"/>
            <w:hideMark/>
          </w:tcPr>
          <w:p w14:paraId="4F190C48"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Recorded Knife Crime Offences</w:t>
            </w:r>
          </w:p>
        </w:tc>
        <w:tc>
          <w:tcPr>
            <w:tcW w:w="0" w:type="auto"/>
            <w:vAlign w:val="center"/>
            <w:hideMark/>
          </w:tcPr>
          <w:p w14:paraId="3CB0DD9F"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Rate per 100,000 Population</w:t>
            </w:r>
          </w:p>
        </w:tc>
      </w:tr>
      <w:tr w:rsidR="005F1CE4" w:rsidRPr="005F1CE4" w14:paraId="38A8AA2B" w14:textId="77777777" w:rsidTr="71A1AD18">
        <w:trPr>
          <w:tblCellSpacing w:w="15" w:type="dxa"/>
        </w:trPr>
        <w:tc>
          <w:tcPr>
            <w:tcW w:w="0" w:type="auto"/>
            <w:vAlign w:val="center"/>
            <w:hideMark/>
          </w:tcPr>
          <w:p w14:paraId="1B5AFE2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Newport</w:t>
            </w:r>
          </w:p>
        </w:tc>
        <w:tc>
          <w:tcPr>
            <w:tcW w:w="0" w:type="auto"/>
            <w:vAlign w:val="center"/>
            <w:hideMark/>
          </w:tcPr>
          <w:p w14:paraId="4CBC315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198</w:t>
            </w:r>
          </w:p>
        </w:tc>
        <w:tc>
          <w:tcPr>
            <w:tcW w:w="0" w:type="auto"/>
            <w:vAlign w:val="center"/>
            <w:hideMark/>
          </w:tcPr>
          <w:p w14:paraId="1A05FEC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112.4</w:t>
            </w:r>
          </w:p>
        </w:tc>
      </w:tr>
      <w:tr w:rsidR="005F1CE4" w:rsidRPr="005F1CE4" w14:paraId="48689560" w14:textId="77777777" w:rsidTr="71A1AD18">
        <w:trPr>
          <w:tblCellSpacing w:w="15" w:type="dxa"/>
        </w:trPr>
        <w:tc>
          <w:tcPr>
            <w:tcW w:w="0" w:type="auto"/>
            <w:vAlign w:val="center"/>
            <w:hideMark/>
          </w:tcPr>
          <w:p w14:paraId="0A170DA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Caerphilly</w:t>
            </w:r>
          </w:p>
        </w:tc>
        <w:tc>
          <w:tcPr>
            <w:tcW w:w="0" w:type="auto"/>
            <w:vAlign w:val="center"/>
            <w:hideMark/>
          </w:tcPr>
          <w:p w14:paraId="224139B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68</w:t>
            </w:r>
          </w:p>
        </w:tc>
        <w:tc>
          <w:tcPr>
            <w:tcW w:w="0" w:type="auto"/>
            <w:vAlign w:val="center"/>
            <w:hideMark/>
          </w:tcPr>
          <w:p w14:paraId="2FB8DC4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45.6</w:t>
            </w:r>
          </w:p>
        </w:tc>
      </w:tr>
      <w:tr w:rsidR="005F1CE4" w:rsidRPr="005F1CE4" w14:paraId="70D3EC43" w14:textId="77777777" w:rsidTr="71A1AD18">
        <w:trPr>
          <w:tblCellSpacing w:w="15" w:type="dxa"/>
        </w:trPr>
        <w:tc>
          <w:tcPr>
            <w:tcW w:w="0" w:type="auto"/>
            <w:vAlign w:val="center"/>
            <w:hideMark/>
          </w:tcPr>
          <w:p w14:paraId="269A280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Torfaen</w:t>
            </w:r>
          </w:p>
        </w:tc>
        <w:tc>
          <w:tcPr>
            <w:tcW w:w="0" w:type="auto"/>
            <w:vAlign w:val="center"/>
            <w:hideMark/>
          </w:tcPr>
          <w:p w14:paraId="0868EBB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54</w:t>
            </w:r>
          </w:p>
        </w:tc>
        <w:tc>
          <w:tcPr>
            <w:tcW w:w="0" w:type="auto"/>
            <w:vAlign w:val="center"/>
            <w:hideMark/>
          </w:tcPr>
          <w:p w14:paraId="6E8AB56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58.3</w:t>
            </w:r>
          </w:p>
        </w:tc>
      </w:tr>
      <w:tr w:rsidR="005F1CE4" w:rsidRPr="005F1CE4" w14:paraId="03473EB6" w14:textId="77777777" w:rsidTr="71A1AD18">
        <w:trPr>
          <w:tblCellSpacing w:w="15" w:type="dxa"/>
        </w:trPr>
        <w:tc>
          <w:tcPr>
            <w:tcW w:w="0" w:type="auto"/>
            <w:vAlign w:val="center"/>
            <w:hideMark/>
          </w:tcPr>
          <w:p w14:paraId="14C81D6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Blaenau Gwent</w:t>
            </w:r>
          </w:p>
        </w:tc>
        <w:tc>
          <w:tcPr>
            <w:tcW w:w="0" w:type="auto"/>
            <w:vAlign w:val="center"/>
            <w:hideMark/>
          </w:tcPr>
          <w:p w14:paraId="245D991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41</w:t>
            </w:r>
          </w:p>
        </w:tc>
        <w:tc>
          <w:tcPr>
            <w:tcW w:w="0" w:type="auto"/>
            <w:vAlign w:val="center"/>
            <w:hideMark/>
          </w:tcPr>
          <w:p w14:paraId="6D23A8A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59.2</w:t>
            </w:r>
          </w:p>
        </w:tc>
      </w:tr>
      <w:tr w:rsidR="005F1CE4" w:rsidRPr="005F1CE4" w14:paraId="5376D39A" w14:textId="77777777" w:rsidTr="71A1AD18">
        <w:trPr>
          <w:tblCellSpacing w:w="15" w:type="dxa"/>
        </w:trPr>
        <w:tc>
          <w:tcPr>
            <w:tcW w:w="0" w:type="auto"/>
            <w:vAlign w:val="center"/>
            <w:hideMark/>
          </w:tcPr>
          <w:p w14:paraId="1F653D0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Monmouthshire</w:t>
            </w:r>
          </w:p>
        </w:tc>
        <w:tc>
          <w:tcPr>
            <w:tcW w:w="0" w:type="auto"/>
            <w:vAlign w:val="center"/>
            <w:hideMark/>
          </w:tcPr>
          <w:p w14:paraId="33CFEC6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w:t>
            </w:r>
          </w:p>
        </w:tc>
        <w:tc>
          <w:tcPr>
            <w:tcW w:w="0" w:type="auto"/>
            <w:vAlign w:val="center"/>
            <w:hideMark/>
          </w:tcPr>
          <w:p w14:paraId="45BB0F9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16.8</w:t>
            </w:r>
          </w:p>
        </w:tc>
      </w:tr>
      <w:tr w:rsidR="005F1CE4" w:rsidRPr="005F1CE4" w14:paraId="7EAC742C" w14:textId="77777777" w:rsidTr="71A1AD18">
        <w:trPr>
          <w:tblCellSpacing w:w="15" w:type="dxa"/>
        </w:trPr>
        <w:tc>
          <w:tcPr>
            <w:tcW w:w="0" w:type="auto"/>
            <w:vAlign w:val="center"/>
            <w:hideMark/>
          </w:tcPr>
          <w:p w14:paraId="0DFB2D9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b/>
                <w:bCs/>
                <w:sz w:val="24"/>
                <w:szCs w:val="24"/>
                <w:lang w:eastAsia="en-GB"/>
              </w:rPr>
              <w:t>Gwent Total</w:t>
            </w:r>
          </w:p>
        </w:tc>
        <w:tc>
          <w:tcPr>
            <w:tcW w:w="0" w:type="auto"/>
            <w:vAlign w:val="center"/>
            <w:hideMark/>
          </w:tcPr>
          <w:p w14:paraId="7F35D56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b/>
                <w:bCs/>
                <w:sz w:val="24"/>
                <w:szCs w:val="24"/>
                <w:lang w:eastAsia="en-GB"/>
              </w:rPr>
              <w:t>376</w:t>
            </w:r>
          </w:p>
        </w:tc>
        <w:tc>
          <w:tcPr>
            <w:tcW w:w="0" w:type="auto"/>
            <w:vAlign w:val="center"/>
            <w:hideMark/>
          </w:tcPr>
          <w:p w14:paraId="561BEA8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b/>
                <w:bCs/>
                <w:sz w:val="24"/>
                <w:szCs w:val="24"/>
                <w:lang w:eastAsia="en-GB"/>
              </w:rPr>
              <w:t>62.3</w:t>
            </w:r>
          </w:p>
        </w:tc>
      </w:tr>
    </w:tbl>
    <w:p w14:paraId="7671B010"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Gwent Police (2023); Office for National Statistics (2023)</w:t>
      </w:r>
    </w:p>
    <w:p w14:paraId="5BE93A62"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03C9487">
          <v:rect id="_x0000_i1040" style="width:0;height:1.5pt" o:hralign="center" o:hrstd="t" o:hr="t" fillcolor="#a0a0a0" stroked="f"/>
        </w:pict>
      </w:r>
    </w:p>
    <w:p w14:paraId="4E596A05"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D4: Key Risk Factors Contributing to Knife Crime in Gwent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3"/>
        <w:gridCol w:w="4960"/>
        <w:gridCol w:w="2063"/>
      </w:tblGrid>
      <w:tr w:rsidR="005F1CE4" w:rsidRPr="005F1CE4" w14:paraId="0C5E321B" w14:textId="77777777" w:rsidTr="71A1AD18">
        <w:trPr>
          <w:tblHeader/>
          <w:tblCellSpacing w:w="15" w:type="dxa"/>
        </w:trPr>
        <w:tc>
          <w:tcPr>
            <w:tcW w:w="0" w:type="auto"/>
            <w:vAlign w:val="center"/>
            <w:hideMark/>
          </w:tcPr>
          <w:p w14:paraId="47933924"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Risk Factor</w:t>
            </w:r>
          </w:p>
        </w:tc>
        <w:tc>
          <w:tcPr>
            <w:tcW w:w="0" w:type="auto"/>
            <w:vAlign w:val="center"/>
            <w:hideMark/>
          </w:tcPr>
          <w:p w14:paraId="04539CD8"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Evidence of Presence in Gwent</w:t>
            </w:r>
          </w:p>
        </w:tc>
        <w:tc>
          <w:tcPr>
            <w:tcW w:w="0" w:type="auto"/>
            <w:vAlign w:val="center"/>
            <w:hideMark/>
          </w:tcPr>
          <w:p w14:paraId="6CD18102"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Source</w:t>
            </w:r>
          </w:p>
        </w:tc>
      </w:tr>
      <w:tr w:rsidR="005F1CE4" w:rsidRPr="005F1CE4" w14:paraId="14EE299B" w14:textId="77777777" w:rsidTr="71A1AD18">
        <w:trPr>
          <w:tblCellSpacing w:w="15" w:type="dxa"/>
        </w:trPr>
        <w:tc>
          <w:tcPr>
            <w:tcW w:w="0" w:type="auto"/>
            <w:vAlign w:val="center"/>
            <w:hideMark/>
          </w:tcPr>
          <w:p w14:paraId="2EFEC64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Socioeconomic deprivation</w:t>
            </w:r>
          </w:p>
        </w:tc>
        <w:tc>
          <w:tcPr>
            <w:tcW w:w="0" w:type="auto"/>
            <w:vAlign w:val="center"/>
            <w:hideMark/>
          </w:tcPr>
          <w:p w14:paraId="0011BA1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Blaenau Gwent ranked most deprived local authority in Wales</w:t>
            </w:r>
          </w:p>
        </w:tc>
        <w:tc>
          <w:tcPr>
            <w:tcW w:w="0" w:type="auto"/>
            <w:vAlign w:val="center"/>
            <w:hideMark/>
          </w:tcPr>
          <w:p w14:paraId="5E65214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Welsh Government (2023)</w:t>
            </w:r>
          </w:p>
        </w:tc>
      </w:tr>
      <w:tr w:rsidR="005F1CE4" w:rsidRPr="005F1CE4" w14:paraId="60931E19" w14:textId="77777777" w:rsidTr="71A1AD18">
        <w:trPr>
          <w:tblCellSpacing w:w="15" w:type="dxa"/>
        </w:trPr>
        <w:tc>
          <w:tcPr>
            <w:tcW w:w="0" w:type="auto"/>
            <w:vAlign w:val="center"/>
            <w:hideMark/>
          </w:tcPr>
          <w:p w14:paraId="646320D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County lines activity</w:t>
            </w:r>
          </w:p>
        </w:tc>
        <w:tc>
          <w:tcPr>
            <w:tcW w:w="0" w:type="auto"/>
            <w:vAlign w:val="center"/>
            <w:hideMark/>
          </w:tcPr>
          <w:p w14:paraId="727D9CE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Multiple county lines networks identified operating in Newport and surrounding areas</w:t>
            </w:r>
          </w:p>
        </w:tc>
        <w:tc>
          <w:tcPr>
            <w:tcW w:w="0" w:type="auto"/>
            <w:vAlign w:val="center"/>
            <w:hideMark/>
          </w:tcPr>
          <w:p w14:paraId="46E1D6E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National Crime Agency (2022)</w:t>
            </w:r>
          </w:p>
        </w:tc>
      </w:tr>
      <w:tr w:rsidR="005F1CE4" w:rsidRPr="005F1CE4" w14:paraId="7D3ADF13" w14:textId="77777777" w:rsidTr="71A1AD18">
        <w:trPr>
          <w:tblCellSpacing w:w="15" w:type="dxa"/>
        </w:trPr>
        <w:tc>
          <w:tcPr>
            <w:tcW w:w="0" w:type="auto"/>
            <w:vAlign w:val="center"/>
            <w:hideMark/>
          </w:tcPr>
          <w:p w14:paraId="7FBD38E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Youth unemployment</w:t>
            </w:r>
          </w:p>
        </w:tc>
        <w:tc>
          <w:tcPr>
            <w:tcW w:w="0" w:type="auto"/>
            <w:vAlign w:val="center"/>
            <w:hideMark/>
          </w:tcPr>
          <w:p w14:paraId="09C8002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Youth unemployment rates above Welsh average in four of five local authority areas</w:t>
            </w:r>
          </w:p>
        </w:tc>
        <w:tc>
          <w:tcPr>
            <w:tcW w:w="0" w:type="auto"/>
            <w:vAlign w:val="center"/>
            <w:hideMark/>
          </w:tcPr>
          <w:p w14:paraId="738F034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Welsh Government (2023)</w:t>
            </w:r>
          </w:p>
        </w:tc>
      </w:tr>
      <w:tr w:rsidR="005F1CE4" w:rsidRPr="005F1CE4" w14:paraId="5544B249" w14:textId="77777777" w:rsidTr="71A1AD18">
        <w:trPr>
          <w:tblCellSpacing w:w="15" w:type="dxa"/>
        </w:trPr>
        <w:tc>
          <w:tcPr>
            <w:tcW w:w="0" w:type="auto"/>
            <w:vAlign w:val="center"/>
            <w:hideMark/>
          </w:tcPr>
          <w:p w14:paraId="1C2E185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lastRenderedPageBreak/>
              <w:t>Cuts to youth services</w:t>
            </w:r>
          </w:p>
        </w:tc>
        <w:tc>
          <w:tcPr>
            <w:tcW w:w="0" w:type="auto"/>
            <w:vAlign w:val="center"/>
            <w:hideMark/>
          </w:tcPr>
          <w:p w14:paraId="00568D9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Significant reductions in youth provision funding across the force area since 2010</w:t>
            </w:r>
          </w:p>
        </w:tc>
        <w:tc>
          <w:tcPr>
            <w:tcW w:w="0" w:type="auto"/>
            <w:vAlign w:val="center"/>
            <w:hideMark/>
          </w:tcPr>
          <w:p w14:paraId="6AD7A4C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Institute for Fiscal Studies (2019)</w:t>
            </w:r>
          </w:p>
        </w:tc>
      </w:tr>
      <w:tr w:rsidR="005F1CE4" w:rsidRPr="005F1CE4" w14:paraId="1A958F27" w14:textId="77777777" w:rsidTr="71A1AD18">
        <w:trPr>
          <w:tblCellSpacing w:w="15" w:type="dxa"/>
        </w:trPr>
        <w:tc>
          <w:tcPr>
            <w:tcW w:w="0" w:type="auto"/>
            <w:vAlign w:val="center"/>
            <w:hideMark/>
          </w:tcPr>
          <w:p w14:paraId="4FDB134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Urban-rural dynamics</w:t>
            </w:r>
          </w:p>
        </w:tc>
        <w:tc>
          <w:tcPr>
            <w:tcW w:w="0" w:type="auto"/>
            <w:vAlign w:val="center"/>
            <w:hideMark/>
          </w:tcPr>
          <w:p w14:paraId="3B2AC5C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Mix of urban Newport hotspots and more isolated rural communities creates complex policing environment</w:t>
            </w:r>
          </w:p>
        </w:tc>
        <w:tc>
          <w:tcPr>
            <w:tcW w:w="0" w:type="auto"/>
            <w:vAlign w:val="center"/>
            <w:hideMark/>
          </w:tcPr>
          <w:p w14:paraId="0B4428C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 Police (2023)</w:t>
            </w:r>
          </w:p>
        </w:tc>
      </w:tr>
      <w:tr w:rsidR="005F1CE4" w:rsidRPr="005F1CE4" w14:paraId="69529D24" w14:textId="77777777" w:rsidTr="71A1AD18">
        <w:trPr>
          <w:tblCellSpacing w:w="15" w:type="dxa"/>
        </w:trPr>
        <w:tc>
          <w:tcPr>
            <w:tcW w:w="0" w:type="auto"/>
            <w:vAlign w:val="center"/>
            <w:hideMark/>
          </w:tcPr>
          <w:p w14:paraId="76A76AA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Drug market activity</w:t>
            </w:r>
          </w:p>
        </w:tc>
        <w:tc>
          <w:tcPr>
            <w:tcW w:w="0" w:type="auto"/>
            <w:vAlign w:val="center"/>
            <w:hideMark/>
          </w:tcPr>
          <w:p w14:paraId="3F92CC5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Active drug markets in Newport linked to county lines networks</w:t>
            </w:r>
          </w:p>
        </w:tc>
        <w:tc>
          <w:tcPr>
            <w:tcW w:w="0" w:type="auto"/>
            <w:vAlign w:val="center"/>
            <w:hideMark/>
          </w:tcPr>
          <w:p w14:paraId="4ED8204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National Crime Agency (2022)</w:t>
            </w:r>
          </w:p>
        </w:tc>
      </w:tr>
    </w:tbl>
    <w:p w14:paraId="384BA73E"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38C9D1F">
          <v:rect id="_x0000_i1041" style="width:0;height:1.5pt" o:hralign="center" o:hrstd="t" o:hr="t" fillcolor="#a0a0a0" stroked="f"/>
        </w:pict>
      </w:r>
    </w:p>
    <w:p w14:paraId="30F5598F"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E: Policing Strategies and Effectiveness</w:t>
      </w:r>
    </w:p>
    <w:p w14:paraId="5F5E533C" w14:textId="17ACA61A" w:rsidR="005F1CE4" w:rsidRPr="005F1CE4" w:rsidRDefault="005F1CE4" w:rsidP="71A1AD18">
      <w:pPr>
        <w:spacing w:before="100" w:beforeAutospacing="1" w:after="100" w:afterAutospacing="1" w:line="240" w:lineRule="auto"/>
        <w:rPr>
          <w:rFonts w:eastAsiaTheme="minorEastAsia"/>
          <w:i/>
          <w:iCs/>
          <w:sz w:val="24"/>
          <w:szCs w:val="24"/>
          <w:lang w:eastAsia="en-GB"/>
        </w:rPr>
      </w:pPr>
    </w:p>
    <w:p w14:paraId="3336A2C4" w14:textId="7FB2682C" w:rsidR="005F1CE4" w:rsidRPr="005F1CE4" w:rsidRDefault="005F1CE4" w:rsidP="71A1AD18">
      <w:pPr>
        <w:spacing w:before="100" w:beforeAutospacing="1" w:after="0" w:afterAutospacing="1" w:line="240" w:lineRule="auto"/>
        <w:rPr>
          <w:rFonts w:eastAsiaTheme="minorEastAsia"/>
          <w:sz w:val="24"/>
          <w:szCs w:val="24"/>
          <w:lang w:eastAsia="en-GB"/>
        </w:rPr>
      </w:pPr>
      <w:r w:rsidRPr="71A1AD18">
        <w:rPr>
          <w:rFonts w:eastAsiaTheme="minorEastAsia"/>
          <w:sz w:val="24"/>
          <w:szCs w:val="24"/>
          <w:lang w:eastAsia="en-GB"/>
        </w:rPr>
        <w:t>Appendix E1: Summary of Key Policing Strategies and Their Evaluated Effectiveness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2"/>
        <w:gridCol w:w="1767"/>
        <w:gridCol w:w="1768"/>
        <w:gridCol w:w="2297"/>
        <w:gridCol w:w="1612"/>
      </w:tblGrid>
      <w:tr w:rsidR="005F1CE4" w:rsidRPr="005F1CE4" w14:paraId="2C807F09" w14:textId="77777777" w:rsidTr="71A1AD18">
        <w:trPr>
          <w:tblHeader/>
          <w:tblCellSpacing w:w="15" w:type="dxa"/>
        </w:trPr>
        <w:tc>
          <w:tcPr>
            <w:tcW w:w="0" w:type="auto"/>
            <w:vAlign w:val="center"/>
            <w:hideMark/>
          </w:tcPr>
          <w:p w14:paraId="60EC8DB6"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Strategy</w:t>
            </w:r>
          </w:p>
        </w:tc>
        <w:tc>
          <w:tcPr>
            <w:tcW w:w="0" w:type="auto"/>
            <w:vAlign w:val="center"/>
            <w:hideMark/>
          </w:tcPr>
          <w:p w14:paraId="26AF3BF0"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Short-Term Effectiveness</w:t>
            </w:r>
          </w:p>
        </w:tc>
        <w:tc>
          <w:tcPr>
            <w:tcW w:w="0" w:type="auto"/>
            <w:vAlign w:val="center"/>
            <w:hideMark/>
          </w:tcPr>
          <w:p w14:paraId="481BA653"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Long-Term Effectiveness</w:t>
            </w:r>
          </w:p>
        </w:tc>
        <w:tc>
          <w:tcPr>
            <w:tcW w:w="0" w:type="auto"/>
            <w:vAlign w:val="center"/>
            <w:hideMark/>
          </w:tcPr>
          <w:p w14:paraId="2DBCEDE4"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Key Risks/Limitations</w:t>
            </w:r>
          </w:p>
        </w:tc>
        <w:tc>
          <w:tcPr>
            <w:tcW w:w="0" w:type="auto"/>
            <w:vAlign w:val="center"/>
            <w:hideMark/>
          </w:tcPr>
          <w:p w14:paraId="26592ED5"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Evidence Source</w:t>
            </w:r>
          </w:p>
        </w:tc>
      </w:tr>
      <w:tr w:rsidR="005F1CE4" w:rsidRPr="005F1CE4" w14:paraId="56721F69" w14:textId="77777777" w:rsidTr="71A1AD18">
        <w:trPr>
          <w:tblCellSpacing w:w="15" w:type="dxa"/>
        </w:trPr>
        <w:tc>
          <w:tcPr>
            <w:tcW w:w="0" w:type="auto"/>
            <w:vAlign w:val="center"/>
            <w:hideMark/>
          </w:tcPr>
          <w:p w14:paraId="5B0FCD9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Stop-and-search</w:t>
            </w:r>
          </w:p>
        </w:tc>
        <w:tc>
          <w:tcPr>
            <w:tcW w:w="0" w:type="auto"/>
            <w:vAlign w:val="center"/>
            <w:hideMark/>
          </w:tcPr>
          <w:p w14:paraId="7B95891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Moderate — temporary reduction in weapon carrying</w:t>
            </w:r>
          </w:p>
        </w:tc>
        <w:tc>
          <w:tcPr>
            <w:tcW w:w="0" w:type="auto"/>
            <w:vAlign w:val="center"/>
            <w:hideMark/>
          </w:tcPr>
          <w:p w14:paraId="0B1CCFE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Limited — does not address root causes</w:t>
            </w:r>
          </w:p>
        </w:tc>
        <w:tc>
          <w:tcPr>
            <w:tcW w:w="0" w:type="auto"/>
            <w:vAlign w:val="center"/>
            <w:hideMark/>
          </w:tcPr>
          <w:p w14:paraId="4243140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Risk of damaging community trust; concerns about disproportionate use</w:t>
            </w:r>
          </w:p>
        </w:tc>
        <w:tc>
          <w:tcPr>
            <w:tcW w:w="0" w:type="auto"/>
            <w:vAlign w:val="center"/>
            <w:hideMark/>
          </w:tcPr>
          <w:p w14:paraId="5EB9526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Bradford (2017); College of Policing (2021)</w:t>
            </w:r>
          </w:p>
        </w:tc>
      </w:tr>
      <w:tr w:rsidR="005F1CE4" w:rsidRPr="005F1CE4" w14:paraId="32B377F8" w14:textId="77777777" w:rsidTr="71A1AD18">
        <w:trPr>
          <w:tblCellSpacing w:w="15" w:type="dxa"/>
        </w:trPr>
        <w:tc>
          <w:tcPr>
            <w:tcW w:w="0" w:type="auto"/>
            <w:vAlign w:val="center"/>
            <w:hideMark/>
          </w:tcPr>
          <w:p w14:paraId="6097600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Hotspot policing</w:t>
            </w:r>
          </w:p>
        </w:tc>
        <w:tc>
          <w:tcPr>
            <w:tcW w:w="0" w:type="auto"/>
            <w:vAlign w:val="center"/>
            <w:hideMark/>
          </w:tcPr>
          <w:p w14:paraId="5ADD557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High — consistent reductions in targeted areas</w:t>
            </w:r>
          </w:p>
        </w:tc>
        <w:tc>
          <w:tcPr>
            <w:tcW w:w="0" w:type="auto"/>
            <w:vAlign w:val="center"/>
            <w:hideMark/>
          </w:tcPr>
          <w:p w14:paraId="72153C3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Moderate — reductions can be temporary</w:t>
            </w:r>
          </w:p>
        </w:tc>
        <w:tc>
          <w:tcPr>
            <w:tcW w:w="0" w:type="auto"/>
            <w:vAlign w:val="center"/>
            <w:hideMark/>
          </w:tcPr>
          <w:p w14:paraId="72254FE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Resource-intensive; requires sustained deployment</w:t>
            </w:r>
          </w:p>
        </w:tc>
        <w:tc>
          <w:tcPr>
            <w:tcW w:w="0" w:type="auto"/>
            <w:vAlign w:val="center"/>
            <w:hideMark/>
          </w:tcPr>
          <w:p w14:paraId="4ECE585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Braga et al. (2019)</w:t>
            </w:r>
          </w:p>
        </w:tc>
      </w:tr>
      <w:tr w:rsidR="005F1CE4" w:rsidRPr="005F1CE4" w14:paraId="77FE5BA7" w14:textId="77777777" w:rsidTr="71A1AD18">
        <w:trPr>
          <w:tblCellSpacing w:w="15" w:type="dxa"/>
        </w:trPr>
        <w:tc>
          <w:tcPr>
            <w:tcW w:w="0" w:type="auto"/>
            <w:vAlign w:val="center"/>
            <w:hideMark/>
          </w:tcPr>
          <w:p w14:paraId="50EDA74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Knife surrender schemes</w:t>
            </w:r>
          </w:p>
        </w:tc>
        <w:tc>
          <w:tcPr>
            <w:tcW w:w="0" w:type="auto"/>
            <w:vAlign w:val="center"/>
            <w:hideMark/>
          </w:tcPr>
          <w:p w14:paraId="7D2E5F0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Low to moderate — removes some weapons</w:t>
            </w:r>
          </w:p>
        </w:tc>
        <w:tc>
          <w:tcPr>
            <w:tcW w:w="0" w:type="auto"/>
            <w:vAlign w:val="center"/>
            <w:hideMark/>
          </w:tcPr>
          <w:p w14:paraId="55982B4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Low — minimal impact on habitual carriers</w:t>
            </w:r>
          </w:p>
        </w:tc>
        <w:tc>
          <w:tcPr>
            <w:tcW w:w="0" w:type="auto"/>
            <w:vAlign w:val="center"/>
            <w:hideMark/>
          </w:tcPr>
          <w:p w14:paraId="222BED0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Primarily attracts non-criminal participants</w:t>
            </w:r>
          </w:p>
        </w:tc>
        <w:tc>
          <w:tcPr>
            <w:tcW w:w="0" w:type="auto"/>
            <w:vAlign w:val="center"/>
            <w:hideMark/>
          </w:tcPr>
          <w:p w14:paraId="2879DA5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Home Office (2022)</w:t>
            </w:r>
          </w:p>
        </w:tc>
      </w:tr>
      <w:tr w:rsidR="005F1CE4" w:rsidRPr="005F1CE4" w14:paraId="069F6347" w14:textId="77777777" w:rsidTr="71A1AD18">
        <w:trPr>
          <w:tblCellSpacing w:w="15" w:type="dxa"/>
        </w:trPr>
        <w:tc>
          <w:tcPr>
            <w:tcW w:w="0" w:type="auto"/>
            <w:vAlign w:val="center"/>
            <w:hideMark/>
          </w:tcPr>
          <w:p w14:paraId="33444BA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County lines disruption</w:t>
            </w:r>
          </w:p>
        </w:tc>
        <w:tc>
          <w:tcPr>
            <w:tcW w:w="0" w:type="auto"/>
            <w:vAlign w:val="center"/>
            <w:hideMark/>
          </w:tcPr>
          <w:p w14:paraId="3965E60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Moderate — arrests and seizures achieved</w:t>
            </w:r>
          </w:p>
        </w:tc>
        <w:tc>
          <w:tcPr>
            <w:tcW w:w="0" w:type="auto"/>
            <w:vAlign w:val="center"/>
            <w:hideMark/>
          </w:tcPr>
          <w:p w14:paraId="3E3C6E8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Limited — networks adapt quickly</w:t>
            </w:r>
          </w:p>
        </w:tc>
        <w:tc>
          <w:tcPr>
            <w:tcW w:w="0" w:type="auto"/>
            <w:vAlign w:val="center"/>
            <w:hideMark/>
          </w:tcPr>
          <w:p w14:paraId="7FF4E00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Violence can increase during power vacuums</w:t>
            </w:r>
          </w:p>
        </w:tc>
        <w:tc>
          <w:tcPr>
            <w:tcW w:w="0" w:type="auto"/>
            <w:vAlign w:val="center"/>
            <w:hideMark/>
          </w:tcPr>
          <w:p w14:paraId="461392A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National Crime Agency (2022)</w:t>
            </w:r>
          </w:p>
        </w:tc>
      </w:tr>
      <w:tr w:rsidR="005F1CE4" w:rsidRPr="005F1CE4" w14:paraId="3E556FBE" w14:textId="77777777" w:rsidTr="71A1AD18">
        <w:trPr>
          <w:tblCellSpacing w:w="15" w:type="dxa"/>
        </w:trPr>
        <w:tc>
          <w:tcPr>
            <w:tcW w:w="0" w:type="auto"/>
            <w:vAlign w:val="center"/>
            <w:hideMark/>
          </w:tcPr>
          <w:p w14:paraId="0CAED5D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Youth diversion programmes</w:t>
            </w:r>
          </w:p>
        </w:tc>
        <w:tc>
          <w:tcPr>
            <w:tcW w:w="0" w:type="auto"/>
            <w:vAlign w:val="center"/>
            <w:hideMark/>
          </w:tcPr>
          <w:p w14:paraId="396D084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Moderate — effective where well-delivered</w:t>
            </w:r>
          </w:p>
        </w:tc>
        <w:tc>
          <w:tcPr>
            <w:tcW w:w="0" w:type="auto"/>
            <w:vAlign w:val="center"/>
            <w:hideMark/>
          </w:tcPr>
          <w:p w14:paraId="4D6D4C8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High — strong evidence for long-term impact</w:t>
            </w:r>
          </w:p>
        </w:tc>
        <w:tc>
          <w:tcPr>
            <w:tcW w:w="0" w:type="auto"/>
            <w:vAlign w:val="center"/>
            <w:hideMark/>
          </w:tcPr>
          <w:p w14:paraId="7E95213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Dependent on consistent funding and skilled staff</w:t>
            </w:r>
          </w:p>
        </w:tc>
        <w:tc>
          <w:tcPr>
            <w:tcW w:w="0" w:type="auto"/>
            <w:vAlign w:val="center"/>
            <w:hideMark/>
          </w:tcPr>
          <w:p w14:paraId="6612F09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Public Health England (2019)</w:t>
            </w:r>
          </w:p>
        </w:tc>
      </w:tr>
      <w:tr w:rsidR="005F1CE4" w:rsidRPr="005F1CE4" w14:paraId="36EEEAE0" w14:textId="77777777" w:rsidTr="71A1AD18">
        <w:trPr>
          <w:tblCellSpacing w:w="15" w:type="dxa"/>
        </w:trPr>
        <w:tc>
          <w:tcPr>
            <w:tcW w:w="0" w:type="auto"/>
            <w:vAlign w:val="center"/>
            <w:hideMark/>
          </w:tcPr>
          <w:p w14:paraId="7A2BE81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Early intervention and safeguarding</w:t>
            </w:r>
          </w:p>
        </w:tc>
        <w:tc>
          <w:tcPr>
            <w:tcW w:w="0" w:type="auto"/>
            <w:vAlign w:val="center"/>
            <w:hideMark/>
          </w:tcPr>
          <w:p w14:paraId="0C26F40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Moderate to high</w:t>
            </w:r>
          </w:p>
        </w:tc>
        <w:tc>
          <w:tcPr>
            <w:tcW w:w="0" w:type="auto"/>
            <w:vAlign w:val="center"/>
            <w:hideMark/>
          </w:tcPr>
          <w:p w14:paraId="46D0A35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High — addresses underlying vulnerabilities</w:t>
            </w:r>
          </w:p>
        </w:tc>
        <w:tc>
          <w:tcPr>
            <w:tcW w:w="0" w:type="auto"/>
            <w:vAlign w:val="center"/>
            <w:hideMark/>
          </w:tcPr>
          <w:p w14:paraId="04F96A2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Requires strong multi-agency coordination</w:t>
            </w:r>
          </w:p>
        </w:tc>
        <w:tc>
          <w:tcPr>
            <w:tcW w:w="0" w:type="auto"/>
            <w:vAlign w:val="center"/>
            <w:hideMark/>
          </w:tcPr>
          <w:p w14:paraId="70C1506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HM Government (2018)</w:t>
            </w:r>
          </w:p>
        </w:tc>
      </w:tr>
      <w:tr w:rsidR="005F1CE4" w:rsidRPr="005F1CE4" w14:paraId="4CF7F548" w14:textId="77777777" w:rsidTr="71A1AD18">
        <w:trPr>
          <w:tblCellSpacing w:w="15" w:type="dxa"/>
        </w:trPr>
        <w:tc>
          <w:tcPr>
            <w:tcW w:w="0" w:type="auto"/>
            <w:vAlign w:val="center"/>
            <w:hideMark/>
          </w:tcPr>
          <w:p w14:paraId="0BE10CD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Public health approaches</w:t>
            </w:r>
          </w:p>
        </w:tc>
        <w:tc>
          <w:tcPr>
            <w:tcW w:w="0" w:type="auto"/>
            <w:vAlign w:val="center"/>
            <w:hideMark/>
          </w:tcPr>
          <w:p w14:paraId="5AFA77C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Low in short term</w:t>
            </w:r>
          </w:p>
        </w:tc>
        <w:tc>
          <w:tcPr>
            <w:tcW w:w="0" w:type="auto"/>
            <w:vAlign w:val="center"/>
            <w:hideMark/>
          </w:tcPr>
          <w:p w14:paraId="51B8652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High — addresses root causes</w:t>
            </w:r>
          </w:p>
        </w:tc>
        <w:tc>
          <w:tcPr>
            <w:tcW w:w="0" w:type="auto"/>
            <w:vAlign w:val="center"/>
            <w:hideMark/>
          </w:tcPr>
          <w:p w14:paraId="50CBFB6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Requires long-term investment and political commitment</w:t>
            </w:r>
          </w:p>
        </w:tc>
        <w:tc>
          <w:tcPr>
            <w:tcW w:w="0" w:type="auto"/>
            <w:vAlign w:val="center"/>
            <w:hideMark/>
          </w:tcPr>
          <w:p w14:paraId="2F54EBD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Scottish Government (2018)</w:t>
            </w:r>
          </w:p>
        </w:tc>
      </w:tr>
      <w:tr w:rsidR="005F1CE4" w:rsidRPr="005F1CE4" w14:paraId="3F6670C6" w14:textId="77777777" w:rsidTr="71A1AD18">
        <w:trPr>
          <w:tblCellSpacing w:w="15" w:type="dxa"/>
        </w:trPr>
        <w:tc>
          <w:tcPr>
            <w:tcW w:w="0" w:type="auto"/>
            <w:vAlign w:val="center"/>
            <w:hideMark/>
          </w:tcPr>
          <w:p w14:paraId="0D0A032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Multi-agency collaboration</w:t>
            </w:r>
          </w:p>
        </w:tc>
        <w:tc>
          <w:tcPr>
            <w:tcW w:w="0" w:type="auto"/>
            <w:vAlign w:val="center"/>
            <w:hideMark/>
          </w:tcPr>
          <w:p w14:paraId="34B92B9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Moderate</w:t>
            </w:r>
          </w:p>
        </w:tc>
        <w:tc>
          <w:tcPr>
            <w:tcW w:w="0" w:type="auto"/>
            <w:vAlign w:val="center"/>
            <w:hideMark/>
          </w:tcPr>
          <w:p w14:paraId="63B4CCD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High — essential for sustainable reductions</w:t>
            </w:r>
          </w:p>
        </w:tc>
        <w:tc>
          <w:tcPr>
            <w:tcW w:w="0" w:type="auto"/>
            <w:vAlign w:val="center"/>
            <w:hideMark/>
          </w:tcPr>
          <w:p w14:paraId="4B084A9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Competing organisational priorities; data sharing challenges</w:t>
            </w:r>
          </w:p>
        </w:tc>
        <w:tc>
          <w:tcPr>
            <w:tcW w:w="0" w:type="auto"/>
            <w:vAlign w:val="center"/>
            <w:hideMark/>
          </w:tcPr>
          <w:p w14:paraId="2B1FDD0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College of Policing (2021)</w:t>
            </w:r>
          </w:p>
        </w:tc>
      </w:tr>
      <w:tr w:rsidR="005F1CE4" w:rsidRPr="005F1CE4" w14:paraId="2A3E946C" w14:textId="77777777" w:rsidTr="71A1AD18">
        <w:trPr>
          <w:tblCellSpacing w:w="15" w:type="dxa"/>
        </w:trPr>
        <w:tc>
          <w:tcPr>
            <w:tcW w:w="0" w:type="auto"/>
            <w:vAlign w:val="center"/>
            <w:hideMark/>
          </w:tcPr>
          <w:p w14:paraId="380E29C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lastRenderedPageBreak/>
              <w:t>Intelligence-led policing</w:t>
            </w:r>
          </w:p>
        </w:tc>
        <w:tc>
          <w:tcPr>
            <w:tcW w:w="0" w:type="auto"/>
            <w:vAlign w:val="center"/>
            <w:hideMark/>
          </w:tcPr>
          <w:p w14:paraId="72A89C6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High — improves resource targeting</w:t>
            </w:r>
          </w:p>
        </w:tc>
        <w:tc>
          <w:tcPr>
            <w:tcW w:w="0" w:type="auto"/>
            <w:vAlign w:val="center"/>
            <w:hideMark/>
          </w:tcPr>
          <w:p w14:paraId="1F573F0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Moderate — dependent on data quality</w:t>
            </w:r>
          </w:p>
        </w:tc>
        <w:tc>
          <w:tcPr>
            <w:tcW w:w="0" w:type="auto"/>
            <w:vAlign w:val="center"/>
            <w:hideMark/>
          </w:tcPr>
          <w:p w14:paraId="7BE2C00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Requires investment in technology and analytical capacity</w:t>
            </w:r>
          </w:p>
        </w:tc>
        <w:tc>
          <w:tcPr>
            <w:tcW w:w="0" w:type="auto"/>
            <w:vAlign w:val="center"/>
            <w:hideMark/>
          </w:tcPr>
          <w:p w14:paraId="660AC0E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College of Policing (2023)</w:t>
            </w:r>
          </w:p>
        </w:tc>
      </w:tr>
    </w:tbl>
    <w:p w14:paraId="7D34F5C7"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0AC4AF75">
          <v:rect id="_x0000_i1042" style="width:0;height:1.5pt" o:hralign="center" o:hrstd="t" o:hr="t" fillcolor="#a0a0a0" stroked="f"/>
        </w:pict>
      </w:r>
    </w:p>
    <w:p w14:paraId="65FF083A"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E2: Stop-and-Search Use in Welsh Police Force Areas (Selected Years)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95"/>
        <w:gridCol w:w="883"/>
        <w:gridCol w:w="883"/>
        <w:gridCol w:w="883"/>
        <w:gridCol w:w="898"/>
      </w:tblGrid>
      <w:tr w:rsidR="005F1CE4" w:rsidRPr="005F1CE4" w14:paraId="4A7E4300" w14:textId="77777777" w:rsidTr="71A1AD18">
        <w:trPr>
          <w:tblHeader/>
          <w:tblCellSpacing w:w="15" w:type="dxa"/>
        </w:trPr>
        <w:tc>
          <w:tcPr>
            <w:tcW w:w="0" w:type="auto"/>
            <w:vAlign w:val="center"/>
            <w:hideMark/>
          </w:tcPr>
          <w:p w14:paraId="51C12D69"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Force Area</w:t>
            </w:r>
          </w:p>
        </w:tc>
        <w:tc>
          <w:tcPr>
            <w:tcW w:w="0" w:type="auto"/>
            <w:vAlign w:val="center"/>
            <w:hideMark/>
          </w:tcPr>
          <w:p w14:paraId="6A3C9522"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2017/18</w:t>
            </w:r>
          </w:p>
        </w:tc>
        <w:tc>
          <w:tcPr>
            <w:tcW w:w="0" w:type="auto"/>
            <w:vAlign w:val="center"/>
            <w:hideMark/>
          </w:tcPr>
          <w:p w14:paraId="6DCED28F"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2019/20</w:t>
            </w:r>
          </w:p>
        </w:tc>
        <w:tc>
          <w:tcPr>
            <w:tcW w:w="0" w:type="auto"/>
            <w:vAlign w:val="center"/>
            <w:hideMark/>
          </w:tcPr>
          <w:p w14:paraId="7121C740"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2021/22</w:t>
            </w:r>
          </w:p>
        </w:tc>
        <w:tc>
          <w:tcPr>
            <w:tcW w:w="0" w:type="auto"/>
            <w:vAlign w:val="center"/>
            <w:hideMark/>
          </w:tcPr>
          <w:p w14:paraId="56166E29"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2022/23</w:t>
            </w:r>
          </w:p>
        </w:tc>
      </w:tr>
      <w:tr w:rsidR="005F1CE4" w:rsidRPr="005F1CE4" w14:paraId="3A288327" w14:textId="77777777" w:rsidTr="71A1AD18">
        <w:trPr>
          <w:tblCellSpacing w:w="15" w:type="dxa"/>
        </w:trPr>
        <w:tc>
          <w:tcPr>
            <w:tcW w:w="0" w:type="auto"/>
            <w:vAlign w:val="center"/>
            <w:hideMark/>
          </w:tcPr>
          <w:p w14:paraId="4EA0282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South Wales</w:t>
            </w:r>
          </w:p>
        </w:tc>
        <w:tc>
          <w:tcPr>
            <w:tcW w:w="0" w:type="auto"/>
            <w:vAlign w:val="center"/>
            <w:hideMark/>
          </w:tcPr>
          <w:p w14:paraId="200CF70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1,842</w:t>
            </w:r>
          </w:p>
        </w:tc>
        <w:tc>
          <w:tcPr>
            <w:tcW w:w="0" w:type="auto"/>
            <w:vAlign w:val="center"/>
            <w:hideMark/>
          </w:tcPr>
          <w:p w14:paraId="7AE47CE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2,103</w:t>
            </w:r>
          </w:p>
        </w:tc>
        <w:tc>
          <w:tcPr>
            <w:tcW w:w="0" w:type="auto"/>
            <w:vAlign w:val="center"/>
            <w:hideMark/>
          </w:tcPr>
          <w:p w14:paraId="20D3A84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1,976</w:t>
            </w:r>
          </w:p>
        </w:tc>
        <w:tc>
          <w:tcPr>
            <w:tcW w:w="0" w:type="auto"/>
            <w:vAlign w:val="center"/>
            <w:hideMark/>
          </w:tcPr>
          <w:p w14:paraId="02F1742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2,241</w:t>
            </w:r>
          </w:p>
        </w:tc>
      </w:tr>
      <w:tr w:rsidR="005F1CE4" w:rsidRPr="005F1CE4" w14:paraId="69C96ED6" w14:textId="77777777" w:rsidTr="71A1AD18">
        <w:trPr>
          <w:tblCellSpacing w:w="15" w:type="dxa"/>
        </w:trPr>
        <w:tc>
          <w:tcPr>
            <w:tcW w:w="0" w:type="auto"/>
            <w:vAlign w:val="center"/>
            <w:hideMark/>
          </w:tcPr>
          <w:p w14:paraId="251FCE0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w:t>
            </w:r>
          </w:p>
        </w:tc>
        <w:tc>
          <w:tcPr>
            <w:tcW w:w="0" w:type="auto"/>
            <w:vAlign w:val="center"/>
            <w:hideMark/>
          </w:tcPr>
          <w:p w14:paraId="4B5BB01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412</w:t>
            </w:r>
          </w:p>
        </w:tc>
        <w:tc>
          <w:tcPr>
            <w:tcW w:w="0" w:type="auto"/>
            <w:vAlign w:val="center"/>
            <w:hideMark/>
          </w:tcPr>
          <w:p w14:paraId="28437CE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587</w:t>
            </w:r>
          </w:p>
        </w:tc>
        <w:tc>
          <w:tcPr>
            <w:tcW w:w="0" w:type="auto"/>
            <w:vAlign w:val="center"/>
            <w:hideMark/>
          </w:tcPr>
          <w:p w14:paraId="7F655A7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634</w:t>
            </w:r>
          </w:p>
        </w:tc>
        <w:tc>
          <w:tcPr>
            <w:tcW w:w="0" w:type="auto"/>
            <w:vAlign w:val="center"/>
            <w:hideMark/>
          </w:tcPr>
          <w:p w14:paraId="1778C9E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698</w:t>
            </w:r>
          </w:p>
        </w:tc>
      </w:tr>
      <w:tr w:rsidR="005F1CE4" w:rsidRPr="005F1CE4" w14:paraId="3A44AEC7" w14:textId="77777777" w:rsidTr="71A1AD18">
        <w:trPr>
          <w:tblCellSpacing w:w="15" w:type="dxa"/>
        </w:trPr>
        <w:tc>
          <w:tcPr>
            <w:tcW w:w="0" w:type="auto"/>
            <w:vAlign w:val="center"/>
            <w:hideMark/>
          </w:tcPr>
          <w:p w14:paraId="140384A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North Wales</w:t>
            </w:r>
          </w:p>
        </w:tc>
        <w:tc>
          <w:tcPr>
            <w:tcW w:w="0" w:type="auto"/>
            <w:vAlign w:val="center"/>
            <w:hideMark/>
          </w:tcPr>
          <w:p w14:paraId="222927F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623</w:t>
            </w:r>
          </w:p>
        </w:tc>
        <w:tc>
          <w:tcPr>
            <w:tcW w:w="0" w:type="auto"/>
            <w:vAlign w:val="center"/>
            <w:hideMark/>
          </w:tcPr>
          <w:p w14:paraId="4BCC1E9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701</w:t>
            </w:r>
          </w:p>
        </w:tc>
        <w:tc>
          <w:tcPr>
            <w:tcW w:w="0" w:type="auto"/>
            <w:vAlign w:val="center"/>
            <w:hideMark/>
          </w:tcPr>
          <w:p w14:paraId="3516885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658</w:t>
            </w:r>
          </w:p>
        </w:tc>
        <w:tc>
          <w:tcPr>
            <w:tcW w:w="0" w:type="auto"/>
            <w:vAlign w:val="center"/>
            <w:hideMark/>
          </w:tcPr>
          <w:p w14:paraId="534A30B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712</w:t>
            </w:r>
          </w:p>
        </w:tc>
      </w:tr>
      <w:tr w:rsidR="005F1CE4" w:rsidRPr="005F1CE4" w14:paraId="748CD471" w14:textId="77777777" w:rsidTr="71A1AD18">
        <w:trPr>
          <w:tblCellSpacing w:w="15" w:type="dxa"/>
        </w:trPr>
        <w:tc>
          <w:tcPr>
            <w:tcW w:w="0" w:type="auto"/>
            <w:vAlign w:val="center"/>
            <w:hideMark/>
          </w:tcPr>
          <w:p w14:paraId="75BE41B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Dyfed-Powys</w:t>
            </w:r>
          </w:p>
        </w:tc>
        <w:tc>
          <w:tcPr>
            <w:tcW w:w="0" w:type="auto"/>
            <w:vAlign w:val="center"/>
            <w:hideMark/>
          </w:tcPr>
          <w:p w14:paraId="7724877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214</w:t>
            </w:r>
          </w:p>
        </w:tc>
        <w:tc>
          <w:tcPr>
            <w:tcW w:w="0" w:type="auto"/>
            <w:vAlign w:val="center"/>
            <w:hideMark/>
          </w:tcPr>
          <w:p w14:paraId="7AD98E5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298</w:t>
            </w:r>
          </w:p>
        </w:tc>
        <w:tc>
          <w:tcPr>
            <w:tcW w:w="0" w:type="auto"/>
            <w:vAlign w:val="center"/>
            <w:hideMark/>
          </w:tcPr>
          <w:p w14:paraId="49BE4C5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276</w:t>
            </w:r>
          </w:p>
        </w:tc>
        <w:tc>
          <w:tcPr>
            <w:tcW w:w="0" w:type="auto"/>
            <w:vAlign w:val="center"/>
            <w:hideMark/>
          </w:tcPr>
          <w:p w14:paraId="586E5AB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301</w:t>
            </w:r>
          </w:p>
        </w:tc>
      </w:tr>
    </w:tbl>
    <w:p w14:paraId="3238A487"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Home Office (2023)</w:t>
      </w:r>
    </w:p>
    <w:p w14:paraId="0B4020A7"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F97DD9B">
          <v:rect id="_x0000_i1043" style="width:0;height:1.5pt" o:hralign="center" o:hrstd="t" o:hr="t" fillcolor="#a0a0a0" stroked="f"/>
        </w:pict>
      </w:r>
    </w:p>
    <w:p w14:paraId="4C67CDDA"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E3: Operation Sceptre — Knife Surrender Scheme Results in Gwent (Selected Campaigns)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4"/>
        <w:gridCol w:w="1966"/>
        <w:gridCol w:w="2266"/>
        <w:gridCol w:w="1874"/>
      </w:tblGrid>
      <w:tr w:rsidR="005F1CE4" w:rsidRPr="005F1CE4" w14:paraId="4AE2A353" w14:textId="77777777" w:rsidTr="71A1AD18">
        <w:trPr>
          <w:tblHeader/>
          <w:tblCellSpacing w:w="15" w:type="dxa"/>
        </w:trPr>
        <w:tc>
          <w:tcPr>
            <w:tcW w:w="0" w:type="auto"/>
            <w:vAlign w:val="center"/>
            <w:hideMark/>
          </w:tcPr>
          <w:p w14:paraId="186BB593"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Campaign Period</w:t>
            </w:r>
          </w:p>
        </w:tc>
        <w:tc>
          <w:tcPr>
            <w:tcW w:w="0" w:type="auto"/>
            <w:vAlign w:val="center"/>
            <w:hideMark/>
          </w:tcPr>
          <w:p w14:paraId="4BFBAB94"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Knives Surrendered</w:t>
            </w:r>
          </w:p>
        </w:tc>
        <w:tc>
          <w:tcPr>
            <w:tcW w:w="0" w:type="auto"/>
            <w:vAlign w:val="center"/>
            <w:hideMark/>
          </w:tcPr>
          <w:p w14:paraId="4C853A5C"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Amnesty Bin Locations</w:t>
            </w:r>
          </w:p>
        </w:tc>
        <w:tc>
          <w:tcPr>
            <w:tcW w:w="0" w:type="auto"/>
            <w:vAlign w:val="center"/>
            <w:hideMark/>
          </w:tcPr>
          <w:p w14:paraId="3EB9B4BE"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Associated Arrests</w:t>
            </w:r>
          </w:p>
        </w:tc>
      </w:tr>
      <w:tr w:rsidR="005F1CE4" w:rsidRPr="005F1CE4" w14:paraId="1D74FEA2" w14:textId="77777777" w:rsidTr="71A1AD18">
        <w:trPr>
          <w:tblCellSpacing w:w="15" w:type="dxa"/>
        </w:trPr>
        <w:tc>
          <w:tcPr>
            <w:tcW w:w="0" w:type="auto"/>
            <w:vAlign w:val="center"/>
            <w:hideMark/>
          </w:tcPr>
          <w:p w14:paraId="1971FAD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Autumn 2019</w:t>
            </w:r>
          </w:p>
        </w:tc>
        <w:tc>
          <w:tcPr>
            <w:tcW w:w="0" w:type="auto"/>
            <w:vAlign w:val="center"/>
            <w:hideMark/>
          </w:tcPr>
          <w:p w14:paraId="67DDB69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87</w:t>
            </w:r>
          </w:p>
        </w:tc>
        <w:tc>
          <w:tcPr>
            <w:tcW w:w="0" w:type="auto"/>
            <w:vAlign w:val="center"/>
            <w:hideMark/>
          </w:tcPr>
          <w:p w14:paraId="4B73E58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12</w:t>
            </w:r>
          </w:p>
        </w:tc>
        <w:tc>
          <w:tcPr>
            <w:tcW w:w="0" w:type="auto"/>
            <w:vAlign w:val="center"/>
            <w:hideMark/>
          </w:tcPr>
          <w:p w14:paraId="4E1E336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14</w:t>
            </w:r>
          </w:p>
        </w:tc>
      </w:tr>
      <w:tr w:rsidR="005F1CE4" w:rsidRPr="005F1CE4" w14:paraId="0CDF48B0" w14:textId="77777777" w:rsidTr="71A1AD18">
        <w:trPr>
          <w:tblCellSpacing w:w="15" w:type="dxa"/>
        </w:trPr>
        <w:tc>
          <w:tcPr>
            <w:tcW w:w="0" w:type="auto"/>
            <w:vAlign w:val="center"/>
            <w:hideMark/>
          </w:tcPr>
          <w:p w14:paraId="048B471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Spring 2021</w:t>
            </w:r>
          </w:p>
        </w:tc>
        <w:tc>
          <w:tcPr>
            <w:tcW w:w="0" w:type="auto"/>
            <w:vAlign w:val="center"/>
            <w:hideMark/>
          </w:tcPr>
          <w:p w14:paraId="49FB466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103</w:t>
            </w:r>
          </w:p>
        </w:tc>
        <w:tc>
          <w:tcPr>
            <w:tcW w:w="0" w:type="auto"/>
            <w:vAlign w:val="center"/>
            <w:hideMark/>
          </w:tcPr>
          <w:p w14:paraId="423D4B9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w:t>
            </w:r>
          </w:p>
        </w:tc>
        <w:tc>
          <w:tcPr>
            <w:tcW w:w="0" w:type="auto"/>
            <w:vAlign w:val="center"/>
            <w:hideMark/>
          </w:tcPr>
          <w:p w14:paraId="2847A63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19</w:t>
            </w:r>
          </w:p>
        </w:tc>
      </w:tr>
      <w:tr w:rsidR="005F1CE4" w:rsidRPr="005F1CE4" w14:paraId="2E3B5966" w14:textId="77777777" w:rsidTr="71A1AD18">
        <w:trPr>
          <w:tblCellSpacing w:w="15" w:type="dxa"/>
        </w:trPr>
        <w:tc>
          <w:tcPr>
            <w:tcW w:w="0" w:type="auto"/>
            <w:vAlign w:val="center"/>
            <w:hideMark/>
          </w:tcPr>
          <w:p w14:paraId="0920C8B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Autumn 2022</w:t>
            </w:r>
          </w:p>
        </w:tc>
        <w:tc>
          <w:tcPr>
            <w:tcW w:w="0" w:type="auto"/>
            <w:vAlign w:val="center"/>
            <w:hideMark/>
          </w:tcPr>
          <w:p w14:paraId="307C2F6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124</w:t>
            </w:r>
          </w:p>
        </w:tc>
        <w:tc>
          <w:tcPr>
            <w:tcW w:w="0" w:type="auto"/>
            <w:vAlign w:val="center"/>
            <w:hideMark/>
          </w:tcPr>
          <w:p w14:paraId="526D80A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18</w:t>
            </w:r>
          </w:p>
        </w:tc>
        <w:tc>
          <w:tcPr>
            <w:tcW w:w="0" w:type="auto"/>
            <w:vAlign w:val="center"/>
            <w:hideMark/>
          </w:tcPr>
          <w:p w14:paraId="72E4F76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23</w:t>
            </w:r>
          </w:p>
        </w:tc>
      </w:tr>
      <w:tr w:rsidR="005F1CE4" w:rsidRPr="005F1CE4" w14:paraId="5E254DDC" w14:textId="77777777" w:rsidTr="71A1AD18">
        <w:trPr>
          <w:tblCellSpacing w:w="15" w:type="dxa"/>
        </w:trPr>
        <w:tc>
          <w:tcPr>
            <w:tcW w:w="0" w:type="auto"/>
            <w:vAlign w:val="center"/>
            <w:hideMark/>
          </w:tcPr>
          <w:p w14:paraId="0BE1417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Spring 2023</w:t>
            </w:r>
          </w:p>
        </w:tc>
        <w:tc>
          <w:tcPr>
            <w:tcW w:w="0" w:type="auto"/>
            <w:vAlign w:val="center"/>
            <w:hideMark/>
          </w:tcPr>
          <w:p w14:paraId="3D8C1C9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118</w:t>
            </w:r>
          </w:p>
        </w:tc>
        <w:tc>
          <w:tcPr>
            <w:tcW w:w="0" w:type="auto"/>
            <w:vAlign w:val="center"/>
            <w:hideMark/>
          </w:tcPr>
          <w:p w14:paraId="5D9857E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18</w:t>
            </w:r>
          </w:p>
        </w:tc>
        <w:tc>
          <w:tcPr>
            <w:tcW w:w="0" w:type="auto"/>
            <w:vAlign w:val="center"/>
            <w:hideMark/>
          </w:tcPr>
          <w:p w14:paraId="7B56821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21</w:t>
            </w:r>
          </w:p>
        </w:tc>
      </w:tr>
    </w:tbl>
    <w:p w14:paraId="6DA137A9"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Gwent Police (2023); Home Office (2022)</w:t>
      </w:r>
    </w:p>
    <w:p w14:paraId="1D7B270A"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56303F9A">
          <v:rect id="_x0000_i1044" style="width:0;height:1.5pt" o:hralign="center" o:hrstd="t" o:hr="t" fillcolor="#a0a0a0" stroked="f"/>
        </w:pict>
      </w:r>
    </w:p>
    <w:p w14:paraId="729679DD" w14:textId="08B745EA"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7B036092" w14:textId="554CC131"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5EFE67D8" w14:textId="33AFB4CD"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1BB102A2" w14:textId="522BA028"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09D92569" w14:textId="77777777" w:rsidR="005F1CE4" w:rsidRPr="005F1CE4" w:rsidRDefault="005F1CE4" w:rsidP="71A1AD18">
      <w:pPr>
        <w:spacing w:before="100" w:beforeAutospacing="1" w:after="100" w:afterAutospacing="1" w:line="240" w:lineRule="auto"/>
        <w:rPr>
          <w:rFonts w:ascii="Calibri" w:eastAsia="Calibri" w:hAnsi="Calibri" w:cs="Calibri"/>
          <w:sz w:val="24"/>
          <w:szCs w:val="24"/>
          <w:lang w:eastAsia="en-GB"/>
        </w:rPr>
      </w:pPr>
      <w:r w:rsidRPr="71A1AD18">
        <w:rPr>
          <w:rFonts w:ascii="Calibri" w:eastAsia="Calibri" w:hAnsi="Calibri" w:cs="Calibri"/>
          <w:sz w:val="24"/>
          <w:szCs w:val="24"/>
          <w:lang w:eastAsia="en-GB"/>
        </w:rPr>
        <w:t>Appendix E4: Youth Diversion Programme Participation in Gwent (2019–2023)</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3"/>
        <w:gridCol w:w="1732"/>
        <w:gridCol w:w="1872"/>
        <w:gridCol w:w="1762"/>
        <w:gridCol w:w="2797"/>
      </w:tblGrid>
      <w:tr w:rsidR="005F1CE4" w:rsidRPr="005F1CE4" w14:paraId="54FD0DA2" w14:textId="77777777" w:rsidTr="71A1AD18">
        <w:trPr>
          <w:tblHeader/>
          <w:tblCellSpacing w:w="15" w:type="dxa"/>
        </w:trPr>
        <w:tc>
          <w:tcPr>
            <w:tcW w:w="0" w:type="auto"/>
            <w:vAlign w:val="center"/>
            <w:hideMark/>
          </w:tcPr>
          <w:p w14:paraId="334F5C5B"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Year</w:t>
            </w:r>
          </w:p>
        </w:tc>
        <w:tc>
          <w:tcPr>
            <w:tcW w:w="0" w:type="auto"/>
            <w:vAlign w:val="center"/>
            <w:hideMark/>
          </w:tcPr>
          <w:p w14:paraId="59250D75"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Young People Referred</w:t>
            </w:r>
          </w:p>
        </w:tc>
        <w:tc>
          <w:tcPr>
            <w:tcW w:w="0" w:type="auto"/>
            <w:vAlign w:val="center"/>
            <w:hideMark/>
          </w:tcPr>
          <w:p w14:paraId="6B044FCF"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Completed Programme</w:t>
            </w:r>
          </w:p>
        </w:tc>
        <w:tc>
          <w:tcPr>
            <w:tcW w:w="0" w:type="auto"/>
            <w:vAlign w:val="center"/>
            <w:hideMark/>
          </w:tcPr>
          <w:p w14:paraId="1830D623"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Reoffending Rate (%)</w:t>
            </w:r>
          </w:p>
        </w:tc>
        <w:tc>
          <w:tcPr>
            <w:tcW w:w="0" w:type="auto"/>
            <w:vAlign w:val="center"/>
            <w:hideMark/>
          </w:tcPr>
          <w:p w14:paraId="4FFA9626" w14:textId="77777777" w:rsidR="005F1CE4" w:rsidRPr="005F1CE4" w:rsidRDefault="005F1CE4" w:rsidP="71A1AD18">
            <w:pPr>
              <w:spacing w:after="0" w:line="240" w:lineRule="auto"/>
              <w:jc w:val="center"/>
              <w:rPr>
                <w:rFonts w:ascii="Calibri" w:eastAsia="Calibri" w:hAnsi="Calibri" w:cs="Calibri"/>
                <w:sz w:val="24"/>
                <w:szCs w:val="24"/>
                <w:lang w:eastAsia="en-GB"/>
              </w:rPr>
            </w:pPr>
            <w:r w:rsidRPr="71A1AD18">
              <w:rPr>
                <w:rFonts w:ascii="Calibri" w:eastAsia="Calibri" w:hAnsi="Calibri" w:cs="Calibri"/>
                <w:sz w:val="24"/>
                <w:szCs w:val="24"/>
                <w:lang w:eastAsia="en-GB"/>
              </w:rPr>
              <w:t>National Average Reoffending Rate (%)</w:t>
            </w:r>
          </w:p>
        </w:tc>
      </w:tr>
      <w:tr w:rsidR="005F1CE4" w:rsidRPr="005F1CE4" w14:paraId="2D065842" w14:textId="77777777" w:rsidTr="71A1AD18">
        <w:trPr>
          <w:tblCellSpacing w:w="15" w:type="dxa"/>
        </w:trPr>
        <w:tc>
          <w:tcPr>
            <w:tcW w:w="0" w:type="auto"/>
            <w:vAlign w:val="center"/>
            <w:hideMark/>
          </w:tcPr>
          <w:p w14:paraId="1C731E7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2019/20</w:t>
            </w:r>
          </w:p>
        </w:tc>
        <w:tc>
          <w:tcPr>
            <w:tcW w:w="0" w:type="auto"/>
            <w:vAlign w:val="center"/>
            <w:hideMark/>
          </w:tcPr>
          <w:p w14:paraId="1D34FC0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134</w:t>
            </w:r>
          </w:p>
        </w:tc>
        <w:tc>
          <w:tcPr>
            <w:tcW w:w="0" w:type="auto"/>
            <w:vAlign w:val="center"/>
            <w:hideMark/>
          </w:tcPr>
          <w:p w14:paraId="5435F55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98</w:t>
            </w:r>
          </w:p>
        </w:tc>
        <w:tc>
          <w:tcPr>
            <w:tcW w:w="0" w:type="auto"/>
            <w:vAlign w:val="center"/>
            <w:hideMark/>
          </w:tcPr>
          <w:p w14:paraId="69B650F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18.4%</w:t>
            </w:r>
          </w:p>
        </w:tc>
        <w:tc>
          <w:tcPr>
            <w:tcW w:w="0" w:type="auto"/>
            <w:vAlign w:val="center"/>
            <w:hideMark/>
          </w:tcPr>
          <w:p w14:paraId="042C2C4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24.6%</w:t>
            </w:r>
          </w:p>
        </w:tc>
      </w:tr>
      <w:tr w:rsidR="005F1CE4" w:rsidRPr="005F1CE4" w14:paraId="25BFD818" w14:textId="77777777" w:rsidTr="71A1AD18">
        <w:trPr>
          <w:tblCellSpacing w:w="15" w:type="dxa"/>
        </w:trPr>
        <w:tc>
          <w:tcPr>
            <w:tcW w:w="0" w:type="auto"/>
            <w:vAlign w:val="center"/>
            <w:hideMark/>
          </w:tcPr>
          <w:p w14:paraId="6928B64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lastRenderedPageBreak/>
              <w:t>2020/21</w:t>
            </w:r>
          </w:p>
        </w:tc>
        <w:tc>
          <w:tcPr>
            <w:tcW w:w="0" w:type="auto"/>
            <w:vAlign w:val="center"/>
            <w:hideMark/>
          </w:tcPr>
          <w:p w14:paraId="0A21060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112</w:t>
            </w:r>
          </w:p>
        </w:tc>
        <w:tc>
          <w:tcPr>
            <w:tcW w:w="0" w:type="auto"/>
            <w:vAlign w:val="center"/>
            <w:hideMark/>
          </w:tcPr>
          <w:p w14:paraId="31B2963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84</w:t>
            </w:r>
          </w:p>
        </w:tc>
        <w:tc>
          <w:tcPr>
            <w:tcW w:w="0" w:type="auto"/>
            <w:vAlign w:val="center"/>
            <w:hideMark/>
          </w:tcPr>
          <w:p w14:paraId="0F8C9F0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17.9%</w:t>
            </w:r>
          </w:p>
        </w:tc>
        <w:tc>
          <w:tcPr>
            <w:tcW w:w="0" w:type="auto"/>
            <w:vAlign w:val="center"/>
            <w:hideMark/>
          </w:tcPr>
          <w:p w14:paraId="24D4975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24.1%</w:t>
            </w:r>
          </w:p>
        </w:tc>
      </w:tr>
      <w:tr w:rsidR="005F1CE4" w:rsidRPr="005F1CE4" w14:paraId="04FF8DAA" w14:textId="77777777" w:rsidTr="71A1AD18">
        <w:trPr>
          <w:tblCellSpacing w:w="15" w:type="dxa"/>
        </w:trPr>
        <w:tc>
          <w:tcPr>
            <w:tcW w:w="0" w:type="auto"/>
            <w:vAlign w:val="center"/>
            <w:hideMark/>
          </w:tcPr>
          <w:p w14:paraId="32FFCB8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2021/22</w:t>
            </w:r>
          </w:p>
        </w:tc>
        <w:tc>
          <w:tcPr>
            <w:tcW w:w="0" w:type="auto"/>
            <w:vAlign w:val="center"/>
            <w:hideMark/>
          </w:tcPr>
          <w:p w14:paraId="5059C9D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156</w:t>
            </w:r>
          </w:p>
        </w:tc>
        <w:tc>
          <w:tcPr>
            <w:tcW w:w="0" w:type="auto"/>
            <w:vAlign w:val="center"/>
            <w:hideMark/>
          </w:tcPr>
          <w:p w14:paraId="3173FD7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118</w:t>
            </w:r>
          </w:p>
        </w:tc>
        <w:tc>
          <w:tcPr>
            <w:tcW w:w="0" w:type="auto"/>
            <w:vAlign w:val="center"/>
            <w:hideMark/>
          </w:tcPr>
          <w:p w14:paraId="188DF42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16.2%</w:t>
            </w:r>
          </w:p>
        </w:tc>
        <w:tc>
          <w:tcPr>
            <w:tcW w:w="0" w:type="auto"/>
            <w:vAlign w:val="center"/>
            <w:hideMark/>
          </w:tcPr>
          <w:p w14:paraId="1FDBE28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23.8%</w:t>
            </w:r>
          </w:p>
        </w:tc>
      </w:tr>
      <w:tr w:rsidR="005F1CE4" w:rsidRPr="005F1CE4" w14:paraId="6F63E55B" w14:textId="77777777" w:rsidTr="71A1AD18">
        <w:trPr>
          <w:tblCellSpacing w:w="15" w:type="dxa"/>
        </w:trPr>
        <w:tc>
          <w:tcPr>
            <w:tcW w:w="0" w:type="auto"/>
            <w:vAlign w:val="center"/>
            <w:hideMark/>
          </w:tcPr>
          <w:p w14:paraId="783DFA7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2022/23</w:t>
            </w:r>
          </w:p>
        </w:tc>
        <w:tc>
          <w:tcPr>
            <w:tcW w:w="0" w:type="auto"/>
            <w:vAlign w:val="center"/>
            <w:hideMark/>
          </w:tcPr>
          <w:p w14:paraId="50B4F36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178</w:t>
            </w:r>
          </w:p>
        </w:tc>
        <w:tc>
          <w:tcPr>
            <w:tcW w:w="0" w:type="auto"/>
            <w:vAlign w:val="center"/>
            <w:hideMark/>
          </w:tcPr>
          <w:p w14:paraId="01BB90B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136</w:t>
            </w:r>
          </w:p>
        </w:tc>
        <w:tc>
          <w:tcPr>
            <w:tcW w:w="0" w:type="auto"/>
            <w:vAlign w:val="center"/>
            <w:hideMark/>
          </w:tcPr>
          <w:p w14:paraId="343E6CD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15.8%</w:t>
            </w:r>
          </w:p>
        </w:tc>
        <w:tc>
          <w:tcPr>
            <w:tcW w:w="0" w:type="auto"/>
            <w:vAlign w:val="center"/>
            <w:hideMark/>
          </w:tcPr>
          <w:p w14:paraId="112284D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23.4%</w:t>
            </w:r>
          </w:p>
        </w:tc>
      </w:tr>
    </w:tbl>
    <w:p w14:paraId="27351E21" w14:textId="77777777" w:rsidR="005F1CE4" w:rsidRPr="005F1CE4" w:rsidRDefault="005F1CE4" w:rsidP="005F1CE4">
      <w:pPr>
        <w:spacing w:before="100" w:beforeAutospacing="1" w:after="100" w:afterAutospacing="1"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i/>
          <w:iCs/>
          <w:sz w:val="24"/>
          <w:szCs w:val="24"/>
          <w:lang w:eastAsia="en-GB"/>
        </w:rPr>
        <w:t>Source: Gwent Police (2023); Public Health England (2019)</w:t>
      </w:r>
    </w:p>
    <w:p w14:paraId="4F904CB7"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8B7743B">
          <v:rect id="_x0000_i1045" style="width:0;height:1.5pt" o:hralign="center" o:hrstd="t" o:hr="t" fillcolor="#a0a0a0" stroked="f"/>
        </w:pict>
      </w:r>
    </w:p>
    <w:p w14:paraId="1B18F729"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E5: Multi-Agency Partners Involved in Knife Crime Response in Gwent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42"/>
        <w:gridCol w:w="5384"/>
      </w:tblGrid>
      <w:tr w:rsidR="005F1CE4" w:rsidRPr="005F1CE4" w14:paraId="61D667C4" w14:textId="77777777" w:rsidTr="71A1AD18">
        <w:trPr>
          <w:tblHeader/>
          <w:tblCellSpacing w:w="15" w:type="dxa"/>
        </w:trPr>
        <w:tc>
          <w:tcPr>
            <w:tcW w:w="0" w:type="auto"/>
            <w:vAlign w:val="center"/>
            <w:hideMark/>
          </w:tcPr>
          <w:p w14:paraId="563D366A"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Organisation</w:t>
            </w:r>
          </w:p>
        </w:tc>
        <w:tc>
          <w:tcPr>
            <w:tcW w:w="0" w:type="auto"/>
            <w:vAlign w:val="center"/>
            <w:hideMark/>
          </w:tcPr>
          <w:p w14:paraId="5623BBF8"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Role in Knife Crime Response</w:t>
            </w:r>
          </w:p>
        </w:tc>
      </w:tr>
      <w:tr w:rsidR="005F1CE4" w:rsidRPr="005F1CE4" w14:paraId="0C4BE1A7" w14:textId="77777777" w:rsidTr="71A1AD18">
        <w:trPr>
          <w:tblCellSpacing w:w="15" w:type="dxa"/>
        </w:trPr>
        <w:tc>
          <w:tcPr>
            <w:tcW w:w="0" w:type="auto"/>
            <w:vAlign w:val="center"/>
            <w:hideMark/>
          </w:tcPr>
          <w:p w14:paraId="42D7837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 Police</w:t>
            </w:r>
          </w:p>
        </w:tc>
        <w:tc>
          <w:tcPr>
            <w:tcW w:w="0" w:type="auto"/>
            <w:vAlign w:val="center"/>
            <w:hideMark/>
          </w:tcPr>
          <w:p w14:paraId="60C8BD7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Lead enforcement agency; hotspot policing, stop-and-search, county lines disruption</w:t>
            </w:r>
          </w:p>
        </w:tc>
      </w:tr>
      <w:tr w:rsidR="005F1CE4" w:rsidRPr="005F1CE4" w14:paraId="214226FC" w14:textId="77777777" w:rsidTr="71A1AD18">
        <w:trPr>
          <w:tblCellSpacing w:w="15" w:type="dxa"/>
        </w:trPr>
        <w:tc>
          <w:tcPr>
            <w:tcW w:w="0" w:type="auto"/>
            <w:vAlign w:val="center"/>
            <w:hideMark/>
          </w:tcPr>
          <w:p w14:paraId="32C654C9"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Newport City Council</w:t>
            </w:r>
          </w:p>
        </w:tc>
        <w:tc>
          <w:tcPr>
            <w:tcW w:w="0" w:type="auto"/>
            <w:vAlign w:val="center"/>
            <w:hideMark/>
          </w:tcPr>
          <w:p w14:paraId="5F6C325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Youth services commissioning, community safety partnerships</w:t>
            </w:r>
          </w:p>
        </w:tc>
      </w:tr>
      <w:tr w:rsidR="005F1CE4" w:rsidRPr="005F1CE4" w14:paraId="357A4554" w14:textId="77777777" w:rsidTr="71A1AD18">
        <w:trPr>
          <w:tblCellSpacing w:w="15" w:type="dxa"/>
        </w:trPr>
        <w:tc>
          <w:tcPr>
            <w:tcW w:w="0" w:type="auto"/>
            <w:vAlign w:val="center"/>
            <w:hideMark/>
          </w:tcPr>
          <w:p w14:paraId="50C4BE2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Caerphilly County Borough Council</w:t>
            </w:r>
          </w:p>
        </w:tc>
        <w:tc>
          <w:tcPr>
            <w:tcW w:w="0" w:type="auto"/>
            <w:vAlign w:val="center"/>
            <w:hideMark/>
          </w:tcPr>
          <w:p w14:paraId="69CFE04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Early intervention programmes, youth offending team coordination</w:t>
            </w:r>
          </w:p>
        </w:tc>
      </w:tr>
      <w:tr w:rsidR="005F1CE4" w:rsidRPr="005F1CE4" w14:paraId="3B483B81" w14:textId="77777777" w:rsidTr="71A1AD18">
        <w:trPr>
          <w:tblCellSpacing w:w="15" w:type="dxa"/>
        </w:trPr>
        <w:tc>
          <w:tcPr>
            <w:tcW w:w="0" w:type="auto"/>
            <w:vAlign w:val="center"/>
            <w:hideMark/>
          </w:tcPr>
          <w:p w14:paraId="50CF531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NHS Wales / Aneurin Bevan University Health Board</w:t>
            </w:r>
          </w:p>
        </w:tc>
        <w:tc>
          <w:tcPr>
            <w:tcW w:w="0" w:type="auto"/>
            <w:vAlign w:val="center"/>
            <w:hideMark/>
          </w:tcPr>
          <w:p w14:paraId="66116C4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Hospital-based violence intervention, trauma-informed care</w:t>
            </w:r>
          </w:p>
        </w:tc>
      </w:tr>
      <w:tr w:rsidR="005F1CE4" w:rsidRPr="005F1CE4" w14:paraId="7692A933" w14:textId="77777777" w:rsidTr="71A1AD18">
        <w:trPr>
          <w:tblCellSpacing w:w="15" w:type="dxa"/>
        </w:trPr>
        <w:tc>
          <w:tcPr>
            <w:tcW w:w="0" w:type="auto"/>
            <w:vAlign w:val="center"/>
            <w:hideMark/>
          </w:tcPr>
          <w:p w14:paraId="449C655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Youth Offending Teams (Gwent)</w:t>
            </w:r>
          </w:p>
        </w:tc>
        <w:tc>
          <w:tcPr>
            <w:tcW w:w="0" w:type="auto"/>
            <w:vAlign w:val="center"/>
            <w:hideMark/>
          </w:tcPr>
          <w:p w14:paraId="1E3E00C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Diversion programmes, court-ordered interventions, mentoring</w:t>
            </w:r>
          </w:p>
        </w:tc>
      </w:tr>
      <w:tr w:rsidR="005F1CE4" w:rsidRPr="005F1CE4" w14:paraId="3CE0BC1C" w14:textId="77777777" w:rsidTr="71A1AD18">
        <w:trPr>
          <w:tblCellSpacing w:w="15" w:type="dxa"/>
        </w:trPr>
        <w:tc>
          <w:tcPr>
            <w:tcW w:w="0" w:type="auto"/>
            <w:vAlign w:val="center"/>
            <w:hideMark/>
          </w:tcPr>
          <w:p w14:paraId="2A5396F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 Community Rehabilitation</w:t>
            </w:r>
          </w:p>
        </w:tc>
        <w:tc>
          <w:tcPr>
            <w:tcW w:w="0" w:type="auto"/>
            <w:vAlign w:val="center"/>
            <w:hideMark/>
          </w:tcPr>
          <w:p w14:paraId="6C118AA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Post-conviction support and reintegration</w:t>
            </w:r>
          </w:p>
        </w:tc>
      </w:tr>
      <w:tr w:rsidR="005F1CE4" w:rsidRPr="005F1CE4" w14:paraId="610CE256" w14:textId="77777777" w:rsidTr="71A1AD18">
        <w:trPr>
          <w:tblCellSpacing w:w="15" w:type="dxa"/>
        </w:trPr>
        <w:tc>
          <w:tcPr>
            <w:tcW w:w="0" w:type="auto"/>
            <w:vAlign w:val="center"/>
            <w:hideMark/>
          </w:tcPr>
          <w:p w14:paraId="54DD8E6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Schools and Further Education Colleges</w:t>
            </w:r>
          </w:p>
        </w:tc>
        <w:tc>
          <w:tcPr>
            <w:tcW w:w="0" w:type="auto"/>
            <w:vAlign w:val="center"/>
            <w:hideMark/>
          </w:tcPr>
          <w:p w14:paraId="7947654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Education programmes, early identification of at-risk young people</w:t>
            </w:r>
          </w:p>
        </w:tc>
      </w:tr>
      <w:tr w:rsidR="005F1CE4" w:rsidRPr="005F1CE4" w14:paraId="70A0E310" w14:textId="77777777" w:rsidTr="71A1AD18">
        <w:trPr>
          <w:tblCellSpacing w:w="15" w:type="dxa"/>
        </w:trPr>
        <w:tc>
          <w:tcPr>
            <w:tcW w:w="0" w:type="auto"/>
            <w:vAlign w:val="center"/>
            <w:hideMark/>
          </w:tcPr>
          <w:p w14:paraId="2883C4A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Third Sector Organisations</w:t>
            </w:r>
          </w:p>
        </w:tc>
        <w:tc>
          <w:tcPr>
            <w:tcW w:w="0" w:type="auto"/>
            <w:vAlign w:val="center"/>
            <w:hideMark/>
          </w:tcPr>
          <w:p w14:paraId="04F7CFF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Community outreach, mentoring, safe spaces for young people</w:t>
            </w:r>
          </w:p>
        </w:tc>
      </w:tr>
      <w:tr w:rsidR="005F1CE4" w:rsidRPr="005F1CE4" w14:paraId="10EEAC6D" w14:textId="77777777" w:rsidTr="71A1AD18">
        <w:trPr>
          <w:tblCellSpacing w:w="15" w:type="dxa"/>
        </w:trPr>
        <w:tc>
          <w:tcPr>
            <w:tcW w:w="0" w:type="auto"/>
            <w:vAlign w:val="center"/>
            <w:hideMark/>
          </w:tcPr>
          <w:p w14:paraId="3D9C2CC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National Crime Agency</w:t>
            </w:r>
          </w:p>
        </w:tc>
        <w:tc>
          <w:tcPr>
            <w:tcW w:w="0" w:type="auto"/>
            <w:vAlign w:val="center"/>
            <w:hideMark/>
          </w:tcPr>
          <w:p w14:paraId="2B186CB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Intelligence sharing on county lines networks</w:t>
            </w:r>
          </w:p>
        </w:tc>
      </w:tr>
    </w:tbl>
    <w:p w14:paraId="06971CD3"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6985A7F8">
          <v:rect id="_x0000_i1046" style="width:0;height:1.5pt" o:hralign="center" o:hrstd="t" o:hr="t" fillcolor="#a0a0a0" stroked="f"/>
        </w:pict>
      </w:r>
    </w:p>
    <w:p w14:paraId="32887B5F" w14:textId="0745FBB7"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62AE0033" w14:textId="78342218"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7E4CA9B3" w14:textId="1396989E" w:rsidR="71A1AD18" w:rsidRDefault="71A1AD18" w:rsidP="71A1AD18">
      <w:pPr>
        <w:spacing w:beforeAutospacing="1" w:afterAutospacing="1" w:line="240" w:lineRule="auto"/>
        <w:rPr>
          <w:rFonts w:ascii="Times New Roman" w:eastAsia="Times New Roman" w:hAnsi="Times New Roman" w:cs="Times New Roman"/>
          <w:b/>
          <w:bCs/>
          <w:sz w:val="24"/>
          <w:szCs w:val="24"/>
          <w:lang w:eastAsia="en-GB"/>
        </w:rPr>
      </w:pPr>
    </w:p>
    <w:p w14:paraId="69542D77" w14:textId="6CC383FE" w:rsidR="71A1AD18" w:rsidRDefault="71A1AD18" w:rsidP="71A1AD18">
      <w:pPr>
        <w:spacing w:beforeAutospacing="1" w:afterAutospacing="1" w:line="240" w:lineRule="auto"/>
        <w:rPr>
          <w:rFonts w:eastAsiaTheme="minorEastAsia"/>
          <w:sz w:val="24"/>
          <w:szCs w:val="24"/>
          <w:lang w:eastAsia="en-GB"/>
        </w:rPr>
      </w:pPr>
    </w:p>
    <w:p w14:paraId="3D6DA71B" w14:textId="1DBC0D4A" w:rsidR="71A1AD18" w:rsidRDefault="71A1AD18" w:rsidP="71A1AD18">
      <w:pPr>
        <w:spacing w:beforeAutospacing="1" w:afterAutospacing="1" w:line="240" w:lineRule="auto"/>
        <w:rPr>
          <w:rFonts w:eastAsiaTheme="minorEastAsia"/>
          <w:sz w:val="24"/>
          <w:szCs w:val="24"/>
          <w:lang w:eastAsia="en-GB"/>
        </w:rPr>
      </w:pPr>
    </w:p>
    <w:p w14:paraId="56787179" w14:textId="5B7734B9" w:rsidR="71A1AD18" w:rsidRDefault="71A1AD18" w:rsidP="71A1AD18">
      <w:pPr>
        <w:spacing w:beforeAutospacing="1" w:afterAutospacing="1" w:line="240" w:lineRule="auto"/>
        <w:rPr>
          <w:rFonts w:eastAsiaTheme="minorEastAsia"/>
          <w:sz w:val="24"/>
          <w:szCs w:val="24"/>
          <w:lang w:eastAsia="en-GB"/>
        </w:rPr>
      </w:pPr>
    </w:p>
    <w:p w14:paraId="14340D82" w14:textId="7A761B39" w:rsidR="71A1AD18" w:rsidRDefault="71A1AD18" w:rsidP="71A1AD18">
      <w:pPr>
        <w:spacing w:beforeAutospacing="1" w:afterAutospacing="1" w:line="240" w:lineRule="auto"/>
        <w:rPr>
          <w:rFonts w:eastAsiaTheme="minorEastAsia"/>
          <w:sz w:val="24"/>
          <w:szCs w:val="24"/>
          <w:lang w:eastAsia="en-GB"/>
        </w:rPr>
      </w:pPr>
    </w:p>
    <w:p w14:paraId="169278CB" w14:textId="77777777"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t>APPENDIX F: Recommendations Framework</w:t>
      </w:r>
    </w:p>
    <w:p w14:paraId="243C8D75" w14:textId="0D0FC3BC" w:rsidR="005F1CE4" w:rsidRPr="005F1CE4" w:rsidRDefault="005F1CE4" w:rsidP="71A1AD18">
      <w:pPr>
        <w:spacing w:before="100" w:beforeAutospacing="1" w:after="100" w:afterAutospacing="1" w:line="240" w:lineRule="auto"/>
        <w:rPr>
          <w:rFonts w:eastAsiaTheme="minorEastAsia"/>
          <w:sz w:val="24"/>
          <w:szCs w:val="24"/>
          <w:lang w:eastAsia="en-GB"/>
        </w:rPr>
      </w:pPr>
      <w:r w:rsidRPr="71A1AD18">
        <w:rPr>
          <w:rFonts w:eastAsiaTheme="minorEastAsia"/>
          <w:sz w:val="24"/>
          <w:szCs w:val="24"/>
          <w:lang w:eastAsia="en-GB"/>
        </w:rPr>
        <w:lastRenderedPageBreak/>
        <w:t>Appendix F1: Summary of Recommendations and Proposed Actions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1"/>
        <w:gridCol w:w="3300"/>
        <w:gridCol w:w="2018"/>
        <w:gridCol w:w="1297"/>
      </w:tblGrid>
      <w:tr w:rsidR="005F1CE4" w:rsidRPr="005F1CE4" w14:paraId="306F5A91" w14:textId="77777777" w:rsidTr="71A1AD18">
        <w:trPr>
          <w:tblHeader/>
          <w:tblCellSpacing w:w="15" w:type="dxa"/>
        </w:trPr>
        <w:tc>
          <w:tcPr>
            <w:tcW w:w="0" w:type="auto"/>
            <w:vAlign w:val="center"/>
            <w:hideMark/>
          </w:tcPr>
          <w:p w14:paraId="08BF9F4B"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Recommendation</w:t>
            </w:r>
          </w:p>
        </w:tc>
        <w:tc>
          <w:tcPr>
            <w:tcW w:w="0" w:type="auto"/>
            <w:vAlign w:val="center"/>
            <w:hideMark/>
          </w:tcPr>
          <w:p w14:paraId="5659E51D"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Proposed Actions</w:t>
            </w:r>
          </w:p>
        </w:tc>
        <w:tc>
          <w:tcPr>
            <w:tcW w:w="0" w:type="auto"/>
            <w:vAlign w:val="center"/>
            <w:hideMark/>
          </w:tcPr>
          <w:p w14:paraId="06581E4B"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Lead Agency</w:t>
            </w:r>
          </w:p>
        </w:tc>
        <w:tc>
          <w:tcPr>
            <w:tcW w:w="0" w:type="auto"/>
            <w:vAlign w:val="center"/>
            <w:hideMark/>
          </w:tcPr>
          <w:p w14:paraId="1DA85FDC" w14:textId="77777777" w:rsidR="005F1CE4" w:rsidRPr="005F1CE4" w:rsidRDefault="005F1CE4" w:rsidP="71A1AD18">
            <w:pPr>
              <w:spacing w:after="0" w:line="240" w:lineRule="auto"/>
              <w:jc w:val="center"/>
              <w:rPr>
                <w:rFonts w:eastAsiaTheme="minorEastAsia"/>
                <w:sz w:val="24"/>
                <w:szCs w:val="24"/>
                <w:lang w:eastAsia="en-GB"/>
              </w:rPr>
            </w:pPr>
            <w:r w:rsidRPr="71A1AD18">
              <w:rPr>
                <w:rFonts w:eastAsiaTheme="minorEastAsia"/>
                <w:sz w:val="24"/>
                <w:szCs w:val="24"/>
                <w:lang w:eastAsia="en-GB"/>
              </w:rPr>
              <w:t>Timescale</w:t>
            </w:r>
          </w:p>
        </w:tc>
      </w:tr>
      <w:tr w:rsidR="005F1CE4" w:rsidRPr="005F1CE4" w14:paraId="035D0C39" w14:textId="77777777" w:rsidTr="71A1AD18">
        <w:trPr>
          <w:tblCellSpacing w:w="15" w:type="dxa"/>
        </w:trPr>
        <w:tc>
          <w:tcPr>
            <w:tcW w:w="0" w:type="auto"/>
            <w:vAlign w:val="center"/>
            <w:hideMark/>
          </w:tcPr>
          <w:p w14:paraId="5A761055"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Invest in early intervention and youth services</w:t>
            </w:r>
          </w:p>
        </w:tc>
        <w:tc>
          <w:tcPr>
            <w:tcW w:w="0" w:type="auto"/>
            <w:vAlign w:val="center"/>
            <w:hideMark/>
          </w:tcPr>
          <w:p w14:paraId="6CF5359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Rebuild and expand youth centres, mentoring programmes, and counselling services across Gwent</w:t>
            </w:r>
          </w:p>
        </w:tc>
        <w:tc>
          <w:tcPr>
            <w:tcW w:w="0" w:type="auto"/>
            <w:vAlign w:val="center"/>
            <w:hideMark/>
          </w:tcPr>
          <w:p w14:paraId="44C8335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Welsh Government; Local Authorities</w:t>
            </w:r>
          </w:p>
        </w:tc>
        <w:tc>
          <w:tcPr>
            <w:tcW w:w="0" w:type="auto"/>
            <w:vAlign w:val="center"/>
            <w:hideMark/>
          </w:tcPr>
          <w:p w14:paraId="6AA87F2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Short to medium term</w:t>
            </w:r>
          </w:p>
        </w:tc>
      </w:tr>
      <w:tr w:rsidR="005F1CE4" w:rsidRPr="005F1CE4" w14:paraId="16B98ACF" w14:textId="77777777" w:rsidTr="71A1AD18">
        <w:trPr>
          <w:tblCellSpacing w:w="15" w:type="dxa"/>
        </w:trPr>
        <w:tc>
          <w:tcPr>
            <w:tcW w:w="0" w:type="auto"/>
            <w:vAlign w:val="center"/>
            <w:hideMark/>
          </w:tcPr>
          <w:p w14:paraId="1CBCA212"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Expand public health approaches</w:t>
            </w:r>
          </w:p>
        </w:tc>
        <w:tc>
          <w:tcPr>
            <w:tcW w:w="0" w:type="auto"/>
            <w:vAlign w:val="center"/>
            <w:hideMark/>
          </w:tcPr>
          <w:p w14:paraId="6918DAE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Develop a Wales-specific Violence Reduction Unit modelled on the Scottish experience</w:t>
            </w:r>
          </w:p>
        </w:tc>
        <w:tc>
          <w:tcPr>
            <w:tcW w:w="0" w:type="auto"/>
            <w:vAlign w:val="center"/>
            <w:hideMark/>
          </w:tcPr>
          <w:p w14:paraId="233FCA24"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Welsh Government; Public Health Wales</w:t>
            </w:r>
          </w:p>
        </w:tc>
        <w:tc>
          <w:tcPr>
            <w:tcW w:w="0" w:type="auto"/>
            <w:vAlign w:val="center"/>
            <w:hideMark/>
          </w:tcPr>
          <w:p w14:paraId="40C9F28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Medium term</w:t>
            </w:r>
          </w:p>
        </w:tc>
      </w:tr>
      <w:tr w:rsidR="005F1CE4" w:rsidRPr="005F1CE4" w14:paraId="3D776C84" w14:textId="77777777" w:rsidTr="71A1AD18">
        <w:trPr>
          <w:tblCellSpacing w:w="15" w:type="dxa"/>
        </w:trPr>
        <w:tc>
          <w:tcPr>
            <w:tcW w:w="0" w:type="auto"/>
            <w:vAlign w:val="center"/>
            <w:hideMark/>
          </w:tcPr>
          <w:p w14:paraId="0664DD06"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Strengthen multi-agency collaboration</w:t>
            </w:r>
          </w:p>
        </w:tc>
        <w:tc>
          <w:tcPr>
            <w:tcW w:w="0" w:type="auto"/>
            <w:vAlign w:val="center"/>
            <w:hideMark/>
          </w:tcPr>
          <w:p w14:paraId="43CDCECD"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Establish a formal Gwent Violence Reduction Partnership with defined roles and shared data protocols</w:t>
            </w:r>
          </w:p>
        </w:tc>
        <w:tc>
          <w:tcPr>
            <w:tcW w:w="0" w:type="auto"/>
            <w:vAlign w:val="center"/>
            <w:hideMark/>
          </w:tcPr>
          <w:p w14:paraId="5C1CF5E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 Police; NHS Wales; Local Authorities</w:t>
            </w:r>
          </w:p>
        </w:tc>
        <w:tc>
          <w:tcPr>
            <w:tcW w:w="0" w:type="auto"/>
            <w:vAlign w:val="center"/>
            <w:hideMark/>
          </w:tcPr>
          <w:p w14:paraId="397A531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Short term</w:t>
            </w:r>
          </w:p>
        </w:tc>
      </w:tr>
      <w:tr w:rsidR="005F1CE4" w:rsidRPr="005F1CE4" w14:paraId="18925212" w14:textId="77777777" w:rsidTr="71A1AD18">
        <w:trPr>
          <w:tblCellSpacing w:w="15" w:type="dxa"/>
        </w:trPr>
        <w:tc>
          <w:tcPr>
            <w:tcW w:w="0" w:type="auto"/>
            <w:vAlign w:val="center"/>
            <w:hideMark/>
          </w:tcPr>
          <w:p w14:paraId="25387771"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Enhance community trust and engagement</w:t>
            </w:r>
          </w:p>
        </w:tc>
        <w:tc>
          <w:tcPr>
            <w:tcW w:w="0" w:type="auto"/>
            <w:vAlign w:val="center"/>
            <w:hideMark/>
          </w:tcPr>
          <w:p w14:paraId="3196B4C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Develop a community engagement strategy with measurable trust indicators</w:t>
            </w:r>
          </w:p>
        </w:tc>
        <w:tc>
          <w:tcPr>
            <w:tcW w:w="0" w:type="auto"/>
            <w:vAlign w:val="center"/>
            <w:hideMark/>
          </w:tcPr>
          <w:p w14:paraId="0A93CEEB"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 Police</w:t>
            </w:r>
          </w:p>
        </w:tc>
        <w:tc>
          <w:tcPr>
            <w:tcW w:w="0" w:type="auto"/>
            <w:vAlign w:val="center"/>
            <w:hideMark/>
          </w:tcPr>
          <w:p w14:paraId="198C0180"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Short term</w:t>
            </w:r>
          </w:p>
        </w:tc>
      </w:tr>
      <w:tr w:rsidR="005F1CE4" w:rsidRPr="005F1CE4" w14:paraId="1A11C07D" w14:textId="77777777" w:rsidTr="71A1AD18">
        <w:trPr>
          <w:tblCellSpacing w:w="15" w:type="dxa"/>
        </w:trPr>
        <w:tc>
          <w:tcPr>
            <w:tcW w:w="0" w:type="auto"/>
            <w:vAlign w:val="center"/>
            <w:hideMark/>
          </w:tcPr>
          <w:p w14:paraId="2F6F9E6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Sustain county lines disruption</w:t>
            </w:r>
          </w:p>
        </w:tc>
        <w:tc>
          <w:tcPr>
            <w:tcW w:w="0" w:type="auto"/>
            <w:vAlign w:val="center"/>
            <w:hideMark/>
          </w:tcPr>
          <w:p w14:paraId="1DBFA3F3"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Maintain and increase intelligence-led operations targeting county lines networks</w:t>
            </w:r>
          </w:p>
        </w:tc>
        <w:tc>
          <w:tcPr>
            <w:tcW w:w="0" w:type="auto"/>
            <w:vAlign w:val="center"/>
            <w:hideMark/>
          </w:tcPr>
          <w:p w14:paraId="4BB3F74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 Police; National Crime Agency</w:t>
            </w:r>
          </w:p>
        </w:tc>
        <w:tc>
          <w:tcPr>
            <w:tcW w:w="0" w:type="auto"/>
            <w:vAlign w:val="center"/>
            <w:hideMark/>
          </w:tcPr>
          <w:p w14:paraId="576E7ACC"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Ongoing</w:t>
            </w:r>
          </w:p>
        </w:tc>
      </w:tr>
      <w:tr w:rsidR="005F1CE4" w:rsidRPr="005F1CE4" w14:paraId="666C728B" w14:textId="77777777" w:rsidTr="71A1AD18">
        <w:trPr>
          <w:tblCellSpacing w:w="15" w:type="dxa"/>
        </w:trPr>
        <w:tc>
          <w:tcPr>
            <w:tcW w:w="0" w:type="auto"/>
            <w:vAlign w:val="center"/>
            <w:hideMark/>
          </w:tcPr>
          <w:p w14:paraId="355D1FFF"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Target resources to high-risk areas</w:t>
            </w:r>
          </w:p>
        </w:tc>
        <w:tc>
          <w:tcPr>
            <w:tcW w:w="0" w:type="auto"/>
            <w:vAlign w:val="center"/>
            <w:hideMark/>
          </w:tcPr>
          <w:p w14:paraId="563ACCB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Use crime mapping data to inform hotspot policing deployment in Newport and other identified areas</w:t>
            </w:r>
          </w:p>
        </w:tc>
        <w:tc>
          <w:tcPr>
            <w:tcW w:w="0" w:type="auto"/>
            <w:vAlign w:val="center"/>
            <w:hideMark/>
          </w:tcPr>
          <w:p w14:paraId="0A8E49E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Gwent Police</w:t>
            </w:r>
          </w:p>
        </w:tc>
        <w:tc>
          <w:tcPr>
            <w:tcW w:w="0" w:type="auto"/>
            <w:vAlign w:val="center"/>
            <w:hideMark/>
          </w:tcPr>
          <w:p w14:paraId="0E30630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Short term</w:t>
            </w:r>
          </w:p>
        </w:tc>
      </w:tr>
      <w:tr w:rsidR="005F1CE4" w:rsidRPr="005F1CE4" w14:paraId="49A2BD56" w14:textId="77777777" w:rsidTr="71A1AD18">
        <w:trPr>
          <w:tblCellSpacing w:w="15" w:type="dxa"/>
        </w:trPr>
        <w:tc>
          <w:tcPr>
            <w:tcW w:w="0" w:type="auto"/>
            <w:vAlign w:val="center"/>
            <w:hideMark/>
          </w:tcPr>
          <w:p w14:paraId="0994C4FE"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Address structural inequalities</w:t>
            </w:r>
          </w:p>
        </w:tc>
        <w:tc>
          <w:tcPr>
            <w:tcW w:w="0" w:type="auto"/>
            <w:vAlign w:val="center"/>
            <w:hideMark/>
          </w:tcPr>
          <w:p w14:paraId="2FBB997A"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Advocate for and support regeneration investment in the most deprived communities within the force area</w:t>
            </w:r>
          </w:p>
        </w:tc>
        <w:tc>
          <w:tcPr>
            <w:tcW w:w="0" w:type="auto"/>
            <w:vAlign w:val="center"/>
            <w:hideMark/>
          </w:tcPr>
          <w:p w14:paraId="2449DE17"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Welsh Government; Local Authorities</w:t>
            </w:r>
          </w:p>
        </w:tc>
        <w:tc>
          <w:tcPr>
            <w:tcW w:w="0" w:type="auto"/>
            <w:vAlign w:val="center"/>
            <w:hideMark/>
          </w:tcPr>
          <w:p w14:paraId="47B9ED88" w14:textId="77777777" w:rsidR="005F1CE4" w:rsidRPr="005F1CE4" w:rsidRDefault="005F1CE4" w:rsidP="005F1CE4">
            <w:pPr>
              <w:spacing w:after="0" w:line="240" w:lineRule="auto"/>
              <w:rPr>
                <w:rFonts w:ascii="Times New Roman" w:eastAsia="Times New Roman" w:hAnsi="Times New Roman" w:cs="Times New Roman"/>
                <w:sz w:val="24"/>
                <w:szCs w:val="24"/>
                <w:lang w:eastAsia="en-GB"/>
              </w:rPr>
            </w:pPr>
            <w:r w:rsidRPr="005F1CE4">
              <w:rPr>
                <w:rFonts w:ascii="Times New Roman" w:eastAsia="Times New Roman" w:hAnsi="Times New Roman" w:cs="Times New Roman"/>
                <w:sz w:val="24"/>
                <w:szCs w:val="24"/>
                <w:lang w:eastAsia="en-GB"/>
              </w:rPr>
              <w:t>Long term</w:t>
            </w:r>
          </w:p>
        </w:tc>
      </w:tr>
    </w:tbl>
    <w:p w14:paraId="03EFCA41" w14:textId="77777777" w:rsidR="005F1CE4" w:rsidRPr="005F1CE4" w:rsidRDefault="007C55F4" w:rsidP="005F1C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2CDEEADF">
          <v:rect id="_x0000_i1047" style="width:0;height:1.5pt" o:hralign="center" o:hrstd="t" o:hr="t" fillcolor="#a0a0a0" stroked="f"/>
        </w:pict>
      </w:r>
    </w:p>
    <w:sectPr w:rsidR="005F1CE4" w:rsidRPr="005F1CE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F8671" w14:textId="77777777" w:rsidR="007C55F4" w:rsidRDefault="007C55F4">
      <w:pPr>
        <w:spacing w:after="0" w:line="240" w:lineRule="auto"/>
      </w:pPr>
      <w:r>
        <w:separator/>
      </w:r>
    </w:p>
  </w:endnote>
  <w:endnote w:type="continuationSeparator" w:id="0">
    <w:p w14:paraId="140A2413" w14:textId="77777777" w:rsidR="007C55F4" w:rsidRDefault="007C5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A1AD18" w14:paraId="572F0EE8" w14:textId="77777777" w:rsidTr="71A1AD18">
      <w:trPr>
        <w:trHeight w:val="300"/>
      </w:trPr>
      <w:tc>
        <w:tcPr>
          <w:tcW w:w="3005" w:type="dxa"/>
        </w:tcPr>
        <w:p w14:paraId="565DB6E2" w14:textId="45A58D95" w:rsidR="71A1AD18" w:rsidRDefault="71A1AD18" w:rsidP="71A1AD18">
          <w:pPr>
            <w:pStyle w:val="Header"/>
            <w:ind w:left="-115"/>
          </w:pPr>
        </w:p>
      </w:tc>
      <w:tc>
        <w:tcPr>
          <w:tcW w:w="3005" w:type="dxa"/>
        </w:tcPr>
        <w:p w14:paraId="5F133A71" w14:textId="35AC6E99" w:rsidR="71A1AD18" w:rsidRDefault="71A1AD18" w:rsidP="71A1AD18">
          <w:pPr>
            <w:pStyle w:val="Header"/>
            <w:jc w:val="center"/>
          </w:pPr>
        </w:p>
      </w:tc>
      <w:tc>
        <w:tcPr>
          <w:tcW w:w="3005" w:type="dxa"/>
        </w:tcPr>
        <w:p w14:paraId="12F0B199" w14:textId="1B92D781" w:rsidR="71A1AD18" w:rsidRDefault="71A1AD18" w:rsidP="71A1AD18">
          <w:pPr>
            <w:pStyle w:val="Header"/>
            <w:ind w:right="-115"/>
            <w:jc w:val="right"/>
          </w:pPr>
        </w:p>
      </w:tc>
    </w:tr>
  </w:tbl>
  <w:p w14:paraId="593D844B" w14:textId="55FBE875" w:rsidR="71A1AD18" w:rsidRDefault="71A1AD18" w:rsidP="71A1A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B0178" w14:textId="77777777" w:rsidR="007C55F4" w:rsidRDefault="007C55F4">
      <w:pPr>
        <w:spacing w:after="0" w:line="240" w:lineRule="auto"/>
      </w:pPr>
      <w:r>
        <w:separator/>
      </w:r>
    </w:p>
  </w:footnote>
  <w:footnote w:type="continuationSeparator" w:id="0">
    <w:p w14:paraId="663B63F1" w14:textId="77777777" w:rsidR="007C55F4" w:rsidRDefault="007C55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DEDD3"/>
    <w:multiLevelType w:val="hybridMultilevel"/>
    <w:tmpl w:val="6F1E34B6"/>
    <w:lvl w:ilvl="0" w:tplc="92B011AE">
      <w:start w:val="1"/>
      <w:numFmt w:val="bullet"/>
      <w:lvlText w:val=""/>
      <w:lvlJc w:val="left"/>
      <w:pPr>
        <w:ind w:left="720" w:hanging="360"/>
      </w:pPr>
      <w:rPr>
        <w:rFonts w:ascii="Symbol" w:hAnsi="Symbol" w:hint="default"/>
      </w:rPr>
    </w:lvl>
    <w:lvl w:ilvl="1" w:tplc="80081E0A">
      <w:start w:val="1"/>
      <w:numFmt w:val="bullet"/>
      <w:lvlText w:val="o"/>
      <w:lvlJc w:val="left"/>
      <w:pPr>
        <w:ind w:left="1440" w:hanging="360"/>
      </w:pPr>
      <w:rPr>
        <w:rFonts w:ascii="Courier New" w:hAnsi="Courier New" w:hint="default"/>
      </w:rPr>
    </w:lvl>
    <w:lvl w:ilvl="2" w:tplc="EAE021CC">
      <w:start w:val="1"/>
      <w:numFmt w:val="bullet"/>
      <w:lvlText w:val=""/>
      <w:lvlJc w:val="left"/>
      <w:pPr>
        <w:ind w:left="2160" w:hanging="360"/>
      </w:pPr>
      <w:rPr>
        <w:rFonts w:ascii="Wingdings" w:hAnsi="Wingdings" w:hint="default"/>
      </w:rPr>
    </w:lvl>
    <w:lvl w:ilvl="3" w:tplc="02143B7A">
      <w:start w:val="1"/>
      <w:numFmt w:val="bullet"/>
      <w:lvlText w:val=""/>
      <w:lvlJc w:val="left"/>
      <w:pPr>
        <w:ind w:left="2880" w:hanging="360"/>
      </w:pPr>
      <w:rPr>
        <w:rFonts w:ascii="Symbol" w:hAnsi="Symbol" w:hint="default"/>
      </w:rPr>
    </w:lvl>
    <w:lvl w:ilvl="4" w:tplc="20EA0856">
      <w:start w:val="1"/>
      <w:numFmt w:val="bullet"/>
      <w:lvlText w:val="o"/>
      <w:lvlJc w:val="left"/>
      <w:pPr>
        <w:ind w:left="3600" w:hanging="360"/>
      </w:pPr>
      <w:rPr>
        <w:rFonts w:ascii="Courier New" w:hAnsi="Courier New" w:hint="default"/>
      </w:rPr>
    </w:lvl>
    <w:lvl w:ilvl="5" w:tplc="314EDEA6">
      <w:start w:val="1"/>
      <w:numFmt w:val="bullet"/>
      <w:lvlText w:val=""/>
      <w:lvlJc w:val="left"/>
      <w:pPr>
        <w:ind w:left="4320" w:hanging="360"/>
      </w:pPr>
      <w:rPr>
        <w:rFonts w:ascii="Wingdings" w:hAnsi="Wingdings" w:hint="default"/>
      </w:rPr>
    </w:lvl>
    <w:lvl w:ilvl="6" w:tplc="2184381A">
      <w:start w:val="1"/>
      <w:numFmt w:val="bullet"/>
      <w:lvlText w:val=""/>
      <w:lvlJc w:val="left"/>
      <w:pPr>
        <w:ind w:left="5040" w:hanging="360"/>
      </w:pPr>
      <w:rPr>
        <w:rFonts w:ascii="Symbol" w:hAnsi="Symbol" w:hint="default"/>
      </w:rPr>
    </w:lvl>
    <w:lvl w:ilvl="7" w:tplc="8482E2FE">
      <w:start w:val="1"/>
      <w:numFmt w:val="bullet"/>
      <w:lvlText w:val="o"/>
      <w:lvlJc w:val="left"/>
      <w:pPr>
        <w:ind w:left="5760" w:hanging="360"/>
      </w:pPr>
      <w:rPr>
        <w:rFonts w:ascii="Courier New" w:hAnsi="Courier New" w:hint="default"/>
      </w:rPr>
    </w:lvl>
    <w:lvl w:ilvl="8" w:tplc="BD90E55E">
      <w:start w:val="1"/>
      <w:numFmt w:val="bullet"/>
      <w:lvlText w:val=""/>
      <w:lvlJc w:val="left"/>
      <w:pPr>
        <w:ind w:left="6480" w:hanging="360"/>
      </w:pPr>
      <w:rPr>
        <w:rFonts w:ascii="Wingdings" w:hAnsi="Wingdings" w:hint="default"/>
      </w:rPr>
    </w:lvl>
  </w:abstractNum>
  <w:abstractNum w:abstractNumId="1" w15:restartNumberingAfterBreak="0">
    <w:nsid w:val="0BA52C35"/>
    <w:multiLevelType w:val="hybridMultilevel"/>
    <w:tmpl w:val="74EC180C"/>
    <w:lvl w:ilvl="0" w:tplc="EAB25968">
      <w:start w:val="1"/>
      <w:numFmt w:val="bullet"/>
      <w:lvlText w:val=""/>
      <w:lvlJc w:val="left"/>
      <w:pPr>
        <w:ind w:left="720" w:hanging="360"/>
      </w:pPr>
      <w:rPr>
        <w:rFonts w:ascii="Symbol" w:hAnsi="Symbol" w:hint="default"/>
      </w:rPr>
    </w:lvl>
    <w:lvl w:ilvl="1" w:tplc="42EE2FDC">
      <w:start w:val="1"/>
      <w:numFmt w:val="bullet"/>
      <w:lvlText w:val="o"/>
      <w:lvlJc w:val="left"/>
      <w:pPr>
        <w:ind w:left="1440" w:hanging="360"/>
      </w:pPr>
      <w:rPr>
        <w:rFonts w:ascii="Courier New" w:hAnsi="Courier New" w:hint="default"/>
      </w:rPr>
    </w:lvl>
    <w:lvl w:ilvl="2" w:tplc="5888CC46">
      <w:start w:val="1"/>
      <w:numFmt w:val="bullet"/>
      <w:lvlText w:val=""/>
      <w:lvlJc w:val="left"/>
      <w:pPr>
        <w:ind w:left="2160" w:hanging="360"/>
      </w:pPr>
      <w:rPr>
        <w:rFonts w:ascii="Wingdings" w:hAnsi="Wingdings" w:hint="default"/>
      </w:rPr>
    </w:lvl>
    <w:lvl w:ilvl="3" w:tplc="1A663ECC">
      <w:start w:val="1"/>
      <w:numFmt w:val="bullet"/>
      <w:lvlText w:val=""/>
      <w:lvlJc w:val="left"/>
      <w:pPr>
        <w:ind w:left="2880" w:hanging="360"/>
      </w:pPr>
      <w:rPr>
        <w:rFonts w:ascii="Symbol" w:hAnsi="Symbol" w:hint="default"/>
      </w:rPr>
    </w:lvl>
    <w:lvl w:ilvl="4" w:tplc="80500CDE">
      <w:start w:val="1"/>
      <w:numFmt w:val="bullet"/>
      <w:lvlText w:val="o"/>
      <w:lvlJc w:val="left"/>
      <w:pPr>
        <w:ind w:left="3600" w:hanging="360"/>
      </w:pPr>
      <w:rPr>
        <w:rFonts w:ascii="Courier New" w:hAnsi="Courier New" w:hint="default"/>
      </w:rPr>
    </w:lvl>
    <w:lvl w:ilvl="5" w:tplc="FFF02B0C">
      <w:start w:val="1"/>
      <w:numFmt w:val="bullet"/>
      <w:lvlText w:val=""/>
      <w:lvlJc w:val="left"/>
      <w:pPr>
        <w:ind w:left="4320" w:hanging="360"/>
      </w:pPr>
      <w:rPr>
        <w:rFonts w:ascii="Wingdings" w:hAnsi="Wingdings" w:hint="default"/>
      </w:rPr>
    </w:lvl>
    <w:lvl w:ilvl="6" w:tplc="D150A848">
      <w:start w:val="1"/>
      <w:numFmt w:val="bullet"/>
      <w:lvlText w:val=""/>
      <w:lvlJc w:val="left"/>
      <w:pPr>
        <w:ind w:left="5040" w:hanging="360"/>
      </w:pPr>
      <w:rPr>
        <w:rFonts w:ascii="Symbol" w:hAnsi="Symbol" w:hint="default"/>
      </w:rPr>
    </w:lvl>
    <w:lvl w:ilvl="7" w:tplc="47E46888">
      <w:start w:val="1"/>
      <w:numFmt w:val="bullet"/>
      <w:lvlText w:val="o"/>
      <w:lvlJc w:val="left"/>
      <w:pPr>
        <w:ind w:left="5760" w:hanging="360"/>
      </w:pPr>
      <w:rPr>
        <w:rFonts w:ascii="Courier New" w:hAnsi="Courier New" w:hint="default"/>
      </w:rPr>
    </w:lvl>
    <w:lvl w:ilvl="8" w:tplc="9A66C6DE">
      <w:start w:val="1"/>
      <w:numFmt w:val="bullet"/>
      <w:lvlText w:val=""/>
      <w:lvlJc w:val="left"/>
      <w:pPr>
        <w:ind w:left="6480" w:hanging="360"/>
      </w:pPr>
      <w:rPr>
        <w:rFonts w:ascii="Wingdings" w:hAnsi="Wingdings" w:hint="default"/>
      </w:rPr>
    </w:lvl>
  </w:abstractNum>
  <w:abstractNum w:abstractNumId="2" w15:restartNumberingAfterBreak="0">
    <w:nsid w:val="17E268B6"/>
    <w:multiLevelType w:val="multilevel"/>
    <w:tmpl w:val="C0D09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A40503"/>
    <w:multiLevelType w:val="hybridMultilevel"/>
    <w:tmpl w:val="7DBAC514"/>
    <w:lvl w:ilvl="0" w:tplc="2B1671D2">
      <w:start w:val="1"/>
      <w:numFmt w:val="bullet"/>
      <w:lvlText w:val=""/>
      <w:lvlJc w:val="left"/>
      <w:pPr>
        <w:ind w:left="720" w:hanging="360"/>
      </w:pPr>
      <w:rPr>
        <w:rFonts w:ascii="Symbol" w:hAnsi="Symbol" w:hint="default"/>
      </w:rPr>
    </w:lvl>
    <w:lvl w:ilvl="1" w:tplc="F616631C">
      <w:start w:val="1"/>
      <w:numFmt w:val="bullet"/>
      <w:lvlText w:val="o"/>
      <w:lvlJc w:val="left"/>
      <w:pPr>
        <w:ind w:left="1440" w:hanging="360"/>
      </w:pPr>
      <w:rPr>
        <w:rFonts w:ascii="Courier New" w:hAnsi="Courier New" w:hint="default"/>
      </w:rPr>
    </w:lvl>
    <w:lvl w:ilvl="2" w:tplc="869C7784">
      <w:start w:val="1"/>
      <w:numFmt w:val="bullet"/>
      <w:lvlText w:val=""/>
      <w:lvlJc w:val="left"/>
      <w:pPr>
        <w:ind w:left="2160" w:hanging="360"/>
      </w:pPr>
      <w:rPr>
        <w:rFonts w:ascii="Wingdings" w:hAnsi="Wingdings" w:hint="default"/>
      </w:rPr>
    </w:lvl>
    <w:lvl w:ilvl="3" w:tplc="8C482AF8">
      <w:start w:val="1"/>
      <w:numFmt w:val="bullet"/>
      <w:lvlText w:val=""/>
      <w:lvlJc w:val="left"/>
      <w:pPr>
        <w:ind w:left="2880" w:hanging="360"/>
      </w:pPr>
      <w:rPr>
        <w:rFonts w:ascii="Symbol" w:hAnsi="Symbol" w:hint="default"/>
      </w:rPr>
    </w:lvl>
    <w:lvl w:ilvl="4" w:tplc="CD76D99A">
      <w:start w:val="1"/>
      <w:numFmt w:val="bullet"/>
      <w:lvlText w:val="o"/>
      <w:lvlJc w:val="left"/>
      <w:pPr>
        <w:ind w:left="3600" w:hanging="360"/>
      </w:pPr>
      <w:rPr>
        <w:rFonts w:ascii="Courier New" w:hAnsi="Courier New" w:hint="default"/>
      </w:rPr>
    </w:lvl>
    <w:lvl w:ilvl="5" w:tplc="A6CC5436">
      <w:start w:val="1"/>
      <w:numFmt w:val="bullet"/>
      <w:lvlText w:val=""/>
      <w:lvlJc w:val="left"/>
      <w:pPr>
        <w:ind w:left="4320" w:hanging="360"/>
      </w:pPr>
      <w:rPr>
        <w:rFonts w:ascii="Wingdings" w:hAnsi="Wingdings" w:hint="default"/>
      </w:rPr>
    </w:lvl>
    <w:lvl w:ilvl="6" w:tplc="FDBA8E6E">
      <w:start w:val="1"/>
      <w:numFmt w:val="bullet"/>
      <w:lvlText w:val=""/>
      <w:lvlJc w:val="left"/>
      <w:pPr>
        <w:ind w:left="5040" w:hanging="360"/>
      </w:pPr>
      <w:rPr>
        <w:rFonts w:ascii="Symbol" w:hAnsi="Symbol" w:hint="default"/>
      </w:rPr>
    </w:lvl>
    <w:lvl w:ilvl="7" w:tplc="A5D43612">
      <w:start w:val="1"/>
      <w:numFmt w:val="bullet"/>
      <w:lvlText w:val="o"/>
      <w:lvlJc w:val="left"/>
      <w:pPr>
        <w:ind w:left="5760" w:hanging="360"/>
      </w:pPr>
      <w:rPr>
        <w:rFonts w:ascii="Courier New" w:hAnsi="Courier New" w:hint="default"/>
      </w:rPr>
    </w:lvl>
    <w:lvl w:ilvl="8" w:tplc="B1186964">
      <w:start w:val="1"/>
      <w:numFmt w:val="bullet"/>
      <w:lvlText w:val=""/>
      <w:lvlJc w:val="left"/>
      <w:pPr>
        <w:ind w:left="6480" w:hanging="360"/>
      </w:pPr>
      <w:rPr>
        <w:rFonts w:ascii="Wingdings" w:hAnsi="Wingdings" w:hint="default"/>
      </w:rPr>
    </w:lvl>
  </w:abstractNum>
  <w:abstractNum w:abstractNumId="4" w15:restartNumberingAfterBreak="0">
    <w:nsid w:val="2BBE2320"/>
    <w:multiLevelType w:val="hybridMultilevel"/>
    <w:tmpl w:val="3E6AC6CE"/>
    <w:lvl w:ilvl="0" w:tplc="486A57EE">
      <w:start w:val="1"/>
      <w:numFmt w:val="bullet"/>
      <w:lvlText w:val=""/>
      <w:lvlJc w:val="left"/>
      <w:pPr>
        <w:ind w:left="720" w:hanging="360"/>
      </w:pPr>
      <w:rPr>
        <w:rFonts w:ascii="Symbol" w:hAnsi="Symbol" w:hint="default"/>
      </w:rPr>
    </w:lvl>
    <w:lvl w:ilvl="1" w:tplc="C36EE14A">
      <w:start w:val="1"/>
      <w:numFmt w:val="bullet"/>
      <w:lvlText w:val="o"/>
      <w:lvlJc w:val="left"/>
      <w:pPr>
        <w:ind w:left="1440" w:hanging="360"/>
      </w:pPr>
      <w:rPr>
        <w:rFonts w:ascii="Courier New" w:hAnsi="Courier New" w:hint="default"/>
      </w:rPr>
    </w:lvl>
    <w:lvl w:ilvl="2" w:tplc="5C3CF416">
      <w:start w:val="1"/>
      <w:numFmt w:val="bullet"/>
      <w:lvlText w:val=""/>
      <w:lvlJc w:val="left"/>
      <w:pPr>
        <w:ind w:left="2160" w:hanging="360"/>
      </w:pPr>
      <w:rPr>
        <w:rFonts w:ascii="Wingdings" w:hAnsi="Wingdings" w:hint="default"/>
      </w:rPr>
    </w:lvl>
    <w:lvl w:ilvl="3" w:tplc="77DCB1BE">
      <w:start w:val="1"/>
      <w:numFmt w:val="bullet"/>
      <w:lvlText w:val=""/>
      <w:lvlJc w:val="left"/>
      <w:pPr>
        <w:ind w:left="2880" w:hanging="360"/>
      </w:pPr>
      <w:rPr>
        <w:rFonts w:ascii="Symbol" w:hAnsi="Symbol" w:hint="default"/>
      </w:rPr>
    </w:lvl>
    <w:lvl w:ilvl="4" w:tplc="3C3AE1B0">
      <w:start w:val="1"/>
      <w:numFmt w:val="bullet"/>
      <w:lvlText w:val="o"/>
      <w:lvlJc w:val="left"/>
      <w:pPr>
        <w:ind w:left="3600" w:hanging="360"/>
      </w:pPr>
      <w:rPr>
        <w:rFonts w:ascii="Courier New" w:hAnsi="Courier New" w:hint="default"/>
      </w:rPr>
    </w:lvl>
    <w:lvl w:ilvl="5" w:tplc="BE6CD482">
      <w:start w:val="1"/>
      <w:numFmt w:val="bullet"/>
      <w:lvlText w:val=""/>
      <w:lvlJc w:val="left"/>
      <w:pPr>
        <w:ind w:left="4320" w:hanging="360"/>
      </w:pPr>
      <w:rPr>
        <w:rFonts w:ascii="Wingdings" w:hAnsi="Wingdings" w:hint="default"/>
      </w:rPr>
    </w:lvl>
    <w:lvl w:ilvl="6" w:tplc="40AA2026">
      <w:start w:val="1"/>
      <w:numFmt w:val="bullet"/>
      <w:lvlText w:val=""/>
      <w:lvlJc w:val="left"/>
      <w:pPr>
        <w:ind w:left="5040" w:hanging="360"/>
      </w:pPr>
      <w:rPr>
        <w:rFonts w:ascii="Symbol" w:hAnsi="Symbol" w:hint="default"/>
      </w:rPr>
    </w:lvl>
    <w:lvl w:ilvl="7" w:tplc="B02E8400">
      <w:start w:val="1"/>
      <w:numFmt w:val="bullet"/>
      <w:lvlText w:val="o"/>
      <w:lvlJc w:val="left"/>
      <w:pPr>
        <w:ind w:left="5760" w:hanging="360"/>
      </w:pPr>
      <w:rPr>
        <w:rFonts w:ascii="Courier New" w:hAnsi="Courier New" w:hint="default"/>
      </w:rPr>
    </w:lvl>
    <w:lvl w:ilvl="8" w:tplc="8A705EA6">
      <w:start w:val="1"/>
      <w:numFmt w:val="bullet"/>
      <w:lvlText w:val=""/>
      <w:lvlJc w:val="left"/>
      <w:pPr>
        <w:ind w:left="6480" w:hanging="360"/>
      </w:pPr>
      <w:rPr>
        <w:rFonts w:ascii="Wingdings" w:hAnsi="Wingdings" w:hint="default"/>
      </w:rPr>
    </w:lvl>
  </w:abstractNum>
  <w:abstractNum w:abstractNumId="5" w15:restartNumberingAfterBreak="0">
    <w:nsid w:val="39F52D73"/>
    <w:multiLevelType w:val="hybridMultilevel"/>
    <w:tmpl w:val="84DC4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CDC3E6"/>
    <w:multiLevelType w:val="hybridMultilevel"/>
    <w:tmpl w:val="9D429AA6"/>
    <w:lvl w:ilvl="0" w:tplc="66983C16">
      <w:start w:val="1"/>
      <w:numFmt w:val="bullet"/>
      <w:lvlText w:val=""/>
      <w:lvlJc w:val="left"/>
      <w:pPr>
        <w:ind w:left="720" w:hanging="360"/>
      </w:pPr>
      <w:rPr>
        <w:rFonts w:ascii="Symbol" w:hAnsi="Symbol" w:hint="default"/>
      </w:rPr>
    </w:lvl>
    <w:lvl w:ilvl="1" w:tplc="9DF8D4D6">
      <w:start w:val="1"/>
      <w:numFmt w:val="bullet"/>
      <w:lvlText w:val="o"/>
      <w:lvlJc w:val="left"/>
      <w:pPr>
        <w:ind w:left="1440" w:hanging="360"/>
      </w:pPr>
      <w:rPr>
        <w:rFonts w:ascii="Courier New" w:hAnsi="Courier New" w:hint="default"/>
      </w:rPr>
    </w:lvl>
    <w:lvl w:ilvl="2" w:tplc="BE2AE95E">
      <w:start w:val="1"/>
      <w:numFmt w:val="bullet"/>
      <w:lvlText w:val=""/>
      <w:lvlJc w:val="left"/>
      <w:pPr>
        <w:ind w:left="2160" w:hanging="360"/>
      </w:pPr>
      <w:rPr>
        <w:rFonts w:ascii="Wingdings" w:hAnsi="Wingdings" w:hint="default"/>
      </w:rPr>
    </w:lvl>
    <w:lvl w:ilvl="3" w:tplc="67AA6E4E">
      <w:start w:val="1"/>
      <w:numFmt w:val="bullet"/>
      <w:lvlText w:val=""/>
      <w:lvlJc w:val="left"/>
      <w:pPr>
        <w:ind w:left="2880" w:hanging="360"/>
      </w:pPr>
      <w:rPr>
        <w:rFonts w:ascii="Symbol" w:hAnsi="Symbol" w:hint="default"/>
      </w:rPr>
    </w:lvl>
    <w:lvl w:ilvl="4" w:tplc="3878BE5C">
      <w:start w:val="1"/>
      <w:numFmt w:val="bullet"/>
      <w:lvlText w:val="o"/>
      <w:lvlJc w:val="left"/>
      <w:pPr>
        <w:ind w:left="3600" w:hanging="360"/>
      </w:pPr>
      <w:rPr>
        <w:rFonts w:ascii="Courier New" w:hAnsi="Courier New" w:hint="default"/>
      </w:rPr>
    </w:lvl>
    <w:lvl w:ilvl="5" w:tplc="6B6C7522">
      <w:start w:val="1"/>
      <w:numFmt w:val="bullet"/>
      <w:lvlText w:val=""/>
      <w:lvlJc w:val="left"/>
      <w:pPr>
        <w:ind w:left="4320" w:hanging="360"/>
      </w:pPr>
      <w:rPr>
        <w:rFonts w:ascii="Wingdings" w:hAnsi="Wingdings" w:hint="default"/>
      </w:rPr>
    </w:lvl>
    <w:lvl w:ilvl="6" w:tplc="2E0E4B9C">
      <w:start w:val="1"/>
      <w:numFmt w:val="bullet"/>
      <w:lvlText w:val=""/>
      <w:lvlJc w:val="left"/>
      <w:pPr>
        <w:ind w:left="5040" w:hanging="360"/>
      </w:pPr>
      <w:rPr>
        <w:rFonts w:ascii="Symbol" w:hAnsi="Symbol" w:hint="default"/>
      </w:rPr>
    </w:lvl>
    <w:lvl w:ilvl="7" w:tplc="01FEB644">
      <w:start w:val="1"/>
      <w:numFmt w:val="bullet"/>
      <w:lvlText w:val="o"/>
      <w:lvlJc w:val="left"/>
      <w:pPr>
        <w:ind w:left="5760" w:hanging="360"/>
      </w:pPr>
      <w:rPr>
        <w:rFonts w:ascii="Courier New" w:hAnsi="Courier New" w:hint="default"/>
      </w:rPr>
    </w:lvl>
    <w:lvl w:ilvl="8" w:tplc="F274DD7E">
      <w:start w:val="1"/>
      <w:numFmt w:val="bullet"/>
      <w:lvlText w:val=""/>
      <w:lvlJc w:val="left"/>
      <w:pPr>
        <w:ind w:left="6480" w:hanging="360"/>
      </w:pPr>
      <w:rPr>
        <w:rFonts w:ascii="Wingdings" w:hAnsi="Wingdings" w:hint="default"/>
      </w:rPr>
    </w:lvl>
  </w:abstractNum>
  <w:abstractNum w:abstractNumId="7" w15:restartNumberingAfterBreak="0">
    <w:nsid w:val="596D42D2"/>
    <w:multiLevelType w:val="hybridMultilevel"/>
    <w:tmpl w:val="02A60F38"/>
    <w:lvl w:ilvl="0" w:tplc="254AD6D8">
      <w:start w:val="1"/>
      <w:numFmt w:val="bullet"/>
      <w:lvlText w:val=""/>
      <w:lvlJc w:val="left"/>
      <w:pPr>
        <w:ind w:left="720" w:hanging="360"/>
      </w:pPr>
      <w:rPr>
        <w:rFonts w:ascii="Symbol" w:hAnsi="Symbol" w:hint="default"/>
      </w:rPr>
    </w:lvl>
    <w:lvl w:ilvl="1" w:tplc="B15E19CE">
      <w:start w:val="1"/>
      <w:numFmt w:val="bullet"/>
      <w:lvlText w:val="o"/>
      <w:lvlJc w:val="left"/>
      <w:pPr>
        <w:ind w:left="1440" w:hanging="360"/>
      </w:pPr>
      <w:rPr>
        <w:rFonts w:ascii="Courier New" w:hAnsi="Courier New" w:hint="default"/>
      </w:rPr>
    </w:lvl>
    <w:lvl w:ilvl="2" w:tplc="37DA2C9C">
      <w:start w:val="1"/>
      <w:numFmt w:val="bullet"/>
      <w:lvlText w:val=""/>
      <w:lvlJc w:val="left"/>
      <w:pPr>
        <w:ind w:left="2160" w:hanging="360"/>
      </w:pPr>
      <w:rPr>
        <w:rFonts w:ascii="Wingdings" w:hAnsi="Wingdings" w:hint="default"/>
      </w:rPr>
    </w:lvl>
    <w:lvl w:ilvl="3" w:tplc="B406EA5E">
      <w:start w:val="1"/>
      <w:numFmt w:val="bullet"/>
      <w:lvlText w:val=""/>
      <w:lvlJc w:val="left"/>
      <w:pPr>
        <w:ind w:left="2880" w:hanging="360"/>
      </w:pPr>
      <w:rPr>
        <w:rFonts w:ascii="Symbol" w:hAnsi="Symbol" w:hint="default"/>
      </w:rPr>
    </w:lvl>
    <w:lvl w:ilvl="4" w:tplc="D5AA991E">
      <w:start w:val="1"/>
      <w:numFmt w:val="bullet"/>
      <w:lvlText w:val="o"/>
      <w:lvlJc w:val="left"/>
      <w:pPr>
        <w:ind w:left="3600" w:hanging="360"/>
      </w:pPr>
      <w:rPr>
        <w:rFonts w:ascii="Courier New" w:hAnsi="Courier New" w:hint="default"/>
      </w:rPr>
    </w:lvl>
    <w:lvl w:ilvl="5" w:tplc="9670BADE">
      <w:start w:val="1"/>
      <w:numFmt w:val="bullet"/>
      <w:lvlText w:val=""/>
      <w:lvlJc w:val="left"/>
      <w:pPr>
        <w:ind w:left="4320" w:hanging="360"/>
      </w:pPr>
      <w:rPr>
        <w:rFonts w:ascii="Wingdings" w:hAnsi="Wingdings" w:hint="default"/>
      </w:rPr>
    </w:lvl>
    <w:lvl w:ilvl="6" w:tplc="85D012FE">
      <w:start w:val="1"/>
      <w:numFmt w:val="bullet"/>
      <w:lvlText w:val=""/>
      <w:lvlJc w:val="left"/>
      <w:pPr>
        <w:ind w:left="5040" w:hanging="360"/>
      </w:pPr>
      <w:rPr>
        <w:rFonts w:ascii="Symbol" w:hAnsi="Symbol" w:hint="default"/>
      </w:rPr>
    </w:lvl>
    <w:lvl w:ilvl="7" w:tplc="03F6683C">
      <w:start w:val="1"/>
      <w:numFmt w:val="bullet"/>
      <w:lvlText w:val="o"/>
      <w:lvlJc w:val="left"/>
      <w:pPr>
        <w:ind w:left="5760" w:hanging="360"/>
      </w:pPr>
      <w:rPr>
        <w:rFonts w:ascii="Courier New" w:hAnsi="Courier New" w:hint="default"/>
      </w:rPr>
    </w:lvl>
    <w:lvl w:ilvl="8" w:tplc="2070D43E">
      <w:start w:val="1"/>
      <w:numFmt w:val="bullet"/>
      <w:lvlText w:val=""/>
      <w:lvlJc w:val="left"/>
      <w:pPr>
        <w:ind w:left="6480" w:hanging="360"/>
      </w:pPr>
      <w:rPr>
        <w:rFonts w:ascii="Wingdings" w:hAnsi="Wingdings" w:hint="default"/>
      </w:rPr>
    </w:lvl>
  </w:abstractNum>
  <w:abstractNum w:abstractNumId="8" w15:restartNumberingAfterBreak="0">
    <w:nsid w:val="61C26A0D"/>
    <w:multiLevelType w:val="hybridMultilevel"/>
    <w:tmpl w:val="C14036C8"/>
    <w:lvl w:ilvl="0" w:tplc="E8F000A8">
      <w:start w:val="1"/>
      <w:numFmt w:val="bullet"/>
      <w:lvlText w:val=""/>
      <w:lvlJc w:val="left"/>
      <w:pPr>
        <w:ind w:left="720" w:hanging="360"/>
      </w:pPr>
      <w:rPr>
        <w:rFonts w:ascii="Symbol" w:hAnsi="Symbol" w:hint="default"/>
      </w:rPr>
    </w:lvl>
    <w:lvl w:ilvl="1" w:tplc="97E00D96">
      <w:start w:val="1"/>
      <w:numFmt w:val="bullet"/>
      <w:lvlText w:val="o"/>
      <w:lvlJc w:val="left"/>
      <w:pPr>
        <w:ind w:left="1440" w:hanging="360"/>
      </w:pPr>
      <w:rPr>
        <w:rFonts w:ascii="Courier New" w:hAnsi="Courier New" w:hint="default"/>
      </w:rPr>
    </w:lvl>
    <w:lvl w:ilvl="2" w:tplc="90A24190">
      <w:start w:val="1"/>
      <w:numFmt w:val="bullet"/>
      <w:lvlText w:val=""/>
      <w:lvlJc w:val="left"/>
      <w:pPr>
        <w:ind w:left="2160" w:hanging="360"/>
      </w:pPr>
      <w:rPr>
        <w:rFonts w:ascii="Wingdings" w:hAnsi="Wingdings" w:hint="default"/>
      </w:rPr>
    </w:lvl>
    <w:lvl w:ilvl="3" w:tplc="893EBA48">
      <w:start w:val="1"/>
      <w:numFmt w:val="bullet"/>
      <w:lvlText w:val=""/>
      <w:lvlJc w:val="left"/>
      <w:pPr>
        <w:ind w:left="2880" w:hanging="360"/>
      </w:pPr>
      <w:rPr>
        <w:rFonts w:ascii="Symbol" w:hAnsi="Symbol" w:hint="default"/>
      </w:rPr>
    </w:lvl>
    <w:lvl w:ilvl="4" w:tplc="FFDE7A94">
      <w:start w:val="1"/>
      <w:numFmt w:val="bullet"/>
      <w:lvlText w:val="o"/>
      <w:lvlJc w:val="left"/>
      <w:pPr>
        <w:ind w:left="3600" w:hanging="360"/>
      </w:pPr>
      <w:rPr>
        <w:rFonts w:ascii="Courier New" w:hAnsi="Courier New" w:hint="default"/>
      </w:rPr>
    </w:lvl>
    <w:lvl w:ilvl="5" w:tplc="E0D87A68">
      <w:start w:val="1"/>
      <w:numFmt w:val="bullet"/>
      <w:lvlText w:val=""/>
      <w:lvlJc w:val="left"/>
      <w:pPr>
        <w:ind w:left="4320" w:hanging="360"/>
      </w:pPr>
      <w:rPr>
        <w:rFonts w:ascii="Wingdings" w:hAnsi="Wingdings" w:hint="default"/>
      </w:rPr>
    </w:lvl>
    <w:lvl w:ilvl="6" w:tplc="896C8D90">
      <w:start w:val="1"/>
      <w:numFmt w:val="bullet"/>
      <w:lvlText w:val=""/>
      <w:lvlJc w:val="left"/>
      <w:pPr>
        <w:ind w:left="5040" w:hanging="360"/>
      </w:pPr>
      <w:rPr>
        <w:rFonts w:ascii="Symbol" w:hAnsi="Symbol" w:hint="default"/>
      </w:rPr>
    </w:lvl>
    <w:lvl w:ilvl="7" w:tplc="545CADBE">
      <w:start w:val="1"/>
      <w:numFmt w:val="bullet"/>
      <w:lvlText w:val="o"/>
      <w:lvlJc w:val="left"/>
      <w:pPr>
        <w:ind w:left="5760" w:hanging="360"/>
      </w:pPr>
      <w:rPr>
        <w:rFonts w:ascii="Courier New" w:hAnsi="Courier New" w:hint="default"/>
      </w:rPr>
    </w:lvl>
    <w:lvl w:ilvl="8" w:tplc="F1A609D8">
      <w:start w:val="1"/>
      <w:numFmt w:val="bullet"/>
      <w:lvlText w:val=""/>
      <w:lvlJc w:val="left"/>
      <w:pPr>
        <w:ind w:left="6480" w:hanging="360"/>
      </w:pPr>
      <w:rPr>
        <w:rFonts w:ascii="Wingdings" w:hAnsi="Wingdings" w:hint="default"/>
      </w:rPr>
    </w:lvl>
  </w:abstractNum>
  <w:abstractNum w:abstractNumId="9" w15:restartNumberingAfterBreak="0">
    <w:nsid w:val="6CFBA690"/>
    <w:multiLevelType w:val="hybridMultilevel"/>
    <w:tmpl w:val="15687C20"/>
    <w:lvl w:ilvl="0" w:tplc="525CF1F2">
      <w:start w:val="1"/>
      <w:numFmt w:val="bullet"/>
      <w:lvlText w:val=""/>
      <w:lvlJc w:val="left"/>
      <w:pPr>
        <w:ind w:left="720" w:hanging="360"/>
      </w:pPr>
      <w:rPr>
        <w:rFonts w:ascii="Symbol" w:hAnsi="Symbol" w:hint="default"/>
      </w:rPr>
    </w:lvl>
    <w:lvl w:ilvl="1" w:tplc="93C2EACC">
      <w:start w:val="1"/>
      <w:numFmt w:val="bullet"/>
      <w:lvlText w:val="o"/>
      <w:lvlJc w:val="left"/>
      <w:pPr>
        <w:ind w:left="1440" w:hanging="360"/>
      </w:pPr>
      <w:rPr>
        <w:rFonts w:ascii="Courier New" w:hAnsi="Courier New" w:hint="default"/>
      </w:rPr>
    </w:lvl>
    <w:lvl w:ilvl="2" w:tplc="28360BB6">
      <w:start w:val="1"/>
      <w:numFmt w:val="bullet"/>
      <w:lvlText w:val=""/>
      <w:lvlJc w:val="left"/>
      <w:pPr>
        <w:ind w:left="2160" w:hanging="360"/>
      </w:pPr>
      <w:rPr>
        <w:rFonts w:ascii="Wingdings" w:hAnsi="Wingdings" w:hint="default"/>
      </w:rPr>
    </w:lvl>
    <w:lvl w:ilvl="3" w:tplc="82B4BD2C">
      <w:start w:val="1"/>
      <w:numFmt w:val="bullet"/>
      <w:lvlText w:val=""/>
      <w:lvlJc w:val="left"/>
      <w:pPr>
        <w:ind w:left="2880" w:hanging="360"/>
      </w:pPr>
      <w:rPr>
        <w:rFonts w:ascii="Symbol" w:hAnsi="Symbol" w:hint="default"/>
      </w:rPr>
    </w:lvl>
    <w:lvl w:ilvl="4" w:tplc="B87010DA">
      <w:start w:val="1"/>
      <w:numFmt w:val="bullet"/>
      <w:lvlText w:val="o"/>
      <w:lvlJc w:val="left"/>
      <w:pPr>
        <w:ind w:left="3600" w:hanging="360"/>
      </w:pPr>
      <w:rPr>
        <w:rFonts w:ascii="Courier New" w:hAnsi="Courier New" w:hint="default"/>
      </w:rPr>
    </w:lvl>
    <w:lvl w:ilvl="5" w:tplc="E95C04C2">
      <w:start w:val="1"/>
      <w:numFmt w:val="bullet"/>
      <w:lvlText w:val=""/>
      <w:lvlJc w:val="left"/>
      <w:pPr>
        <w:ind w:left="4320" w:hanging="360"/>
      </w:pPr>
      <w:rPr>
        <w:rFonts w:ascii="Wingdings" w:hAnsi="Wingdings" w:hint="default"/>
      </w:rPr>
    </w:lvl>
    <w:lvl w:ilvl="6" w:tplc="FC4A553A">
      <w:start w:val="1"/>
      <w:numFmt w:val="bullet"/>
      <w:lvlText w:val=""/>
      <w:lvlJc w:val="left"/>
      <w:pPr>
        <w:ind w:left="5040" w:hanging="360"/>
      </w:pPr>
      <w:rPr>
        <w:rFonts w:ascii="Symbol" w:hAnsi="Symbol" w:hint="default"/>
      </w:rPr>
    </w:lvl>
    <w:lvl w:ilvl="7" w:tplc="1ABABEB4">
      <w:start w:val="1"/>
      <w:numFmt w:val="bullet"/>
      <w:lvlText w:val="o"/>
      <w:lvlJc w:val="left"/>
      <w:pPr>
        <w:ind w:left="5760" w:hanging="360"/>
      </w:pPr>
      <w:rPr>
        <w:rFonts w:ascii="Courier New" w:hAnsi="Courier New" w:hint="default"/>
      </w:rPr>
    </w:lvl>
    <w:lvl w:ilvl="8" w:tplc="71820942">
      <w:start w:val="1"/>
      <w:numFmt w:val="bullet"/>
      <w:lvlText w:val=""/>
      <w:lvlJc w:val="left"/>
      <w:pPr>
        <w:ind w:left="6480" w:hanging="360"/>
      </w:pPr>
      <w:rPr>
        <w:rFonts w:ascii="Wingdings" w:hAnsi="Wingdings" w:hint="default"/>
      </w:rPr>
    </w:lvl>
  </w:abstractNum>
  <w:abstractNum w:abstractNumId="10" w15:restartNumberingAfterBreak="0">
    <w:nsid w:val="75FF0530"/>
    <w:multiLevelType w:val="hybridMultilevel"/>
    <w:tmpl w:val="8C60A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9343005">
    <w:abstractNumId w:val="8"/>
  </w:num>
  <w:num w:numId="2" w16cid:durableId="509754194">
    <w:abstractNumId w:val="3"/>
  </w:num>
  <w:num w:numId="3" w16cid:durableId="1912541551">
    <w:abstractNumId w:val="9"/>
  </w:num>
  <w:num w:numId="4" w16cid:durableId="1118377428">
    <w:abstractNumId w:val="0"/>
  </w:num>
  <w:num w:numId="5" w16cid:durableId="801122267">
    <w:abstractNumId w:val="1"/>
  </w:num>
  <w:num w:numId="6" w16cid:durableId="2034114698">
    <w:abstractNumId w:val="4"/>
  </w:num>
  <w:num w:numId="7" w16cid:durableId="960456462">
    <w:abstractNumId w:val="7"/>
  </w:num>
  <w:num w:numId="8" w16cid:durableId="840925157">
    <w:abstractNumId w:val="6"/>
  </w:num>
  <w:num w:numId="9" w16cid:durableId="49423742">
    <w:abstractNumId w:val="10"/>
  </w:num>
  <w:num w:numId="10" w16cid:durableId="622854862">
    <w:abstractNumId w:val="5"/>
  </w:num>
  <w:num w:numId="11" w16cid:durableId="9542123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220"/>
    <w:rsid w:val="00046627"/>
    <w:rsid w:val="00076579"/>
    <w:rsid w:val="00082FBA"/>
    <w:rsid w:val="000D4CB8"/>
    <w:rsid w:val="001444D4"/>
    <w:rsid w:val="00162479"/>
    <w:rsid w:val="0017540A"/>
    <w:rsid w:val="001C199B"/>
    <w:rsid w:val="00255A35"/>
    <w:rsid w:val="0026FE49"/>
    <w:rsid w:val="0030054D"/>
    <w:rsid w:val="0032425C"/>
    <w:rsid w:val="003297D3"/>
    <w:rsid w:val="003578CF"/>
    <w:rsid w:val="00365490"/>
    <w:rsid w:val="00387A9B"/>
    <w:rsid w:val="003C5B3A"/>
    <w:rsid w:val="00446FF9"/>
    <w:rsid w:val="00520A7F"/>
    <w:rsid w:val="00533838"/>
    <w:rsid w:val="00570431"/>
    <w:rsid w:val="005762B7"/>
    <w:rsid w:val="00581D7A"/>
    <w:rsid w:val="0058249A"/>
    <w:rsid w:val="005B3BB5"/>
    <w:rsid w:val="005D6796"/>
    <w:rsid w:val="005E3F06"/>
    <w:rsid w:val="005F1CE4"/>
    <w:rsid w:val="005F2EB9"/>
    <w:rsid w:val="006244B5"/>
    <w:rsid w:val="00644F08"/>
    <w:rsid w:val="00675570"/>
    <w:rsid w:val="00680F35"/>
    <w:rsid w:val="0069008E"/>
    <w:rsid w:val="006A7220"/>
    <w:rsid w:val="006D69A1"/>
    <w:rsid w:val="00702FF3"/>
    <w:rsid w:val="00787977"/>
    <w:rsid w:val="007C55F4"/>
    <w:rsid w:val="00802F7F"/>
    <w:rsid w:val="00834A6B"/>
    <w:rsid w:val="00886AE0"/>
    <w:rsid w:val="00926C4F"/>
    <w:rsid w:val="0093223D"/>
    <w:rsid w:val="009B17BD"/>
    <w:rsid w:val="009E23DA"/>
    <w:rsid w:val="00A33E00"/>
    <w:rsid w:val="00A45B71"/>
    <w:rsid w:val="00A536F7"/>
    <w:rsid w:val="00A57B08"/>
    <w:rsid w:val="00ABBACF"/>
    <w:rsid w:val="00BC4283"/>
    <w:rsid w:val="00BE2027"/>
    <w:rsid w:val="00C84D41"/>
    <w:rsid w:val="00CC5FA7"/>
    <w:rsid w:val="00D14B9C"/>
    <w:rsid w:val="00DA0706"/>
    <w:rsid w:val="00E3081F"/>
    <w:rsid w:val="00E552B6"/>
    <w:rsid w:val="00ED7BE4"/>
    <w:rsid w:val="00F02C31"/>
    <w:rsid w:val="00F332FB"/>
    <w:rsid w:val="00F74512"/>
    <w:rsid w:val="00FB5455"/>
    <w:rsid w:val="01472561"/>
    <w:rsid w:val="018A1C52"/>
    <w:rsid w:val="01975297"/>
    <w:rsid w:val="028FDDE3"/>
    <w:rsid w:val="02A75A17"/>
    <w:rsid w:val="02B395E9"/>
    <w:rsid w:val="036339AB"/>
    <w:rsid w:val="0373285B"/>
    <w:rsid w:val="03A48A83"/>
    <w:rsid w:val="03A52AE1"/>
    <w:rsid w:val="03BB8686"/>
    <w:rsid w:val="0444657C"/>
    <w:rsid w:val="0561AAC0"/>
    <w:rsid w:val="05A1C5E9"/>
    <w:rsid w:val="05C77011"/>
    <w:rsid w:val="05D97AF0"/>
    <w:rsid w:val="06301890"/>
    <w:rsid w:val="064AC0CD"/>
    <w:rsid w:val="065A8A59"/>
    <w:rsid w:val="068A1042"/>
    <w:rsid w:val="06B1E967"/>
    <w:rsid w:val="06D581DF"/>
    <w:rsid w:val="06FED10F"/>
    <w:rsid w:val="07238746"/>
    <w:rsid w:val="07CF8236"/>
    <w:rsid w:val="07D95F0F"/>
    <w:rsid w:val="07E5F3AE"/>
    <w:rsid w:val="0814E285"/>
    <w:rsid w:val="084BAF33"/>
    <w:rsid w:val="0881A33A"/>
    <w:rsid w:val="0909CAD9"/>
    <w:rsid w:val="090FE0F2"/>
    <w:rsid w:val="09B7BBD3"/>
    <w:rsid w:val="09C572DA"/>
    <w:rsid w:val="0B2C6807"/>
    <w:rsid w:val="0B6F6CED"/>
    <w:rsid w:val="0B8136C0"/>
    <w:rsid w:val="0B9D2CE1"/>
    <w:rsid w:val="0BA7AA59"/>
    <w:rsid w:val="0BE2A654"/>
    <w:rsid w:val="0BF726D8"/>
    <w:rsid w:val="0C10D1EC"/>
    <w:rsid w:val="0C99F252"/>
    <w:rsid w:val="0CCB4842"/>
    <w:rsid w:val="0CCB6FDD"/>
    <w:rsid w:val="0CD33E0E"/>
    <w:rsid w:val="0D0CB589"/>
    <w:rsid w:val="0D2B8EBA"/>
    <w:rsid w:val="0D31CA71"/>
    <w:rsid w:val="0D4295A1"/>
    <w:rsid w:val="0D55AE47"/>
    <w:rsid w:val="0D9042D0"/>
    <w:rsid w:val="0DBB0726"/>
    <w:rsid w:val="0DDCB56A"/>
    <w:rsid w:val="0DFD7F9F"/>
    <w:rsid w:val="0E206006"/>
    <w:rsid w:val="0E711267"/>
    <w:rsid w:val="0E9FC719"/>
    <w:rsid w:val="0FF9AA5D"/>
    <w:rsid w:val="10041A81"/>
    <w:rsid w:val="1005EFC7"/>
    <w:rsid w:val="1022C19C"/>
    <w:rsid w:val="1036E73C"/>
    <w:rsid w:val="104708FB"/>
    <w:rsid w:val="10A21C7C"/>
    <w:rsid w:val="1113359D"/>
    <w:rsid w:val="11B2A564"/>
    <w:rsid w:val="11B869ED"/>
    <w:rsid w:val="124699D5"/>
    <w:rsid w:val="12546878"/>
    <w:rsid w:val="12812E88"/>
    <w:rsid w:val="1285FF7E"/>
    <w:rsid w:val="12D4F66A"/>
    <w:rsid w:val="12FACA6F"/>
    <w:rsid w:val="132451D0"/>
    <w:rsid w:val="1353F72A"/>
    <w:rsid w:val="1384D232"/>
    <w:rsid w:val="13CC14C3"/>
    <w:rsid w:val="13D77F17"/>
    <w:rsid w:val="141FB528"/>
    <w:rsid w:val="142D4853"/>
    <w:rsid w:val="143AAB51"/>
    <w:rsid w:val="1448876C"/>
    <w:rsid w:val="14AFB724"/>
    <w:rsid w:val="14BADA30"/>
    <w:rsid w:val="15173FA0"/>
    <w:rsid w:val="154EC65C"/>
    <w:rsid w:val="15AF1AB2"/>
    <w:rsid w:val="15FDEB03"/>
    <w:rsid w:val="1646F8E1"/>
    <w:rsid w:val="168A7F66"/>
    <w:rsid w:val="171EA309"/>
    <w:rsid w:val="17587349"/>
    <w:rsid w:val="1796767F"/>
    <w:rsid w:val="17A04CA5"/>
    <w:rsid w:val="17F64FD8"/>
    <w:rsid w:val="17FD03A9"/>
    <w:rsid w:val="184B4721"/>
    <w:rsid w:val="188E0DFB"/>
    <w:rsid w:val="189EC945"/>
    <w:rsid w:val="18FC5202"/>
    <w:rsid w:val="194540FE"/>
    <w:rsid w:val="194E603E"/>
    <w:rsid w:val="19802EE7"/>
    <w:rsid w:val="1A3EA3B1"/>
    <w:rsid w:val="1A4BF118"/>
    <w:rsid w:val="1A535DAF"/>
    <w:rsid w:val="1AD3E3FD"/>
    <w:rsid w:val="1B0F81A5"/>
    <w:rsid w:val="1B8497A1"/>
    <w:rsid w:val="1B93BB90"/>
    <w:rsid w:val="1C3BB17B"/>
    <w:rsid w:val="1C3BC89C"/>
    <w:rsid w:val="1C9997E0"/>
    <w:rsid w:val="1CC0EC99"/>
    <w:rsid w:val="1CFCA405"/>
    <w:rsid w:val="1D2232A9"/>
    <w:rsid w:val="1D499235"/>
    <w:rsid w:val="1D4ADC18"/>
    <w:rsid w:val="1DF10CF4"/>
    <w:rsid w:val="1E3B2D74"/>
    <w:rsid w:val="1E44F8F1"/>
    <w:rsid w:val="1E71E59E"/>
    <w:rsid w:val="1E98772F"/>
    <w:rsid w:val="1ED09763"/>
    <w:rsid w:val="1EFCE406"/>
    <w:rsid w:val="1F5AD66C"/>
    <w:rsid w:val="1F715B00"/>
    <w:rsid w:val="1F8EAD06"/>
    <w:rsid w:val="1FB51F0D"/>
    <w:rsid w:val="1FE4CAF0"/>
    <w:rsid w:val="2007F088"/>
    <w:rsid w:val="203A4AF7"/>
    <w:rsid w:val="20AD9CE5"/>
    <w:rsid w:val="20FB08EA"/>
    <w:rsid w:val="2182F884"/>
    <w:rsid w:val="21E091C6"/>
    <w:rsid w:val="21E7BEAC"/>
    <w:rsid w:val="225825AD"/>
    <w:rsid w:val="22BD31EE"/>
    <w:rsid w:val="22E7C336"/>
    <w:rsid w:val="23861683"/>
    <w:rsid w:val="23A39B93"/>
    <w:rsid w:val="23AC0188"/>
    <w:rsid w:val="23E5BDD5"/>
    <w:rsid w:val="23FFA0B4"/>
    <w:rsid w:val="240F71AC"/>
    <w:rsid w:val="249B9229"/>
    <w:rsid w:val="24A08076"/>
    <w:rsid w:val="25CABE49"/>
    <w:rsid w:val="25D9DE25"/>
    <w:rsid w:val="25E2EEAE"/>
    <w:rsid w:val="26490C82"/>
    <w:rsid w:val="268D42DE"/>
    <w:rsid w:val="26BCA45A"/>
    <w:rsid w:val="26E53C67"/>
    <w:rsid w:val="2731C4C7"/>
    <w:rsid w:val="274F10F4"/>
    <w:rsid w:val="2793DB11"/>
    <w:rsid w:val="27BB83C0"/>
    <w:rsid w:val="27E4F0F4"/>
    <w:rsid w:val="282A5C7C"/>
    <w:rsid w:val="28515D7B"/>
    <w:rsid w:val="285F9EF2"/>
    <w:rsid w:val="287F7B30"/>
    <w:rsid w:val="28C08535"/>
    <w:rsid w:val="2907F25C"/>
    <w:rsid w:val="2983D6E7"/>
    <w:rsid w:val="29986657"/>
    <w:rsid w:val="29CD1DCA"/>
    <w:rsid w:val="29E2DAEA"/>
    <w:rsid w:val="29FA6F49"/>
    <w:rsid w:val="2A9339E1"/>
    <w:rsid w:val="2AE7A570"/>
    <w:rsid w:val="2B1E1161"/>
    <w:rsid w:val="2B34BBF5"/>
    <w:rsid w:val="2B42424C"/>
    <w:rsid w:val="2BD642A3"/>
    <w:rsid w:val="2C1A7930"/>
    <w:rsid w:val="2C1E9F50"/>
    <w:rsid w:val="2CC173A1"/>
    <w:rsid w:val="2D1BE93E"/>
    <w:rsid w:val="2D229BBD"/>
    <w:rsid w:val="2D354757"/>
    <w:rsid w:val="2D4F9E61"/>
    <w:rsid w:val="2D7F35E4"/>
    <w:rsid w:val="2DD93E9D"/>
    <w:rsid w:val="2DF9D21D"/>
    <w:rsid w:val="2E789610"/>
    <w:rsid w:val="2E87CAA2"/>
    <w:rsid w:val="2EAC4063"/>
    <w:rsid w:val="2ED4A4D7"/>
    <w:rsid w:val="2EE8A6D1"/>
    <w:rsid w:val="2F0DE31C"/>
    <w:rsid w:val="2F0E3245"/>
    <w:rsid w:val="2F856D4B"/>
    <w:rsid w:val="2FA6DD3A"/>
    <w:rsid w:val="2FAB3CDC"/>
    <w:rsid w:val="2FB30220"/>
    <w:rsid w:val="2FCD024A"/>
    <w:rsid w:val="2FEAB66B"/>
    <w:rsid w:val="3036D2C1"/>
    <w:rsid w:val="306ED1D8"/>
    <w:rsid w:val="30CF8ACB"/>
    <w:rsid w:val="312314CD"/>
    <w:rsid w:val="31390137"/>
    <w:rsid w:val="3140A501"/>
    <w:rsid w:val="319020C5"/>
    <w:rsid w:val="31AB42C4"/>
    <w:rsid w:val="31CDB330"/>
    <w:rsid w:val="31D73915"/>
    <w:rsid w:val="320CD79A"/>
    <w:rsid w:val="324A4519"/>
    <w:rsid w:val="32B8F8BC"/>
    <w:rsid w:val="32EC8660"/>
    <w:rsid w:val="32F7D100"/>
    <w:rsid w:val="33245E3E"/>
    <w:rsid w:val="339905A5"/>
    <w:rsid w:val="33E84FDB"/>
    <w:rsid w:val="345429F6"/>
    <w:rsid w:val="3483CAF9"/>
    <w:rsid w:val="348F3B38"/>
    <w:rsid w:val="3495D2F6"/>
    <w:rsid w:val="34A03519"/>
    <w:rsid w:val="34CB6DF5"/>
    <w:rsid w:val="34E75828"/>
    <w:rsid w:val="34FE9465"/>
    <w:rsid w:val="354655F8"/>
    <w:rsid w:val="359B016B"/>
    <w:rsid w:val="35B8E4E6"/>
    <w:rsid w:val="35D18F7D"/>
    <w:rsid w:val="3608BF07"/>
    <w:rsid w:val="36373389"/>
    <w:rsid w:val="36446B98"/>
    <w:rsid w:val="36526382"/>
    <w:rsid w:val="36A81D09"/>
    <w:rsid w:val="36B06354"/>
    <w:rsid w:val="3742ECF0"/>
    <w:rsid w:val="37A1CE1C"/>
    <w:rsid w:val="38085C60"/>
    <w:rsid w:val="38091C93"/>
    <w:rsid w:val="38248494"/>
    <w:rsid w:val="3851B169"/>
    <w:rsid w:val="385740F9"/>
    <w:rsid w:val="388FAF12"/>
    <w:rsid w:val="38EE630A"/>
    <w:rsid w:val="390E5997"/>
    <w:rsid w:val="391818F5"/>
    <w:rsid w:val="392BB04E"/>
    <w:rsid w:val="39A6A496"/>
    <w:rsid w:val="39B2D48A"/>
    <w:rsid w:val="39ED305B"/>
    <w:rsid w:val="3AABDFDD"/>
    <w:rsid w:val="3ACC89A8"/>
    <w:rsid w:val="3AD27309"/>
    <w:rsid w:val="3B0001DE"/>
    <w:rsid w:val="3B08CEA3"/>
    <w:rsid w:val="3B593BAE"/>
    <w:rsid w:val="3B6171A0"/>
    <w:rsid w:val="3C00223F"/>
    <w:rsid w:val="3C2C9F1D"/>
    <w:rsid w:val="3C617600"/>
    <w:rsid w:val="3CA04597"/>
    <w:rsid w:val="3CBD7D76"/>
    <w:rsid w:val="3CCE0672"/>
    <w:rsid w:val="3DE31C7F"/>
    <w:rsid w:val="3E123E06"/>
    <w:rsid w:val="3E590696"/>
    <w:rsid w:val="3E8291FC"/>
    <w:rsid w:val="3E86C685"/>
    <w:rsid w:val="3E96CD92"/>
    <w:rsid w:val="3ED1B7C7"/>
    <w:rsid w:val="3EDE208B"/>
    <w:rsid w:val="3F00AA3F"/>
    <w:rsid w:val="3F34032A"/>
    <w:rsid w:val="3F5639E3"/>
    <w:rsid w:val="3F90878C"/>
    <w:rsid w:val="3F9933D4"/>
    <w:rsid w:val="3FC5640B"/>
    <w:rsid w:val="3FD8CBE4"/>
    <w:rsid w:val="401CDDF2"/>
    <w:rsid w:val="4021B22A"/>
    <w:rsid w:val="4030AE16"/>
    <w:rsid w:val="40318EA7"/>
    <w:rsid w:val="412D3D99"/>
    <w:rsid w:val="4202A617"/>
    <w:rsid w:val="42635669"/>
    <w:rsid w:val="42819CF4"/>
    <w:rsid w:val="42B8ACCE"/>
    <w:rsid w:val="42E5E752"/>
    <w:rsid w:val="43BE5191"/>
    <w:rsid w:val="4425512C"/>
    <w:rsid w:val="444B89BE"/>
    <w:rsid w:val="44624FBF"/>
    <w:rsid w:val="4465B6AF"/>
    <w:rsid w:val="447540B1"/>
    <w:rsid w:val="448A22AE"/>
    <w:rsid w:val="44C17FD0"/>
    <w:rsid w:val="45277E4F"/>
    <w:rsid w:val="4555BF7B"/>
    <w:rsid w:val="45852DA1"/>
    <w:rsid w:val="45AAD06E"/>
    <w:rsid w:val="45B756B4"/>
    <w:rsid w:val="45F288E3"/>
    <w:rsid w:val="462268D8"/>
    <w:rsid w:val="46533F30"/>
    <w:rsid w:val="465891EE"/>
    <w:rsid w:val="465FC425"/>
    <w:rsid w:val="46E38661"/>
    <w:rsid w:val="46F29C8C"/>
    <w:rsid w:val="46F80EB9"/>
    <w:rsid w:val="4715BC1D"/>
    <w:rsid w:val="473A4F17"/>
    <w:rsid w:val="47818221"/>
    <w:rsid w:val="47BA8FED"/>
    <w:rsid w:val="47E2410A"/>
    <w:rsid w:val="47F28964"/>
    <w:rsid w:val="48081AEB"/>
    <w:rsid w:val="4855D34B"/>
    <w:rsid w:val="495CAF8B"/>
    <w:rsid w:val="495E22F8"/>
    <w:rsid w:val="4965BB10"/>
    <w:rsid w:val="49AB9792"/>
    <w:rsid w:val="49B0B84F"/>
    <w:rsid w:val="49D79496"/>
    <w:rsid w:val="4A18099A"/>
    <w:rsid w:val="4A2E2D3B"/>
    <w:rsid w:val="4A3E5BB6"/>
    <w:rsid w:val="4A92D092"/>
    <w:rsid w:val="4AD22F25"/>
    <w:rsid w:val="4AE0AD6F"/>
    <w:rsid w:val="4B3C05CE"/>
    <w:rsid w:val="4B46EED1"/>
    <w:rsid w:val="4B4E54D4"/>
    <w:rsid w:val="4BF349A3"/>
    <w:rsid w:val="4C0F234E"/>
    <w:rsid w:val="4C318267"/>
    <w:rsid w:val="4C3F239B"/>
    <w:rsid w:val="4C563B12"/>
    <w:rsid w:val="4CDBA96C"/>
    <w:rsid w:val="4CE6C832"/>
    <w:rsid w:val="4D3A1749"/>
    <w:rsid w:val="4D51603C"/>
    <w:rsid w:val="4D916BF1"/>
    <w:rsid w:val="4DA9A9A7"/>
    <w:rsid w:val="4DADF3F6"/>
    <w:rsid w:val="4E5A636E"/>
    <w:rsid w:val="4E838572"/>
    <w:rsid w:val="4EC1B875"/>
    <w:rsid w:val="4EE4109F"/>
    <w:rsid w:val="4EE6EE43"/>
    <w:rsid w:val="4F221680"/>
    <w:rsid w:val="4F3641BE"/>
    <w:rsid w:val="4F4445BD"/>
    <w:rsid w:val="4F5410F7"/>
    <w:rsid w:val="4F58DA9C"/>
    <w:rsid w:val="4FA71C88"/>
    <w:rsid w:val="4FB3EA3E"/>
    <w:rsid w:val="4FCFBF49"/>
    <w:rsid w:val="5011A732"/>
    <w:rsid w:val="50E60826"/>
    <w:rsid w:val="5101935C"/>
    <w:rsid w:val="518D92FE"/>
    <w:rsid w:val="518EFF08"/>
    <w:rsid w:val="51B385E6"/>
    <w:rsid w:val="51EB22EC"/>
    <w:rsid w:val="51EEC2DC"/>
    <w:rsid w:val="5229E387"/>
    <w:rsid w:val="526EEEC6"/>
    <w:rsid w:val="5285759B"/>
    <w:rsid w:val="52886996"/>
    <w:rsid w:val="531AC88B"/>
    <w:rsid w:val="5381FF95"/>
    <w:rsid w:val="53E24C1C"/>
    <w:rsid w:val="53F2C03F"/>
    <w:rsid w:val="5446494B"/>
    <w:rsid w:val="5450C89A"/>
    <w:rsid w:val="545172CA"/>
    <w:rsid w:val="546B91AA"/>
    <w:rsid w:val="54DF5CC8"/>
    <w:rsid w:val="559D00AE"/>
    <w:rsid w:val="5654586C"/>
    <w:rsid w:val="56A25CE7"/>
    <w:rsid w:val="574EFEFF"/>
    <w:rsid w:val="57DACA81"/>
    <w:rsid w:val="585F3097"/>
    <w:rsid w:val="5872BAFA"/>
    <w:rsid w:val="58BB85E2"/>
    <w:rsid w:val="593B4EA6"/>
    <w:rsid w:val="59544C6E"/>
    <w:rsid w:val="59AE7F82"/>
    <w:rsid w:val="59B25C9B"/>
    <w:rsid w:val="59D5B40D"/>
    <w:rsid w:val="5A10E944"/>
    <w:rsid w:val="5AB47A7E"/>
    <w:rsid w:val="5B0B2EB4"/>
    <w:rsid w:val="5B4A5ED9"/>
    <w:rsid w:val="5B5F8AEB"/>
    <w:rsid w:val="5B62941C"/>
    <w:rsid w:val="5B731400"/>
    <w:rsid w:val="5BB4722D"/>
    <w:rsid w:val="5BF873A6"/>
    <w:rsid w:val="5C38C7EB"/>
    <w:rsid w:val="5C47FFCC"/>
    <w:rsid w:val="5C545006"/>
    <w:rsid w:val="5CA43550"/>
    <w:rsid w:val="5CB287BD"/>
    <w:rsid w:val="5D459A08"/>
    <w:rsid w:val="5D53A810"/>
    <w:rsid w:val="5D62AA8A"/>
    <w:rsid w:val="5D8B427B"/>
    <w:rsid w:val="5D941E05"/>
    <w:rsid w:val="5E5046C6"/>
    <w:rsid w:val="5E71A281"/>
    <w:rsid w:val="5F11C62E"/>
    <w:rsid w:val="5F34C521"/>
    <w:rsid w:val="5F4057E7"/>
    <w:rsid w:val="5F4E4CB1"/>
    <w:rsid w:val="5FD49AFE"/>
    <w:rsid w:val="5FE27FF5"/>
    <w:rsid w:val="5FFDB138"/>
    <w:rsid w:val="6008BA12"/>
    <w:rsid w:val="600D04C6"/>
    <w:rsid w:val="602E3817"/>
    <w:rsid w:val="604A24D8"/>
    <w:rsid w:val="604D52B5"/>
    <w:rsid w:val="6066C0EA"/>
    <w:rsid w:val="609F7807"/>
    <w:rsid w:val="60DB5733"/>
    <w:rsid w:val="6132BF54"/>
    <w:rsid w:val="6196A587"/>
    <w:rsid w:val="6202F2F3"/>
    <w:rsid w:val="6211B4B1"/>
    <w:rsid w:val="62767ADC"/>
    <w:rsid w:val="62AA9891"/>
    <w:rsid w:val="62AD23C9"/>
    <w:rsid w:val="62C2028E"/>
    <w:rsid w:val="6338FC47"/>
    <w:rsid w:val="63737AE7"/>
    <w:rsid w:val="63A1CA37"/>
    <w:rsid w:val="63F5E195"/>
    <w:rsid w:val="64130D3C"/>
    <w:rsid w:val="64590419"/>
    <w:rsid w:val="645DF36B"/>
    <w:rsid w:val="64E4FFF5"/>
    <w:rsid w:val="64E6EF8F"/>
    <w:rsid w:val="65203AC3"/>
    <w:rsid w:val="6568FE04"/>
    <w:rsid w:val="6569E5FA"/>
    <w:rsid w:val="6578EDDB"/>
    <w:rsid w:val="658ED56B"/>
    <w:rsid w:val="66682ABD"/>
    <w:rsid w:val="66A78834"/>
    <w:rsid w:val="66B9935A"/>
    <w:rsid w:val="66CBFE7D"/>
    <w:rsid w:val="66CDB4B5"/>
    <w:rsid w:val="66F7F69F"/>
    <w:rsid w:val="6713AD3D"/>
    <w:rsid w:val="671BCBB6"/>
    <w:rsid w:val="673A7D15"/>
    <w:rsid w:val="674E6E66"/>
    <w:rsid w:val="67B59B00"/>
    <w:rsid w:val="67F9FAA7"/>
    <w:rsid w:val="67FBFB8B"/>
    <w:rsid w:val="68349366"/>
    <w:rsid w:val="6848C4D0"/>
    <w:rsid w:val="687FB01D"/>
    <w:rsid w:val="69187F79"/>
    <w:rsid w:val="69BFA7B5"/>
    <w:rsid w:val="6A26E3DC"/>
    <w:rsid w:val="6A36FAF5"/>
    <w:rsid w:val="6A3AD39B"/>
    <w:rsid w:val="6A3D78DC"/>
    <w:rsid w:val="6AD683FA"/>
    <w:rsid w:val="6AD94381"/>
    <w:rsid w:val="6B1CCF01"/>
    <w:rsid w:val="6B8C9B53"/>
    <w:rsid w:val="6C3E241D"/>
    <w:rsid w:val="6C427C8D"/>
    <w:rsid w:val="6C4E0F0B"/>
    <w:rsid w:val="6DBD6897"/>
    <w:rsid w:val="6DF3087F"/>
    <w:rsid w:val="6E410A68"/>
    <w:rsid w:val="6E472AA5"/>
    <w:rsid w:val="6EA0F9F1"/>
    <w:rsid w:val="6EBCA8E1"/>
    <w:rsid w:val="6F27F335"/>
    <w:rsid w:val="6F825AD8"/>
    <w:rsid w:val="6F8A0167"/>
    <w:rsid w:val="6FB39F38"/>
    <w:rsid w:val="6FD08B0A"/>
    <w:rsid w:val="700A5F50"/>
    <w:rsid w:val="7010BE3C"/>
    <w:rsid w:val="70173B03"/>
    <w:rsid w:val="703214C4"/>
    <w:rsid w:val="7035A41C"/>
    <w:rsid w:val="7041183D"/>
    <w:rsid w:val="70B2D50C"/>
    <w:rsid w:val="70B5B0BD"/>
    <w:rsid w:val="71294866"/>
    <w:rsid w:val="719872AD"/>
    <w:rsid w:val="71A1AD18"/>
    <w:rsid w:val="72294CD1"/>
    <w:rsid w:val="7276AE29"/>
    <w:rsid w:val="7280AE9B"/>
    <w:rsid w:val="728473B5"/>
    <w:rsid w:val="7289C8F4"/>
    <w:rsid w:val="72D8BD91"/>
    <w:rsid w:val="72EDC29C"/>
    <w:rsid w:val="72F55C77"/>
    <w:rsid w:val="72F74B48"/>
    <w:rsid w:val="73721FF4"/>
    <w:rsid w:val="7388A978"/>
    <w:rsid w:val="73B96FFC"/>
    <w:rsid w:val="73C94AB7"/>
    <w:rsid w:val="73F14F1A"/>
    <w:rsid w:val="741FEAE1"/>
    <w:rsid w:val="743E381F"/>
    <w:rsid w:val="753B8CEA"/>
    <w:rsid w:val="7573F47B"/>
    <w:rsid w:val="757EE740"/>
    <w:rsid w:val="761554C4"/>
    <w:rsid w:val="762E7170"/>
    <w:rsid w:val="763851C3"/>
    <w:rsid w:val="7638EC86"/>
    <w:rsid w:val="76EBDE29"/>
    <w:rsid w:val="772C19F9"/>
    <w:rsid w:val="773128D5"/>
    <w:rsid w:val="77321595"/>
    <w:rsid w:val="77361386"/>
    <w:rsid w:val="77363220"/>
    <w:rsid w:val="774F00EC"/>
    <w:rsid w:val="7790F981"/>
    <w:rsid w:val="77EAF5E3"/>
    <w:rsid w:val="77F42182"/>
    <w:rsid w:val="780B41CD"/>
    <w:rsid w:val="78153C57"/>
    <w:rsid w:val="781FE314"/>
    <w:rsid w:val="786C7ABA"/>
    <w:rsid w:val="78AA6CBA"/>
    <w:rsid w:val="78FC3484"/>
    <w:rsid w:val="79019E5D"/>
    <w:rsid w:val="79239A91"/>
    <w:rsid w:val="794A81B8"/>
    <w:rsid w:val="7967DD71"/>
    <w:rsid w:val="799961E2"/>
    <w:rsid w:val="79B42996"/>
    <w:rsid w:val="79B77AAC"/>
    <w:rsid w:val="79C827C9"/>
    <w:rsid w:val="79DBADFA"/>
    <w:rsid w:val="7A75876C"/>
    <w:rsid w:val="7B54BA61"/>
    <w:rsid w:val="7B83C9A9"/>
    <w:rsid w:val="7BE76529"/>
    <w:rsid w:val="7C2EFF99"/>
    <w:rsid w:val="7C4BE15C"/>
    <w:rsid w:val="7C7AC75E"/>
    <w:rsid w:val="7C9EE6B2"/>
    <w:rsid w:val="7CC3C942"/>
    <w:rsid w:val="7DB9FBFF"/>
    <w:rsid w:val="7DDEF8BB"/>
    <w:rsid w:val="7E364A92"/>
    <w:rsid w:val="7E5DEED8"/>
    <w:rsid w:val="7E765B20"/>
    <w:rsid w:val="7E9036F9"/>
    <w:rsid w:val="7E958864"/>
    <w:rsid w:val="7EBE4FDB"/>
    <w:rsid w:val="7F1A4528"/>
    <w:rsid w:val="7F392841"/>
    <w:rsid w:val="7F9AE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B95C8"/>
  <w15:chartTrackingRefBased/>
  <w15:docId w15:val="{C99A31EB-A8BF-492A-9783-A4C2E4284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0F35"/>
    <w:pPr>
      <w:ind w:left="720"/>
      <w:contextualSpacing/>
    </w:pPr>
  </w:style>
  <w:style w:type="table" w:styleId="TableGrid">
    <w:name w:val="Table Grid"/>
    <w:basedOn w:val="TableNormal"/>
    <w:uiPriority w:val="39"/>
    <w:rsid w:val="001C19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74512"/>
    <w:rPr>
      <w:color w:val="0563C1" w:themeColor="hyperlink"/>
      <w:u w:val="single"/>
    </w:rPr>
  </w:style>
  <w:style w:type="character" w:styleId="UnresolvedMention">
    <w:name w:val="Unresolved Mention"/>
    <w:basedOn w:val="DefaultParagraphFont"/>
    <w:uiPriority w:val="99"/>
    <w:semiHidden/>
    <w:unhideWhenUsed/>
    <w:rsid w:val="00F74512"/>
    <w:rPr>
      <w:color w:val="605E5C"/>
      <w:shd w:val="clear" w:color="auto" w:fill="E1DFDD"/>
    </w:rPr>
  </w:style>
  <w:style w:type="numbering" w:customStyle="1" w:styleId="NoList1">
    <w:name w:val="No List1"/>
    <w:next w:val="NoList"/>
    <w:uiPriority w:val="99"/>
    <w:semiHidden/>
    <w:unhideWhenUsed/>
    <w:rsid w:val="005F1CE4"/>
  </w:style>
  <w:style w:type="paragraph" w:customStyle="1" w:styleId="msonormal0">
    <w:name w:val="msonormal"/>
    <w:basedOn w:val="Normal"/>
    <w:rsid w:val="005F1C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claude-response-body">
    <w:name w:val="font-claude-response-body"/>
    <w:basedOn w:val="Normal"/>
    <w:rsid w:val="005F1C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F1CE4"/>
    <w:rPr>
      <w:b/>
      <w:bCs/>
    </w:rPr>
  </w:style>
  <w:style w:type="character" w:styleId="Emphasis">
    <w:name w:val="Emphasis"/>
    <w:basedOn w:val="DefaultParagraphFont"/>
    <w:uiPriority w:val="20"/>
    <w:qFormat/>
    <w:rsid w:val="005F1CE4"/>
    <w:rPr>
      <w:i/>
      <w:iCs/>
    </w:rPr>
  </w:style>
  <w:style w:type="paragraph" w:customStyle="1" w:styleId="whitespace-normal">
    <w:name w:val="whitespace-normal"/>
    <w:basedOn w:val="Normal"/>
    <w:rsid w:val="005F1C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uiPriority w:val="99"/>
    <w:unhideWhenUsed/>
    <w:rsid w:val="71A1AD18"/>
    <w:pPr>
      <w:tabs>
        <w:tab w:val="center" w:pos="4680"/>
        <w:tab w:val="right" w:pos="9360"/>
      </w:tabs>
      <w:spacing w:after="0" w:line="240" w:lineRule="auto"/>
    </w:pPr>
  </w:style>
  <w:style w:type="paragraph" w:styleId="Footer">
    <w:name w:val="footer"/>
    <w:basedOn w:val="Normal"/>
    <w:uiPriority w:val="99"/>
    <w:unhideWhenUsed/>
    <w:rsid w:val="71A1AD18"/>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5356815">
      <w:bodyDiv w:val="1"/>
      <w:marLeft w:val="0"/>
      <w:marRight w:val="0"/>
      <w:marTop w:val="0"/>
      <w:marBottom w:val="0"/>
      <w:divBdr>
        <w:top w:val="none" w:sz="0" w:space="0" w:color="auto"/>
        <w:left w:val="none" w:sz="0" w:space="0" w:color="auto"/>
        <w:bottom w:val="none" w:sz="0" w:space="0" w:color="auto"/>
        <w:right w:val="none" w:sz="0" w:space="0" w:color="auto"/>
      </w:divBdr>
      <w:divsChild>
        <w:div w:id="590312317">
          <w:marLeft w:val="0"/>
          <w:marRight w:val="0"/>
          <w:marTop w:val="0"/>
          <w:marBottom w:val="0"/>
          <w:divBdr>
            <w:top w:val="none" w:sz="0" w:space="0" w:color="auto"/>
            <w:left w:val="none" w:sz="0" w:space="0" w:color="auto"/>
            <w:bottom w:val="none" w:sz="0" w:space="0" w:color="auto"/>
            <w:right w:val="none" w:sz="0" w:space="0" w:color="auto"/>
          </w:divBdr>
        </w:div>
        <w:div w:id="401369585">
          <w:marLeft w:val="0"/>
          <w:marRight w:val="0"/>
          <w:marTop w:val="0"/>
          <w:marBottom w:val="0"/>
          <w:divBdr>
            <w:top w:val="none" w:sz="0" w:space="0" w:color="auto"/>
            <w:left w:val="none" w:sz="0" w:space="0" w:color="auto"/>
            <w:bottom w:val="none" w:sz="0" w:space="0" w:color="auto"/>
            <w:right w:val="none" w:sz="0" w:space="0" w:color="auto"/>
          </w:divBdr>
        </w:div>
        <w:div w:id="446312288">
          <w:marLeft w:val="0"/>
          <w:marRight w:val="0"/>
          <w:marTop w:val="0"/>
          <w:marBottom w:val="0"/>
          <w:divBdr>
            <w:top w:val="none" w:sz="0" w:space="0" w:color="auto"/>
            <w:left w:val="none" w:sz="0" w:space="0" w:color="auto"/>
            <w:bottom w:val="none" w:sz="0" w:space="0" w:color="auto"/>
            <w:right w:val="none" w:sz="0" w:space="0" w:color="auto"/>
          </w:divBdr>
        </w:div>
        <w:div w:id="2127770331">
          <w:marLeft w:val="0"/>
          <w:marRight w:val="0"/>
          <w:marTop w:val="0"/>
          <w:marBottom w:val="0"/>
          <w:divBdr>
            <w:top w:val="none" w:sz="0" w:space="0" w:color="auto"/>
            <w:left w:val="none" w:sz="0" w:space="0" w:color="auto"/>
            <w:bottom w:val="none" w:sz="0" w:space="0" w:color="auto"/>
            <w:right w:val="none" w:sz="0" w:space="0" w:color="auto"/>
          </w:divBdr>
        </w:div>
        <w:div w:id="166406185">
          <w:marLeft w:val="0"/>
          <w:marRight w:val="0"/>
          <w:marTop w:val="0"/>
          <w:marBottom w:val="0"/>
          <w:divBdr>
            <w:top w:val="none" w:sz="0" w:space="0" w:color="auto"/>
            <w:left w:val="none" w:sz="0" w:space="0" w:color="auto"/>
            <w:bottom w:val="none" w:sz="0" w:space="0" w:color="auto"/>
            <w:right w:val="none" w:sz="0" w:space="0" w:color="auto"/>
          </w:divBdr>
        </w:div>
        <w:div w:id="2135756069">
          <w:marLeft w:val="0"/>
          <w:marRight w:val="0"/>
          <w:marTop w:val="0"/>
          <w:marBottom w:val="0"/>
          <w:divBdr>
            <w:top w:val="none" w:sz="0" w:space="0" w:color="auto"/>
            <w:left w:val="none" w:sz="0" w:space="0" w:color="auto"/>
            <w:bottom w:val="none" w:sz="0" w:space="0" w:color="auto"/>
            <w:right w:val="none" w:sz="0" w:space="0" w:color="auto"/>
          </w:divBdr>
        </w:div>
        <w:div w:id="1067992454">
          <w:marLeft w:val="0"/>
          <w:marRight w:val="0"/>
          <w:marTop w:val="0"/>
          <w:marBottom w:val="0"/>
          <w:divBdr>
            <w:top w:val="none" w:sz="0" w:space="0" w:color="auto"/>
            <w:left w:val="none" w:sz="0" w:space="0" w:color="auto"/>
            <w:bottom w:val="none" w:sz="0" w:space="0" w:color="auto"/>
            <w:right w:val="none" w:sz="0" w:space="0" w:color="auto"/>
          </w:divBdr>
        </w:div>
        <w:div w:id="1019966902">
          <w:marLeft w:val="0"/>
          <w:marRight w:val="0"/>
          <w:marTop w:val="0"/>
          <w:marBottom w:val="0"/>
          <w:divBdr>
            <w:top w:val="none" w:sz="0" w:space="0" w:color="auto"/>
            <w:left w:val="none" w:sz="0" w:space="0" w:color="auto"/>
            <w:bottom w:val="none" w:sz="0" w:space="0" w:color="auto"/>
            <w:right w:val="none" w:sz="0" w:space="0" w:color="auto"/>
          </w:divBdr>
        </w:div>
        <w:div w:id="713848704">
          <w:marLeft w:val="0"/>
          <w:marRight w:val="0"/>
          <w:marTop w:val="0"/>
          <w:marBottom w:val="0"/>
          <w:divBdr>
            <w:top w:val="none" w:sz="0" w:space="0" w:color="auto"/>
            <w:left w:val="none" w:sz="0" w:space="0" w:color="auto"/>
            <w:bottom w:val="none" w:sz="0" w:space="0" w:color="auto"/>
            <w:right w:val="none" w:sz="0" w:space="0" w:color="auto"/>
          </w:divBdr>
        </w:div>
        <w:div w:id="1102653024">
          <w:marLeft w:val="0"/>
          <w:marRight w:val="0"/>
          <w:marTop w:val="0"/>
          <w:marBottom w:val="0"/>
          <w:divBdr>
            <w:top w:val="none" w:sz="0" w:space="0" w:color="auto"/>
            <w:left w:val="none" w:sz="0" w:space="0" w:color="auto"/>
            <w:bottom w:val="none" w:sz="0" w:space="0" w:color="auto"/>
            <w:right w:val="none" w:sz="0" w:space="0" w:color="auto"/>
          </w:divBdr>
        </w:div>
        <w:div w:id="247690599">
          <w:marLeft w:val="0"/>
          <w:marRight w:val="0"/>
          <w:marTop w:val="0"/>
          <w:marBottom w:val="0"/>
          <w:divBdr>
            <w:top w:val="none" w:sz="0" w:space="0" w:color="auto"/>
            <w:left w:val="none" w:sz="0" w:space="0" w:color="auto"/>
            <w:bottom w:val="none" w:sz="0" w:space="0" w:color="auto"/>
            <w:right w:val="none" w:sz="0" w:space="0" w:color="auto"/>
          </w:divBdr>
        </w:div>
        <w:div w:id="707484827">
          <w:marLeft w:val="0"/>
          <w:marRight w:val="0"/>
          <w:marTop w:val="0"/>
          <w:marBottom w:val="0"/>
          <w:divBdr>
            <w:top w:val="none" w:sz="0" w:space="0" w:color="auto"/>
            <w:left w:val="none" w:sz="0" w:space="0" w:color="auto"/>
            <w:bottom w:val="none" w:sz="0" w:space="0" w:color="auto"/>
            <w:right w:val="none" w:sz="0" w:space="0" w:color="auto"/>
          </w:divBdr>
        </w:div>
        <w:div w:id="726151727">
          <w:marLeft w:val="0"/>
          <w:marRight w:val="0"/>
          <w:marTop w:val="0"/>
          <w:marBottom w:val="0"/>
          <w:divBdr>
            <w:top w:val="none" w:sz="0" w:space="0" w:color="auto"/>
            <w:left w:val="none" w:sz="0" w:space="0" w:color="auto"/>
            <w:bottom w:val="none" w:sz="0" w:space="0" w:color="auto"/>
            <w:right w:val="none" w:sz="0" w:space="0" w:color="auto"/>
          </w:divBdr>
        </w:div>
        <w:div w:id="1691879025">
          <w:marLeft w:val="0"/>
          <w:marRight w:val="0"/>
          <w:marTop w:val="0"/>
          <w:marBottom w:val="0"/>
          <w:divBdr>
            <w:top w:val="none" w:sz="0" w:space="0" w:color="auto"/>
            <w:left w:val="none" w:sz="0" w:space="0" w:color="auto"/>
            <w:bottom w:val="none" w:sz="0" w:space="0" w:color="auto"/>
            <w:right w:val="none" w:sz="0" w:space="0" w:color="auto"/>
          </w:divBdr>
        </w:div>
        <w:div w:id="1461068516">
          <w:marLeft w:val="0"/>
          <w:marRight w:val="0"/>
          <w:marTop w:val="0"/>
          <w:marBottom w:val="0"/>
          <w:divBdr>
            <w:top w:val="none" w:sz="0" w:space="0" w:color="auto"/>
            <w:left w:val="none" w:sz="0" w:space="0" w:color="auto"/>
            <w:bottom w:val="none" w:sz="0" w:space="0" w:color="auto"/>
            <w:right w:val="none" w:sz="0" w:space="0" w:color="auto"/>
          </w:divBdr>
        </w:div>
        <w:div w:id="902252233">
          <w:marLeft w:val="0"/>
          <w:marRight w:val="0"/>
          <w:marTop w:val="0"/>
          <w:marBottom w:val="0"/>
          <w:divBdr>
            <w:top w:val="none" w:sz="0" w:space="0" w:color="auto"/>
            <w:left w:val="none" w:sz="0" w:space="0" w:color="auto"/>
            <w:bottom w:val="none" w:sz="0" w:space="0" w:color="auto"/>
            <w:right w:val="none" w:sz="0" w:space="0" w:color="auto"/>
          </w:divBdr>
        </w:div>
        <w:div w:id="1719743562">
          <w:marLeft w:val="0"/>
          <w:marRight w:val="0"/>
          <w:marTop w:val="0"/>
          <w:marBottom w:val="0"/>
          <w:divBdr>
            <w:top w:val="none" w:sz="0" w:space="0" w:color="auto"/>
            <w:left w:val="none" w:sz="0" w:space="0" w:color="auto"/>
            <w:bottom w:val="none" w:sz="0" w:space="0" w:color="auto"/>
            <w:right w:val="none" w:sz="0" w:space="0" w:color="auto"/>
          </w:divBdr>
        </w:div>
        <w:div w:id="951088830">
          <w:marLeft w:val="0"/>
          <w:marRight w:val="0"/>
          <w:marTop w:val="0"/>
          <w:marBottom w:val="0"/>
          <w:divBdr>
            <w:top w:val="none" w:sz="0" w:space="0" w:color="auto"/>
            <w:left w:val="none" w:sz="0" w:space="0" w:color="auto"/>
            <w:bottom w:val="none" w:sz="0" w:space="0" w:color="auto"/>
            <w:right w:val="none" w:sz="0" w:space="0" w:color="auto"/>
          </w:divBdr>
        </w:div>
        <w:div w:id="952438975">
          <w:marLeft w:val="0"/>
          <w:marRight w:val="0"/>
          <w:marTop w:val="0"/>
          <w:marBottom w:val="0"/>
          <w:divBdr>
            <w:top w:val="none" w:sz="0" w:space="0" w:color="auto"/>
            <w:left w:val="none" w:sz="0" w:space="0" w:color="auto"/>
            <w:bottom w:val="none" w:sz="0" w:space="0" w:color="auto"/>
            <w:right w:val="none" w:sz="0" w:space="0" w:color="auto"/>
          </w:divBdr>
        </w:div>
        <w:div w:id="342973728">
          <w:marLeft w:val="0"/>
          <w:marRight w:val="0"/>
          <w:marTop w:val="0"/>
          <w:marBottom w:val="0"/>
          <w:divBdr>
            <w:top w:val="none" w:sz="0" w:space="0" w:color="auto"/>
            <w:left w:val="none" w:sz="0" w:space="0" w:color="auto"/>
            <w:bottom w:val="none" w:sz="0" w:space="0" w:color="auto"/>
            <w:right w:val="none" w:sz="0" w:space="0" w:color="auto"/>
          </w:divBdr>
        </w:div>
        <w:div w:id="1284381920">
          <w:marLeft w:val="0"/>
          <w:marRight w:val="0"/>
          <w:marTop w:val="0"/>
          <w:marBottom w:val="0"/>
          <w:divBdr>
            <w:top w:val="none" w:sz="0" w:space="0" w:color="auto"/>
            <w:left w:val="none" w:sz="0" w:space="0" w:color="auto"/>
            <w:bottom w:val="none" w:sz="0" w:space="0" w:color="auto"/>
            <w:right w:val="none" w:sz="0" w:space="0" w:color="auto"/>
          </w:divBdr>
        </w:div>
        <w:div w:id="1096168188">
          <w:marLeft w:val="0"/>
          <w:marRight w:val="0"/>
          <w:marTop w:val="0"/>
          <w:marBottom w:val="0"/>
          <w:divBdr>
            <w:top w:val="none" w:sz="0" w:space="0" w:color="auto"/>
            <w:left w:val="none" w:sz="0" w:space="0" w:color="auto"/>
            <w:bottom w:val="none" w:sz="0" w:space="0" w:color="auto"/>
            <w:right w:val="none" w:sz="0" w:space="0" w:color="auto"/>
          </w:divBdr>
        </w:div>
        <w:div w:id="7650808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43</Pages>
  <Words>14194</Words>
  <Characters>80907</Characters>
  <Application>Microsoft Office Word</Application>
  <DocSecurity>0</DocSecurity>
  <Lines>674</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User</dc:creator>
  <cp:keywords/>
  <dc:description/>
  <cp:lastModifiedBy>Griffiths, Thomas</cp:lastModifiedBy>
  <cp:revision>2</cp:revision>
  <dcterms:created xsi:type="dcterms:W3CDTF">2026-06-26T16:38:00Z</dcterms:created>
  <dcterms:modified xsi:type="dcterms:W3CDTF">2026-06-26T16:38:00Z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2026-06-26T16:38:57Z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f55b3af3-f677-43ac-9214-85e07031a1e0</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