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5553884" w14:textId="31EE4B14" w:rsidR="00273A85" w:rsidRDefault="00273A85" w:rsidP="0060383A">
      <w:pPr>
        <w:rPr>
          <w:rFonts w:ascii="Aptos" w:eastAsia="DengXian" w:hAnsi="Aptos" w:cs="Times New Roman"/>
          <w:b/>
          <w:bCs/>
          <w:kern w:val="3"/>
          <w:sz w:val="28"/>
          <w:szCs w:val="28"/>
          <w14:ligatures w14:val="none"/>
        </w:rPr>
      </w:pPr>
      <w:r>
        <w:rPr>
          <w:noProof/>
        </w:rPr>
        <w:drawing>
          <wp:anchor distT="0" distB="0" distL="114300" distR="114300" simplePos="0" relativeHeight="251659264" behindDoc="0" locked="0" layoutInCell="1" allowOverlap="1" wp14:anchorId="606FC4B2" wp14:editId="09039F46">
            <wp:simplePos x="0" y="0"/>
            <wp:positionH relativeFrom="column">
              <wp:posOffset>-703580</wp:posOffset>
            </wp:positionH>
            <wp:positionV relativeFrom="paragraph">
              <wp:posOffset>0</wp:posOffset>
            </wp:positionV>
            <wp:extent cx="4888230" cy="2178685"/>
            <wp:effectExtent l="0" t="0" r="1270" b="5715"/>
            <wp:wrapTopAndBottom/>
            <wp:docPr id="1814445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445019" name=""/>
                    <pic:cNvPicPr/>
                  </pic:nvPicPr>
                  <pic:blipFill>
                    <a:blip r:embed="rId4"/>
                    <a:stretch>
                      <a:fillRect/>
                    </a:stretch>
                  </pic:blipFill>
                  <pic:spPr>
                    <a:xfrm>
                      <a:off x="0" y="0"/>
                      <a:ext cx="4888230" cy="2178685"/>
                    </a:xfrm>
                    <a:prstGeom prst="rect">
                      <a:avLst/>
                    </a:prstGeom>
                  </pic:spPr>
                </pic:pic>
              </a:graphicData>
            </a:graphic>
            <wp14:sizeRelH relativeFrom="margin">
              <wp14:pctWidth>0</wp14:pctWidth>
            </wp14:sizeRelH>
            <wp14:sizeRelV relativeFrom="margin">
              <wp14:pctHeight>0</wp14:pctHeight>
            </wp14:sizeRelV>
          </wp:anchor>
        </w:drawing>
      </w:r>
    </w:p>
    <w:p w14:paraId="714C257C" w14:textId="77777777" w:rsidR="00273A85" w:rsidRDefault="00273A85" w:rsidP="0060383A">
      <w:pPr>
        <w:rPr>
          <w:rFonts w:ascii="Aptos" w:eastAsia="DengXian" w:hAnsi="Aptos" w:cs="Times New Roman"/>
          <w:b/>
          <w:bCs/>
          <w:kern w:val="3"/>
          <w:sz w:val="28"/>
          <w:szCs w:val="28"/>
          <w14:ligatures w14:val="none"/>
        </w:rPr>
      </w:pPr>
    </w:p>
    <w:p w14:paraId="2605A39D" w14:textId="77777777" w:rsidR="00CE374D" w:rsidRDefault="00CE374D" w:rsidP="0060383A">
      <w:pPr>
        <w:rPr>
          <w:rFonts w:ascii="Aptos" w:eastAsia="DengXian" w:hAnsi="Aptos" w:cs="Times New Roman"/>
          <w:b/>
          <w:bCs/>
          <w:kern w:val="3"/>
          <w:sz w:val="28"/>
          <w:szCs w:val="28"/>
          <w14:ligatures w14:val="none"/>
        </w:rPr>
      </w:pPr>
    </w:p>
    <w:p w14:paraId="7C1ED86D" w14:textId="77777777" w:rsidR="00CE374D" w:rsidRDefault="00CE374D" w:rsidP="0060383A">
      <w:pPr>
        <w:rPr>
          <w:rFonts w:ascii="Aptos" w:eastAsia="DengXian" w:hAnsi="Aptos" w:cs="Times New Roman"/>
          <w:b/>
          <w:bCs/>
          <w:kern w:val="3"/>
          <w:sz w:val="28"/>
          <w:szCs w:val="28"/>
          <w14:ligatures w14:val="none"/>
        </w:rPr>
      </w:pPr>
    </w:p>
    <w:p w14:paraId="309149B0" w14:textId="77777777" w:rsidR="00CE374D" w:rsidRDefault="00CE374D" w:rsidP="0060383A">
      <w:pPr>
        <w:rPr>
          <w:rFonts w:ascii="Aptos" w:eastAsia="DengXian" w:hAnsi="Aptos" w:cs="Times New Roman"/>
          <w:b/>
          <w:bCs/>
          <w:kern w:val="3"/>
          <w:sz w:val="28"/>
          <w:szCs w:val="28"/>
          <w14:ligatures w14:val="none"/>
        </w:rPr>
      </w:pPr>
    </w:p>
    <w:p w14:paraId="220DB789" w14:textId="71660148" w:rsidR="00391376" w:rsidRPr="00DE1992" w:rsidRDefault="00391376" w:rsidP="0060383A">
      <w:pPr>
        <w:rPr>
          <w:rFonts w:ascii="Aptos" w:eastAsia="DengXian" w:hAnsi="Aptos" w:cs="Times New Roman"/>
          <w:kern w:val="3"/>
          <w:sz w:val="28"/>
          <w:szCs w:val="28"/>
          <w14:ligatures w14:val="none"/>
        </w:rPr>
      </w:pPr>
      <w:r w:rsidRPr="00DE1992">
        <w:rPr>
          <w:rFonts w:ascii="Aptos" w:eastAsia="DengXian" w:hAnsi="Aptos" w:cs="Times New Roman"/>
          <w:b/>
          <w:bCs/>
          <w:kern w:val="3"/>
          <w:sz w:val="28"/>
          <w:szCs w:val="28"/>
          <w14:ligatures w14:val="none"/>
        </w:rPr>
        <w:t xml:space="preserve">Student name: </w:t>
      </w:r>
      <w:proofErr w:type="spellStart"/>
      <w:r w:rsidRPr="00DE1992">
        <w:rPr>
          <w:rFonts w:ascii="Aptos" w:eastAsia="DengXian" w:hAnsi="Aptos" w:cs="Times New Roman"/>
          <w:kern w:val="3"/>
          <w:sz w:val="28"/>
          <w:szCs w:val="28"/>
          <w14:ligatures w14:val="none"/>
        </w:rPr>
        <w:t>Senica</w:t>
      </w:r>
      <w:proofErr w:type="spellEnd"/>
      <w:r w:rsidRPr="00DE1992">
        <w:rPr>
          <w:rFonts w:ascii="Aptos" w:eastAsia="DengXian" w:hAnsi="Aptos" w:cs="Times New Roman"/>
          <w:kern w:val="3"/>
          <w:sz w:val="28"/>
          <w:szCs w:val="28"/>
          <w14:ligatures w14:val="none"/>
        </w:rPr>
        <w:t xml:space="preserve"> Camara </w:t>
      </w:r>
    </w:p>
    <w:p w14:paraId="0346D592" w14:textId="77777777" w:rsidR="00391376" w:rsidRPr="00DE1992" w:rsidRDefault="00391376" w:rsidP="0060383A">
      <w:pPr>
        <w:suppressAutoHyphens/>
        <w:autoSpaceDN w:val="0"/>
        <w:spacing w:line="276" w:lineRule="auto"/>
        <w:rPr>
          <w:rFonts w:ascii="Aptos" w:eastAsia="DengXian" w:hAnsi="Aptos" w:cs="Times New Roman"/>
          <w:kern w:val="3"/>
          <w:sz w:val="28"/>
          <w:szCs w:val="28"/>
          <w14:ligatures w14:val="none"/>
        </w:rPr>
      </w:pPr>
      <w:r w:rsidRPr="00DE1992">
        <w:rPr>
          <w:rFonts w:ascii="Aptos" w:eastAsia="DengXian" w:hAnsi="Aptos" w:cs="Times New Roman"/>
          <w:b/>
          <w:bCs/>
          <w:kern w:val="3"/>
          <w:sz w:val="28"/>
          <w:szCs w:val="28"/>
          <w14:ligatures w14:val="none"/>
        </w:rPr>
        <w:t xml:space="preserve">Student ID: </w:t>
      </w:r>
      <w:r w:rsidRPr="00DE1992">
        <w:rPr>
          <w:rFonts w:ascii="Aptos" w:eastAsia="DengXian" w:hAnsi="Aptos" w:cs="Times New Roman"/>
          <w:kern w:val="3"/>
          <w:sz w:val="28"/>
          <w:szCs w:val="28"/>
          <w14:ligatures w14:val="none"/>
        </w:rPr>
        <w:t>2417502</w:t>
      </w:r>
    </w:p>
    <w:p w14:paraId="4F7BEA80" w14:textId="77777777" w:rsidR="00391376" w:rsidRPr="00DE1992" w:rsidRDefault="00391376" w:rsidP="0060383A">
      <w:pPr>
        <w:suppressAutoHyphens/>
        <w:autoSpaceDN w:val="0"/>
        <w:spacing w:line="276" w:lineRule="auto"/>
        <w:rPr>
          <w:rFonts w:ascii="Aptos" w:eastAsia="DengXian" w:hAnsi="Aptos" w:cs="Times New Roman"/>
          <w:kern w:val="3"/>
          <w:sz w:val="28"/>
          <w:szCs w:val="28"/>
          <w14:ligatures w14:val="none"/>
        </w:rPr>
      </w:pPr>
      <w:r w:rsidRPr="00DE1992">
        <w:rPr>
          <w:rFonts w:ascii="Aptos" w:eastAsia="DengXian" w:hAnsi="Aptos" w:cs="Times New Roman"/>
          <w:b/>
          <w:bCs/>
          <w:kern w:val="3"/>
          <w:sz w:val="28"/>
          <w:szCs w:val="28"/>
          <w14:ligatures w14:val="none"/>
        </w:rPr>
        <w:t>Module name: Protecting and Supporting Families in Health and Care</w:t>
      </w:r>
    </w:p>
    <w:p w14:paraId="5FE00DA3" w14:textId="77777777" w:rsidR="00391376" w:rsidRPr="00DE1992" w:rsidRDefault="00391376" w:rsidP="0060383A">
      <w:pPr>
        <w:suppressAutoHyphens/>
        <w:autoSpaceDN w:val="0"/>
        <w:spacing w:line="276" w:lineRule="auto"/>
        <w:rPr>
          <w:rFonts w:ascii="Aptos" w:eastAsia="DengXian" w:hAnsi="Aptos" w:cs="Times New Roman"/>
          <w:kern w:val="3"/>
          <w:sz w:val="28"/>
          <w:szCs w:val="28"/>
          <w14:ligatures w14:val="none"/>
        </w:rPr>
      </w:pPr>
      <w:r w:rsidRPr="00DE1992">
        <w:rPr>
          <w:rFonts w:ascii="Aptos" w:eastAsia="DengXian" w:hAnsi="Aptos" w:cs="Times New Roman"/>
          <w:b/>
          <w:bCs/>
          <w:kern w:val="3"/>
          <w:sz w:val="28"/>
          <w:szCs w:val="28"/>
          <w14:ligatures w14:val="none"/>
        </w:rPr>
        <w:t>Module code: BMHP5021</w:t>
      </w:r>
    </w:p>
    <w:p w14:paraId="31780E97" w14:textId="77777777" w:rsidR="00391376" w:rsidRPr="00DE1992" w:rsidRDefault="00391376" w:rsidP="0060383A">
      <w:pPr>
        <w:suppressAutoHyphens/>
        <w:autoSpaceDN w:val="0"/>
        <w:spacing w:line="276" w:lineRule="auto"/>
        <w:rPr>
          <w:rFonts w:ascii="Aptos" w:eastAsia="DengXian" w:hAnsi="Aptos" w:cs="Times New Roman"/>
          <w:b/>
          <w:bCs/>
          <w:kern w:val="3"/>
          <w:sz w:val="28"/>
          <w:szCs w:val="28"/>
          <w14:ligatures w14:val="none"/>
        </w:rPr>
      </w:pPr>
    </w:p>
    <w:p w14:paraId="65D491AB" w14:textId="77777777" w:rsidR="00391376" w:rsidRPr="00854531" w:rsidRDefault="00391376" w:rsidP="0060383A">
      <w:pPr>
        <w:suppressAutoHyphens/>
        <w:autoSpaceDN w:val="0"/>
        <w:spacing w:line="276" w:lineRule="auto"/>
        <w:rPr>
          <w:rFonts w:ascii="Aptos" w:eastAsia="DengXian" w:hAnsi="Aptos" w:cs="Times New Roman"/>
          <w:b/>
          <w:bCs/>
          <w:kern w:val="3"/>
          <w:sz w:val="28"/>
          <w:szCs w:val="28"/>
          <w14:ligatures w14:val="none"/>
        </w:rPr>
      </w:pPr>
      <w:r w:rsidRPr="00DE1992">
        <w:rPr>
          <w:rFonts w:ascii="Aptos" w:eastAsia="DengXian" w:hAnsi="Aptos" w:cs="Times New Roman"/>
          <w:b/>
          <w:bCs/>
          <w:kern w:val="3"/>
          <w:sz w:val="28"/>
          <w:szCs w:val="28"/>
          <w14:ligatures w14:val="none"/>
        </w:rPr>
        <w:t>Lecture name</w:t>
      </w:r>
      <w:r>
        <w:rPr>
          <w:rFonts w:ascii="Aptos" w:eastAsia="DengXian" w:hAnsi="Aptos" w:cs="Times New Roman"/>
          <w:b/>
          <w:bCs/>
          <w:kern w:val="3"/>
          <w:sz w:val="28"/>
          <w:szCs w:val="28"/>
          <w14:ligatures w14:val="none"/>
        </w:rPr>
        <w:t>:</w:t>
      </w:r>
      <w:r w:rsidRPr="00DE1992">
        <w:rPr>
          <w:rFonts w:ascii="Aptos" w:eastAsia="DengXian" w:hAnsi="Aptos" w:cs="Times New Roman"/>
          <w:b/>
          <w:bCs/>
          <w:kern w:val="3"/>
          <w:sz w:val="28"/>
          <w:szCs w:val="28"/>
          <w14:ligatures w14:val="none"/>
        </w:rPr>
        <w:t xml:space="preserve"> </w:t>
      </w:r>
      <w:proofErr w:type="spellStart"/>
      <w:r w:rsidRPr="00DE1992">
        <w:rPr>
          <w:rFonts w:ascii="Aptos" w:eastAsia="DengXian" w:hAnsi="Aptos" w:cs="Times New Roman"/>
          <w:b/>
          <w:bCs/>
          <w:kern w:val="3"/>
          <w:sz w:val="28"/>
          <w:szCs w:val="28"/>
          <w14:ligatures w14:val="none"/>
        </w:rPr>
        <w:t>Shalla</w:t>
      </w:r>
      <w:proofErr w:type="spellEnd"/>
      <w:r w:rsidRPr="00DE1992">
        <w:rPr>
          <w:rFonts w:ascii="Aptos" w:eastAsia="DengXian" w:hAnsi="Aptos" w:cs="Times New Roman"/>
          <w:b/>
          <w:bCs/>
          <w:kern w:val="3"/>
          <w:sz w:val="28"/>
          <w:szCs w:val="28"/>
          <w14:ligatures w14:val="none"/>
        </w:rPr>
        <w:t xml:space="preserve"> Hussain</w:t>
      </w:r>
    </w:p>
    <w:p w14:paraId="26E52CA8" w14:textId="77777777" w:rsidR="00391376" w:rsidRPr="00DE1992" w:rsidRDefault="00391376" w:rsidP="0060383A">
      <w:pPr>
        <w:suppressAutoHyphens/>
        <w:autoSpaceDN w:val="0"/>
        <w:spacing w:line="276" w:lineRule="auto"/>
        <w:rPr>
          <w:rFonts w:ascii="Aptos" w:eastAsia="DengXian" w:hAnsi="Aptos" w:cs="Times New Roman"/>
          <w:b/>
          <w:bCs/>
          <w:kern w:val="3"/>
          <w:sz w:val="28"/>
          <w:szCs w:val="28"/>
          <w14:ligatures w14:val="none"/>
        </w:rPr>
      </w:pPr>
    </w:p>
    <w:p w14:paraId="40EEF336" w14:textId="77777777" w:rsidR="00391376" w:rsidRDefault="00391376" w:rsidP="0060383A">
      <w:pPr>
        <w:pStyle w:val="p1"/>
        <w:rPr>
          <w:rFonts w:ascii="Aptos" w:eastAsia="DengXian" w:hAnsi="Aptos"/>
          <w:b/>
          <w:bCs/>
          <w:kern w:val="3"/>
          <w:sz w:val="28"/>
          <w:szCs w:val="28"/>
        </w:rPr>
      </w:pPr>
      <w:r w:rsidRPr="00DE1992">
        <w:rPr>
          <w:rFonts w:ascii="Aptos" w:eastAsia="DengXian" w:hAnsi="Aptos"/>
          <w:b/>
          <w:bCs/>
          <w:kern w:val="3"/>
          <w:sz w:val="28"/>
          <w:szCs w:val="28"/>
        </w:rPr>
        <w:t xml:space="preserve">Assessment: Component </w:t>
      </w:r>
      <w:r>
        <w:rPr>
          <w:rFonts w:ascii="Aptos" w:eastAsia="DengXian" w:hAnsi="Aptos"/>
          <w:b/>
          <w:bCs/>
          <w:kern w:val="3"/>
          <w:sz w:val="28"/>
          <w:szCs w:val="28"/>
        </w:rPr>
        <w:t>2: Written Report</w:t>
      </w:r>
    </w:p>
    <w:p w14:paraId="768E5C48" w14:textId="77777777" w:rsidR="00E618DB" w:rsidRDefault="00E618DB" w:rsidP="0060383A">
      <w:pPr>
        <w:pStyle w:val="p1"/>
        <w:rPr>
          <w:rFonts w:ascii="Aptos" w:eastAsia="DengXian" w:hAnsi="Aptos"/>
          <w:b/>
          <w:bCs/>
          <w:kern w:val="3"/>
          <w:sz w:val="28"/>
          <w:szCs w:val="28"/>
        </w:rPr>
      </w:pPr>
    </w:p>
    <w:p w14:paraId="4EF17338" w14:textId="77777777" w:rsidR="00E618DB" w:rsidRDefault="00E618DB" w:rsidP="0060383A">
      <w:pPr>
        <w:pStyle w:val="p1"/>
        <w:rPr>
          <w:rFonts w:ascii="Aptos" w:eastAsia="DengXian" w:hAnsi="Aptos"/>
          <w:b/>
          <w:bCs/>
          <w:kern w:val="3"/>
          <w:sz w:val="28"/>
          <w:szCs w:val="28"/>
        </w:rPr>
      </w:pPr>
    </w:p>
    <w:p w14:paraId="24C9FE9E" w14:textId="77777777" w:rsidR="00E618DB" w:rsidRDefault="00E618DB" w:rsidP="0060383A">
      <w:pPr>
        <w:pStyle w:val="p1"/>
        <w:rPr>
          <w:rFonts w:ascii="Aptos" w:eastAsia="DengXian" w:hAnsi="Aptos"/>
          <w:b/>
          <w:bCs/>
          <w:kern w:val="3"/>
          <w:sz w:val="28"/>
          <w:szCs w:val="28"/>
        </w:rPr>
      </w:pPr>
    </w:p>
    <w:p w14:paraId="652DB53D" w14:textId="77777777" w:rsidR="00E618DB" w:rsidRDefault="00E618DB" w:rsidP="0060383A">
      <w:pPr>
        <w:pStyle w:val="p1"/>
        <w:rPr>
          <w:rFonts w:ascii="Aptos" w:eastAsia="DengXian" w:hAnsi="Aptos"/>
          <w:b/>
          <w:bCs/>
          <w:kern w:val="3"/>
          <w:sz w:val="28"/>
          <w:szCs w:val="28"/>
        </w:rPr>
      </w:pPr>
    </w:p>
    <w:p w14:paraId="7566B970" w14:textId="77777777" w:rsidR="00E618DB" w:rsidRDefault="00E618DB" w:rsidP="0060383A">
      <w:pPr>
        <w:pStyle w:val="p1"/>
        <w:rPr>
          <w:rFonts w:ascii="Aptos" w:eastAsia="DengXian" w:hAnsi="Aptos"/>
          <w:b/>
          <w:bCs/>
          <w:kern w:val="3"/>
          <w:sz w:val="28"/>
          <w:szCs w:val="28"/>
        </w:rPr>
      </w:pPr>
    </w:p>
    <w:p w14:paraId="5027856E" w14:textId="77777777" w:rsidR="00BC1826" w:rsidRDefault="00BC1826" w:rsidP="0060383A">
      <w:pPr>
        <w:pStyle w:val="p1"/>
        <w:rPr>
          <w:rFonts w:ascii="Aptos" w:eastAsia="DengXian" w:hAnsi="Aptos"/>
          <w:b/>
          <w:bCs/>
          <w:kern w:val="3"/>
          <w:sz w:val="28"/>
          <w:szCs w:val="28"/>
        </w:rPr>
      </w:pPr>
    </w:p>
    <w:p w14:paraId="25406064" w14:textId="77777777" w:rsidR="00BC1826" w:rsidRDefault="00BC1826" w:rsidP="0060383A">
      <w:pPr>
        <w:pStyle w:val="p1"/>
        <w:rPr>
          <w:rFonts w:ascii="Aptos" w:eastAsia="DengXian" w:hAnsi="Aptos"/>
          <w:b/>
          <w:bCs/>
          <w:kern w:val="3"/>
          <w:sz w:val="28"/>
          <w:szCs w:val="28"/>
        </w:rPr>
      </w:pPr>
    </w:p>
    <w:p w14:paraId="7937A5A1" w14:textId="77777777" w:rsidR="00BC1826" w:rsidRDefault="00BC1826" w:rsidP="0060383A">
      <w:pPr>
        <w:pStyle w:val="p1"/>
        <w:rPr>
          <w:rFonts w:ascii="Aptos" w:eastAsia="DengXian" w:hAnsi="Aptos"/>
          <w:b/>
          <w:bCs/>
          <w:kern w:val="3"/>
          <w:sz w:val="28"/>
          <w:szCs w:val="28"/>
        </w:rPr>
      </w:pPr>
    </w:p>
    <w:p w14:paraId="6AB6738A" w14:textId="77777777" w:rsidR="00E618DB" w:rsidRDefault="00E618DB" w:rsidP="0060383A">
      <w:pPr>
        <w:pStyle w:val="p1"/>
        <w:rPr>
          <w:rFonts w:ascii="Aptos" w:eastAsia="DengXian" w:hAnsi="Aptos"/>
          <w:b/>
          <w:bCs/>
          <w:kern w:val="3"/>
          <w:sz w:val="28"/>
          <w:szCs w:val="28"/>
        </w:rPr>
      </w:pPr>
    </w:p>
    <w:p w14:paraId="3E00F082" w14:textId="77777777" w:rsidR="00E618DB" w:rsidRDefault="00E618DB" w:rsidP="0060383A">
      <w:pPr>
        <w:pStyle w:val="p1"/>
        <w:rPr>
          <w:rFonts w:ascii="Aptos" w:eastAsia="DengXian" w:hAnsi="Aptos"/>
          <w:b/>
          <w:bCs/>
          <w:kern w:val="3"/>
          <w:sz w:val="28"/>
          <w:szCs w:val="28"/>
        </w:rPr>
      </w:pPr>
    </w:p>
    <w:p w14:paraId="43ED39D5" w14:textId="77777777" w:rsidR="00BC1826" w:rsidRPr="00BC1826" w:rsidRDefault="00BC1826" w:rsidP="00BC182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BC1826">
        <w:rPr>
          <w:rFonts w:ascii="Times New Roman" w:eastAsia="Times New Roman" w:hAnsi="Times New Roman" w:cs="Times New Roman"/>
          <w:b/>
          <w:bCs/>
          <w:kern w:val="36"/>
          <w:sz w:val="48"/>
          <w:szCs w:val="48"/>
          <w14:ligatures w14:val="none"/>
        </w:rPr>
        <w:lastRenderedPageBreak/>
        <w:t>Early Help and Multi-Agency Working: Evaluation of Local Authority Websites</w:t>
      </w:r>
    </w:p>
    <w:p w14:paraId="7ED071D3" w14:textId="77777777" w:rsidR="00BC1826" w:rsidRPr="00BC1826" w:rsidRDefault="00BC18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C1826">
        <w:rPr>
          <w:rFonts w:ascii="Times New Roman" w:eastAsia="Times New Roman" w:hAnsi="Times New Roman" w:cs="Times New Roman"/>
          <w:b/>
          <w:bCs/>
          <w:kern w:val="0"/>
          <w:sz w:val="36"/>
          <w:szCs w:val="36"/>
          <w14:ligatures w14:val="none"/>
        </w:rPr>
        <w:t>1. Introduction</w:t>
      </w:r>
    </w:p>
    <w:p w14:paraId="1DAB9681"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Early Help is an important part of supporting children, young people and families before difficulties become more serious. Families can experience challenges involving housing, finances, education, parenting, health, relationships or emotional wellbeing. When concerns are recognised early, appropriate support can be provided before difficulties escalate and require more intensive statutory intervention. The Early Help System Guide describes Early Help as a system involving services, processes and interactions that aim to support children, young people and families at the earliest opportunity (Department for Education and Department for Levelling Up, Housing and Communities, 2022).</w:t>
      </w:r>
    </w:p>
    <w:p w14:paraId="5AB98716"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Effective Early Help depends on communication and partnership between services. Schools, health professionals, local authorities, social care, police and voluntary organisations may each have information or expertise that is relevant to a family. Working Together to Safeguard Children 2026 places increased emphasis on Family Help, bringing together targeted early help and Section 17 support through a more coordinated, multi-disciplinary approach (Department for Education, 2026).</w:t>
      </w:r>
    </w:p>
    <w:p w14:paraId="1A8047FD"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This report evaluates how Early Help is communicated and made accessible through the websites of Leicester City Council, Tower Hamlets Council and Nottinghamshire County Council. It explains the Early Help system and multi-agency working before evaluating each website. It then compares their strengths and limitations and provides recommendations for improving online access to support.</w:t>
      </w:r>
    </w:p>
    <w:p w14:paraId="69D913F4" w14:textId="77777777" w:rsidR="006969B0" w:rsidRDefault="006969B0"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FC6B084" w14:textId="77777777" w:rsidR="006969B0" w:rsidRDefault="006969B0"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2A20775" w14:textId="77777777" w:rsidR="00001326" w:rsidRDefault="000013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E071DB1" w14:textId="77777777" w:rsidR="00001326" w:rsidRDefault="000013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271B75F" w14:textId="77777777" w:rsidR="00001326" w:rsidRDefault="000013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EC77BD5" w14:textId="77777777" w:rsidR="00001326" w:rsidRDefault="000013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EFDBF77" w14:textId="77777777" w:rsidR="00001326" w:rsidRDefault="000013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D8D03CF" w14:textId="77777777" w:rsidR="00001326" w:rsidRDefault="000013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6566517" w14:textId="77A7058E" w:rsidR="00BC1826" w:rsidRPr="00BC1826" w:rsidRDefault="00BC18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C1826">
        <w:rPr>
          <w:rFonts w:ascii="Times New Roman" w:eastAsia="Times New Roman" w:hAnsi="Times New Roman" w:cs="Times New Roman"/>
          <w:b/>
          <w:bCs/>
          <w:kern w:val="0"/>
          <w:sz w:val="36"/>
          <w:szCs w:val="36"/>
          <w14:ligatures w14:val="none"/>
        </w:rPr>
        <w:lastRenderedPageBreak/>
        <w:t>2. Explanation of the Early Help System</w:t>
      </w:r>
    </w:p>
    <w:p w14:paraId="7B70F553"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Early Help aims to provide support when difficulties first emerge. It is not one individual service but a way of organising support around children, young people and families. The Early Help System Guide explains that local systems should understand local needs, work through effective partnerships and use evidence to improve support and outcomes (Department for Education and Department for Levelling Up, Housing and Communities, 2022).</w:t>
      </w:r>
    </w:p>
    <w:p w14:paraId="3780666A"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Families may need help with parenting, education, housing, finances, relationships, emotional wellbeing or other social circumstances. These difficulties can be connected. For example, financial pressure may affect parental wellbeing and family relationships, which may then affect a child’s education or behaviour. A whole-family approach therefore considers the wider circumstances of the family rather than focusing only on one individual difficulty.</w:t>
      </w:r>
    </w:p>
    <w:p w14:paraId="53E5D4B0"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Family involvement is also important. Children, young people and parents should be listened to and involved in decisions about support wherever possible. This can make interventions more appropriate and encourage families to participate in finding solutions. Early Help should therefore be preventative while also responding to the individual strengths and needs of families.</w:t>
      </w:r>
    </w:p>
    <w:p w14:paraId="331D3828"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Working Together to Safeguard Children 2026 places Early Help within the wider Family Help framework. The guidance explains that Family Help combines targeted early help with Section 17 support to create a more seamless offer, with consistent practitioner relationships and multi-disciplinary teams (Department for Education, 2026). Section 17 of the Children Act 1989 provides the statutory context for support for children in need, while Section 47 relates to child protection enquiries where there is reasonable cause to suspect significant harm (Children Act 1989).</w:t>
      </w:r>
    </w:p>
    <w:p w14:paraId="030036AB"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An effective Early Help system therefore requires more than simply having services available. Families also need clear information about what support exists, how to access it and what may happen after they ask for help. Local authority websites can therefore be an important first point of access.</w:t>
      </w:r>
    </w:p>
    <w:p w14:paraId="124D7DD1"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A73D187"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6865454"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5650B57"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18FF06B"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3AAB4E7"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A3DF352" w14:textId="04650CDA" w:rsidR="00BC1826" w:rsidRPr="00BC1826" w:rsidRDefault="00BC18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C1826">
        <w:rPr>
          <w:rFonts w:ascii="Times New Roman" w:eastAsia="Times New Roman" w:hAnsi="Times New Roman" w:cs="Times New Roman"/>
          <w:b/>
          <w:bCs/>
          <w:kern w:val="0"/>
          <w:sz w:val="36"/>
          <w:szCs w:val="36"/>
          <w14:ligatures w14:val="none"/>
        </w:rPr>
        <w:lastRenderedPageBreak/>
        <w:t>3. Explanation of Multi-Agency Working</w:t>
      </w:r>
    </w:p>
    <w:p w14:paraId="75AC6947"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Multi-agency working involves professionals from different services working together around the needs of a child or family. This may include education, health, social care, police, housing and voluntary or community organisations. Each agency brings different knowledge and responsibilities, which can help professionals develop a fuller understanding of a family’s circumstances.</w:t>
      </w:r>
    </w:p>
    <w:p w14:paraId="724FCD7D"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 xml:space="preserve">One important benefit is that problems are less likely to be considered separately. For example, school attendance difficulties may be connected with housing problems, parental wellbeing or family conflict. When professionals communicate appropriately, they can identify these connections and coordinate support. </w:t>
      </w:r>
      <w:proofErr w:type="spellStart"/>
      <w:r w:rsidRPr="00BC1826">
        <w:rPr>
          <w:rFonts w:ascii="Times New Roman" w:hAnsi="Times New Roman" w:cs="Times New Roman"/>
          <w:kern w:val="0"/>
          <w14:ligatures w14:val="none"/>
        </w:rPr>
        <w:t>Ofsted’s</w:t>
      </w:r>
      <w:proofErr w:type="spellEnd"/>
      <w:r w:rsidRPr="00BC1826">
        <w:rPr>
          <w:rFonts w:ascii="Times New Roman" w:hAnsi="Times New Roman" w:cs="Times New Roman"/>
          <w:kern w:val="0"/>
          <w14:ligatures w14:val="none"/>
        </w:rPr>
        <w:t xml:space="preserve"> review of Early Help highlights the importance of local multi-agency responsiveness in meeting the needs of children, young people and families (</w:t>
      </w:r>
      <w:proofErr w:type="spellStart"/>
      <w:r w:rsidRPr="00BC1826">
        <w:rPr>
          <w:rFonts w:ascii="Times New Roman" w:hAnsi="Times New Roman" w:cs="Times New Roman"/>
          <w:kern w:val="0"/>
          <w14:ligatures w14:val="none"/>
        </w:rPr>
        <w:t>Ofsted</w:t>
      </w:r>
      <w:proofErr w:type="spellEnd"/>
      <w:r w:rsidRPr="00BC1826">
        <w:rPr>
          <w:rFonts w:ascii="Times New Roman" w:hAnsi="Times New Roman" w:cs="Times New Roman"/>
          <w:kern w:val="0"/>
          <w14:ligatures w14:val="none"/>
        </w:rPr>
        <w:t>, 2022).</w:t>
      </w:r>
    </w:p>
    <w:p w14:paraId="7A8B289F"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Information sharing is also an important part of partnership working. Relevant information needs to be shared appropriately while respecting confidentiality and safeguarding responsibilities. Poor communication can lead to delays, duplicated assessments or families having to repeat their circumstances to different professionals. Effective communication can support better-informed decisions and reduce gaps between services.</w:t>
      </w:r>
    </w:p>
    <w:p w14:paraId="47A25179"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Working Together to Safeguard Children 2026 reinforces the importance of multi-disciplinary working. Family Help brings services together around families through coordinated assessment, planning and consistent relationships (Department for Education, 2026). Multi-agency working should therefore involve more than different organisations working alongside each other. Ideally, families should experience a coordinated service where professionals understand their roles and communicate effectively.</w:t>
      </w:r>
    </w:p>
    <w:p w14:paraId="69D84056"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CF121B5"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5493725"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FC62C3D"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ACFC3CE"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F3CCD66"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CF4241A"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DD2027B"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0DB9A33"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91C7695" w14:textId="0CB618A1" w:rsidR="00BC1826" w:rsidRPr="00BC1826" w:rsidRDefault="00BC18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C1826">
        <w:rPr>
          <w:rFonts w:ascii="Times New Roman" w:eastAsia="Times New Roman" w:hAnsi="Times New Roman" w:cs="Times New Roman"/>
          <w:b/>
          <w:bCs/>
          <w:kern w:val="0"/>
          <w:sz w:val="36"/>
          <w:szCs w:val="36"/>
          <w14:ligatures w14:val="none"/>
        </w:rPr>
        <w:lastRenderedPageBreak/>
        <w:t>4. Evaluation of Leicester City Council Website</w:t>
      </w:r>
    </w:p>
    <w:p w14:paraId="13FE13FD"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Leicester City Council provides information about Early Help for children, young people and families. The website explains that Early Help is available when problems first emerge and aims to prevent difficulties from becoming worse. It gives examples including concerns about a child’s wellbeing or behaviour, parenting difficulties, housing problems, domestic abuse, illness and addiction (Leicester City Council, 2026a).</w:t>
      </w:r>
    </w:p>
    <w:p w14:paraId="15518CEE"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One strength is the range of support identified. The website includes parenting and family relationship support, school attendance and behaviour, emotional and mental health support, housing, money and employment advice, young carer support and youth services. This reflects a whole-family approach because difficulties affecting a child can be connected with wider family circumstances (Leicester City Council, 2026a).</w:t>
      </w:r>
    </w:p>
    <w:p w14:paraId="74984CE4"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Another strength is the clear route into support. Families can request Early Help themselves, while professionals can also support a request. The website explains that a lead professional can discuss the family’s needs, complete an Early Help Assessment where appropriate, agree an action plan and bring together relevant people to provide support (Leicester City Council, 2026a). This gives families a clearer idea of what can happen after they ask for help.</w:t>
      </w:r>
    </w:p>
    <w:p w14:paraId="11CABD25"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Leicester also uses a Team Around the Family approach. This supports coordinated work when several services are involved and reflects the wider principles of whole-family and partnership working.</w:t>
      </w:r>
    </w:p>
    <w:p w14:paraId="29C6E0BA"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However, information is spread across different council and Family Hub pages. A parent who is already experiencing stress may find it difficult to know which page to use first. Some professional terminology and referral information may also be more detailed than necessary for families looking for simple guidance.</w:t>
      </w:r>
    </w:p>
    <w:p w14:paraId="4DA80075"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Overall, Leicester provides a broad and practical Early Help offer. Its main strengths are the range of support, clear contact routes and explanation of coordinated support. A simpler family-facing pathway could make the information easier to use.</w:t>
      </w:r>
    </w:p>
    <w:p w14:paraId="71166408"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6A1CC75"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7B617A4"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D3252E4"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C90A63A"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3E4B3BF"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F9B5EE1"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1266DE2" w14:textId="17D05D63" w:rsidR="00BC1826" w:rsidRPr="00BC1826" w:rsidRDefault="00BC18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C1826">
        <w:rPr>
          <w:rFonts w:ascii="Times New Roman" w:eastAsia="Times New Roman" w:hAnsi="Times New Roman" w:cs="Times New Roman"/>
          <w:b/>
          <w:bCs/>
          <w:kern w:val="0"/>
          <w:sz w:val="36"/>
          <w:szCs w:val="36"/>
          <w14:ligatures w14:val="none"/>
        </w:rPr>
        <w:lastRenderedPageBreak/>
        <w:t>5. Evaluation of Tower Hamlets Council Website</w:t>
      </w:r>
    </w:p>
    <w:p w14:paraId="7A5247B9"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Tower Hamlets presents Early Help as support for families when difficulties first arise. The service is available to families from pregnancy through to young people aged 19, or up to 25 for young people with Special Educational Needs and/or Disabilities. The website distinguishes between universal and targeted support and gives examples such as parental conflict, poor school attendance, parental mental health difficulties and language barriers (Tower Hamlets Council, 2026a).</w:t>
      </w:r>
    </w:p>
    <w:p w14:paraId="41966F21"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This distinction is useful because it shows that Early Help is not only for families experiencing serious safeguarding concerns. Universal services such as schools and healthcare can provide support, while targeted services can be introduced when additional needs are identified.</w:t>
      </w:r>
    </w:p>
    <w:p w14:paraId="4332269F"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A particularly strong feature is the Multi-Agency Support Team (MAST). Tower Hamlets describes MAST as a multi-disciplinary team involving services including Children’s Services, Health, Education, Police, Housing, Probation, Early Help, Youth Offending, CAMHS and voluntary organisations (Tower Hamlets Council, 2026b). This provides a clear example of how different services can work together around children and families.</w:t>
      </w:r>
    </w:p>
    <w:p w14:paraId="76006F3C"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The website also explains the process after a request for support. A MAST Early Help Manager reviews the request and, where appropriate, an Early Help Practitioner contacts the family. If an Early Help Assessment is required, this can be completed with the family and used to identify appropriate support (Tower Hamlets Council, 2026b; Tower Hamlets Council, 2026c).</w:t>
      </w:r>
    </w:p>
    <w:p w14:paraId="09B849F6"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The main limitation is the amount of professional terminology. Terms such as MAST, EHA and MASH may not be immediately understood by parents. Information is also distributed across different pages. A short “I need help” pathway using plain language could make the service easier to understand.</w:t>
      </w:r>
    </w:p>
    <w:p w14:paraId="7DFA0AE6"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Overall, Tower Hamlets demonstrates strong multi-agency integration and provides several access routes, although the information could be simplified for families.</w:t>
      </w:r>
    </w:p>
    <w:p w14:paraId="1B9D5E73"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73C9B13"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86FCF20"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9353AD6"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30CC220"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FEA4B61" w14:textId="77777777" w:rsidR="001B78A5" w:rsidRDefault="001B78A5"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C812405" w14:textId="5B803125" w:rsidR="00BC1826" w:rsidRPr="00BC1826" w:rsidRDefault="00BC18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C1826">
        <w:rPr>
          <w:rFonts w:ascii="Times New Roman" w:eastAsia="Times New Roman" w:hAnsi="Times New Roman" w:cs="Times New Roman"/>
          <w:b/>
          <w:bCs/>
          <w:kern w:val="0"/>
          <w:sz w:val="36"/>
          <w:szCs w:val="36"/>
          <w14:ligatures w14:val="none"/>
        </w:rPr>
        <w:lastRenderedPageBreak/>
        <w:t>6. Evaluation of Nottinghamshire County Council Website</w:t>
      </w:r>
    </w:p>
    <w:p w14:paraId="014FC76F"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Nottinghamshire County Council provides Early Help through its Family Service, Early Help Unit and Family Hub Networks. Its services support children, young people and families with different needs, including school attendance, parenting, employment, homelessness, young carers, substance misuse and emotional or behavioural difficulties (Nottinghamshire County Council, 2026a).</w:t>
      </w:r>
    </w:p>
    <w:p w14:paraId="6CA2AB4A"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Family Hub Networks are an important part of the local approach. Nottinghamshire explains that Family Hubs work with partners to provide joined-up services for children, young people and families. Support can include Early Help advice and other family services, giving families access to support within their communities (Nottinghamshire County Council, 2026b).</w:t>
      </w:r>
    </w:p>
    <w:p w14:paraId="3792180A"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Accessibility is supported through self-referral. Families can contact the Early Help Unit or their local Family Hub team directly, while professionals have separate referral routes. The Early Help Unit can provide information and guidance and help families access appropriate services (Nottinghamshire County Council, 2026c).</w:t>
      </w:r>
    </w:p>
    <w:p w14:paraId="7AB11B0F"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The community-based approach is a particular strength because families may have different preferences for accessing support. However, information is spread across several pages and service names. Families may need to understand the difference between the Family Service, Early Help Unit and Family Hub Network. This could create uncertainty for someone contacting the council for the first time.</w:t>
      </w:r>
    </w:p>
    <w:p w14:paraId="77681012"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Overall, Nottinghamshire provides a strong community-focused Early Help model. Its links between Family Hubs, Early Help and partner services are positive, but a simpler online pathway could make access easier.</w:t>
      </w:r>
    </w:p>
    <w:p w14:paraId="14E1E9AD"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D2BC5F3"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D372495"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041C761"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1FFDE87"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FBE9F2B"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B24D813"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215B118"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E3D8BE1" w14:textId="7F823AC6" w:rsidR="00BC1826" w:rsidRPr="00BC1826" w:rsidRDefault="00BC18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C1826">
        <w:rPr>
          <w:rFonts w:ascii="Times New Roman" w:eastAsia="Times New Roman" w:hAnsi="Times New Roman" w:cs="Times New Roman"/>
          <w:b/>
          <w:bCs/>
          <w:kern w:val="0"/>
          <w:sz w:val="36"/>
          <w:szCs w:val="36"/>
          <w14:ligatures w14:val="none"/>
        </w:rPr>
        <w:lastRenderedPageBreak/>
        <w:t>7. Comparative Analysis</w:t>
      </w:r>
    </w:p>
    <w:p w14:paraId="4A2C34FE"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The three local authorities demonstrate a clear commitment to Early Help, but they organise and communicate their services differently. Leicester focuses strongly on practical family support and the Team Around the Family approach. Tower Hamlets provides particularly clear evidence of multi-agency integration through MAST. Nottinghamshire places strong emphasis on Family Hub Networks and community access.</w:t>
      </w:r>
    </w:p>
    <w:p w14:paraId="1CF9D0AA"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In terms of accessibility, Leicester provides clear examples of when families may need help and explains the next steps. Tower Hamlets has a central multi-agency route through MAST, which can reduce uncertainty about which service to approach. Nottinghamshire provides a community-based approach through Family Hub Networks and different access routes.</w:t>
      </w:r>
    </w:p>
    <w:p w14:paraId="36C6BBD0"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A common limitation is the amount of information and professional terminology. This is important because families seeking Early Help may already be experiencing stress. If they cannot quickly understand what the service offers or how to access it, the availability of support does not automatically make that support accessible.</w:t>
      </w:r>
    </w:p>
    <w:p w14:paraId="011FDAEE"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Tower Hamlets appears particularly strong in communicating multi-agency integration because MAST clearly identifies the different professionals involved. Leicester is strong in explaining practical support and the Team Around the Family process, while Nottinghamshire provides a broad community-based approach through Family Hub Networks. Rather than identifying one council as completely successful, the comparison suggests that each has useful features that could inform improvement elsewhere.</w:t>
      </w:r>
    </w:p>
    <w:p w14:paraId="3E1E9110"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The Early Help System Guide emphasises partnership, local evidence, family involvement and continuous improvement (Department for Education and Department for Levelling Up, Housing and Communities, 2022). Online communication should therefore be considered part of the wider Early Help system. Clear digital information can help families reach the services and professionals that have been developed within their local area.</w:t>
      </w:r>
    </w:p>
    <w:p w14:paraId="57CAD677"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ACE2474"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A63E199"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9E183E8"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C2DDA30"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C918BD8"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4F8032F"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5AFD9EC" w14:textId="36AEA4E0" w:rsidR="00BC1826" w:rsidRPr="00BC1826" w:rsidRDefault="00BC18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C1826">
        <w:rPr>
          <w:rFonts w:ascii="Times New Roman" w:eastAsia="Times New Roman" w:hAnsi="Times New Roman" w:cs="Times New Roman"/>
          <w:b/>
          <w:bCs/>
          <w:kern w:val="0"/>
          <w:sz w:val="36"/>
          <w:szCs w:val="36"/>
          <w14:ligatures w14:val="none"/>
        </w:rPr>
        <w:lastRenderedPageBreak/>
        <w:t>8. Conclusion and Recommendations</w:t>
      </w:r>
    </w:p>
    <w:p w14:paraId="36480023"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This report has evaluated how Early Help is communicated through the websites of Leicester City Council, Tower Hamlets Council and Nottinghamshire County Council. All three provide a range of support and demonstrate elements of whole-family and multi-agency working. However, the comparison shows that detailed information can still be difficult to use when it is spread across several pages or contains professional terminology.</w:t>
      </w:r>
    </w:p>
    <w:p w14:paraId="033A0A8C"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Leicester provides broad practical support and a clear Team Around the Family approach. Tower Hamlets demonstrates strong integration through MAST, while Nottinghamshire offers a community-focused model through Family Hub Networks. These approaches support the wider aim of helping families before difficulties become more serious.</w:t>
      </w:r>
    </w:p>
    <w:p w14:paraId="64B34971"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The first recommendation is that local authorities should provide a simple “I need help” pathway on their websites. This should explain Early Help in plain language, give examples of common difficulties, identify one clear first step and explain what happens after contact. Professional terms should either be avoided or briefly explained.</w:t>
      </w:r>
    </w:p>
    <w:p w14:paraId="4D1550D0"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The second recommendation is regular user testing with parents, carers and young people. Their feedback could identify confusing language, difficult navigation, broken links or unnecessary steps. This would make online information more person-centred and responsive to the people who use it.</w:t>
      </w:r>
    </w:p>
    <w:p w14:paraId="45CA2776"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Finally, councils should keep online information closely connected to the services available in practice. Working Together to Safeguard Children 2026 emphasises a more seamless Family Help offer based on multi-disciplinary working and consistent practitioner relationships (Department for Education, 2026). Clear online signposting can therefore act as an accessible first step into a wider coordinated system of support.</w:t>
      </w:r>
    </w:p>
    <w:p w14:paraId="05947644"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0276228"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E466CCD"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BB34160"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32C049D"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33A28CD"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1EF9F0E"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3B851CC" w14:textId="77777777" w:rsidR="002D72CB" w:rsidRDefault="002D72CB"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758A2EB" w14:textId="00B5A645" w:rsidR="00BC1826" w:rsidRPr="00BC1826" w:rsidRDefault="00BC1826" w:rsidP="00BC18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C1826">
        <w:rPr>
          <w:rFonts w:ascii="Times New Roman" w:eastAsia="Times New Roman" w:hAnsi="Times New Roman" w:cs="Times New Roman"/>
          <w:b/>
          <w:bCs/>
          <w:kern w:val="0"/>
          <w:sz w:val="36"/>
          <w:szCs w:val="36"/>
          <w14:ligatures w14:val="none"/>
        </w:rPr>
        <w:lastRenderedPageBreak/>
        <w:t>Reference List</w:t>
      </w:r>
    </w:p>
    <w:p w14:paraId="1E6F1566"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 xml:space="preserve">Children Act 1989 (1989) c.41. London: The Stationery Office. Available at: </w:t>
      </w:r>
      <w:hyperlink r:id="rId5" w:history="1">
        <w:r w:rsidRPr="00BC1826">
          <w:rPr>
            <w:rFonts w:ascii="Times New Roman" w:hAnsi="Times New Roman" w:cs="Times New Roman"/>
            <w:color w:val="0000FF"/>
            <w:kern w:val="0"/>
            <w:u w:val="single"/>
            <w14:ligatures w14:val="none"/>
          </w:rPr>
          <w:t>https://www.legislation.gov.uk/ukpga/1989/41/contents</w:t>
        </w:r>
      </w:hyperlink>
      <w:r w:rsidRPr="00BC1826">
        <w:rPr>
          <w:rFonts w:ascii="Times New Roman" w:hAnsi="Times New Roman" w:cs="Times New Roman"/>
          <w:kern w:val="0"/>
          <w14:ligatures w14:val="none"/>
        </w:rPr>
        <w:t xml:space="preserve"> (Accessed: 13 August 2026).</w:t>
      </w:r>
    </w:p>
    <w:p w14:paraId="26949F7B"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 xml:space="preserve">Department for Education (2026) </w:t>
      </w:r>
      <w:r w:rsidRPr="00BC1826">
        <w:rPr>
          <w:rFonts w:ascii="Times New Roman" w:hAnsi="Times New Roman" w:cs="Times New Roman"/>
          <w:i/>
          <w:iCs/>
          <w:kern w:val="0"/>
          <w14:ligatures w14:val="none"/>
        </w:rPr>
        <w:t>Working together to safeguard children 2026: A guide to multi-agency working to help, support and protect children</w:t>
      </w:r>
      <w:r w:rsidRPr="00BC1826">
        <w:rPr>
          <w:rFonts w:ascii="Times New Roman" w:hAnsi="Times New Roman" w:cs="Times New Roman"/>
          <w:kern w:val="0"/>
          <w14:ligatures w14:val="none"/>
        </w:rPr>
        <w:t xml:space="preserve">. London: Department for Education. Available at: </w:t>
      </w:r>
      <w:hyperlink r:id="rId6" w:history="1">
        <w:r w:rsidRPr="00BC1826">
          <w:rPr>
            <w:rFonts w:ascii="Times New Roman" w:hAnsi="Times New Roman" w:cs="Times New Roman"/>
            <w:color w:val="0000FF"/>
            <w:kern w:val="0"/>
            <w:u w:val="single"/>
            <w14:ligatures w14:val="none"/>
          </w:rPr>
          <w:t>https://www.gov.uk/government/publications/working-together-to-safeguard-children–2</w:t>
        </w:r>
      </w:hyperlink>
      <w:r w:rsidRPr="00BC1826">
        <w:rPr>
          <w:rFonts w:ascii="Times New Roman" w:hAnsi="Times New Roman" w:cs="Times New Roman"/>
          <w:kern w:val="0"/>
          <w14:ligatures w14:val="none"/>
        </w:rPr>
        <w:t xml:space="preserve"> (Accessed: 13 August 2026).</w:t>
      </w:r>
    </w:p>
    <w:p w14:paraId="2EB6F8B8"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 xml:space="preserve">Department for Education and Department for Levelling Up, Housing and Communities (2022) </w:t>
      </w:r>
      <w:r w:rsidRPr="00BC1826">
        <w:rPr>
          <w:rFonts w:ascii="Times New Roman" w:hAnsi="Times New Roman" w:cs="Times New Roman"/>
          <w:i/>
          <w:iCs/>
          <w:kern w:val="0"/>
          <w14:ligatures w14:val="none"/>
        </w:rPr>
        <w:t>Supporting Families: Early Help System Guide</w:t>
      </w:r>
      <w:r w:rsidRPr="00BC1826">
        <w:rPr>
          <w:rFonts w:ascii="Times New Roman" w:hAnsi="Times New Roman" w:cs="Times New Roman"/>
          <w:kern w:val="0"/>
          <w14:ligatures w14:val="none"/>
        </w:rPr>
        <w:t xml:space="preserve">. London: Department for Education and Department for Levelling Up, Housing and Communities. Available at: </w:t>
      </w:r>
      <w:hyperlink r:id="rId7" w:history="1">
        <w:r w:rsidRPr="00BC1826">
          <w:rPr>
            <w:rFonts w:ascii="Times New Roman" w:hAnsi="Times New Roman" w:cs="Times New Roman"/>
            <w:color w:val="0000FF"/>
            <w:kern w:val="0"/>
            <w:u w:val="single"/>
            <w14:ligatures w14:val="none"/>
          </w:rPr>
          <w:t>https://www.gov.uk/government/publications/supporting-families-early-help-system-guide</w:t>
        </w:r>
      </w:hyperlink>
      <w:r w:rsidRPr="00BC1826">
        <w:rPr>
          <w:rFonts w:ascii="Times New Roman" w:hAnsi="Times New Roman" w:cs="Times New Roman"/>
          <w:kern w:val="0"/>
          <w14:ligatures w14:val="none"/>
        </w:rPr>
        <w:t xml:space="preserve"> (Accessed: 13 August 2026).</w:t>
      </w:r>
    </w:p>
    <w:p w14:paraId="3C7065D0"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 xml:space="preserve">Leicester City Council (2026a) </w:t>
      </w:r>
      <w:r w:rsidRPr="00BC1826">
        <w:rPr>
          <w:rFonts w:ascii="Times New Roman" w:hAnsi="Times New Roman" w:cs="Times New Roman"/>
          <w:i/>
          <w:iCs/>
          <w:kern w:val="0"/>
          <w14:ligatures w14:val="none"/>
        </w:rPr>
        <w:t>Early help for children, young people and families</w:t>
      </w:r>
      <w:r w:rsidRPr="00BC1826">
        <w:rPr>
          <w:rFonts w:ascii="Times New Roman" w:hAnsi="Times New Roman" w:cs="Times New Roman"/>
          <w:kern w:val="0"/>
          <w14:ligatures w14:val="none"/>
        </w:rPr>
        <w:t xml:space="preserve">. Leicester: Leicester City Council. Available at: </w:t>
      </w:r>
      <w:hyperlink r:id="rId8" w:history="1">
        <w:r w:rsidRPr="00BC1826">
          <w:rPr>
            <w:rFonts w:ascii="Times New Roman" w:hAnsi="Times New Roman" w:cs="Times New Roman"/>
            <w:color w:val="0000FF"/>
            <w:kern w:val="0"/>
            <w:u w:val="single"/>
            <w14:ligatures w14:val="none"/>
          </w:rPr>
          <w:t>https://www.leicester.gov.uk/children-young-people-and-families/support-children-and-young-people/early-help-children-young-people-and-families</w:t>
        </w:r>
      </w:hyperlink>
      <w:r w:rsidRPr="00BC1826">
        <w:rPr>
          <w:rFonts w:ascii="Times New Roman" w:hAnsi="Times New Roman" w:cs="Times New Roman"/>
          <w:kern w:val="0"/>
          <w14:ligatures w14:val="none"/>
        </w:rPr>
        <w:t xml:space="preserve"> (Accessed: 13 August 2026).</w:t>
      </w:r>
    </w:p>
    <w:p w14:paraId="3EFEB487"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 xml:space="preserve">Nottinghamshire County Council (2026a) </w:t>
      </w:r>
      <w:r w:rsidRPr="00BC1826">
        <w:rPr>
          <w:rFonts w:ascii="Times New Roman" w:hAnsi="Times New Roman" w:cs="Times New Roman"/>
          <w:i/>
          <w:iCs/>
          <w:kern w:val="0"/>
          <w14:ligatures w14:val="none"/>
        </w:rPr>
        <w:t>Family Service</w:t>
      </w:r>
      <w:r w:rsidRPr="00BC1826">
        <w:rPr>
          <w:rFonts w:ascii="Times New Roman" w:hAnsi="Times New Roman" w:cs="Times New Roman"/>
          <w:kern w:val="0"/>
          <w14:ligatures w14:val="none"/>
        </w:rPr>
        <w:t xml:space="preserve">. Nottingham: Nottinghamshire County Council. Available at: </w:t>
      </w:r>
      <w:hyperlink r:id="rId9" w:history="1">
        <w:r w:rsidRPr="00BC1826">
          <w:rPr>
            <w:rFonts w:ascii="Times New Roman" w:hAnsi="Times New Roman" w:cs="Times New Roman"/>
            <w:color w:val="0000FF"/>
            <w:kern w:val="0"/>
            <w:u w:val="single"/>
            <w14:ligatures w14:val="none"/>
          </w:rPr>
          <w:t>https://www.nottinghamshire.gov.uk/care/early-years-and-childcare/childrens-centres-and-family-hubs</w:t>
        </w:r>
      </w:hyperlink>
      <w:r w:rsidRPr="00BC1826">
        <w:rPr>
          <w:rFonts w:ascii="Times New Roman" w:hAnsi="Times New Roman" w:cs="Times New Roman"/>
          <w:kern w:val="0"/>
          <w14:ligatures w14:val="none"/>
        </w:rPr>
        <w:t xml:space="preserve"> (Accessed: 13 August 2026).</w:t>
      </w:r>
    </w:p>
    <w:p w14:paraId="4C608253"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 xml:space="preserve">Nottinghamshire County Council (2026b) </w:t>
      </w:r>
      <w:r w:rsidRPr="00BC1826">
        <w:rPr>
          <w:rFonts w:ascii="Times New Roman" w:hAnsi="Times New Roman" w:cs="Times New Roman"/>
          <w:i/>
          <w:iCs/>
          <w:kern w:val="0"/>
          <w14:ligatures w14:val="none"/>
        </w:rPr>
        <w:t>Family Hub Networks in Nottinghamshire: Information for families</w:t>
      </w:r>
      <w:r w:rsidRPr="00BC1826">
        <w:rPr>
          <w:rFonts w:ascii="Times New Roman" w:hAnsi="Times New Roman" w:cs="Times New Roman"/>
          <w:kern w:val="0"/>
          <w14:ligatures w14:val="none"/>
        </w:rPr>
        <w:t xml:space="preserve">. Nottingham: Nottinghamshire County Council. Available at: </w:t>
      </w:r>
      <w:hyperlink r:id="rId10" w:history="1">
        <w:r w:rsidRPr="00BC1826">
          <w:rPr>
            <w:rFonts w:ascii="Times New Roman" w:hAnsi="Times New Roman" w:cs="Times New Roman"/>
            <w:color w:val="0000FF"/>
            <w:kern w:val="0"/>
            <w:u w:val="single"/>
            <w14:ligatures w14:val="none"/>
          </w:rPr>
          <w:t>https://www.nottinghamshire.gov.uk/care/family-hub-networks/families</w:t>
        </w:r>
      </w:hyperlink>
      <w:r w:rsidRPr="00BC1826">
        <w:rPr>
          <w:rFonts w:ascii="Times New Roman" w:hAnsi="Times New Roman" w:cs="Times New Roman"/>
          <w:kern w:val="0"/>
          <w14:ligatures w14:val="none"/>
        </w:rPr>
        <w:t xml:space="preserve"> (Accessed: 13 August 2026).</w:t>
      </w:r>
    </w:p>
    <w:p w14:paraId="2D74777B"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 xml:space="preserve">Nottinghamshire County Council (2026c) </w:t>
      </w:r>
      <w:r w:rsidRPr="00BC1826">
        <w:rPr>
          <w:rFonts w:ascii="Times New Roman" w:hAnsi="Times New Roman" w:cs="Times New Roman"/>
          <w:i/>
          <w:iCs/>
          <w:kern w:val="0"/>
          <w14:ligatures w14:val="none"/>
        </w:rPr>
        <w:t>Referring to Early Help services</w:t>
      </w:r>
      <w:r w:rsidRPr="00BC1826">
        <w:rPr>
          <w:rFonts w:ascii="Times New Roman" w:hAnsi="Times New Roman" w:cs="Times New Roman"/>
          <w:kern w:val="0"/>
          <w14:ligatures w14:val="none"/>
        </w:rPr>
        <w:t xml:space="preserve">. Nottingham: Nottinghamshire County Council. Available at: </w:t>
      </w:r>
      <w:hyperlink r:id="rId11" w:history="1">
        <w:r w:rsidRPr="00BC1826">
          <w:rPr>
            <w:rFonts w:ascii="Times New Roman" w:hAnsi="Times New Roman" w:cs="Times New Roman"/>
            <w:color w:val="0000FF"/>
            <w:kern w:val="0"/>
            <w:u w:val="single"/>
            <w14:ligatures w14:val="none"/>
          </w:rPr>
          <w:t>https://www.nottinghamshire.gov.uk/care/early-years-and-childcare/childcare-providers/referring-to-early-help-services</w:t>
        </w:r>
      </w:hyperlink>
      <w:r w:rsidRPr="00BC1826">
        <w:rPr>
          <w:rFonts w:ascii="Times New Roman" w:hAnsi="Times New Roman" w:cs="Times New Roman"/>
          <w:kern w:val="0"/>
          <w14:ligatures w14:val="none"/>
        </w:rPr>
        <w:t xml:space="preserve"> (Accessed: 13 August 2026).</w:t>
      </w:r>
    </w:p>
    <w:p w14:paraId="68186E8A"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proofErr w:type="spellStart"/>
      <w:r w:rsidRPr="00BC1826">
        <w:rPr>
          <w:rFonts w:ascii="Times New Roman" w:hAnsi="Times New Roman" w:cs="Times New Roman"/>
          <w:kern w:val="0"/>
          <w14:ligatures w14:val="none"/>
        </w:rPr>
        <w:t>Ofsted</w:t>
      </w:r>
      <w:proofErr w:type="spellEnd"/>
      <w:r w:rsidRPr="00BC1826">
        <w:rPr>
          <w:rFonts w:ascii="Times New Roman" w:hAnsi="Times New Roman" w:cs="Times New Roman"/>
          <w:kern w:val="0"/>
          <w14:ligatures w14:val="none"/>
        </w:rPr>
        <w:t xml:space="preserve"> (2022) </w:t>
      </w:r>
      <w:r w:rsidRPr="00BC1826">
        <w:rPr>
          <w:rFonts w:ascii="Times New Roman" w:hAnsi="Times New Roman" w:cs="Times New Roman"/>
          <w:i/>
          <w:iCs/>
          <w:kern w:val="0"/>
          <w14:ligatures w14:val="none"/>
        </w:rPr>
        <w:t>Early help: Concepts, policy directions and multi-agency perspectives</w:t>
      </w:r>
      <w:r w:rsidRPr="00BC1826">
        <w:rPr>
          <w:rFonts w:ascii="Times New Roman" w:hAnsi="Times New Roman" w:cs="Times New Roman"/>
          <w:kern w:val="0"/>
          <w14:ligatures w14:val="none"/>
        </w:rPr>
        <w:t xml:space="preserve">. Manchester: Office for Standards in Education, Children’s Services and Skills. Available at: </w:t>
      </w:r>
      <w:hyperlink r:id="rId12" w:history="1">
        <w:r w:rsidRPr="00BC1826">
          <w:rPr>
            <w:rFonts w:ascii="Times New Roman" w:hAnsi="Times New Roman" w:cs="Times New Roman"/>
            <w:color w:val="0000FF"/>
            <w:kern w:val="0"/>
            <w:u w:val="single"/>
            <w14:ligatures w14:val="none"/>
          </w:rPr>
          <w:t>https://www.gov.uk/government/publications/early-help-concepts-policy-directions-and-multi-agency-perspectives</w:t>
        </w:r>
      </w:hyperlink>
      <w:r w:rsidRPr="00BC1826">
        <w:rPr>
          <w:rFonts w:ascii="Times New Roman" w:hAnsi="Times New Roman" w:cs="Times New Roman"/>
          <w:kern w:val="0"/>
          <w14:ligatures w14:val="none"/>
        </w:rPr>
        <w:t xml:space="preserve"> (Accessed: 13 August 2026).</w:t>
      </w:r>
    </w:p>
    <w:p w14:paraId="0C55A191"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 xml:space="preserve">Tower Hamlets Council (2026a) </w:t>
      </w:r>
      <w:r w:rsidRPr="00BC1826">
        <w:rPr>
          <w:rFonts w:ascii="Times New Roman" w:hAnsi="Times New Roman" w:cs="Times New Roman"/>
          <w:i/>
          <w:iCs/>
          <w:kern w:val="0"/>
          <w14:ligatures w14:val="none"/>
        </w:rPr>
        <w:t>About Early Help</w:t>
      </w:r>
      <w:r w:rsidRPr="00BC1826">
        <w:rPr>
          <w:rFonts w:ascii="Times New Roman" w:hAnsi="Times New Roman" w:cs="Times New Roman"/>
          <w:kern w:val="0"/>
          <w14:ligatures w14:val="none"/>
        </w:rPr>
        <w:t xml:space="preserve">. London: London Borough of Tower Hamlets. Available at: </w:t>
      </w:r>
      <w:hyperlink r:id="rId13" w:history="1">
        <w:r w:rsidRPr="00BC1826">
          <w:rPr>
            <w:rFonts w:ascii="Times New Roman" w:hAnsi="Times New Roman" w:cs="Times New Roman"/>
            <w:color w:val="0000FF"/>
            <w:kern w:val="0"/>
            <w:u w:val="single"/>
            <w14:ligatures w14:val="none"/>
          </w:rPr>
          <w:t>https://www.towerhamlets.gov.uk/lgnl/health__social_care/children_and_family_care/Early_Help/About_Early_Help.aspx</w:t>
        </w:r>
      </w:hyperlink>
      <w:r w:rsidRPr="00BC1826">
        <w:rPr>
          <w:rFonts w:ascii="Times New Roman" w:hAnsi="Times New Roman" w:cs="Times New Roman"/>
          <w:kern w:val="0"/>
          <w14:ligatures w14:val="none"/>
        </w:rPr>
        <w:t xml:space="preserve"> (Accessed: 13 August 2026).</w:t>
      </w:r>
    </w:p>
    <w:p w14:paraId="4C23EDB3"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t xml:space="preserve">Tower Hamlets Council (2026b) </w:t>
      </w:r>
      <w:r w:rsidRPr="00BC1826">
        <w:rPr>
          <w:rFonts w:ascii="Times New Roman" w:hAnsi="Times New Roman" w:cs="Times New Roman"/>
          <w:i/>
          <w:iCs/>
          <w:kern w:val="0"/>
          <w14:ligatures w14:val="none"/>
        </w:rPr>
        <w:t>Early Help at the front door</w:t>
      </w:r>
      <w:r w:rsidRPr="00BC1826">
        <w:rPr>
          <w:rFonts w:ascii="Times New Roman" w:hAnsi="Times New Roman" w:cs="Times New Roman"/>
          <w:kern w:val="0"/>
          <w14:ligatures w14:val="none"/>
        </w:rPr>
        <w:t xml:space="preserve">. London: London Borough of Tower Hamlets. Available at: </w:t>
      </w:r>
      <w:hyperlink r:id="rId14" w:history="1">
        <w:r w:rsidRPr="00BC1826">
          <w:rPr>
            <w:rFonts w:ascii="Times New Roman" w:hAnsi="Times New Roman" w:cs="Times New Roman"/>
            <w:color w:val="0000FF"/>
            <w:kern w:val="0"/>
            <w:u w:val="single"/>
            <w14:ligatures w14:val="none"/>
          </w:rPr>
          <w:t>https://www.towerhamlets.gov.uk/lgnl/health__social_care/children_and_family_care/Early_Help/Early_Help_Hub.aspx</w:t>
        </w:r>
      </w:hyperlink>
      <w:r w:rsidRPr="00BC1826">
        <w:rPr>
          <w:rFonts w:ascii="Times New Roman" w:hAnsi="Times New Roman" w:cs="Times New Roman"/>
          <w:kern w:val="0"/>
          <w14:ligatures w14:val="none"/>
        </w:rPr>
        <w:t xml:space="preserve"> (Accessed: 13 August 2026).</w:t>
      </w:r>
    </w:p>
    <w:p w14:paraId="1962C472" w14:textId="77777777" w:rsidR="00BC1826" w:rsidRPr="00BC1826" w:rsidRDefault="00BC1826" w:rsidP="00BC1826">
      <w:pPr>
        <w:spacing w:before="100" w:beforeAutospacing="1" w:after="100" w:afterAutospacing="1" w:line="240" w:lineRule="auto"/>
        <w:rPr>
          <w:rFonts w:ascii="Times New Roman" w:hAnsi="Times New Roman" w:cs="Times New Roman"/>
          <w:kern w:val="0"/>
          <w14:ligatures w14:val="none"/>
        </w:rPr>
      </w:pPr>
      <w:r w:rsidRPr="00BC1826">
        <w:rPr>
          <w:rFonts w:ascii="Times New Roman" w:hAnsi="Times New Roman" w:cs="Times New Roman"/>
          <w:kern w:val="0"/>
          <w14:ligatures w14:val="none"/>
        </w:rPr>
        <w:lastRenderedPageBreak/>
        <w:t xml:space="preserve">Tower Hamlets Council (2026c) </w:t>
      </w:r>
      <w:r w:rsidRPr="00BC1826">
        <w:rPr>
          <w:rFonts w:ascii="Times New Roman" w:hAnsi="Times New Roman" w:cs="Times New Roman"/>
          <w:i/>
          <w:iCs/>
          <w:kern w:val="0"/>
          <w14:ligatures w14:val="none"/>
        </w:rPr>
        <w:t>Where can I get help for a child, young person or family?</w:t>
      </w:r>
      <w:r w:rsidRPr="00BC1826">
        <w:rPr>
          <w:rFonts w:ascii="Times New Roman" w:hAnsi="Times New Roman" w:cs="Times New Roman"/>
          <w:kern w:val="0"/>
          <w14:ligatures w14:val="none"/>
        </w:rPr>
        <w:t xml:space="preserve"> London: London Borough of Tower Hamlets. Available at: </w:t>
      </w:r>
      <w:hyperlink r:id="rId15" w:history="1">
        <w:r w:rsidRPr="00BC1826">
          <w:rPr>
            <w:rFonts w:ascii="Times New Roman" w:hAnsi="Times New Roman" w:cs="Times New Roman"/>
            <w:color w:val="0000FF"/>
            <w:kern w:val="0"/>
            <w:u w:val="single"/>
            <w14:ligatures w14:val="none"/>
          </w:rPr>
          <w:t>https://www.towerhamlets.gov.uk/lgnl/health__social_care/children_and_family_care/Early_Help/Where_Help.aspx</w:t>
        </w:r>
      </w:hyperlink>
      <w:r w:rsidRPr="00BC1826">
        <w:rPr>
          <w:rFonts w:ascii="Times New Roman" w:hAnsi="Times New Roman" w:cs="Times New Roman"/>
          <w:kern w:val="0"/>
          <w14:ligatures w14:val="none"/>
        </w:rPr>
        <w:t xml:space="preserve"> (Accessed: 13 August 2026).</w:t>
      </w:r>
    </w:p>
    <w:p w14:paraId="548E92EA" w14:textId="77777777" w:rsidR="00391376" w:rsidRDefault="00391376"/>
    <w:sectPr w:rsidR="00391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376"/>
    <w:rsid w:val="00001326"/>
    <w:rsid w:val="000674B1"/>
    <w:rsid w:val="0011117E"/>
    <w:rsid w:val="001B4AB1"/>
    <w:rsid w:val="001B78A5"/>
    <w:rsid w:val="00223E7E"/>
    <w:rsid w:val="00273A85"/>
    <w:rsid w:val="002D2289"/>
    <w:rsid w:val="002D72CB"/>
    <w:rsid w:val="00391376"/>
    <w:rsid w:val="004C2074"/>
    <w:rsid w:val="00632051"/>
    <w:rsid w:val="006969B0"/>
    <w:rsid w:val="00A80F5B"/>
    <w:rsid w:val="00B44564"/>
    <w:rsid w:val="00BC1826"/>
    <w:rsid w:val="00C359ED"/>
    <w:rsid w:val="00CE374D"/>
    <w:rsid w:val="00D4730E"/>
    <w:rsid w:val="00DE586A"/>
    <w:rsid w:val="00E17429"/>
    <w:rsid w:val="00E618DB"/>
    <w:rsid w:val="00F23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F5E07C"/>
  <w15:chartTrackingRefBased/>
  <w15:docId w15:val="{E5107D25-F550-FC46-82A2-3F0BF702B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3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13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13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13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13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13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13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13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13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3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13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13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13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13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13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13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13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1376"/>
    <w:rPr>
      <w:rFonts w:eastAsiaTheme="majorEastAsia" w:cstheme="majorBidi"/>
      <w:color w:val="272727" w:themeColor="text1" w:themeTint="D8"/>
    </w:rPr>
  </w:style>
  <w:style w:type="paragraph" w:styleId="Title">
    <w:name w:val="Title"/>
    <w:basedOn w:val="Normal"/>
    <w:next w:val="Normal"/>
    <w:link w:val="TitleChar"/>
    <w:uiPriority w:val="10"/>
    <w:qFormat/>
    <w:rsid w:val="003913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13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13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13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1376"/>
    <w:pPr>
      <w:spacing w:before="160"/>
      <w:jc w:val="center"/>
    </w:pPr>
    <w:rPr>
      <w:i/>
      <w:iCs/>
      <w:color w:val="404040" w:themeColor="text1" w:themeTint="BF"/>
    </w:rPr>
  </w:style>
  <w:style w:type="character" w:customStyle="1" w:styleId="QuoteChar">
    <w:name w:val="Quote Char"/>
    <w:basedOn w:val="DefaultParagraphFont"/>
    <w:link w:val="Quote"/>
    <w:uiPriority w:val="29"/>
    <w:rsid w:val="00391376"/>
    <w:rPr>
      <w:i/>
      <w:iCs/>
      <w:color w:val="404040" w:themeColor="text1" w:themeTint="BF"/>
    </w:rPr>
  </w:style>
  <w:style w:type="paragraph" w:styleId="ListParagraph">
    <w:name w:val="List Paragraph"/>
    <w:basedOn w:val="Normal"/>
    <w:uiPriority w:val="34"/>
    <w:qFormat/>
    <w:rsid w:val="00391376"/>
    <w:pPr>
      <w:ind w:left="720"/>
      <w:contextualSpacing/>
    </w:pPr>
  </w:style>
  <w:style w:type="character" w:styleId="IntenseEmphasis">
    <w:name w:val="Intense Emphasis"/>
    <w:basedOn w:val="DefaultParagraphFont"/>
    <w:uiPriority w:val="21"/>
    <w:qFormat/>
    <w:rsid w:val="00391376"/>
    <w:rPr>
      <w:i/>
      <w:iCs/>
      <w:color w:val="0F4761" w:themeColor="accent1" w:themeShade="BF"/>
    </w:rPr>
  </w:style>
  <w:style w:type="paragraph" w:styleId="IntenseQuote">
    <w:name w:val="Intense Quote"/>
    <w:basedOn w:val="Normal"/>
    <w:next w:val="Normal"/>
    <w:link w:val="IntenseQuoteChar"/>
    <w:uiPriority w:val="30"/>
    <w:qFormat/>
    <w:rsid w:val="003913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1376"/>
    <w:rPr>
      <w:i/>
      <w:iCs/>
      <w:color w:val="0F4761" w:themeColor="accent1" w:themeShade="BF"/>
    </w:rPr>
  </w:style>
  <w:style w:type="character" w:styleId="IntenseReference">
    <w:name w:val="Intense Reference"/>
    <w:basedOn w:val="DefaultParagraphFont"/>
    <w:uiPriority w:val="32"/>
    <w:qFormat/>
    <w:rsid w:val="00391376"/>
    <w:rPr>
      <w:b/>
      <w:bCs/>
      <w:smallCaps/>
      <w:color w:val="0F4761" w:themeColor="accent1" w:themeShade="BF"/>
      <w:spacing w:val="5"/>
    </w:rPr>
  </w:style>
  <w:style w:type="paragraph" w:customStyle="1" w:styleId="p1">
    <w:name w:val="p1"/>
    <w:basedOn w:val="Normal"/>
    <w:rsid w:val="00391376"/>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632051"/>
  </w:style>
  <w:style w:type="paragraph" w:customStyle="1" w:styleId="p2">
    <w:name w:val="p2"/>
    <w:basedOn w:val="Normal"/>
    <w:rsid w:val="0063205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32051"/>
  </w:style>
  <w:style w:type="character" w:styleId="Hyperlink">
    <w:name w:val="Hyperlink"/>
    <w:basedOn w:val="DefaultParagraphFont"/>
    <w:uiPriority w:val="99"/>
    <w:semiHidden/>
    <w:unhideWhenUsed/>
    <w:rsid w:val="000674B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icester.gov.uk/children-young-people-and-families/support-children-and-young-people/early-help-children-young-people-and-families" TargetMode="External"/><Relationship Id="rId13" Type="http://schemas.openxmlformats.org/officeDocument/2006/relationships/hyperlink" Target="https://www.towerhamlets.gov.uk/lgnl/health__social_care/children_and_family_care/Early_Help/About_Early_Help.aspx" TargetMode="External"/><Relationship Id="rId3" Type="http://schemas.openxmlformats.org/officeDocument/2006/relationships/webSettings" Target="webSettings.xml"/><Relationship Id="rId7" Type="http://schemas.openxmlformats.org/officeDocument/2006/relationships/hyperlink" Target="https://www.gov.uk/government/publications/supporting-families-early-help-system-guide" TargetMode="External"/><Relationship Id="rId12" Type="http://schemas.openxmlformats.org/officeDocument/2006/relationships/hyperlink" Target="https://www.gov.uk/government/publications/early-help-concepts-policy-directions-and-multi-agency-perspectiv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v.uk/government/publications/working-together-to-safeguard-children%E2%80%932" TargetMode="External"/><Relationship Id="rId11" Type="http://schemas.openxmlformats.org/officeDocument/2006/relationships/hyperlink" Target="https://www.nottinghamshire.gov.uk/care/early-years-and-childcare/childcare-providers/referring-to-early-help-services" TargetMode="External"/><Relationship Id="rId5" Type="http://schemas.openxmlformats.org/officeDocument/2006/relationships/hyperlink" Target="https://www.legislation.gov.uk/ukpga/1989/41/contents" TargetMode="External"/><Relationship Id="rId15" Type="http://schemas.openxmlformats.org/officeDocument/2006/relationships/hyperlink" Target="https://www.towerhamlets.gov.uk/lgnl/health__social_care/children_and_family_care/Early_Help/Where_Help.aspx" TargetMode="External"/><Relationship Id="rId10" Type="http://schemas.openxmlformats.org/officeDocument/2006/relationships/hyperlink" Target="https://www.nottinghamshire.gov.uk/care/family-hub-networks/families" TargetMode="External"/><Relationship Id="rId4" Type="http://schemas.openxmlformats.org/officeDocument/2006/relationships/image" Target="media/image1.png"/><Relationship Id="rId9" Type="http://schemas.openxmlformats.org/officeDocument/2006/relationships/hyperlink" Target="https://www.nottinghamshire.gov.uk/care/early-years-and-childcare/childrens-centres-and-family-hubs" TargetMode="External"/><Relationship Id="rId14" Type="http://schemas.openxmlformats.org/officeDocument/2006/relationships/hyperlink" Target="https://www.towerhamlets.gov.uk/lgnl/health__social_care/children_and_family_care/Early_Help/Early_Help_Hub.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11</Pages>
  <Words>2988</Words>
  <Characters>17034</Characters>
  <Application>Microsoft Office Word</Application>
  <DocSecurity>0</DocSecurity>
  <Lines>141</Lines>
  <Paragraphs>39</Paragraphs>
  <ScaleCrop>false</ScaleCrop>
  <Company/>
  <LinksUpToDate>false</LinksUpToDate>
  <CharactersWithSpaces>19983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Senica Camara (2417502)</dc:creator>
  <cp:keywords/>
  <dc:description/>
  <cp:lastModifiedBy>Senica Camara (2417502)</cp:lastModifiedBy>
  <cp:revision>2</cp:revision>
  <dcterms:created xsi:type="dcterms:W3CDTF">2026-08-13T22:09:00Z</dcterms:created>
  <dcterms:modified xsi:type="dcterms:W3CDTF">2026-08-13T22:09:00Z</dcterms:modified>
</cp:coreProperties>
</file>