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7F08317" w14:textId="77777777" w:rsidR="00C429D6" w:rsidRDefault="00000000" w:rsidP="007A0363">
      <w:pPr>
        <w:pStyle w:val="Title"/>
        <w:spacing w:before="1440"/>
        <w:jc w:val="center"/>
      </w:pPr>
      <w:r>
        <w:rPr>
          <w:rFonts w:ascii="Times New Roman" w:eastAsia="Times New Roman" w:hAnsi="Times New Roman" w:cs="Times New Roman"/>
        </w:rPr>
        <w:t>A Data-Led Shoulder-Season Package Strategy</w:t>
      </w:r>
    </w:p>
    <w:p w14:paraId="70E1F4CD" w14:textId="77777777" w:rsidR="00C429D6" w:rsidRDefault="00000000" w:rsidP="007A0363">
      <w:pPr>
        <w:pStyle w:val="Title"/>
        <w:jc w:val="center"/>
      </w:pPr>
      <w:r>
        <w:rPr>
          <w:rFonts w:ascii="Times New Roman" w:eastAsia="Times New Roman" w:hAnsi="Times New Roman" w:cs="Times New Roman"/>
        </w:rPr>
        <w:t>for Jet2 plc</w:t>
      </w:r>
    </w:p>
    <w:p w14:paraId="27794872" w14:textId="14401DDC" w:rsidR="00C429D6" w:rsidRDefault="00000000" w:rsidP="00BA1A8D">
      <w:pPr>
        <w:jc w:val="center"/>
      </w:pPr>
      <w:r>
        <w:rPr>
          <w:b/>
        </w:rPr>
        <w:t>Business Development P</w:t>
      </w:r>
      <w:r w:rsidR="00CD3E5F">
        <w:rPr>
          <w:b/>
        </w:rPr>
        <w:t>lan</w:t>
      </w:r>
    </w:p>
    <w:tbl>
      <w:tblPr>
        <w:tblW w:w="0" w:type="auto"/>
        <w:jc w:val="center"/>
        <w:tblLayout w:type="fixed"/>
        <w:tblLook w:val="04A0" w:firstRow="1" w:lastRow="0" w:firstColumn="1" w:lastColumn="0" w:noHBand="0" w:noVBand="1"/>
      </w:tblPr>
      <w:tblGrid>
        <w:gridCol w:w="2835"/>
        <w:gridCol w:w="5102"/>
      </w:tblGrid>
      <w:tr w:rsidR="00C429D6" w14:paraId="5E54061F" w14:textId="77777777">
        <w:trPr>
          <w:cantSplit/>
          <w:jc w:val="center"/>
        </w:trPr>
        <w:tc>
          <w:tcPr>
            <w:tcW w:w="2835" w:type="dxa"/>
            <w:tcBorders>
              <w:top w:val="single" w:sz="6" w:space="0" w:color="D9D9D9"/>
              <w:left w:val="single" w:sz="6" w:space="0" w:color="D9D9D9"/>
              <w:bottom w:val="single" w:sz="6" w:space="0" w:color="D9D9D9"/>
              <w:right w:val="single" w:sz="6" w:space="0" w:color="D9D9D9"/>
            </w:tcBorders>
            <w:shd w:val="clear" w:color="auto" w:fill="D9EAF7"/>
            <w:tcMar>
              <w:top w:w="120" w:type="dxa"/>
              <w:left w:w="140" w:type="dxa"/>
              <w:bottom w:w="120" w:type="dxa"/>
              <w:right w:w="140" w:type="dxa"/>
            </w:tcMar>
            <w:vAlign w:val="center"/>
          </w:tcPr>
          <w:p w14:paraId="72DD0D82" w14:textId="7F5EA98D" w:rsidR="00C429D6" w:rsidRDefault="00D4468B">
            <w:pPr>
              <w:spacing w:line="240" w:lineRule="auto"/>
            </w:pPr>
            <w:r>
              <w:rPr>
                <w:b/>
                <w:sz w:val="22"/>
              </w:rPr>
              <w:t>Programme</w:t>
            </w:r>
            <w:r w:rsidR="007946CF">
              <w:rPr>
                <w:b/>
                <w:sz w:val="22"/>
              </w:rPr>
              <w:t xml:space="preserve"> </w:t>
            </w:r>
          </w:p>
        </w:tc>
        <w:tc>
          <w:tcPr>
            <w:tcW w:w="5102" w:type="dxa"/>
            <w:tcBorders>
              <w:top w:val="single" w:sz="6" w:space="0" w:color="D9D9D9"/>
              <w:left w:val="single" w:sz="6" w:space="0" w:color="D9D9D9"/>
              <w:bottom w:val="single" w:sz="6" w:space="0" w:color="D9D9D9"/>
              <w:right w:val="single" w:sz="6" w:space="0" w:color="D9D9D9"/>
            </w:tcBorders>
            <w:tcMar>
              <w:top w:w="120" w:type="dxa"/>
              <w:left w:w="140" w:type="dxa"/>
              <w:bottom w:w="120" w:type="dxa"/>
              <w:right w:w="140" w:type="dxa"/>
            </w:tcMar>
            <w:vAlign w:val="center"/>
          </w:tcPr>
          <w:p w14:paraId="255C3B19" w14:textId="77777777" w:rsidR="00C429D6" w:rsidRDefault="00000000">
            <w:pPr>
              <w:spacing w:line="240" w:lineRule="auto"/>
            </w:pPr>
            <w:r>
              <w:rPr>
                <w:sz w:val="22"/>
              </w:rPr>
              <w:t>Master of Business Administration</w:t>
            </w:r>
          </w:p>
        </w:tc>
      </w:tr>
      <w:tr w:rsidR="00C429D6" w14:paraId="1C5E3E58" w14:textId="77777777">
        <w:trPr>
          <w:cantSplit/>
          <w:jc w:val="center"/>
        </w:trPr>
        <w:tc>
          <w:tcPr>
            <w:tcW w:w="2835" w:type="dxa"/>
            <w:tcBorders>
              <w:top w:val="single" w:sz="6" w:space="0" w:color="D9D9D9"/>
              <w:left w:val="single" w:sz="6" w:space="0" w:color="D9D9D9"/>
              <w:bottom w:val="single" w:sz="6" w:space="0" w:color="D9D9D9"/>
              <w:right w:val="single" w:sz="6" w:space="0" w:color="D9D9D9"/>
            </w:tcBorders>
            <w:shd w:val="clear" w:color="auto" w:fill="D9EAF7"/>
            <w:tcMar>
              <w:top w:w="120" w:type="dxa"/>
              <w:left w:w="140" w:type="dxa"/>
              <w:bottom w:w="120" w:type="dxa"/>
              <w:right w:w="140" w:type="dxa"/>
            </w:tcMar>
            <w:vAlign w:val="center"/>
          </w:tcPr>
          <w:p w14:paraId="587BBD82" w14:textId="77777777" w:rsidR="00C429D6" w:rsidRDefault="00000000">
            <w:pPr>
              <w:spacing w:line="240" w:lineRule="auto"/>
            </w:pPr>
            <w:r>
              <w:rPr>
                <w:b/>
                <w:sz w:val="22"/>
              </w:rPr>
              <w:t>Module</w:t>
            </w:r>
          </w:p>
        </w:tc>
        <w:tc>
          <w:tcPr>
            <w:tcW w:w="5102" w:type="dxa"/>
            <w:tcBorders>
              <w:top w:val="single" w:sz="6" w:space="0" w:color="D9D9D9"/>
              <w:left w:val="single" w:sz="6" w:space="0" w:color="D9D9D9"/>
              <w:bottom w:val="single" w:sz="6" w:space="0" w:color="D9D9D9"/>
              <w:right w:val="single" w:sz="6" w:space="0" w:color="D9D9D9"/>
            </w:tcBorders>
            <w:tcMar>
              <w:top w:w="120" w:type="dxa"/>
              <w:left w:w="140" w:type="dxa"/>
              <w:bottom w:w="120" w:type="dxa"/>
              <w:right w:w="140" w:type="dxa"/>
            </w:tcMar>
            <w:vAlign w:val="center"/>
          </w:tcPr>
          <w:p w14:paraId="1E2213CC" w14:textId="77777777" w:rsidR="00C429D6" w:rsidRDefault="00000000">
            <w:pPr>
              <w:spacing w:line="240" w:lineRule="auto"/>
            </w:pPr>
            <w:r>
              <w:rPr>
                <w:sz w:val="22"/>
              </w:rPr>
              <w:t>Business Development Proposal</w:t>
            </w:r>
          </w:p>
        </w:tc>
      </w:tr>
      <w:tr w:rsidR="00C429D6" w14:paraId="4C218A96" w14:textId="77777777">
        <w:trPr>
          <w:cantSplit/>
          <w:jc w:val="center"/>
        </w:trPr>
        <w:tc>
          <w:tcPr>
            <w:tcW w:w="2835" w:type="dxa"/>
            <w:tcBorders>
              <w:top w:val="single" w:sz="6" w:space="0" w:color="D9D9D9"/>
              <w:left w:val="single" w:sz="6" w:space="0" w:color="D9D9D9"/>
              <w:bottom w:val="single" w:sz="6" w:space="0" w:color="D9D9D9"/>
              <w:right w:val="single" w:sz="6" w:space="0" w:color="D9D9D9"/>
            </w:tcBorders>
            <w:shd w:val="clear" w:color="auto" w:fill="D9EAF7"/>
            <w:tcMar>
              <w:top w:w="120" w:type="dxa"/>
              <w:left w:w="140" w:type="dxa"/>
              <w:bottom w:w="120" w:type="dxa"/>
              <w:right w:w="140" w:type="dxa"/>
            </w:tcMar>
            <w:vAlign w:val="center"/>
          </w:tcPr>
          <w:p w14:paraId="668A8983" w14:textId="77777777" w:rsidR="00C429D6" w:rsidRDefault="00000000">
            <w:pPr>
              <w:spacing w:line="240" w:lineRule="auto"/>
            </w:pPr>
            <w:r>
              <w:rPr>
                <w:b/>
                <w:sz w:val="22"/>
              </w:rPr>
              <w:t>Module code</w:t>
            </w:r>
          </w:p>
        </w:tc>
        <w:tc>
          <w:tcPr>
            <w:tcW w:w="5102" w:type="dxa"/>
            <w:tcBorders>
              <w:top w:val="single" w:sz="6" w:space="0" w:color="D9D9D9"/>
              <w:left w:val="single" w:sz="6" w:space="0" w:color="D9D9D9"/>
              <w:bottom w:val="single" w:sz="6" w:space="0" w:color="D9D9D9"/>
              <w:right w:val="single" w:sz="6" w:space="0" w:color="D9D9D9"/>
            </w:tcBorders>
            <w:tcMar>
              <w:top w:w="120" w:type="dxa"/>
              <w:left w:w="140" w:type="dxa"/>
              <w:bottom w:w="120" w:type="dxa"/>
              <w:right w:w="140" w:type="dxa"/>
            </w:tcMar>
            <w:vAlign w:val="center"/>
          </w:tcPr>
          <w:p w14:paraId="6BCA54BB" w14:textId="77777777" w:rsidR="00C429D6" w:rsidRDefault="00000000">
            <w:pPr>
              <w:spacing w:line="240" w:lineRule="auto"/>
            </w:pPr>
            <w:r>
              <w:rPr>
                <w:sz w:val="22"/>
              </w:rPr>
              <w:t>LCMB7037</w:t>
            </w:r>
          </w:p>
        </w:tc>
      </w:tr>
      <w:tr w:rsidR="00C429D6" w14:paraId="07A99165" w14:textId="77777777">
        <w:trPr>
          <w:cantSplit/>
          <w:jc w:val="center"/>
        </w:trPr>
        <w:tc>
          <w:tcPr>
            <w:tcW w:w="2835" w:type="dxa"/>
            <w:tcBorders>
              <w:top w:val="single" w:sz="6" w:space="0" w:color="D9D9D9"/>
              <w:left w:val="single" w:sz="6" w:space="0" w:color="D9D9D9"/>
              <w:bottom w:val="single" w:sz="6" w:space="0" w:color="D9D9D9"/>
              <w:right w:val="single" w:sz="6" w:space="0" w:color="D9D9D9"/>
            </w:tcBorders>
            <w:shd w:val="clear" w:color="auto" w:fill="D9EAF7"/>
            <w:tcMar>
              <w:top w:w="120" w:type="dxa"/>
              <w:left w:w="140" w:type="dxa"/>
              <w:bottom w:w="120" w:type="dxa"/>
              <w:right w:w="140" w:type="dxa"/>
            </w:tcMar>
            <w:vAlign w:val="center"/>
          </w:tcPr>
          <w:p w14:paraId="3DCE71B0" w14:textId="77777777" w:rsidR="00C429D6" w:rsidRDefault="00000000">
            <w:pPr>
              <w:spacing w:line="240" w:lineRule="auto"/>
            </w:pPr>
            <w:r>
              <w:rPr>
                <w:b/>
                <w:sz w:val="22"/>
              </w:rPr>
              <w:t>Student name</w:t>
            </w:r>
          </w:p>
        </w:tc>
        <w:tc>
          <w:tcPr>
            <w:tcW w:w="5102" w:type="dxa"/>
            <w:tcBorders>
              <w:top w:val="single" w:sz="6" w:space="0" w:color="D9D9D9"/>
              <w:left w:val="single" w:sz="6" w:space="0" w:color="D9D9D9"/>
              <w:bottom w:val="single" w:sz="6" w:space="0" w:color="D9D9D9"/>
              <w:right w:val="single" w:sz="6" w:space="0" w:color="D9D9D9"/>
            </w:tcBorders>
            <w:tcMar>
              <w:top w:w="120" w:type="dxa"/>
              <w:left w:w="140" w:type="dxa"/>
              <w:bottom w:w="120" w:type="dxa"/>
              <w:right w:w="140" w:type="dxa"/>
            </w:tcMar>
            <w:vAlign w:val="center"/>
          </w:tcPr>
          <w:p w14:paraId="33EC3492" w14:textId="0264A92A" w:rsidR="00C429D6" w:rsidRDefault="0085169B">
            <w:pPr>
              <w:spacing w:line="240" w:lineRule="auto"/>
            </w:pPr>
            <w:r>
              <w:t>Wares Sikder Anik</w:t>
            </w:r>
          </w:p>
        </w:tc>
      </w:tr>
      <w:tr w:rsidR="00C429D6" w14:paraId="2E67B980" w14:textId="77777777">
        <w:trPr>
          <w:cantSplit/>
          <w:jc w:val="center"/>
        </w:trPr>
        <w:tc>
          <w:tcPr>
            <w:tcW w:w="2835" w:type="dxa"/>
            <w:tcBorders>
              <w:top w:val="single" w:sz="6" w:space="0" w:color="D9D9D9"/>
              <w:left w:val="single" w:sz="6" w:space="0" w:color="D9D9D9"/>
              <w:bottom w:val="single" w:sz="6" w:space="0" w:color="D9D9D9"/>
              <w:right w:val="single" w:sz="6" w:space="0" w:color="D9D9D9"/>
            </w:tcBorders>
            <w:shd w:val="clear" w:color="auto" w:fill="D9EAF7"/>
            <w:tcMar>
              <w:top w:w="120" w:type="dxa"/>
              <w:left w:w="140" w:type="dxa"/>
              <w:bottom w:w="120" w:type="dxa"/>
              <w:right w:w="140" w:type="dxa"/>
            </w:tcMar>
            <w:vAlign w:val="center"/>
          </w:tcPr>
          <w:p w14:paraId="0F3B86B1" w14:textId="77777777" w:rsidR="00C429D6" w:rsidRDefault="00000000">
            <w:pPr>
              <w:spacing w:line="240" w:lineRule="auto"/>
            </w:pPr>
            <w:r>
              <w:rPr>
                <w:b/>
                <w:sz w:val="22"/>
              </w:rPr>
              <w:t>Student ID</w:t>
            </w:r>
          </w:p>
        </w:tc>
        <w:tc>
          <w:tcPr>
            <w:tcW w:w="5102" w:type="dxa"/>
            <w:tcBorders>
              <w:top w:val="single" w:sz="6" w:space="0" w:color="D9D9D9"/>
              <w:left w:val="single" w:sz="6" w:space="0" w:color="D9D9D9"/>
              <w:bottom w:val="single" w:sz="6" w:space="0" w:color="D9D9D9"/>
              <w:right w:val="single" w:sz="6" w:space="0" w:color="D9D9D9"/>
            </w:tcBorders>
            <w:tcMar>
              <w:top w:w="120" w:type="dxa"/>
              <w:left w:w="140" w:type="dxa"/>
              <w:bottom w:w="120" w:type="dxa"/>
              <w:right w:w="140" w:type="dxa"/>
            </w:tcMar>
            <w:vAlign w:val="center"/>
          </w:tcPr>
          <w:p w14:paraId="79AAF436" w14:textId="3588AE2A" w:rsidR="00C429D6" w:rsidRDefault="0085169B">
            <w:pPr>
              <w:spacing w:line="240" w:lineRule="auto"/>
            </w:pPr>
            <w:r>
              <w:t>2518993</w:t>
            </w:r>
          </w:p>
        </w:tc>
      </w:tr>
      <w:tr w:rsidR="00C429D6" w14:paraId="08C8406B" w14:textId="77777777">
        <w:trPr>
          <w:cantSplit/>
          <w:jc w:val="center"/>
        </w:trPr>
        <w:tc>
          <w:tcPr>
            <w:tcW w:w="2835" w:type="dxa"/>
            <w:tcBorders>
              <w:top w:val="single" w:sz="6" w:space="0" w:color="D9D9D9"/>
              <w:left w:val="single" w:sz="6" w:space="0" w:color="D9D9D9"/>
              <w:bottom w:val="single" w:sz="6" w:space="0" w:color="D9D9D9"/>
              <w:right w:val="single" w:sz="6" w:space="0" w:color="D9D9D9"/>
            </w:tcBorders>
            <w:shd w:val="clear" w:color="auto" w:fill="D9EAF7"/>
            <w:tcMar>
              <w:top w:w="120" w:type="dxa"/>
              <w:left w:w="140" w:type="dxa"/>
              <w:bottom w:w="120" w:type="dxa"/>
              <w:right w:w="140" w:type="dxa"/>
            </w:tcMar>
            <w:vAlign w:val="center"/>
          </w:tcPr>
          <w:p w14:paraId="5C441CF8" w14:textId="77777777" w:rsidR="00C429D6" w:rsidRDefault="00000000">
            <w:pPr>
              <w:spacing w:line="240" w:lineRule="auto"/>
            </w:pPr>
            <w:r>
              <w:rPr>
                <w:b/>
                <w:sz w:val="22"/>
              </w:rPr>
              <w:t>Word count</w:t>
            </w:r>
          </w:p>
        </w:tc>
        <w:tc>
          <w:tcPr>
            <w:tcW w:w="5102" w:type="dxa"/>
            <w:tcBorders>
              <w:top w:val="single" w:sz="6" w:space="0" w:color="D9D9D9"/>
              <w:left w:val="single" w:sz="6" w:space="0" w:color="D9D9D9"/>
              <w:bottom w:val="single" w:sz="6" w:space="0" w:color="D9D9D9"/>
              <w:right w:val="single" w:sz="6" w:space="0" w:color="D9D9D9"/>
            </w:tcBorders>
            <w:tcMar>
              <w:top w:w="120" w:type="dxa"/>
              <w:left w:w="140" w:type="dxa"/>
              <w:bottom w:w="120" w:type="dxa"/>
              <w:right w:w="140" w:type="dxa"/>
            </w:tcMar>
            <w:vAlign w:val="center"/>
          </w:tcPr>
          <w:p w14:paraId="3C183C26" w14:textId="26D31665" w:rsidR="00C429D6" w:rsidRDefault="00000000">
            <w:pPr>
              <w:spacing w:line="240" w:lineRule="auto"/>
            </w:pPr>
            <w:r>
              <w:rPr>
                <w:sz w:val="22"/>
              </w:rPr>
              <w:t>2,</w:t>
            </w:r>
            <w:r w:rsidR="00E43392">
              <w:rPr>
                <w:sz w:val="22"/>
              </w:rPr>
              <w:t>498</w:t>
            </w:r>
            <w:r>
              <w:rPr>
                <w:sz w:val="22"/>
              </w:rPr>
              <w:t xml:space="preserve"> words excluding the reference list and title page</w:t>
            </w:r>
          </w:p>
        </w:tc>
      </w:tr>
    </w:tbl>
    <w:p w14:paraId="055C0EB5" w14:textId="77777777" w:rsidR="00C429D6" w:rsidRDefault="00000000" w:rsidP="007A0363">
      <w:pPr>
        <w:jc w:val="center"/>
      </w:pPr>
      <w:r>
        <w:rPr>
          <w:b/>
        </w:rPr>
        <w:t>Path B: Business Plan for an Existing Company</w:t>
      </w:r>
    </w:p>
    <w:p w14:paraId="37ACF452" w14:textId="77777777" w:rsidR="00C429D6" w:rsidRDefault="00000000">
      <w:r>
        <w:br w:type="page"/>
      </w:r>
    </w:p>
    <w:p w14:paraId="0125BAF8" w14:textId="77777777" w:rsidR="00C429D6" w:rsidRDefault="00000000">
      <w:pPr>
        <w:pStyle w:val="Heading1"/>
      </w:pPr>
      <w:r>
        <w:rPr>
          <w:rFonts w:ascii="Times New Roman" w:eastAsia="Times New Roman" w:hAnsi="Times New Roman" w:cs="Times New Roman"/>
        </w:rPr>
        <w:t>1. Introduction and Rationale</w:t>
      </w:r>
    </w:p>
    <w:p w14:paraId="1F827305" w14:textId="7F36BA8C" w:rsidR="00C429D6" w:rsidRDefault="00000000">
      <w:pPr>
        <w:pStyle w:val="BodyText"/>
      </w:pPr>
      <w:r>
        <w:t xml:space="preserve">Jet2 plc is a leisure travel group in the UK comprising of Jet2.com and Jet2holidays. It operates through a business model which integrates airline seats, package holidays, hotel partnerships, ground operations, engineering, </w:t>
      </w:r>
      <w:r w:rsidR="00B61E26">
        <w:t>training,</w:t>
      </w:r>
      <w:r>
        <w:t xml:space="preserve"> and customer support at destinations. During the summer of 2026, it had over 600 routes to over 80 destinations from 14 UK bases. Additionally, Jet2 also states that it accounts for 20 per cent of ATOL licensed capacity, over nine million myJet2 members and that there is a 61 per cent repeat booking rate for package holidays (Jet2 plc, 2026b). These resources offer a good foundation for Jet2 to build upon for focussed growth, rather than the establishment of a new business model.</w:t>
      </w:r>
    </w:p>
    <w:p w14:paraId="6A833FC3" w14:textId="30B77B89" w:rsidR="00C429D6" w:rsidRDefault="00000000">
      <w:pPr>
        <w:pStyle w:val="BodyText"/>
      </w:pPr>
      <w:r>
        <w:t xml:space="preserve">Weak demand is not the main commercial concern. The question is how Jet2 can make their increased capacity profitable and cash flow. The group's revenue rose to £7.5 billion in FY2026 from £7.2 billion in FY2025, and the group's profit before tax and foreign exchange revaluation decreased to £545 million in FY2026 from £578 million in FY2025 (Jet2 plc, 2026a). These figures put the margin at 7.3 per cent compared with some 8.0 per cent previously. This does not mean that the fall was due to seasonality. But it does provide a clear rationale to explore if contribution is going to be maintained by stronger demand through the shoulder season and improved </w:t>
      </w:r>
      <w:r w:rsidR="00866945">
        <w:t>utilization</w:t>
      </w:r>
      <w:r>
        <w:t xml:space="preserve"> of its capacity as Jet2 expands its fleet, and presence in southern England.</w:t>
      </w:r>
    </w:p>
    <w:p w14:paraId="483202FA" w14:textId="77777777" w:rsidR="00C429D6" w:rsidRDefault="00000000">
      <w:pPr>
        <w:pStyle w:val="BodyText"/>
      </w:pPr>
      <w:r>
        <w:t>The seasonality of tourism has an impact on demand, employment, prices and the utilization of assets. But the driving factors and appropriate measures vary from group to group of customers and from destination to destination (</w:t>
      </w:r>
      <w:proofErr w:type="spellStart"/>
      <w:r>
        <w:t>Senbeto</w:t>
      </w:r>
      <w:proofErr w:type="spellEnd"/>
      <w:r>
        <w:t xml:space="preserve"> et al., 2024). The data, dubbed 'Jet2 FlexSeason' for now, would be based on overall demand data, and on customer data provided with their consent, to produce targeted offers for package holidays. These offers would be targeted to adults, who don't have to adhere to school holiday schedules. The key focus would be for departures in April - May and September - November, when there is available capacity on selected routes and partner hotels.</w:t>
      </w:r>
    </w:p>
    <w:p w14:paraId="41A91EF7" w14:textId="77777777" w:rsidR="00C429D6" w:rsidRDefault="00000000">
      <w:pPr>
        <w:pStyle w:val="Heading1"/>
      </w:pPr>
      <w:r>
        <w:rPr>
          <w:rFonts w:ascii="Times New Roman" w:eastAsia="Times New Roman" w:hAnsi="Times New Roman" w:cs="Times New Roman"/>
        </w:rPr>
        <w:t>2. Aim, Research Question and Objectives</w:t>
      </w:r>
    </w:p>
    <w:p w14:paraId="1015C406" w14:textId="77777777" w:rsidR="00C429D6" w:rsidRDefault="00000000">
      <w:pPr>
        <w:pStyle w:val="BodyText"/>
      </w:pPr>
      <w:r>
        <w:t>Its goal is to determine if a data-driven shoulder-season package approach is feasible. The strategy should be to enhance the utilization of Jet2's capacity, customer value and profit whilst maintaining high service quality.</w:t>
      </w:r>
    </w:p>
    <w:p w14:paraId="2E0DC8F0" w14:textId="77777777" w:rsidR="00C429D6" w:rsidRDefault="00000000">
      <w:pPr>
        <w:pStyle w:val="BodyText"/>
      </w:pPr>
      <w:r>
        <w:t>Research question: How can Jet2 plc design and implement a focused shoulder-season package that will provide additional profitable demand, whilst retaining sufficient customers from existing bookings and maintaining customer confidence?</w:t>
      </w:r>
    </w:p>
    <w:p w14:paraId="61E25FD9" w14:textId="77777777" w:rsidR="00C429D6" w:rsidRDefault="00000000">
      <w:pPr>
        <w:pStyle w:val="BodyText"/>
        <w:keepNext/>
      </w:pPr>
      <w:r>
        <w:t>The objectives are:</w:t>
      </w:r>
    </w:p>
    <w:p w14:paraId="4483FEAB" w14:textId="05098B1B" w:rsidR="00C429D6" w:rsidRDefault="00000000">
      <w:pPr>
        <w:pStyle w:val="ListBullet"/>
        <w:ind w:left="369" w:hanging="198"/>
      </w:pPr>
      <w:r>
        <w:t xml:space="preserve">To critically </w:t>
      </w:r>
      <w:r w:rsidR="00731476">
        <w:t>analyses</w:t>
      </w:r>
      <w:r>
        <w:t xml:space="preserve"> the business model, external environment, competitive position and financial capacity of Jet2 using evidence from the company, the regulator, the industry and academia.</w:t>
      </w:r>
    </w:p>
    <w:p w14:paraId="16CDC31C" w14:textId="77777777" w:rsidR="00C429D6" w:rsidRDefault="00000000">
      <w:pPr>
        <w:pStyle w:val="ListBullet"/>
        <w:ind w:left="369" w:hanging="198"/>
      </w:pPr>
      <w:r>
        <w:t>To assess how attractive selected shoulder-season customer groups and route-destination combinations are by using demand analysis and competitor benchmarking.</w:t>
      </w:r>
    </w:p>
    <w:p w14:paraId="6EC2CC9B" w14:textId="77777777" w:rsidR="00C429D6" w:rsidRDefault="00000000">
      <w:pPr>
        <w:pStyle w:val="ListBullet"/>
        <w:ind w:left="369" w:hanging="198"/>
      </w:pPr>
      <w:r>
        <w:t>To develop a realistic business offer, implementation plan, risk controls and three year financial appraisal with clear performance measures.</w:t>
      </w:r>
    </w:p>
    <w:p w14:paraId="4230426E" w14:textId="77777777" w:rsidR="00C429D6" w:rsidRDefault="00000000">
      <w:pPr>
        <w:pStyle w:val="Heading1"/>
      </w:pPr>
      <w:r>
        <w:rPr>
          <w:rFonts w:ascii="Times New Roman" w:eastAsia="Times New Roman" w:hAnsi="Times New Roman" w:cs="Times New Roman"/>
        </w:rPr>
        <w:t>3. Company and Proposed Development</w:t>
      </w:r>
    </w:p>
    <w:p w14:paraId="507153FF" w14:textId="77777777" w:rsidR="00C429D6" w:rsidRDefault="00000000">
      <w:pPr>
        <w:pStyle w:val="BodyText"/>
      </w:pPr>
      <w:r>
        <w:t xml:space="preserve">The key strategic advantages for Jet2 are its 'end to end' business model, seat control, customer relationships and service focus. The company states that its customers are satisfied 92 per cent of the time during the holiday season, they have a marketable database of 11.2 million people and their net cash is more than £2 billion (Jet2 plc, 2026b). Service quality will continue to be significant as recent research on UK airline passengers reveals that there is a relationship between service quality, repeat purchases and brand support (Bakır, Atalık and </w:t>
      </w:r>
      <w:proofErr w:type="spellStart"/>
      <w:r>
        <w:t>Itani</w:t>
      </w:r>
      <w:proofErr w:type="spellEnd"/>
      <w:r>
        <w:t>, 2025). The study of low-cost carriers also reveals that speed of response and reliability of service are also factors that contribute to satisfaction, image and loyalty (Hassan and Salem, 2022).</w:t>
      </w:r>
    </w:p>
    <w:p w14:paraId="26B035E7" w14:textId="6E59C93B" w:rsidR="00C429D6" w:rsidRDefault="00000000">
      <w:pPr>
        <w:pStyle w:val="BodyText"/>
      </w:pPr>
      <w:r>
        <w:t xml:space="preserve">Jet2 FlexSeason wouldn't rely on offering big discounts to all. It would establish distinct packages for customers who are couples without dependent children, older </w:t>
      </w:r>
      <w:r w:rsidR="00D735CA">
        <w:t>travelers</w:t>
      </w:r>
      <w:r>
        <w:t xml:space="preserve"> who are active and younger adults that are able to travel on flexible dates. Offers might consist of existing flights, 7, 10 or fourteen nights hotel accommodation, transfers, baggage, flexible change terms and activities at the destination. A route-eligibility score would look at previous demand, anticipated contribution, hotel availability, local weather conditions, competition, and disruption-handling capabilities and sustainability conditions. Then, the relevant offers would be sent to the suitable customers via myJet2, e-mail, website and app.</w:t>
      </w:r>
    </w:p>
    <w:p w14:paraId="5110B7B5" w14:textId="1CBB107C" w:rsidR="00C429D6" w:rsidRDefault="00000000">
      <w:pPr>
        <w:pStyle w:val="BodyText"/>
      </w:pPr>
      <w:r>
        <w:t xml:space="preserve">Clear value-based pricing rules, clear information about what is included and controlled tests would be used for pricing. This is crucial as dynamic pricing can lead to higher </w:t>
      </w:r>
      <w:r w:rsidR="00371A62">
        <w:t>revenues</w:t>
      </w:r>
      <w:r w:rsidR="007539B9">
        <w:t>,</w:t>
      </w:r>
      <w:r w:rsidR="00371A62">
        <w:t xml:space="preserve"> but</w:t>
      </w:r>
      <w:r>
        <w:t xml:space="preserve"> can also create a perception of unfair pricing when customers are unaware of the differences (</w:t>
      </w:r>
      <w:proofErr w:type="spellStart"/>
      <w:r>
        <w:t>Alderighi</w:t>
      </w:r>
      <w:proofErr w:type="spellEnd"/>
      <w:r>
        <w:t xml:space="preserve"> et al., 2022). Targeted packages would be compared to normal sales activity at a small pilot at selected bases and at established Mediterranean or Canary Islands destinations. The concept should only be extended if there is proof of additional bookings, acceptable contribution and stable customer satisfaction, as well as only a slight decrease in full price demand – otherwise, Jet2 should not expand the concept.</w:t>
      </w:r>
    </w:p>
    <w:p w14:paraId="09647DF6" w14:textId="248F5871" w:rsidR="00C429D6" w:rsidRDefault="00000000">
      <w:pPr>
        <w:pStyle w:val="BodyText"/>
      </w:pPr>
      <w:r>
        <w:t xml:space="preserve">A balanced scorecard will be used to measure the performance of the pilots. Commercial measures will comprise additional conversions, package contribution and load factor changes. Customer measures will consist of satisfaction, complaints, intention to book again and perceived value. Measures for operational aspects will include on time performance and recovery from disruption. Carbon intensity per passenger </w:t>
      </w:r>
      <w:r w:rsidR="00253A58">
        <w:t>kilometer</w:t>
      </w:r>
      <w:r>
        <w:t xml:space="preserve"> and distribution of visitors out of peak dates will be among the sustainability measures. Agreed limits will ensure that increases in income is not considered achievement if the level of service, trust or operational strength decreases.</w:t>
      </w:r>
    </w:p>
    <w:p w14:paraId="6F410CB9" w14:textId="77777777" w:rsidR="00C429D6" w:rsidRDefault="00000000">
      <w:pPr>
        <w:pStyle w:val="Heading1"/>
      </w:pPr>
      <w:r>
        <w:rPr>
          <w:rFonts w:ascii="Times New Roman" w:eastAsia="Times New Roman" w:hAnsi="Times New Roman" w:cs="Times New Roman"/>
        </w:rPr>
        <w:t>4. Methodology</w:t>
      </w:r>
    </w:p>
    <w:p w14:paraId="2D92048D" w14:textId="30914E1D" w:rsidR="00C429D6" w:rsidRDefault="00000000">
      <w:pPr>
        <w:pStyle w:val="BodyText"/>
      </w:pPr>
      <w:r>
        <w:t xml:space="preserve">The design of the final BDP will be pragmatic, case-study and secondary data. A case study is appropriate as the study is about a contemporary business decision within Jet2's </w:t>
      </w:r>
      <w:r w:rsidR="00253A58">
        <w:t>organization</w:t>
      </w:r>
      <w:r>
        <w:t xml:space="preserve"> and market as opposed to a single variable (Yin, 2018). Pragmatism is used in the study, which permits using both quantitative financial analysis and qualitative strategic analysis, where both are helpful for the business decision (Saunders, Lewis and </w:t>
      </w:r>
      <w:r w:rsidR="006B7CB9">
        <w:t>Thorn hill</w:t>
      </w:r>
      <w:r>
        <w:t>, 2023). There are no plans for a survey, interview or personal data collection. This allows the project to be viable in terms of the time allocated in the module.</w:t>
      </w:r>
    </w:p>
    <w:p w14:paraId="55C56C10" w14:textId="44548A90" w:rsidR="00C429D6" w:rsidRDefault="00000000">
      <w:pPr>
        <w:pStyle w:val="BodyText"/>
      </w:pPr>
      <w:r>
        <w:t xml:space="preserve">The search process will be clear and documented, and evidence will be collected. These company sources will comprise of Jet2 annual reports (2023-2026), preliminary results, investor presentations, strategy documents and sustainability reports. These will be sourced from CAA airline data, ATOL data, ONS outbound-travel data, ABTA consumer data, IATA market data and government aviation policy and competitor data from TUI and easyJet. The search terms that will be used to search peer-reviewed studies in </w:t>
      </w:r>
      <w:r w:rsidR="00D94807">
        <w:t>Scopes</w:t>
      </w:r>
      <w:r>
        <w:t xml:space="preserve">, Business Source Complete and Google Scholar will be combinations of the following: 'tourism seasonality', 'shoulder season', 'package holiday', 'airline revenue management', 'price fairness', 'service quality' and 'customer loyalty'. Evidence from 2021-2026 will be </w:t>
      </w:r>
      <w:r w:rsidR="00D94807">
        <w:t>prioritized</w:t>
      </w:r>
      <w:r>
        <w:t>, with evidence of importance to the strategy being retained if necessary. The author, date, method, sample, relevance, limitations and permanent link/DOI will be recorded in a source register.</w:t>
      </w:r>
    </w:p>
    <w:p w14:paraId="11CF8FA9" w14:textId="77777777" w:rsidR="00C429D6" w:rsidRDefault="00000000">
      <w:pPr>
        <w:pStyle w:val="BodyText"/>
      </w:pPr>
      <w:r>
        <w:t xml:space="preserve">The quantitative analysis will focus on the trends on revenue, profit, operating cash flow, number of passengers and available capacity. It will then go on to work out ratios and compare Jet2 with relevant competitors. The attractiveness matrix will be created based on public information on routes, destinations and customers. Financial appraisal will include estimated additional bookings, package contribution, marketing and technology costs, staffing requirements, estimated break even volume and cash flow and return over 3 years. Base, upside and downside cases will be run to understand the impact of conversion, price, and fuel related pressure and </w:t>
      </w:r>
      <w:proofErr w:type="spellStart"/>
      <w:r>
        <w:t>cannibalisation</w:t>
      </w:r>
      <w:proofErr w:type="spellEnd"/>
      <w:r>
        <w:t>.</w:t>
      </w:r>
    </w:p>
    <w:p w14:paraId="62C704CF" w14:textId="2805AEC8" w:rsidR="00C429D6" w:rsidRDefault="00000000">
      <w:pPr>
        <w:pStyle w:val="BodyText"/>
      </w:pPr>
      <w:r>
        <w:t xml:space="preserve">Qualitative evidence will be categorized under the following themes: customer need, seasonality, value, service, sustainability and implementation. The required PESTLE, SWOT, competitor analysis and Porter's Five Forces and </w:t>
      </w:r>
      <w:proofErr w:type="spellStart"/>
      <w:r>
        <w:t>Ansoff</w:t>
      </w:r>
      <w:proofErr w:type="spellEnd"/>
      <w:r>
        <w:t xml:space="preserve"> Matrix will then be used for the analysis, which will be supported by a Business Model Canvas (</w:t>
      </w:r>
      <w:proofErr w:type="spellStart"/>
      <w:r>
        <w:t>Ansoff</w:t>
      </w:r>
      <w:proofErr w:type="spellEnd"/>
      <w:r>
        <w:t xml:space="preserve">, 1957; Porter, 2008; </w:t>
      </w:r>
      <w:r w:rsidR="00C16F98">
        <w:t>Asterwalder</w:t>
      </w:r>
      <w:r>
        <w:t xml:space="preserve"> and </w:t>
      </w:r>
      <w:r w:rsidR="00637F31">
        <w:t>Peignoir</w:t>
      </w:r>
      <w:r>
        <w:t>, 2010). Themes will be compared on the bases of company, regulator, industry and academic sources as opposed to only one interested source. Themes will be decided and documented to ensure transparency of the decision-making process as per the focus of Braun and Clarke (2021) on a consistent research method.</w:t>
      </w:r>
    </w:p>
    <w:p w14:paraId="08105ECE" w14:textId="77777777" w:rsidR="00C429D6" w:rsidRDefault="00000000">
      <w:pPr>
        <w:pStyle w:val="BodyText"/>
      </w:pPr>
      <w:r>
        <w:t>Only legal, public and aggregated secondary information will be used for the project. It won't attempt to identify customers or employees. The university OneDrive will be used for the storage of files, extraction sheets and calculations. The company's claims will be marked and verified with other sources. Before using myJet2 data, any recommendation will require a clear purpose, minimum necessary data, consent or other valid legal basis, opt-out controls, a security review and a data-protection impact assessment. All work will be undertaken with ethical approval as required by the module.</w:t>
      </w:r>
    </w:p>
    <w:p w14:paraId="7711C3FF" w14:textId="77777777" w:rsidR="00C429D6" w:rsidRDefault="00000000">
      <w:pPr>
        <w:pStyle w:val="BodyText"/>
      </w:pPr>
      <w:r>
        <w:t>One of the main drawbacks is that there are no reports published that indicate the contribution of Jet2 on each route, customer level response or unused hotel allocations. Thus, public figures can be seen to have a relationship but not necessarily be the cause, and competitor measures can not be directly compared. The final BDP will deal with this, through the use of clearly defined terms, checking sources against each other, making careful assumptions and carrying out sensitivity analysis. It will not provide "figures" which appear more precise than the evidence warrants. If the data needed to make an investment decision is internal, the report will specify the data field, owner and test required. Monthly route load factor, package margin, booking lead time or campaign holdout results are just a few of the examples. This makes it transparent and not hidden what is needed in an implementation.</w:t>
      </w:r>
    </w:p>
    <w:p w14:paraId="7F99128E" w14:textId="77777777" w:rsidR="00C429D6" w:rsidRDefault="00000000">
      <w:pPr>
        <w:pStyle w:val="Heading1"/>
      </w:pPr>
      <w:r>
        <w:rPr>
          <w:rFonts w:ascii="Times New Roman" w:eastAsia="Times New Roman" w:hAnsi="Times New Roman" w:cs="Times New Roman"/>
        </w:rPr>
        <w:t>5. Market Research and Initial Validation</w:t>
      </w:r>
    </w:p>
    <w:p w14:paraId="2E69DAC8" w14:textId="77777777" w:rsidR="00C429D6" w:rsidRDefault="00000000">
      <w:pPr>
        <w:pStyle w:val="BodyText"/>
      </w:pPr>
      <w:r>
        <w:t>Potential market is significant. UK residents made an estimated 94.6 million visits abroad and spent £78.7 billion in 2024, which was higher than the previous year's number of trips (Office for National Statistics, 2025). ABTA's Holiday Habits 2025-26 research reveals travel confidence has increased by six points, value for money is a key consideration when booking holidays and more people have been taking holidays in the UK and abroad despite the strain on household budgets (ABTA, 2025a). This indicates that demand for leisure travel is robust, but doesn't necessarily mean that an additional Jet2 offer will generate new sales.</w:t>
      </w:r>
    </w:p>
    <w:p w14:paraId="2DFAF49D" w14:textId="77777777" w:rsidR="00C429D6" w:rsidRDefault="00000000">
      <w:pPr>
        <w:pStyle w:val="BodyText"/>
      </w:pPr>
      <w:r>
        <w:t>There is more detailed evidence for support of testing in shoulder season. The survey, carried out by ABTA, a nationally representative group of 2,001 UK adults, revealed that 24 per cent of those who were relevant to the survey were planning an overseas holiday in September 2025, compared to 17 per cent in 2023. This was particularly the case for people aged 55-64, the over 65s and households with no children at home. The report also cautions individuals are more certain of travel plans in months that are nearer. It is therefore important that the figures are used as a guide rather than a direct forecast (ABTA, 2025b). Seasonality is also identified as one of the key network-planning challenges by IATA, and they suggest considering opportunities in other seasons (IATA, 2026).</w:t>
      </w:r>
    </w:p>
    <w:p w14:paraId="0F86E93B" w14:textId="41D4AF32" w:rsidR="00C429D6" w:rsidRDefault="00000000">
      <w:pPr>
        <w:pStyle w:val="BodyText"/>
      </w:pPr>
      <w:r>
        <w:t xml:space="preserve">There are a number of strengths to Jet2 that can help </w:t>
      </w:r>
      <w:r w:rsidR="00637F31">
        <w:t>minimize</w:t>
      </w:r>
      <w:r>
        <w:t xml:space="preserve"> the risk of implementing the plan. These are: high repeat purchase, a wide direct access to customers, an integrated airline and tour-operator structure and direct control of important parts of the service. But, the prices of TUI, easyJet Holidays, online travel agencies and airline-hotel deals are easy to compare and it's easy for customers to switch. Competitor analysis will therefore be used to see if Jet2 can distinguish itself with trusted service, convenient regional departures and flexible trip length and clear total value as opposed to simply being the lowest advertised price. CAA ATOL reports will offer a consistent evidentiary picture of the capacity available in the licensed package market and market structure </w:t>
      </w:r>
      <w:r w:rsidR="0094706E" w:rsidRPr="0094706E">
        <w:t>(Civil Aviation Authority, no date)</w:t>
      </w:r>
      <w:r>
        <w:t>.</w:t>
      </w:r>
    </w:p>
    <w:p w14:paraId="45AE26C5" w14:textId="77777777" w:rsidR="00C429D6" w:rsidRDefault="00000000">
      <w:pPr>
        <w:pStyle w:val="BodyText"/>
      </w:pPr>
      <w:r>
        <w:t>ABTA indicators will be compared with Jet2's product structure and competitor offers in the segment validation. For each proposed customer group, they need to demonstrate flexibility in the travel dates, an appropriate fit with the destination, media channels that Jet2 can access and a desire to purchase a protected package. This will make it easier to distinguish new demand from customers who would have booked a flight on Jet2 on a different date anyway.</w:t>
      </w:r>
    </w:p>
    <w:p w14:paraId="45121F18" w14:textId="6333BA73" w:rsidR="00C429D6" w:rsidRDefault="00000000">
      <w:pPr>
        <w:pStyle w:val="BodyText"/>
      </w:pPr>
      <w:r>
        <w:t>The opportunity needs to be environmentally and regulatory compliant as well. The UK Sustainable Aviation Fuel mandate will increase from 2 per cent of aviation fuel in 2025 to 10 per cent in 2030 and 22 per cent in 2040 (Department for Transport, 202</w:t>
      </w:r>
      <w:r w:rsidR="0094706E">
        <w:t>4</w:t>
      </w:r>
      <w:r>
        <w:t>). Additional demand could thus result in increased compliance and fuel costs. The proposal will be based on the premise that travel volume is not unlimited, but on the use of existing capacity, more efficient aircraft and destination partnerships. Final validation will be based on a positive extra contribution in the base case, a realistic break-even level and no significant decrease in customer satisfaction and acceptable impact on carbon intensity.</w:t>
      </w:r>
    </w:p>
    <w:p w14:paraId="633FB927" w14:textId="77777777" w:rsidR="00C429D6" w:rsidRDefault="00000000">
      <w:pPr>
        <w:pStyle w:val="Heading1"/>
      </w:pPr>
      <w:r>
        <w:rPr>
          <w:rFonts w:ascii="Times New Roman" w:eastAsia="Times New Roman" w:hAnsi="Times New Roman" w:cs="Times New Roman"/>
        </w:rPr>
        <w:t>6. Principal Risks and Controls</w:t>
      </w:r>
    </w:p>
    <w:p w14:paraId="1EAEFA6A" w14:textId="77777777" w:rsidR="00C429D6" w:rsidRDefault="00000000">
      <w:pPr>
        <w:pStyle w:val="BodyText"/>
      </w:pPr>
      <w:r>
        <w:t>The outline differentiates between business risks and research limitations, and does not presume that the end result will be a positive recommendation.</w:t>
      </w:r>
    </w:p>
    <w:tbl>
      <w:tblPr>
        <w:tblW w:w="0" w:type="auto"/>
        <w:jc w:val="center"/>
        <w:tblLayout w:type="fixed"/>
        <w:tblLook w:val="04A0" w:firstRow="1" w:lastRow="0" w:firstColumn="1" w:lastColumn="0" w:noHBand="0" w:noVBand="1"/>
      </w:tblPr>
      <w:tblGrid>
        <w:gridCol w:w="1619"/>
        <w:gridCol w:w="1350"/>
        <w:gridCol w:w="1170"/>
        <w:gridCol w:w="4931"/>
      </w:tblGrid>
      <w:tr w:rsidR="00C429D6" w14:paraId="7BBEFA9F" w14:textId="77777777" w:rsidTr="00C207F3">
        <w:trPr>
          <w:cantSplit/>
          <w:tblHeader/>
          <w:jc w:val="center"/>
        </w:trPr>
        <w:tc>
          <w:tcPr>
            <w:tcW w:w="1619" w:type="dxa"/>
            <w:tcBorders>
              <w:top w:val="single" w:sz="6" w:space="0" w:color="D9D9D9"/>
              <w:left w:val="single" w:sz="6" w:space="0" w:color="D9D9D9"/>
              <w:bottom w:val="single" w:sz="6" w:space="0" w:color="D9D9D9"/>
              <w:right w:val="single" w:sz="6" w:space="0" w:color="D9D9D9"/>
            </w:tcBorders>
            <w:shd w:val="clear" w:color="auto" w:fill="D9EAF7"/>
            <w:tcMar>
              <w:top w:w="100" w:type="dxa"/>
              <w:left w:w="110" w:type="dxa"/>
              <w:bottom w:w="100" w:type="dxa"/>
              <w:right w:w="110" w:type="dxa"/>
            </w:tcMar>
            <w:vAlign w:val="center"/>
          </w:tcPr>
          <w:p w14:paraId="39C987E7" w14:textId="77777777" w:rsidR="00C429D6" w:rsidRDefault="00000000">
            <w:pPr>
              <w:jc w:val="center"/>
            </w:pPr>
            <w:r>
              <w:rPr>
                <w:b/>
                <w:sz w:val="21"/>
              </w:rPr>
              <w:t>Risk</w:t>
            </w:r>
          </w:p>
        </w:tc>
        <w:tc>
          <w:tcPr>
            <w:tcW w:w="1350" w:type="dxa"/>
            <w:tcBorders>
              <w:top w:val="single" w:sz="6" w:space="0" w:color="D9D9D9"/>
              <w:left w:val="single" w:sz="6" w:space="0" w:color="D9D9D9"/>
              <w:bottom w:val="single" w:sz="6" w:space="0" w:color="D9D9D9"/>
              <w:right w:val="single" w:sz="6" w:space="0" w:color="D9D9D9"/>
            </w:tcBorders>
            <w:shd w:val="clear" w:color="auto" w:fill="D9EAF7"/>
            <w:tcMar>
              <w:top w:w="100" w:type="dxa"/>
              <w:left w:w="110" w:type="dxa"/>
              <w:bottom w:w="100" w:type="dxa"/>
              <w:right w:w="110" w:type="dxa"/>
            </w:tcMar>
            <w:vAlign w:val="center"/>
          </w:tcPr>
          <w:p w14:paraId="036F8921" w14:textId="77777777" w:rsidR="00C429D6" w:rsidRDefault="00000000">
            <w:pPr>
              <w:jc w:val="center"/>
            </w:pPr>
            <w:r>
              <w:rPr>
                <w:b/>
                <w:sz w:val="21"/>
              </w:rPr>
              <w:t>Likelihood</w:t>
            </w:r>
          </w:p>
        </w:tc>
        <w:tc>
          <w:tcPr>
            <w:tcW w:w="1170" w:type="dxa"/>
            <w:tcBorders>
              <w:top w:val="single" w:sz="6" w:space="0" w:color="D9D9D9"/>
              <w:left w:val="single" w:sz="6" w:space="0" w:color="D9D9D9"/>
              <w:bottom w:val="single" w:sz="6" w:space="0" w:color="D9D9D9"/>
              <w:right w:val="single" w:sz="6" w:space="0" w:color="D9D9D9"/>
            </w:tcBorders>
            <w:shd w:val="clear" w:color="auto" w:fill="D9EAF7"/>
            <w:tcMar>
              <w:top w:w="100" w:type="dxa"/>
              <w:left w:w="110" w:type="dxa"/>
              <w:bottom w:w="100" w:type="dxa"/>
              <w:right w:w="110" w:type="dxa"/>
            </w:tcMar>
            <w:vAlign w:val="center"/>
          </w:tcPr>
          <w:p w14:paraId="68EC7327" w14:textId="77777777" w:rsidR="00C429D6" w:rsidRDefault="00000000">
            <w:pPr>
              <w:jc w:val="center"/>
            </w:pPr>
            <w:r>
              <w:rPr>
                <w:b/>
                <w:sz w:val="21"/>
              </w:rPr>
              <w:t>Impact</w:t>
            </w:r>
          </w:p>
        </w:tc>
        <w:tc>
          <w:tcPr>
            <w:tcW w:w="4931" w:type="dxa"/>
            <w:tcBorders>
              <w:top w:val="single" w:sz="6" w:space="0" w:color="D9D9D9"/>
              <w:left w:val="single" w:sz="6" w:space="0" w:color="D9D9D9"/>
              <w:bottom w:val="single" w:sz="6" w:space="0" w:color="D9D9D9"/>
              <w:right w:val="single" w:sz="6" w:space="0" w:color="D9D9D9"/>
            </w:tcBorders>
            <w:shd w:val="clear" w:color="auto" w:fill="D9EAF7"/>
            <w:tcMar>
              <w:top w:w="100" w:type="dxa"/>
              <w:left w:w="110" w:type="dxa"/>
              <w:bottom w:w="100" w:type="dxa"/>
              <w:right w:w="110" w:type="dxa"/>
            </w:tcMar>
            <w:vAlign w:val="center"/>
          </w:tcPr>
          <w:p w14:paraId="520A99E6" w14:textId="77777777" w:rsidR="00C429D6" w:rsidRDefault="00000000">
            <w:pPr>
              <w:jc w:val="center"/>
            </w:pPr>
            <w:r>
              <w:rPr>
                <w:b/>
                <w:sz w:val="21"/>
              </w:rPr>
              <w:t>Control</w:t>
            </w:r>
          </w:p>
        </w:tc>
      </w:tr>
      <w:tr w:rsidR="00C429D6" w14:paraId="37C9FD40" w14:textId="77777777" w:rsidTr="00C207F3">
        <w:trPr>
          <w:cantSplit/>
          <w:jc w:val="center"/>
        </w:trPr>
        <w:tc>
          <w:tcPr>
            <w:tcW w:w="1619"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68A19F71" w14:textId="77777777" w:rsidR="00C429D6" w:rsidRDefault="00000000">
            <w:pPr>
              <w:spacing w:line="240" w:lineRule="auto"/>
              <w:jc w:val="left"/>
            </w:pPr>
            <w:r>
              <w:rPr>
                <w:sz w:val="21"/>
              </w:rPr>
              <w:t xml:space="preserve">Demand and </w:t>
            </w:r>
            <w:proofErr w:type="spellStart"/>
            <w:r>
              <w:rPr>
                <w:sz w:val="21"/>
              </w:rPr>
              <w:t>cannibalisation</w:t>
            </w:r>
            <w:proofErr w:type="spellEnd"/>
          </w:p>
        </w:tc>
        <w:tc>
          <w:tcPr>
            <w:tcW w:w="1350"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1B6EB1A8" w14:textId="77777777" w:rsidR="00C429D6" w:rsidRDefault="00000000">
            <w:pPr>
              <w:spacing w:line="240" w:lineRule="auto"/>
              <w:jc w:val="center"/>
            </w:pPr>
            <w:r>
              <w:rPr>
                <w:sz w:val="21"/>
              </w:rPr>
              <w:t>Medium</w:t>
            </w:r>
          </w:p>
        </w:tc>
        <w:tc>
          <w:tcPr>
            <w:tcW w:w="1170"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00A23A53" w14:textId="77777777" w:rsidR="00C429D6" w:rsidRDefault="00000000">
            <w:pPr>
              <w:spacing w:line="240" w:lineRule="auto"/>
              <w:jc w:val="center"/>
            </w:pPr>
            <w:r>
              <w:rPr>
                <w:sz w:val="21"/>
              </w:rPr>
              <w:t>High</w:t>
            </w:r>
          </w:p>
        </w:tc>
        <w:tc>
          <w:tcPr>
            <w:tcW w:w="4931"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6AA42FC8" w14:textId="77777777" w:rsidR="00C429D6" w:rsidRDefault="00000000">
            <w:pPr>
              <w:spacing w:line="240" w:lineRule="auto"/>
              <w:jc w:val="left"/>
            </w:pPr>
            <w:r>
              <w:rPr>
                <w:sz w:val="21"/>
              </w:rPr>
              <w:t>Use route-level eligibility rules, holdout tests and measures of extra bookings before expanding the plan.</w:t>
            </w:r>
          </w:p>
        </w:tc>
      </w:tr>
      <w:tr w:rsidR="00C429D6" w14:paraId="1FE8001F" w14:textId="77777777" w:rsidTr="00C207F3">
        <w:trPr>
          <w:cantSplit/>
          <w:jc w:val="center"/>
        </w:trPr>
        <w:tc>
          <w:tcPr>
            <w:tcW w:w="1619"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5B054D46" w14:textId="77777777" w:rsidR="00C429D6" w:rsidRDefault="00000000">
            <w:pPr>
              <w:spacing w:line="240" w:lineRule="auto"/>
              <w:jc w:val="left"/>
            </w:pPr>
            <w:r>
              <w:rPr>
                <w:sz w:val="21"/>
              </w:rPr>
              <w:t>Price fairness and trust</w:t>
            </w:r>
          </w:p>
        </w:tc>
        <w:tc>
          <w:tcPr>
            <w:tcW w:w="1350"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75726C24" w14:textId="77777777" w:rsidR="00C429D6" w:rsidRDefault="00000000">
            <w:pPr>
              <w:spacing w:line="240" w:lineRule="auto"/>
              <w:jc w:val="center"/>
            </w:pPr>
            <w:r>
              <w:rPr>
                <w:sz w:val="21"/>
              </w:rPr>
              <w:t>Medium</w:t>
            </w:r>
          </w:p>
        </w:tc>
        <w:tc>
          <w:tcPr>
            <w:tcW w:w="1170"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41AB88A1" w14:textId="77777777" w:rsidR="00C429D6" w:rsidRDefault="00000000">
            <w:pPr>
              <w:spacing w:line="240" w:lineRule="auto"/>
              <w:jc w:val="center"/>
            </w:pPr>
            <w:r>
              <w:rPr>
                <w:sz w:val="21"/>
              </w:rPr>
              <w:t>High</w:t>
            </w:r>
          </w:p>
        </w:tc>
        <w:tc>
          <w:tcPr>
            <w:tcW w:w="4931"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6CA56386" w14:textId="77777777" w:rsidR="00C429D6" w:rsidRDefault="00000000">
            <w:pPr>
              <w:spacing w:line="240" w:lineRule="auto"/>
              <w:jc w:val="left"/>
            </w:pPr>
            <w:r>
              <w:rPr>
                <w:sz w:val="21"/>
              </w:rPr>
              <w:t>Use clear packages and pricing rules. Avoid hidden personal pricing. Monitor complaints and conversion.</w:t>
            </w:r>
          </w:p>
        </w:tc>
      </w:tr>
      <w:tr w:rsidR="00C429D6" w14:paraId="6C0F93A8" w14:textId="77777777" w:rsidTr="00C207F3">
        <w:trPr>
          <w:cantSplit/>
          <w:jc w:val="center"/>
        </w:trPr>
        <w:tc>
          <w:tcPr>
            <w:tcW w:w="1619"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2259633B" w14:textId="77777777" w:rsidR="00C429D6" w:rsidRDefault="00000000">
            <w:pPr>
              <w:spacing w:line="240" w:lineRule="auto"/>
              <w:jc w:val="left"/>
            </w:pPr>
            <w:r>
              <w:rPr>
                <w:sz w:val="21"/>
              </w:rPr>
              <w:t>Operational or service pressure</w:t>
            </w:r>
          </w:p>
        </w:tc>
        <w:tc>
          <w:tcPr>
            <w:tcW w:w="1350"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5A408A3A" w14:textId="77777777" w:rsidR="00C429D6" w:rsidRDefault="00000000">
            <w:pPr>
              <w:spacing w:line="240" w:lineRule="auto"/>
              <w:jc w:val="center"/>
            </w:pPr>
            <w:r>
              <w:rPr>
                <w:sz w:val="21"/>
              </w:rPr>
              <w:t>Medium</w:t>
            </w:r>
          </w:p>
        </w:tc>
        <w:tc>
          <w:tcPr>
            <w:tcW w:w="1170"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7903AAF5" w14:textId="77777777" w:rsidR="00C429D6" w:rsidRDefault="00000000">
            <w:pPr>
              <w:spacing w:line="240" w:lineRule="auto"/>
              <w:jc w:val="center"/>
            </w:pPr>
            <w:r>
              <w:rPr>
                <w:sz w:val="21"/>
              </w:rPr>
              <w:t>High</w:t>
            </w:r>
          </w:p>
        </w:tc>
        <w:tc>
          <w:tcPr>
            <w:tcW w:w="4931"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1CC27BAE" w14:textId="77777777" w:rsidR="00C429D6" w:rsidRDefault="00000000">
            <w:pPr>
              <w:spacing w:line="240" w:lineRule="auto"/>
              <w:jc w:val="left"/>
            </w:pPr>
            <w:r>
              <w:rPr>
                <w:sz w:val="21"/>
              </w:rPr>
              <w:t>Test the plan on established routes with confirmed hotel, crew and ground capacity. Keep service standards protected.</w:t>
            </w:r>
          </w:p>
        </w:tc>
      </w:tr>
      <w:tr w:rsidR="00C429D6" w14:paraId="161A5400" w14:textId="77777777" w:rsidTr="00C207F3">
        <w:trPr>
          <w:cantSplit/>
          <w:jc w:val="center"/>
        </w:trPr>
        <w:tc>
          <w:tcPr>
            <w:tcW w:w="1619"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2CA07EE1" w14:textId="77777777" w:rsidR="00C429D6" w:rsidRDefault="00000000">
            <w:pPr>
              <w:spacing w:line="240" w:lineRule="auto"/>
              <w:jc w:val="left"/>
            </w:pPr>
            <w:r>
              <w:rPr>
                <w:sz w:val="21"/>
              </w:rPr>
              <w:t>Data privacy</w:t>
            </w:r>
          </w:p>
        </w:tc>
        <w:tc>
          <w:tcPr>
            <w:tcW w:w="1350"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2430587A" w14:textId="77777777" w:rsidR="00C429D6" w:rsidRDefault="00000000">
            <w:pPr>
              <w:spacing w:line="240" w:lineRule="auto"/>
              <w:jc w:val="center"/>
            </w:pPr>
            <w:r>
              <w:rPr>
                <w:sz w:val="21"/>
              </w:rPr>
              <w:t>Low</w:t>
            </w:r>
          </w:p>
        </w:tc>
        <w:tc>
          <w:tcPr>
            <w:tcW w:w="1170"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6DBF18E2" w14:textId="77777777" w:rsidR="00C429D6" w:rsidRDefault="00000000">
            <w:pPr>
              <w:spacing w:line="240" w:lineRule="auto"/>
              <w:jc w:val="center"/>
            </w:pPr>
            <w:r>
              <w:rPr>
                <w:sz w:val="21"/>
              </w:rPr>
              <w:t>High</w:t>
            </w:r>
          </w:p>
        </w:tc>
        <w:tc>
          <w:tcPr>
            <w:tcW w:w="4931"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572A8AC4" w14:textId="77777777" w:rsidR="00C429D6" w:rsidRDefault="00000000">
            <w:pPr>
              <w:spacing w:line="240" w:lineRule="auto"/>
              <w:jc w:val="left"/>
            </w:pPr>
            <w:r>
              <w:rPr>
                <w:sz w:val="21"/>
              </w:rPr>
              <w:t>Use aggregated analysis for the BDP. For implementation, require a legal basis, minimum necessary data, opt-out controls and an impact assessment.</w:t>
            </w:r>
          </w:p>
        </w:tc>
      </w:tr>
      <w:tr w:rsidR="00C429D6" w14:paraId="458BC0FC" w14:textId="77777777" w:rsidTr="00C207F3">
        <w:trPr>
          <w:cantSplit/>
          <w:jc w:val="center"/>
        </w:trPr>
        <w:tc>
          <w:tcPr>
            <w:tcW w:w="1619"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0B1552D4" w14:textId="77777777" w:rsidR="00C429D6" w:rsidRDefault="00000000">
            <w:pPr>
              <w:spacing w:line="240" w:lineRule="auto"/>
              <w:jc w:val="left"/>
            </w:pPr>
            <w:r>
              <w:rPr>
                <w:sz w:val="21"/>
              </w:rPr>
              <w:t>External disruption and input costs</w:t>
            </w:r>
          </w:p>
        </w:tc>
        <w:tc>
          <w:tcPr>
            <w:tcW w:w="1350"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4C1745CA" w14:textId="77777777" w:rsidR="00C429D6" w:rsidRDefault="00000000">
            <w:pPr>
              <w:spacing w:line="240" w:lineRule="auto"/>
              <w:jc w:val="center"/>
            </w:pPr>
            <w:r>
              <w:rPr>
                <w:sz w:val="21"/>
              </w:rPr>
              <w:t>High</w:t>
            </w:r>
          </w:p>
        </w:tc>
        <w:tc>
          <w:tcPr>
            <w:tcW w:w="1170"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33DD27C2" w14:textId="77777777" w:rsidR="00C429D6" w:rsidRDefault="00000000">
            <w:pPr>
              <w:spacing w:line="240" w:lineRule="auto"/>
              <w:jc w:val="center"/>
            </w:pPr>
            <w:r>
              <w:rPr>
                <w:sz w:val="21"/>
              </w:rPr>
              <w:t>High</w:t>
            </w:r>
          </w:p>
        </w:tc>
        <w:tc>
          <w:tcPr>
            <w:tcW w:w="4931" w:type="dxa"/>
            <w:tcBorders>
              <w:top w:val="single" w:sz="6" w:space="0" w:color="D9D9D9"/>
              <w:left w:val="single" w:sz="6" w:space="0" w:color="D9D9D9"/>
              <w:bottom w:val="single" w:sz="6" w:space="0" w:color="D9D9D9"/>
              <w:right w:val="single" w:sz="6" w:space="0" w:color="D9D9D9"/>
            </w:tcBorders>
            <w:tcMar>
              <w:top w:w="100" w:type="dxa"/>
              <w:left w:w="110" w:type="dxa"/>
              <w:bottom w:w="100" w:type="dxa"/>
              <w:right w:w="110" w:type="dxa"/>
            </w:tcMar>
            <w:vAlign w:val="center"/>
          </w:tcPr>
          <w:p w14:paraId="464AFAFE" w14:textId="77777777" w:rsidR="00C429D6" w:rsidRDefault="00000000">
            <w:pPr>
              <w:spacing w:line="240" w:lineRule="auto"/>
              <w:jc w:val="left"/>
            </w:pPr>
            <w:r>
              <w:rPr>
                <w:sz w:val="21"/>
              </w:rPr>
              <w:t>Test downside cases for fuel, exchange rates, weather, airspace and problems at destinations.</w:t>
            </w:r>
          </w:p>
        </w:tc>
      </w:tr>
      <w:tr w:rsidR="00C429D6" w14:paraId="788B64C5" w14:textId="77777777" w:rsidTr="00C207F3">
        <w:trPr>
          <w:cantSplit/>
          <w:jc w:val="center"/>
        </w:trPr>
        <w:tc>
          <w:tcPr>
            <w:tcW w:w="1619"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1D774DCE" w14:textId="77777777" w:rsidR="00C429D6" w:rsidRDefault="00000000">
            <w:pPr>
              <w:spacing w:line="240" w:lineRule="auto"/>
              <w:jc w:val="left"/>
            </w:pPr>
            <w:r>
              <w:rPr>
                <w:sz w:val="21"/>
              </w:rPr>
              <w:t>Source bias or missing route data</w:t>
            </w:r>
          </w:p>
        </w:tc>
        <w:tc>
          <w:tcPr>
            <w:tcW w:w="1350"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04F08B8A" w14:textId="77777777" w:rsidR="00C429D6" w:rsidRDefault="00000000">
            <w:pPr>
              <w:spacing w:line="240" w:lineRule="auto"/>
              <w:jc w:val="center"/>
            </w:pPr>
            <w:r>
              <w:rPr>
                <w:sz w:val="21"/>
              </w:rPr>
              <w:t>Medium</w:t>
            </w:r>
          </w:p>
        </w:tc>
        <w:tc>
          <w:tcPr>
            <w:tcW w:w="1170"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1B25ED59" w14:textId="77777777" w:rsidR="00C429D6" w:rsidRDefault="00000000">
            <w:pPr>
              <w:spacing w:line="240" w:lineRule="auto"/>
              <w:jc w:val="center"/>
            </w:pPr>
            <w:r>
              <w:rPr>
                <w:sz w:val="21"/>
              </w:rPr>
              <w:t>Medium</w:t>
            </w:r>
          </w:p>
        </w:tc>
        <w:tc>
          <w:tcPr>
            <w:tcW w:w="4931" w:type="dxa"/>
            <w:tcBorders>
              <w:top w:val="single" w:sz="6" w:space="0" w:color="D9D9D9"/>
              <w:left w:val="single" w:sz="6" w:space="0" w:color="D9D9D9"/>
              <w:bottom w:val="single" w:sz="6" w:space="0" w:color="D9D9D9"/>
              <w:right w:val="single" w:sz="6" w:space="0" w:color="D9D9D9"/>
            </w:tcBorders>
            <w:shd w:val="clear" w:color="auto" w:fill="EAF2F8"/>
            <w:tcMar>
              <w:top w:w="100" w:type="dxa"/>
              <w:left w:w="110" w:type="dxa"/>
              <w:bottom w:w="100" w:type="dxa"/>
              <w:right w:w="110" w:type="dxa"/>
            </w:tcMar>
            <w:vAlign w:val="center"/>
          </w:tcPr>
          <w:p w14:paraId="190F3C5C" w14:textId="77777777" w:rsidR="00C429D6" w:rsidRDefault="00000000">
            <w:pPr>
              <w:spacing w:line="240" w:lineRule="auto"/>
              <w:jc w:val="left"/>
            </w:pPr>
            <w:r>
              <w:rPr>
                <w:sz w:val="21"/>
              </w:rPr>
              <w:t>Check company claims against regulators and independent studies. Clearly state assumptions and missing data.</w:t>
            </w:r>
          </w:p>
        </w:tc>
      </w:tr>
    </w:tbl>
    <w:p w14:paraId="16A5C11F" w14:textId="77777777" w:rsidR="00C429D6" w:rsidRDefault="00000000">
      <w:pPr>
        <w:pStyle w:val="Heading1"/>
      </w:pPr>
      <w:r>
        <w:rPr>
          <w:rFonts w:ascii="Times New Roman" w:eastAsia="Times New Roman" w:hAnsi="Times New Roman" w:cs="Times New Roman"/>
        </w:rPr>
        <w:t>7. Project Timeline</w:t>
      </w:r>
    </w:p>
    <w:p w14:paraId="6FEE76EF" w14:textId="77777777" w:rsidR="00C429D6" w:rsidRDefault="00000000">
      <w:pPr>
        <w:pStyle w:val="BodyText"/>
      </w:pPr>
      <w:r>
        <w:t>The work will be taken through a series of related steps and supervisor feedback will be provided at each check point. This outline and the ethics application will be turned in in week 5 before getting into the detailed investigation.</w:t>
      </w:r>
    </w:p>
    <w:tbl>
      <w:tblPr>
        <w:tblW w:w="0" w:type="auto"/>
        <w:jc w:val="center"/>
        <w:tblLayout w:type="fixed"/>
        <w:tblLook w:val="04A0" w:firstRow="1" w:lastRow="0" w:firstColumn="1" w:lastColumn="0" w:noHBand="0" w:noVBand="1"/>
      </w:tblPr>
      <w:tblGrid>
        <w:gridCol w:w="4535"/>
        <w:gridCol w:w="1134"/>
        <w:gridCol w:w="1134"/>
        <w:gridCol w:w="1134"/>
        <w:gridCol w:w="1134"/>
      </w:tblGrid>
      <w:tr w:rsidR="00C429D6" w14:paraId="5F87A8C8" w14:textId="77777777">
        <w:trPr>
          <w:cantSplit/>
          <w:tblHeader/>
          <w:jc w:val="center"/>
        </w:trPr>
        <w:tc>
          <w:tcPr>
            <w:tcW w:w="4535" w:type="dxa"/>
            <w:tcBorders>
              <w:top w:val="single" w:sz="6" w:space="0" w:color="D9D9D9"/>
              <w:left w:val="single" w:sz="6" w:space="0" w:color="D9D9D9"/>
              <w:bottom w:val="single" w:sz="6" w:space="0" w:color="D9D9D9"/>
              <w:right w:val="single" w:sz="6" w:space="0" w:color="D9D9D9"/>
            </w:tcBorders>
            <w:shd w:val="clear" w:color="auto" w:fill="D9EAF7"/>
            <w:tcMar>
              <w:top w:w="90" w:type="dxa"/>
              <w:left w:w="90" w:type="dxa"/>
              <w:bottom w:w="90" w:type="dxa"/>
              <w:right w:w="90" w:type="dxa"/>
            </w:tcMar>
            <w:vAlign w:val="center"/>
          </w:tcPr>
          <w:p w14:paraId="2A55A344" w14:textId="77777777" w:rsidR="00C429D6" w:rsidRDefault="00000000">
            <w:pPr>
              <w:jc w:val="center"/>
            </w:pPr>
            <w:r>
              <w:rPr>
                <w:b/>
                <w:sz w:val="20"/>
              </w:rPr>
              <w:t>Activity</w:t>
            </w:r>
          </w:p>
        </w:tc>
        <w:tc>
          <w:tcPr>
            <w:tcW w:w="1134" w:type="dxa"/>
            <w:tcBorders>
              <w:top w:val="single" w:sz="6" w:space="0" w:color="D9D9D9"/>
              <w:left w:val="single" w:sz="6" w:space="0" w:color="D9D9D9"/>
              <w:bottom w:val="single" w:sz="6" w:space="0" w:color="D9D9D9"/>
              <w:right w:val="single" w:sz="6" w:space="0" w:color="D9D9D9"/>
            </w:tcBorders>
            <w:shd w:val="clear" w:color="auto" w:fill="D9EAF7"/>
            <w:tcMar>
              <w:top w:w="90" w:type="dxa"/>
              <w:left w:w="90" w:type="dxa"/>
              <w:bottom w:w="90" w:type="dxa"/>
              <w:right w:w="90" w:type="dxa"/>
            </w:tcMar>
            <w:vAlign w:val="center"/>
          </w:tcPr>
          <w:p w14:paraId="326525AC" w14:textId="77777777" w:rsidR="00C429D6" w:rsidRDefault="00000000">
            <w:pPr>
              <w:jc w:val="center"/>
            </w:pPr>
            <w:r>
              <w:rPr>
                <w:b/>
                <w:sz w:val="20"/>
              </w:rPr>
              <w:t>Sep</w:t>
            </w:r>
          </w:p>
        </w:tc>
        <w:tc>
          <w:tcPr>
            <w:tcW w:w="1134" w:type="dxa"/>
            <w:tcBorders>
              <w:top w:val="single" w:sz="6" w:space="0" w:color="D9D9D9"/>
              <w:left w:val="single" w:sz="6" w:space="0" w:color="D9D9D9"/>
              <w:bottom w:val="single" w:sz="6" w:space="0" w:color="D9D9D9"/>
              <w:right w:val="single" w:sz="6" w:space="0" w:color="D9D9D9"/>
            </w:tcBorders>
            <w:shd w:val="clear" w:color="auto" w:fill="D9EAF7"/>
            <w:tcMar>
              <w:top w:w="90" w:type="dxa"/>
              <w:left w:w="90" w:type="dxa"/>
              <w:bottom w:w="90" w:type="dxa"/>
              <w:right w:w="90" w:type="dxa"/>
            </w:tcMar>
            <w:vAlign w:val="center"/>
          </w:tcPr>
          <w:p w14:paraId="6D62F346" w14:textId="77777777" w:rsidR="00C429D6" w:rsidRDefault="00000000">
            <w:pPr>
              <w:jc w:val="center"/>
            </w:pPr>
            <w:r>
              <w:rPr>
                <w:b/>
                <w:sz w:val="20"/>
              </w:rPr>
              <w:t>Oct</w:t>
            </w:r>
          </w:p>
        </w:tc>
        <w:tc>
          <w:tcPr>
            <w:tcW w:w="1134" w:type="dxa"/>
            <w:tcBorders>
              <w:top w:val="single" w:sz="6" w:space="0" w:color="D9D9D9"/>
              <w:left w:val="single" w:sz="6" w:space="0" w:color="D9D9D9"/>
              <w:bottom w:val="single" w:sz="6" w:space="0" w:color="D9D9D9"/>
              <w:right w:val="single" w:sz="6" w:space="0" w:color="D9D9D9"/>
            </w:tcBorders>
            <w:shd w:val="clear" w:color="auto" w:fill="D9EAF7"/>
            <w:tcMar>
              <w:top w:w="90" w:type="dxa"/>
              <w:left w:w="90" w:type="dxa"/>
              <w:bottom w:w="90" w:type="dxa"/>
              <w:right w:w="90" w:type="dxa"/>
            </w:tcMar>
            <w:vAlign w:val="center"/>
          </w:tcPr>
          <w:p w14:paraId="081BC2B0" w14:textId="77777777" w:rsidR="00C429D6" w:rsidRDefault="00000000">
            <w:pPr>
              <w:jc w:val="center"/>
            </w:pPr>
            <w:r>
              <w:rPr>
                <w:b/>
                <w:sz w:val="20"/>
              </w:rPr>
              <w:t>Nov</w:t>
            </w:r>
          </w:p>
        </w:tc>
        <w:tc>
          <w:tcPr>
            <w:tcW w:w="1134" w:type="dxa"/>
            <w:tcBorders>
              <w:top w:val="single" w:sz="6" w:space="0" w:color="D9D9D9"/>
              <w:left w:val="single" w:sz="6" w:space="0" w:color="D9D9D9"/>
              <w:bottom w:val="single" w:sz="6" w:space="0" w:color="D9D9D9"/>
              <w:right w:val="single" w:sz="6" w:space="0" w:color="D9D9D9"/>
            </w:tcBorders>
            <w:shd w:val="clear" w:color="auto" w:fill="D9EAF7"/>
            <w:tcMar>
              <w:top w:w="90" w:type="dxa"/>
              <w:left w:w="90" w:type="dxa"/>
              <w:bottom w:w="90" w:type="dxa"/>
              <w:right w:w="90" w:type="dxa"/>
            </w:tcMar>
            <w:vAlign w:val="center"/>
          </w:tcPr>
          <w:p w14:paraId="2C088FF6" w14:textId="77777777" w:rsidR="00C429D6" w:rsidRDefault="00000000">
            <w:pPr>
              <w:jc w:val="center"/>
            </w:pPr>
            <w:r>
              <w:rPr>
                <w:b/>
                <w:sz w:val="20"/>
              </w:rPr>
              <w:t>Dec to Jan</w:t>
            </w:r>
          </w:p>
        </w:tc>
      </w:tr>
      <w:tr w:rsidR="00C429D6" w14:paraId="47F514E4" w14:textId="77777777">
        <w:trPr>
          <w:cantSplit/>
          <w:jc w:val="center"/>
        </w:trPr>
        <w:tc>
          <w:tcPr>
            <w:tcW w:w="4535"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7262E761" w14:textId="77777777" w:rsidR="00C429D6" w:rsidRDefault="00000000">
            <w:pPr>
              <w:spacing w:line="240" w:lineRule="auto"/>
              <w:jc w:val="left"/>
            </w:pPr>
            <w:r>
              <w:rPr>
                <w:sz w:val="20"/>
              </w:rPr>
              <w:t>Scope, question and ethics</w:t>
            </w: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57537590"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37D202EF"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0EC75AB3"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10EF50A2" w14:textId="77777777" w:rsidR="00C429D6" w:rsidRDefault="00C429D6">
            <w:pPr>
              <w:spacing w:line="240" w:lineRule="auto"/>
              <w:jc w:val="center"/>
            </w:pPr>
          </w:p>
        </w:tc>
      </w:tr>
      <w:tr w:rsidR="00C429D6" w14:paraId="6337204D" w14:textId="77777777">
        <w:trPr>
          <w:cantSplit/>
          <w:jc w:val="center"/>
        </w:trPr>
        <w:tc>
          <w:tcPr>
            <w:tcW w:w="4535"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202F57F4" w14:textId="77777777" w:rsidR="00C429D6" w:rsidRDefault="00000000">
            <w:pPr>
              <w:spacing w:line="240" w:lineRule="auto"/>
              <w:jc w:val="left"/>
            </w:pPr>
            <w:r>
              <w:rPr>
                <w:sz w:val="20"/>
              </w:rPr>
              <w:t>Literature and source register</w:t>
            </w: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534DFF69"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724C3BD4"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71A0284D"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28370E95" w14:textId="77777777" w:rsidR="00C429D6" w:rsidRDefault="00C429D6">
            <w:pPr>
              <w:spacing w:line="240" w:lineRule="auto"/>
              <w:jc w:val="center"/>
            </w:pPr>
          </w:p>
        </w:tc>
      </w:tr>
      <w:tr w:rsidR="00C429D6" w14:paraId="58B7C1D0" w14:textId="77777777">
        <w:trPr>
          <w:cantSplit/>
          <w:jc w:val="center"/>
        </w:trPr>
        <w:tc>
          <w:tcPr>
            <w:tcW w:w="4535"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54DF1053" w14:textId="77777777" w:rsidR="00C429D6" w:rsidRDefault="00000000">
            <w:pPr>
              <w:spacing w:line="240" w:lineRule="auto"/>
              <w:jc w:val="left"/>
            </w:pPr>
            <w:r>
              <w:rPr>
                <w:sz w:val="20"/>
              </w:rPr>
              <w:t>Company, market and competitor analysis</w:t>
            </w:r>
          </w:p>
        </w:tc>
        <w:tc>
          <w:tcPr>
            <w:tcW w:w="1134"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0C821EA4"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76DE2EED"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44BB2086"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59DB9A35" w14:textId="77777777" w:rsidR="00C429D6" w:rsidRDefault="00C429D6">
            <w:pPr>
              <w:spacing w:line="240" w:lineRule="auto"/>
              <w:jc w:val="center"/>
            </w:pPr>
          </w:p>
        </w:tc>
      </w:tr>
      <w:tr w:rsidR="00C429D6" w14:paraId="46FB4952" w14:textId="77777777">
        <w:trPr>
          <w:cantSplit/>
          <w:jc w:val="center"/>
        </w:trPr>
        <w:tc>
          <w:tcPr>
            <w:tcW w:w="4535"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1C932B3F" w14:textId="77777777" w:rsidR="00C429D6" w:rsidRDefault="00000000">
            <w:pPr>
              <w:spacing w:line="240" w:lineRule="auto"/>
              <w:jc w:val="left"/>
            </w:pPr>
            <w:r>
              <w:rPr>
                <w:sz w:val="20"/>
              </w:rPr>
              <w:t>Five models and Business Model Canvas</w:t>
            </w:r>
          </w:p>
        </w:tc>
        <w:tc>
          <w:tcPr>
            <w:tcW w:w="1134"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54EECBD4"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680E69D7"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0BFF578B"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5DCE1B54" w14:textId="77777777" w:rsidR="00C429D6" w:rsidRDefault="00C429D6">
            <w:pPr>
              <w:spacing w:line="240" w:lineRule="auto"/>
              <w:jc w:val="center"/>
            </w:pPr>
          </w:p>
        </w:tc>
      </w:tr>
      <w:tr w:rsidR="00C429D6" w14:paraId="1DE4FCAD" w14:textId="77777777">
        <w:trPr>
          <w:cantSplit/>
          <w:jc w:val="center"/>
        </w:trPr>
        <w:tc>
          <w:tcPr>
            <w:tcW w:w="4535"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3138A688" w14:textId="77777777" w:rsidR="00C429D6" w:rsidRDefault="00000000">
            <w:pPr>
              <w:spacing w:line="240" w:lineRule="auto"/>
              <w:jc w:val="left"/>
            </w:pPr>
            <w:r>
              <w:rPr>
                <w:sz w:val="20"/>
              </w:rPr>
              <w:t>Operations, people and marketing design</w:t>
            </w:r>
          </w:p>
        </w:tc>
        <w:tc>
          <w:tcPr>
            <w:tcW w:w="1134"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65597DC7"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353B3B59"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3C608911"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5E7732CE" w14:textId="77777777" w:rsidR="00C429D6" w:rsidRDefault="00000000">
            <w:pPr>
              <w:spacing w:line="240" w:lineRule="auto"/>
              <w:jc w:val="center"/>
            </w:pPr>
            <w:r>
              <w:rPr>
                <w:b/>
                <w:sz w:val="20"/>
              </w:rPr>
              <w:t>●</w:t>
            </w:r>
          </w:p>
        </w:tc>
      </w:tr>
      <w:tr w:rsidR="00C429D6" w14:paraId="045B30D1" w14:textId="77777777">
        <w:trPr>
          <w:cantSplit/>
          <w:jc w:val="center"/>
        </w:trPr>
        <w:tc>
          <w:tcPr>
            <w:tcW w:w="4535"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74BE4BA4" w14:textId="77777777" w:rsidR="00C429D6" w:rsidRDefault="00000000">
            <w:pPr>
              <w:spacing w:line="240" w:lineRule="auto"/>
              <w:jc w:val="left"/>
            </w:pPr>
            <w:r>
              <w:rPr>
                <w:sz w:val="20"/>
              </w:rPr>
              <w:t>Financial scenarios and risk analysis</w:t>
            </w:r>
          </w:p>
        </w:tc>
        <w:tc>
          <w:tcPr>
            <w:tcW w:w="1134"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4368C7C4"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25C48757"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7F88E5F9" w14:textId="77777777" w:rsidR="00C429D6" w:rsidRDefault="00000000">
            <w:pPr>
              <w:spacing w:line="240" w:lineRule="auto"/>
              <w:jc w:val="center"/>
            </w:pPr>
            <w:r>
              <w:rPr>
                <w:b/>
                <w:sz w:val="20"/>
              </w:rPr>
              <w:t>●</w:t>
            </w: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41EB8BB3" w14:textId="77777777" w:rsidR="00C429D6" w:rsidRDefault="00000000">
            <w:pPr>
              <w:spacing w:line="240" w:lineRule="auto"/>
              <w:jc w:val="center"/>
            </w:pPr>
            <w:r>
              <w:rPr>
                <w:b/>
                <w:sz w:val="20"/>
              </w:rPr>
              <w:t>●</w:t>
            </w:r>
          </w:p>
        </w:tc>
      </w:tr>
      <w:tr w:rsidR="00C429D6" w14:paraId="1A0E3B1F" w14:textId="77777777">
        <w:trPr>
          <w:cantSplit/>
          <w:jc w:val="center"/>
        </w:trPr>
        <w:tc>
          <w:tcPr>
            <w:tcW w:w="4535"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396C6CC9" w14:textId="77777777" w:rsidR="00C429D6" w:rsidRDefault="00000000">
            <w:pPr>
              <w:spacing w:line="240" w:lineRule="auto"/>
              <w:jc w:val="left"/>
            </w:pPr>
            <w:r>
              <w:rPr>
                <w:sz w:val="20"/>
              </w:rPr>
              <w:t>Synthesis, drafting and supervisor review</w:t>
            </w:r>
          </w:p>
        </w:tc>
        <w:tc>
          <w:tcPr>
            <w:tcW w:w="1134"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0F9630F7"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0FE13452"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tcMar>
              <w:top w:w="80" w:type="dxa"/>
              <w:left w:w="90" w:type="dxa"/>
              <w:bottom w:w="80" w:type="dxa"/>
              <w:right w:w="90" w:type="dxa"/>
            </w:tcMar>
            <w:vAlign w:val="center"/>
          </w:tcPr>
          <w:p w14:paraId="4DA0F74B"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333BD95B" w14:textId="77777777" w:rsidR="00C429D6" w:rsidRDefault="00000000">
            <w:pPr>
              <w:spacing w:line="240" w:lineRule="auto"/>
              <w:jc w:val="center"/>
            </w:pPr>
            <w:r>
              <w:rPr>
                <w:b/>
                <w:sz w:val="20"/>
              </w:rPr>
              <w:t>●</w:t>
            </w:r>
          </w:p>
        </w:tc>
      </w:tr>
      <w:tr w:rsidR="00C429D6" w14:paraId="0910310D" w14:textId="77777777">
        <w:trPr>
          <w:cantSplit/>
          <w:jc w:val="center"/>
        </w:trPr>
        <w:tc>
          <w:tcPr>
            <w:tcW w:w="4535"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2EFEDD8B" w14:textId="77777777" w:rsidR="00C429D6" w:rsidRDefault="00000000">
            <w:pPr>
              <w:spacing w:line="240" w:lineRule="auto"/>
              <w:jc w:val="left"/>
            </w:pPr>
            <w:r>
              <w:rPr>
                <w:sz w:val="20"/>
              </w:rPr>
              <w:t>Revision, audit and submission</w:t>
            </w:r>
          </w:p>
        </w:tc>
        <w:tc>
          <w:tcPr>
            <w:tcW w:w="1134"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0285E9B4"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66634773"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shd w:val="clear" w:color="auto" w:fill="F2F2F2"/>
            <w:tcMar>
              <w:top w:w="80" w:type="dxa"/>
              <w:left w:w="90" w:type="dxa"/>
              <w:bottom w:w="80" w:type="dxa"/>
              <w:right w:w="90" w:type="dxa"/>
            </w:tcMar>
            <w:vAlign w:val="center"/>
          </w:tcPr>
          <w:p w14:paraId="09B8F54D" w14:textId="77777777" w:rsidR="00C429D6" w:rsidRDefault="00C429D6">
            <w:pPr>
              <w:spacing w:line="240" w:lineRule="auto"/>
              <w:jc w:val="center"/>
            </w:pPr>
          </w:p>
        </w:tc>
        <w:tc>
          <w:tcPr>
            <w:tcW w:w="1134" w:type="dxa"/>
            <w:tcBorders>
              <w:top w:val="single" w:sz="6" w:space="0" w:color="D9D9D9"/>
              <w:left w:val="single" w:sz="6" w:space="0" w:color="D9D9D9"/>
              <w:bottom w:val="single" w:sz="6" w:space="0" w:color="D9D9D9"/>
              <w:right w:val="single" w:sz="6" w:space="0" w:color="D9D9D9"/>
            </w:tcBorders>
            <w:shd w:val="clear" w:color="auto" w:fill="9DC3E6"/>
            <w:tcMar>
              <w:top w:w="80" w:type="dxa"/>
              <w:left w:w="90" w:type="dxa"/>
              <w:bottom w:w="80" w:type="dxa"/>
              <w:right w:w="90" w:type="dxa"/>
            </w:tcMar>
            <w:vAlign w:val="center"/>
          </w:tcPr>
          <w:p w14:paraId="17A75262" w14:textId="77777777" w:rsidR="00C429D6" w:rsidRDefault="00000000">
            <w:pPr>
              <w:spacing w:line="240" w:lineRule="auto"/>
              <w:jc w:val="center"/>
            </w:pPr>
            <w:r>
              <w:rPr>
                <w:b/>
                <w:sz w:val="20"/>
              </w:rPr>
              <w:t>●</w:t>
            </w:r>
          </w:p>
        </w:tc>
      </w:tr>
    </w:tbl>
    <w:p w14:paraId="4D368315" w14:textId="77777777" w:rsidR="00C429D6" w:rsidRDefault="00000000">
      <w:pPr>
        <w:pStyle w:val="Heading1"/>
      </w:pPr>
      <w:r>
        <w:rPr>
          <w:rFonts w:ascii="Times New Roman" w:eastAsia="Times New Roman" w:hAnsi="Times New Roman" w:cs="Times New Roman"/>
        </w:rPr>
        <w:t>8. Expected Contribution</w:t>
      </w:r>
    </w:p>
    <w:p w14:paraId="3F4FA1C8" w14:textId="77777777" w:rsidR="00C429D6" w:rsidRDefault="00000000">
      <w:pPr>
        <w:pStyle w:val="BodyText"/>
      </w:pPr>
      <w:r>
        <w:t>The BDP will be able to offer a growth proposal to aid a business decision and not just a general review of Jet2. It combines market evidence, customer groups, route economics, service protection, staff requirements and cash-flow impacts. The ultimate recommendation may be to increase, modify or deny Jet2 FlexSeason based on the evidence. This will ensure that the analysis is independent and will ensure that implementation will only be recommended if the additional value is still reasonable on reasonable downside scenarios.</w:t>
      </w:r>
    </w:p>
    <w:p w14:paraId="6CFE57BC" w14:textId="77777777" w:rsidR="00C429D6" w:rsidRDefault="00000000">
      <w:r>
        <w:br w:type="page"/>
      </w:r>
    </w:p>
    <w:p w14:paraId="7478BE94" w14:textId="77777777" w:rsidR="00C429D6" w:rsidRDefault="00000000">
      <w:pPr>
        <w:pStyle w:val="Heading1"/>
      </w:pPr>
      <w:r>
        <w:rPr>
          <w:rFonts w:ascii="Times New Roman" w:eastAsia="Times New Roman" w:hAnsi="Times New Roman" w:cs="Times New Roman"/>
        </w:rPr>
        <w:t>Reference List</w:t>
      </w:r>
    </w:p>
    <w:p w14:paraId="6E2C4F27" w14:textId="77777777" w:rsidR="009E73A0" w:rsidRDefault="009E73A0" w:rsidP="009E73A0">
      <w:pPr>
        <w:pStyle w:val="pdq2pgselectionanchorcontainer"/>
        <w:ind w:left="720" w:hanging="720"/>
      </w:pPr>
      <w:r>
        <w:t xml:space="preserve">ABTA (2025a) </w:t>
      </w:r>
      <w:r>
        <w:rPr>
          <w:rStyle w:val="Emphasis"/>
        </w:rPr>
        <w:t>Holiday habits 2025-26</w:t>
      </w:r>
      <w:r>
        <w:t xml:space="preserve">. Available at: </w:t>
      </w:r>
      <w:hyperlink r:id="rId8" w:tgtFrame="_new" w:history="1">
        <w:r>
          <w:rPr>
            <w:rStyle w:val="Hyperlink"/>
          </w:rPr>
          <w:t>https://www.abta.com/sites/default/files/media/document/uploads/Holiday%20Habits_2025_26_FINAL.pdf</w:t>
        </w:r>
      </w:hyperlink>
      <w:r>
        <w:t xml:space="preserve"> (Accessed: 17 September 2026).</w:t>
      </w:r>
    </w:p>
    <w:p w14:paraId="34E583E1" w14:textId="77777777" w:rsidR="009E73A0" w:rsidRDefault="009E73A0" w:rsidP="009E73A0">
      <w:pPr>
        <w:pStyle w:val="NormalWeb"/>
        <w:ind w:left="720" w:hanging="720"/>
      </w:pPr>
      <w:r>
        <w:t xml:space="preserve">ABTA (2025b) </w:t>
      </w:r>
      <w:r>
        <w:rPr>
          <w:rStyle w:val="Emphasis"/>
        </w:rPr>
        <w:t>Travel trends for 2026</w:t>
      </w:r>
      <w:r>
        <w:t xml:space="preserve">. Available at: </w:t>
      </w:r>
      <w:hyperlink r:id="rId9" w:tgtFrame="_new" w:history="1">
        <w:r>
          <w:rPr>
            <w:rStyle w:val="Hyperlink"/>
          </w:rPr>
          <w:t>https://www.abta.com/sites/default/files/media/document/uploads/Travel%20Trends%202026%20-%20FINAL%20241125.pdf</w:t>
        </w:r>
      </w:hyperlink>
      <w:r>
        <w:t xml:space="preserve"> (Accessed: 17 September 2026).</w:t>
      </w:r>
    </w:p>
    <w:p w14:paraId="64011A30" w14:textId="77777777" w:rsidR="009E73A0" w:rsidRDefault="009E73A0" w:rsidP="009E73A0">
      <w:pPr>
        <w:pStyle w:val="NormalWeb"/>
        <w:ind w:left="720" w:hanging="720"/>
      </w:pPr>
      <w:proofErr w:type="spellStart"/>
      <w:r>
        <w:t>Alderighi</w:t>
      </w:r>
      <w:proofErr w:type="spellEnd"/>
      <w:r>
        <w:t xml:space="preserve">, M., Nava, C.R., Calabrese, M., </w:t>
      </w:r>
      <w:proofErr w:type="spellStart"/>
      <w:r>
        <w:t>Christille</w:t>
      </w:r>
      <w:proofErr w:type="spellEnd"/>
      <w:r>
        <w:t xml:space="preserve">, J.-M. and </w:t>
      </w:r>
      <w:proofErr w:type="spellStart"/>
      <w:r>
        <w:t>Salvemini</w:t>
      </w:r>
      <w:proofErr w:type="spellEnd"/>
      <w:r>
        <w:t xml:space="preserve">, C.B. (2022) ‘Consumer perception of price fairness and dynamic pricing: Evidence from Booking.com’, </w:t>
      </w:r>
      <w:r>
        <w:rPr>
          <w:rStyle w:val="Emphasis"/>
        </w:rPr>
        <w:t>Journal of Business Research</w:t>
      </w:r>
      <w:r>
        <w:t xml:space="preserve">, 145, pp. 769-783. Available at: </w:t>
      </w:r>
      <w:hyperlink r:id="rId10" w:tgtFrame="_new" w:history="1">
        <w:r>
          <w:rPr>
            <w:rStyle w:val="Hyperlink"/>
          </w:rPr>
          <w:t>https://doi.org/10.1016/j.jbusres.2022.03.017</w:t>
        </w:r>
      </w:hyperlink>
      <w:r>
        <w:t xml:space="preserve"> (Accessed: 17 September 2026).</w:t>
      </w:r>
    </w:p>
    <w:p w14:paraId="1956A045" w14:textId="77777777" w:rsidR="009E73A0" w:rsidRDefault="009E73A0" w:rsidP="009E73A0">
      <w:pPr>
        <w:pStyle w:val="NormalWeb"/>
        <w:ind w:left="720" w:hanging="720"/>
      </w:pPr>
      <w:proofErr w:type="spellStart"/>
      <w:r>
        <w:t>Ansoff</w:t>
      </w:r>
      <w:proofErr w:type="spellEnd"/>
      <w:r>
        <w:t xml:space="preserve">, H.I. (1957) ‘Strategies for diversification’, </w:t>
      </w:r>
      <w:r>
        <w:rPr>
          <w:rStyle w:val="Emphasis"/>
        </w:rPr>
        <w:t>Harvard Business Review</w:t>
      </w:r>
      <w:r>
        <w:t>, 35(5), pp. 113-124.</w:t>
      </w:r>
    </w:p>
    <w:p w14:paraId="2B4F4212" w14:textId="355FAACD" w:rsidR="009E73A0" w:rsidRDefault="009E73A0" w:rsidP="009E73A0">
      <w:pPr>
        <w:pStyle w:val="NormalWeb"/>
        <w:ind w:left="720" w:hanging="720"/>
      </w:pPr>
      <w:r>
        <w:t xml:space="preserve">Bakır, M., Atalık, Ö. and </w:t>
      </w:r>
      <w:proofErr w:type="spellStart"/>
      <w:r>
        <w:t>Itani</w:t>
      </w:r>
      <w:proofErr w:type="spellEnd"/>
      <w:r>
        <w:t xml:space="preserve">, N. (2025) ‘Service quality and repurchase intentions in the airline industry: a multiple mediation analysis through customer citizenship </w:t>
      </w:r>
      <w:proofErr w:type="spellStart"/>
      <w:r>
        <w:t>behaviour</w:t>
      </w:r>
      <w:proofErr w:type="spellEnd"/>
      <w:r w:rsidR="00F76059">
        <w:t xml:space="preserve"> </w:t>
      </w:r>
      <w:r>
        <w:t xml:space="preserve">, </w:t>
      </w:r>
      <w:r>
        <w:rPr>
          <w:rStyle w:val="Emphasis"/>
        </w:rPr>
        <w:t>Current Issues in Tourism</w:t>
      </w:r>
      <w:r>
        <w:t xml:space="preserve">, 28(24), pp. 4025-4046. Available at: </w:t>
      </w:r>
      <w:hyperlink r:id="rId11" w:tgtFrame="_new" w:history="1">
        <w:r>
          <w:rPr>
            <w:rStyle w:val="Hyperlink"/>
          </w:rPr>
          <w:t>https://doi.org/10.1080/13683500.2024.2410935</w:t>
        </w:r>
      </w:hyperlink>
      <w:r>
        <w:t xml:space="preserve"> (Accessed: 17 September 2026).</w:t>
      </w:r>
    </w:p>
    <w:p w14:paraId="1AA67F90" w14:textId="77777777" w:rsidR="009E73A0" w:rsidRDefault="009E73A0" w:rsidP="009E73A0">
      <w:pPr>
        <w:pStyle w:val="NormalWeb"/>
        <w:ind w:left="720" w:hanging="720"/>
      </w:pPr>
      <w:r>
        <w:t xml:space="preserve">Braun, V. and Clarke, V. (2021) ‘One size fits all? What counts as quality practice in reflexive thematic analysis?’, </w:t>
      </w:r>
      <w:r>
        <w:rPr>
          <w:rStyle w:val="Emphasis"/>
        </w:rPr>
        <w:t>Qualitative Research in Psychology</w:t>
      </w:r>
      <w:r>
        <w:t xml:space="preserve">, 18(3), pp. 328-352. Available at: </w:t>
      </w:r>
      <w:hyperlink r:id="rId12" w:tgtFrame="_new" w:history="1">
        <w:r>
          <w:rPr>
            <w:rStyle w:val="Hyperlink"/>
          </w:rPr>
          <w:t>https://doi.org/10.1080/14780887.2020.1769238</w:t>
        </w:r>
      </w:hyperlink>
      <w:r>
        <w:t xml:space="preserve"> (Accessed: 17 September 2026).</w:t>
      </w:r>
    </w:p>
    <w:p w14:paraId="007874AF" w14:textId="77777777" w:rsidR="009E73A0" w:rsidRDefault="009E73A0" w:rsidP="009E73A0">
      <w:pPr>
        <w:pStyle w:val="NormalWeb"/>
        <w:ind w:left="720" w:hanging="720"/>
      </w:pPr>
      <w:r>
        <w:t xml:space="preserve">Civil Aviation Authority (no date) </w:t>
      </w:r>
      <w:r>
        <w:rPr>
          <w:rStyle w:val="Emphasis"/>
        </w:rPr>
        <w:t>ATOL reports</w:t>
      </w:r>
      <w:r>
        <w:t xml:space="preserve">. Available at: </w:t>
      </w:r>
      <w:hyperlink r:id="rId13" w:tgtFrame="_new" w:history="1">
        <w:r>
          <w:rPr>
            <w:rStyle w:val="Hyperlink"/>
          </w:rPr>
          <w:t>https://www.caa.co.uk/atol-protection/check-an-atol/atol-reports/</w:t>
        </w:r>
      </w:hyperlink>
      <w:r>
        <w:t xml:space="preserve"> (Accessed: 17 September 2026).</w:t>
      </w:r>
    </w:p>
    <w:p w14:paraId="282107FC" w14:textId="77777777" w:rsidR="009E73A0" w:rsidRDefault="009E73A0" w:rsidP="009E73A0">
      <w:pPr>
        <w:pStyle w:val="NormalWeb"/>
        <w:ind w:left="720" w:hanging="720"/>
      </w:pPr>
      <w:r>
        <w:t xml:space="preserve">Department for Transport (2024) </w:t>
      </w:r>
      <w:r>
        <w:rPr>
          <w:rStyle w:val="Emphasis"/>
        </w:rPr>
        <w:t>Pathway to net zero aviation: developing the UK sustainable aviation fuel mandate</w:t>
      </w:r>
      <w:r>
        <w:t xml:space="preserve">. Available at: </w:t>
      </w:r>
      <w:hyperlink r:id="rId14" w:tgtFrame="_new" w:history="1">
        <w:r>
          <w:rPr>
            <w:rStyle w:val="Hyperlink"/>
          </w:rPr>
          <w:t>https://www.gov.uk/government/consultations/pathway-to-net-zero-aviation-developing-the-uk-sustainable-aviation-fuel-mandate</w:t>
        </w:r>
      </w:hyperlink>
      <w:r>
        <w:t xml:space="preserve"> (Accessed: 17 September 2026).</w:t>
      </w:r>
    </w:p>
    <w:p w14:paraId="163C210C" w14:textId="77777777" w:rsidR="009E73A0" w:rsidRDefault="009E73A0" w:rsidP="009E73A0">
      <w:pPr>
        <w:pStyle w:val="NormalWeb"/>
        <w:ind w:left="720" w:hanging="720"/>
      </w:pPr>
      <w:r>
        <w:t xml:space="preserve">Hassan, T.H. and Salem, A.E. (2022) ‘Impact of service quality of low-cost carriers on airline image and consumers’ satisfaction and loyalty during the COVID-19 outbreak’, </w:t>
      </w:r>
      <w:r>
        <w:rPr>
          <w:rStyle w:val="Emphasis"/>
        </w:rPr>
        <w:t>International Journal of Environmental Research and Public Health</w:t>
      </w:r>
      <w:r>
        <w:t xml:space="preserve">, 19(1), article 83. Available at: </w:t>
      </w:r>
      <w:hyperlink r:id="rId15" w:tgtFrame="_new" w:history="1">
        <w:r>
          <w:rPr>
            <w:rStyle w:val="Hyperlink"/>
          </w:rPr>
          <w:t>https://doi.org/10.3390/ijerph19010083</w:t>
        </w:r>
      </w:hyperlink>
      <w:r>
        <w:t xml:space="preserve"> (Accessed: 17 September 2026).</w:t>
      </w:r>
    </w:p>
    <w:p w14:paraId="1BCC87D1" w14:textId="77777777" w:rsidR="009E73A0" w:rsidRDefault="009E73A0" w:rsidP="009E73A0">
      <w:pPr>
        <w:pStyle w:val="NormalWeb"/>
        <w:ind w:left="720" w:hanging="720"/>
      </w:pPr>
      <w:r>
        <w:t xml:space="preserve">International Air Transport Association (IATA) (2026) </w:t>
      </w:r>
      <w:r>
        <w:rPr>
          <w:rStyle w:val="Emphasis"/>
        </w:rPr>
        <w:t>Network planning: aviation’s biggest influencer?</w:t>
      </w:r>
      <w:r>
        <w:t xml:space="preserve"> Available at: </w:t>
      </w:r>
      <w:hyperlink r:id="rId16" w:tgtFrame="_new" w:history="1">
        <w:r>
          <w:rPr>
            <w:rStyle w:val="Hyperlink"/>
          </w:rPr>
          <w:t>https://www.iata.org/en/publications/newsletters/iata-knowledge-hub/network-planning-aviations-biggest-influencer/</w:t>
        </w:r>
      </w:hyperlink>
      <w:r>
        <w:t xml:space="preserve"> (Accessed: 17 September 2026).</w:t>
      </w:r>
    </w:p>
    <w:p w14:paraId="10830C79" w14:textId="77777777" w:rsidR="009E73A0" w:rsidRDefault="009E73A0" w:rsidP="009E73A0">
      <w:pPr>
        <w:pStyle w:val="NormalWeb"/>
        <w:ind w:left="720" w:hanging="720"/>
      </w:pPr>
      <w:r>
        <w:t xml:space="preserve">Jet2 plc (2026a) </w:t>
      </w:r>
      <w:r>
        <w:rPr>
          <w:rStyle w:val="Emphasis"/>
        </w:rPr>
        <w:t>Annual report and accounts 2026</w:t>
      </w:r>
      <w:r>
        <w:t xml:space="preserve">. Available at: </w:t>
      </w:r>
      <w:hyperlink r:id="rId17" w:tgtFrame="_new" w:history="1">
        <w:r>
          <w:rPr>
            <w:rStyle w:val="Hyperlink"/>
          </w:rPr>
          <w:t>https://www.jet2plc.com/-/media/Jet2/Jet2plc/Jet2Plc_Redesign2025/Reports/2026/Annual_Report/2026_Jet2plc_Annual_Report_Accounts.pdf</w:t>
        </w:r>
      </w:hyperlink>
      <w:r>
        <w:t xml:space="preserve"> (Accessed: 17 September 2026).</w:t>
      </w:r>
    </w:p>
    <w:p w14:paraId="0E8227E2" w14:textId="77777777" w:rsidR="009E73A0" w:rsidRDefault="009E73A0" w:rsidP="009E73A0">
      <w:pPr>
        <w:pStyle w:val="NormalWeb"/>
        <w:ind w:left="720" w:hanging="720"/>
      </w:pPr>
      <w:r>
        <w:t xml:space="preserve">Jet2 plc (2026b) </w:t>
      </w:r>
      <w:r>
        <w:rPr>
          <w:rStyle w:val="Emphasis"/>
        </w:rPr>
        <w:t>Investment case</w:t>
      </w:r>
      <w:r>
        <w:t xml:space="preserve">. Available at: </w:t>
      </w:r>
      <w:hyperlink r:id="rId18" w:tgtFrame="_new" w:history="1">
        <w:r>
          <w:rPr>
            <w:rStyle w:val="Hyperlink"/>
          </w:rPr>
          <w:t>https://www.jet2plc.com/en/investment-case</w:t>
        </w:r>
      </w:hyperlink>
      <w:r>
        <w:t xml:space="preserve"> (Accessed: 17 September 2026).</w:t>
      </w:r>
    </w:p>
    <w:p w14:paraId="3240C17C" w14:textId="77777777" w:rsidR="009E73A0" w:rsidRDefault="009E73A0" w:rsidP="009E73A0">
      <w:pPr>
        <w:pStyle w:val="NormalWeb"/>
        <w:ind w:left="720" w:hanging="720"/>
      </w:pPr>
      <w:r>
        <w:t xml:space="preserve">Office for National Statistics (2025) </w:t>
      </w:r>
      <w:r>
        <w:rPr>
          <w:rStyle w:val="Emphasis"/>
        </w:rPr>
        <w:t>Travel trends: 2024</w:t>
      </w:r>
      <w:r>
        <w:t xml:space="preserve">. Available at: </w:t>
      </w:r>
      <w:hyperlink r:id="rId19" w:tgtFrame="_new" w:history="1">
        <w:r>
          <w:rPr>
            <w:rStyle w:val="Hyperlink"/>
          </w:rPr>
          <w:t>https://www.ons.gov.uk/peoplepopulationandcommunity/leisureandtourism/articles/traveltrends/2024</w:t>
        </w:r>
      </w:hyperlink>
      <w:r>
        <w:t xml:space="preserve"> (Accessed: 17 September 2026).</w:t>
      </w:r>
    </w:p>
    <w:p w14:paraId="794B92F7" w14:textId="4569C74B" w:rsidR="009E73A0" w:rsidRDefault="004F33D8" w:rsidP="009E73A0">
      <w:pPr>
        <w:pStyle w:val="NormalWeb"/>
        <w:ind w:left="720" w:hanging="720"/>
      </w:pPr>
      <w:r>
        <w:t>Asterwalder</w:t>
      </w:r>
      <w:r w:rsidR="009E73A0">
        <w:t xml:space="preserve">, A. and </w:t>
      </w:r>
      <w:r w:rsidR="00FA14AD">
        <w:t>Peignoir</w:t>
      </w:r>
      <w:r w:rsidR="009E73A0">
        <w:t xml:space="preserve">, Y. (2010) </w:t>
      </w:r>
      <w:r w:rsidR="009E73A0">
        <w:rPr>
          <w:rStyle w:val="Emphasis"/>
        </w:rPr>
        <w:t>Business model generation</w:t>
      </w:r>
      <w:r w:rsidR="009E73A0">
        <w:t>. Hoboken, NJ: John Wiley &amp; Sons.</w:t>
      </w:r>
    </w:p>
    <w:p w14:paraId="6351F8EA" w14:textId="77777777" w:rsidR="009E73A0" w:rsidRDefault="009E73A0" w:rsidP="009E73A0">
      <w:pPr>
        <w:pStyle w:val="NormalWeb"/>
        <w:ind w:left="720" w:hanging="720"/>
      </w:pPr>
      <w:r>
        <w:t xml:space="preserve">Porter, M.E. (2008) ‘The five competitive forces that shape strategy’, </w:t>
      </w:r>
      <w:r>
        <w:rPr>
          <w:rStyle w:val="Emphasis"/>
        </w:rPr>
        <w:t>Harvard Business Review</w:t>
      </w:r>
      <w:r>
        <w:t>, 86(1), pp. 78-93.</w:t>
      </w:r>
    </w:p>
    <w:p w14:paraId="5AC70FE2" w14:textId="5582B669" w:rsidR="009E73A0" w:rsidRDefault="009E73A0" w:rsidP="009E73A0">
      <w:pPr>
        <w:pStyle w:val="NormalWeb"/>
        <w:ind w:left="720" w:hanging="720"/>
      </w:pPr>
      <w:r>
        <w:t xml:space="preserve">Saunders, M., Lewis, P. and </w:t>
      </w:r>
      <w:r w:rsidR="00BF314A">
        <w:t>Thorn-hill</w:t>
      </w:r>
      <w:r>
        <w:t xml:space="preserve">, A. (2023) </w:t>
      </w:r>
      <w:r>
        <w:rPr>
          <w:rStyle w:val="Emphasis"/>
        </w:rPr>
        <w:t>Research methods for business students</w:t>
      </w:r>
      <w:r>
        <w:t xml:space="preserve">. 9th </w:t>
      </w:r>
      <w:proofErr w:type="spellStart"/>
      <w:r>
        <w:t>edn</w:t>
      </w:r>
      <w:proofErr w:type="spellEnd"/>
      <w:r>
        <w:t>. Harlow: Pearson.</w:t>
      </w:r>
    </w:p>
    <w:p w14:paraId="21B93A01" w14:textId="77777777" w:rsidR="009E73A0" w:rsidRDefault="009E73A0" w:rsidP="009E73A0">
      <w:pPr>
        <w:pStyle w:val="NormalWeb"/>
        <w:ind w:left="720" w:hanging="720"/>
      </w:pPr>
      <w:proofErr w:type="spellStart"/>
      <w:r>
        <w:t>Senbeto</w:t>
      </w:r>
      <w:proofErr w:type="spellEnd"/>
      <w:r>
        <w:t xml:space="preserve">, D.L., Hon, A.H.Y., </w:t>
      </w:r>
      <w:proofErr w:type="spellStart"/>
      <w:r>
        <w:t>Köseoğlu</w:t>
      </w:r>
      <w:proofErr w:type="spellEnd"/>
      <w:r>
        <w:t xml:space="preserve">, M.A., King, B. and Vo-Thanh, T. (2024) ‘Seasonality in tourism and hospitality: a review and typology for future research’, </w:t>
      </w:r>
      <w:r>
        <w:rPr>
          <w:rStyle w:val="Emphasis"/>
        </w:rPr>
        <w:t>Tourism Analysis</w:t>
      </w:r>
      <w:r>
        <w:t xml:space="preserve">, 29(2), pp. 175-186. Available at: </w:t>
      </w:r>
      <w:hyperlink r:id="rId20" w:tgtFrame="_new" w:history="1">
        <w:r>
          <w:rPr>
            <w:rStyle w:val="Hyperlink"/>
          </w:rPr>
          <w:t>https://doi.org/10.3727/108354224X17076820300692</w:t>
        </w:r>
      </w:hyperlink>
      <w:r>
        <w:t xml:space="preserve"> (Accessed: 17 September 2026).</w:t>
      </w:r>
    </w:p>
    <w:p w14:paraId="59F2F73A" w14:textId="77777777" w:rsidR="009E73A0" w:rsidRDefault="009E73A0" w:rsidP="009E73A0">
      <w:pPr>
        <w:pStyle w:val="NormalWeb"/>
        <w:ind w:left="720" w:hanging="720"/>
      </w:pPr>
      <w:r>
        <w:t xml:space="preserve">Yin, R.K. (2018) </w:t>
      </w:r>
      <w:r>
        <w:rPr>
          <w:rStyle w:val="Emphasis"/>
        </w:rPr>
        <w:t>Case study research and applications: Design and methods</w:t>
      </w:r>
      <w:r>
        <w:t xml:space="preserve">. 6th </w:t>
      </w:r>
      <w:proofErr w:type="spellStart"/>
      <w:r>
        <w:t>edn</w:t>
      </w:r>
      <w:proofErr w:type="spellEnd"/>
      <w:r>
        <w:t>. Thousand Oaks, CA: SAGE.</w:t>
      </w:r>
    </w:p>
    <w:p w14:paraId="2343741E" w14:textId="510CABEC" w:rsidR="00C429D6" w:rsidRDefault="00C429D6" w:rsidP="009E73A0">
      <w:pPr>
        <w:pStyle w:val="References"/>
        <w:ind w:left="720" w:hanging="720"/>
      </w:pPr>
    </w:p>
    <w:sectPr w:rsidR="00C429D6" w:rsidSect="00034616">
      <w:footerReference w:type="default" r:id="rId21"/>
      <w:pgSz w:w="11906" w:h="16838"/>
      <w:pgMar w:top="1417" w:right="1417" w:bottom="1417" w:left="1417" w:header="720"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A19A99" w14:textId="77777777" w:rsidR="00623645" w:rsidRDefault="00623645">
      <w:pPr>
        <w:spacing w:line="240" w:lineRule="auto"/>
      </w:pPr>
      <w:r>
        <w:separator/>
      </w:r>
    </w:p>
  </w:endnote>
  <w:endnote w:type="continuationSeparator" w:id="0">
    <w:p w14:paraId="4C965D47" w14:textId="77777777" w:rsidR="00623645" w:rsidRDefault="006236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E6B554F" w14:textId="77777777" w:rsidR="00C429D6" w:rsidRDefault="00000000">
    <w:pPr>
      <w:pStyle w:val="Footer"/>
      <w:jc w:val="center"/>
    </w:pPr>
    <w:r>
      <w:rPr>
        <w:sz w:val="20"/>
      </w:rPr>
      <w:fldChar w:fldCharType="begin"/>
    </w:r>
    <w:r>
      <w:rPr>
        <w:sz w:val="20"/>
      </w:rPr>
      <w:instrText xml:space="preserve"> PAGE </w:instrText>
    </w:r>
    <w:r>
      <w:rPr>
        <w:sz w:val="20"/>
      </w:rPr>
      <w:fldChar w:fldCharType="separate"/>
    </w:r>
    <w:r w:rsidR="007A0363">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C22152" w14:textId="77777777" w:rsidR="00623645" w:rsidRDefault="00623645">
      <w:pPr>
        <w:spacing w:line="240" w:lineRule="auto"/>
      </w:pPr>
      <w:r>
        <w:separator/>
      </w:r>
    </w:p>
  </w:footnote>
  <w:footnote w:type="continuationSeparator" w:id="0">
    <w:p w14:paraId="30782FB4" w14:textId="77777777" w:rsidR="00623645" w:rsidRDefault="006236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16703255">
    <w:abstractNumId w:val="8"/>
  </w:num>
  <w:num w:numId="2" w16cid:durableId="1616057681">
    <w:abstractNumId w:val="6"/>
  </w:num>
  <w:num w:numId="3" w16cid:durableId="695931496">
    <w:abstractNumId w:val="5"/>
  </w:num>
  <w:num w:numId="4" w16cid:durableId="1886869194">
    <w:abstractNumId w:val="4"/>
  </w:num>
  <w:num w:numId="5" w16cid:durableId="2107336935">
    <w:abstractNumId w:val="7"/>
  </w:num>
  <w:num w:numId="6" w16cid:durableId="1605264066">
    <w:abstractNumId w:val="3"/>
  </w:num>
  <w:num w:numId="7" w16cid:durableId="1264654325">
    <w:abstractNumId w:val="2"/>
  </w:num>
  <w:num w:numId="8" w16cid:durableId="1997223421">
    <w:abstractNumId w:val="1"/>
  </w:num>
  <w:num w:numId="9" w16cid:durableId="142136725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8"/>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F0F21"/>
    <w:rsid w:val="0015074B"/>
    <w:rsid w:val="001770CA"/>
    <w:rsid w:val="0023638E"/>
    <w:rsid w:val="00253A58"/>
    <w:rsid w:val="0029639D"/>
    <w:rsid w:val="00326F90"/>
    <w:rsid w:val="00371A62"/>
    <w:rsid w:val="003B2055"/>
    <w:rsid w:val="0045411D"/>
    <w:rsid w:val="004949DA"/>
    <w:rsid w:val="004F33D8"/>
    <w:rsid w:val="00521E8E"/>
    <w:rsid w:val="00623645"/>
    <w:rsid w:val="00637F31"/>
    <w:rsid w:val="006B7413"/>
    <w:rsid w:val="006B7CB9"/>
    <w:rsid w:val="00731476"/>
    <w:rsid w:val="007539B9"/>
    <w:rsid w:val="007946CF"/>
    <w:rsid w:val="007A0363"/>
    <w:rsid w:val="0085169B"/>
    <w:rsid w:val="00863379"/>
    <w:rsid w:val="00866945"/>
    <w:rsid w:val="008C5446"/>
    <w:rsid w:val="00942F31"/>
    <w:rsid w:val="0094706E"/>
    <w:rsid w:val="009734C2"/>
    <w:rsid w:val="009E73A0"/>
    <w:rsid w:val="00AA1D8D"/>
    <w:rsid w:val="00B24BB4"/>
    <w:rsid w:val="00B47730"/>
    <w:rsid w:val="00B61E26"/>
    <w:rsid w:val="00B84AE6"/>
    <w:rsid w:val="00BA1A8D"/>
    <w:rsid w:val="00BB4A01"/>
    <w:rsid w:val="00BF314A"/>
    <w:rsid w:val="00C16F98"/>
    <w:rsid w:val="00C207F3"/>
    <w:rsid w:val="00C429D6"/>
    <w:rsid w:val="00CB0664"/>
    <w:rsid w:val="00CD3E5F"/>
    <w:rsid w:val="00D3489D"/>
    <w:rsid w:val="00D4468B"/>
    <w:rsid w:val="00D735CA"/>
    <w:rsid w:val="00D94807"/>
    <w:rsid w:val="00DD79C7"/>
    <w:rsid w:val="00E43392"/>
    <w:rsid w:val="00F76059"/>
    <w:rsid w:val="00FA14A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EDDFA1D"/>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line="360" w:lineRule="auto"/>
      <w:jc w:val="both"/>
    </w:pPr>
    <w:rPr>
      <w:rFonts w:ascii="Times New Roman" w:eastAsia="Times New Roman" w:hAnsi="Times New Roman" w:cs="Times New Roman"/>
      <w:color w:val="000000"/>
      <w:sz w:val="24"/>
    </w:rPr>
  </w:style>
  <w:style w:type="paragraph" w:styleId="Heading1">
    <w:name w:val="heading 1"/>
    <w:basedOn w:val="Normal"/>
    <w:next w:val="Normal"/>
    <w:link w:val="Heading1Char"/>
    <w:uiPriority w:val="9"/>
    <w:qFormat/>
    <w:rsid w:val="00FC693F"/>
    <w:pPr>
      <w:keepNext/>
      <w:keepLines/>
      <w:spacing w:before="240" w:after="240"/>
      <w:jc w:val="left"/>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FC693F"/>
    <w:pPr>
      <w:keepNext/>
      <w:keepLines/>
      <w:spacing w:before="240" w:after="240"/>
      <w:jc w:val="left"/>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120" w:after="120"/>
      <w:jc w:val="left"/>
      <w:outlineLvl w:val="2"/>
    </w:pPr>
    <w:rPr>
      <w:rFonts w:asciiTheme="majorHAnsi" w:eastAsiaTheme="majorEastAsia" w:hAnsiTheme="majorHAnsi" w:cstheme="majorBidi"/>
      <w:b/>
      <w:bCs/>
      <w:i/>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240" w:line="240" w:lineRule="auto"/>
      <w:contextualSpacing/>
    </w:pPr>
    <w:rPr>
      <w:rFonts w:asciiTheme="majorHAnsi" w:eastAsiaTheme="majorEastAsia" w:hAnsiTheme="majorHAnsi" w:cstheme="majorBidi"/>
      <w:b/>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s">
    <w:name w:val="References"/>
    <w:pPr>
      <w:spacing w:after="0" w:line="360" w:lineRule="auto"/>
    </w:pPr>
    <w:rPr>
      <w:rFonts w:ascii="Times New Roman" w:eastAsia="Times New Roman" w:hAnsi="Times New Roman" w:cs="Times New Roman"/>
      <w:color w:val="000000"/>
      <w:sz w:val="24"/>
    </w:rPr>
  </w:style>
  <w:style w:type="paragraph" w:customStyle="1" w:styleId="pdq2pgselectionanchorcontainer">
    <w:name w:val="pdq2pg_selectionanchorcontainer"/>
    <w:basedOn w:val="Normal"/>
    <w:rsid w:val="009E73A0"/>
    <w:pPr>
      <w:spacing w:before="100" w:beforeAutospacing="1" w:after="100" w:afterAutospacing="1" w:line="240" w:lineRule="auto"/>
      <w:jc w:val="left"/>
    </w:pPr>
    <w:rPr>
      <w:color w:val="auto"/>
      <w:szCs w:val="24"/>
    </w:rPr>
  </w:style>
  <w:style w:type="character" w:styleId="Hyperlink">
    <w:name w:val="Hyperlink"/>
    <w:basedOn w:val="DefaultParagraphFont"/>
    <w:uiPriority w:val="99"/>
    <w:semiHidden/>
    <w:unhideWhenUsed/>
    <w:rsid w:val="009E73A0"/>
    <w:rPr>
      <w:color w:val="0000FF"/>
      <w:u w:val="single"/>
    </w:rPr>
  </w:style>
  <w:style w:type="paragraph" w:styleId="NormalWeb">
    <w:name w:val="Normal (Web)"/>
    <w:basedOn w:val="Normal"/>
    <w:uiPriority w:val="99"/>
    <w:semiHidden/>
    <w:unhideWhenUsed/>
    <w:rsid w:val="009E73A0"/>
    <w:pPr>
      <w:spacing w:before="100" w:beforeAutospacing="1" w:after="100" w:afterAutospacing="1" w:line="240" w:lineRule="auto"/>
      <w:jc w:val="left"/>
    </w:pPr>
    <w:rPr>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141514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ta.com/sites/default/files/media/document/uploads/Holiday%20Habits_2025_26_FINAL.pdf?utm_source=chatgpt.com" TargetMode="External"/><Relationship Id="rId13" Type="http://schemas.openxmlformats.org/officeDocument/2006/relationships/hyperlink" Target="https://www.caa.co.uk/atol-protection/check-an-atol/atol-reports/?utm_source=chatgpt.com" TargetMode="External"/><Relationship Id="rId18" Type="http://schemas.openxmlformats.org/officeDocument/2006/relationships/hyperlink" Target="https://www.jet2plc.com/en/investment-case?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80/14780887.2020.1769238" TargetMode="External"/><Relationship Id="rId17" Type="http://schemas.openxmlformats.org/officeDocument/2006/relationships/hyperlink" Target="https://www.jet2plc.com/-/media/Jet2/Jet2plc/Jet2Plc_Redesign2025/Reports/2026/Annual_Report/2026_Jet2plc_Annual_Report_Accounts.pdf" TargetMode="External"/><Relationship Id="rId2" Type="http://schemas.openxmlformats.org/officeDocument/2006/relationships/numbering" Target="numbering.xml"/><Relationship Id="rId16" Type="http://schemas.openxmlformats.org/officeDocument/2006/relationships/hyperlink" Target="https://www.iata.org/en/publications/newsletters/iata-knowledge-hub/network-planning-aviations-biggest-influencer/?utm_source=chatgpt.com" TargetMode="External"/><Relationship Id="rId20" Type="http://schemas.openxmlformats.org/officeDocument/2006/relationships/hyperlink" Target="https://doi.org/10.3727/108354224X170768203006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83500.2024.2410935" TargetMode="External"/><Relationship Id="rId5" Type="http://schemas.openxmlformats.org/officeDocument/2006/relationships/webSettings" Target="webSettings.xml"/><Relationship Id="rId15" Type="http://schemas.openxmlformats.org/officeDocument/2006/relationships/hyperlink" Target="https://doi.org/10.3390/ijerph19010083" TargetMode="External"/><Relationship Id="rId23" Type="http://schemas.openxmlformats.org/officeDocument/2006/relationships/theme" Target="theme/theme1.xml"/><Relationship Id="rId10" Type="http://schemas.openxmlformats.org/officeDocument/2006/relationships/hyperlink" Target="https://doi.org/10.1016/j.jbusres.2022.03.017" TargetMode="External"/><Relationship Id="rId19" Type="http://schemas.openxmlformats.org/officeDocument/2006/relationships/hyperlink" Target="https://www.ons.gov.uk/peoplepopulationandcommunity/leisureandtourism/articles/traveltrends/2024?utm_source=chatgpt.com" TargetMode="External"/><Relationship Id="rId4" Type="http://schemas.openxmlformats.org/officeDocument/2006/relationships/settings" Target="settings.xml"/><Relationship Id="rId9" Type="http://schemas.openxmlformats.org/officeDocument/2006/relationships/hyperlink" Target="https://www.abta.com/sites/default/files/media/document/uploads/Travel%20Trends%202026%20-%20FINAL%20241125.pdf?utm_source=chatgpt.com" TargetMode="External"/><Relationship Id="rId14" Type="http://schemas.openxmlformats.org/officeDocument/2006/relationships/hyperlink" Target="https://www.gov.uk/government/consultations/pathway-to-net-zero-aviation-developing-the-uk-sustainable-aviation-fuel-mandate?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3274</Words>
  <Characters>18668</Characters>
  <Application>Microsoft Office Word</Application>
  <DocSecurity>0</DocSecurity>
  <Lines>155</Lines>
  <Paragraphs>43</Paragraphs>
  <ScaleCrop>false</ScaleCrop>
  <Manager/>
  <Company/>
  <LinksUpToDate>false</LinksUpToDate>
  <CharactersWithSpaces>21899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2026-09-20T18:05:00Z</dcterms:created>
  <dcterms:modified xsi:type="dcterms:W3CDTF">2026-09-28T11:37:00Z</dcterms:modified>
  <cp:category/>
</cp:coreProperties>
</file>