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B7ECB4" w14:textId="77777777" w:rsidR="003743AD" w:rsidRPr="003743AD" w:rsidRDefault="003743AD" w:rsidP="003743AD">
      <w:pPr>
        <w:jc w:val="center"/>
        <w:rPr>
          <w:rFonts w:ascii="Arial" w:eastAsia="Times New Roman" w:hAnsi="Arial" w:cs="Arial"/>
          <w:b/>
          <w:bCs/>
          <w:sz w:val="32"/>
          <w:szCs w:val="32"/>
          <w:lang w:eastAsia="en-GB"/>
          <w14:ligatures w14:val="none"/>
        </w:rPr>
      </w:pPr>
      <w:r w:rsidRPr="003743AD">
        <w:rPr>
          <w:rFonts w:ascii="Arial" w:eastAsia="Times New Roman" w:hAnsi="Arial" w:cs="Arial"/>
          <w:b/>
          <w:bCs/>
          <w:sz w:val="32"/>
          <w:szCs w:val="32"/>
          <w:lang w:eastAsia="en-GB"/>
          <w14:ligatures w14:val="none"/>
        </w:rPr>
        <w:t xml:space="preserve">Component 1: Coursework: </w:t>
      </w:r>
    </w:p>
    <w:p w14:paraId="2B006413" w14:textId="77777777" w:rsidR="003743AD" w:rsidRPr="003743AD" w:rsidRDefault="003743AD" w:rsidP="003743AD">
      <w:pPr>
        <w:jc w:val="center"/>
        <w:rPr>
          <w:rFonts w:ascii="Arial" w:eastAsia="Times New Roman" w:hAnsi="Arial" w:cs="Arial"/>
          <w:b/>
          <w:bCs/>
          <w:sz w:val="32"/>
          <w:szCs w:val="32"/>
          <w:lang w:eastAsia="en-GB"/>
          <w14:ligatures w14:val="none"/>
        </w:rPr>
      </w:pPr>
      <w:r w:rsidRPr="003743AD">
        <w:rPr>
          <w:rFonts w:ascii="Arial" w:eastAsia="Times New Roman" w:hAnsi="Arial" w:cs="Arial"/>
          <w:b/>
          <w:bCs/>
          <w:sz w:val="32"/>
          <w:szCs w:val="32"/>
          <w:lang w:eastAsia="en-GB"/>
          <w14:ligatures w14:val="none"/>
        </w:rPr>
        <w:t xml:space="preserve">Written Report  </w:t>
      </w:r>
    </w:p>
    <w:p w14:paraId="490BE699" w14:textId="77777777" w:rsidR="003743AD" w:rsidRPr="003743AD" w:rsidRDefault="003743AD" w:rsidP="003743AD">
      <w:pPr>
        <w:jc w:val="center"/>
        <w:rPr>
          <w:rFonts w:ascii="Arial" w:eastAsia="Times New Roman" w:hAnsi="Arial" w:cs="Arial"/>
          <w:b/>
          <w:bCs/>
          <w:sz w:val="32"/>
          <w:szCs w:val="32"/>
          <w:lang w:eastAsia="en-GB"/>
          <w14:ligatures w14:val="none"/>
        </w:rPr>
      </w:pPr>
      <w:r w:rsidRPr="003743AD">
        <w:rPr>
          <w:rFonts w:ascii="Arial" w:eastAsia="Times New Roman" w:hAnsi="Arial" w:cs="Arial"/>
          <w:b/>
          <w:bCs/>
          <w:sz w:val="32"/>
          <w:szCs w:val="32"/>
          <w:lang w:eastAsia="en-GB"/>
          <w14:ligatures w14:val="none"/>
        </w:rPr>
        <w:t>Student Name: Radu Acris</w:t>
      </w:r>
    </w:p>
    <w:p w14:paraId="689A5BAD" w14:textId="77777777" w:rsidR="003743AD" w:rsidRPr="003743AD" w:rsidRDefault="003743AD" w:rsidP="003743AD">
      <w:pPr>
        <w:jc w:val="center"/>
        <w:rPr>
          <w:rFonts w:ascii="Arial" w:eastAsia="Times New Roman" w:hAnsi="Arial" w:cs="Arial"/>
          <w:b/>
          <w:bCs/>
          <w:sz w:val="32"/>
          <w:szCs w:val="32"/>
          <w:lang w:eastAsia="en-GB"/>
          <w14:ligatures w14:val="none"/>
        </w:rPr>
      </w:pPr>
      <w:r w:rsidRPr="003743AD">
        <w:rPr>
          <w:rFonts w:ascii="Arial" w:eastAsia="Times New Roman" w:hAnsi="Arial" w:cs="Arial"/>
          <w:b/>
          <w:bCs/>
          <w:sz w:val="32"/>
          <w:szCs w:val="32"/>
          <w:lang w:eastAsia="en-GB"/>
          <w14:ligatures w14:val="none"/>
        </w:rPr>
        <w:t>Student Number: 2239621</w:t>
      </w:r>
    </w:p>
    <w:p w14:paraId="04BBE726" w14:textId="77777777" w:rsidR="003743AD" w:rsidRPr="003743AD" w:rsidRDefault="003743AD" w:rsidP="003743AD">
      <w:pPr>
        <w:jc w:val="center"/>
        <w:rPr>
          <w:rFonts w:ascii="Arial" w:eastAsia="Times New Roman" w:hAnsi="Arial" w:cs="Arial"/>
          <w:b/>
          <w:bCs/>
          <w:sz w:val="32"/>
          <w:szCs w:val="32"/>
          <w:lang w:eastAsia="en-GB"/>
          <w14:ligatures w14:val="none"/>
        </w:rPr>
      </w:pPr>
      <w:r w:rsidRPr="003743AD">
        <w:rPr>
          <w:rFonts w:ascii="Arial" w:eastAsia="Times New Roman" w:hAnsi="Arial" w:cs="Arial"/>
          <w:b/>
          <w:bCs/>
          <w:sz w:val="32"/>
          <w:szCs w:val="32"/>
          <w:lang w:eastAsia="en-GB"/>
          <w14:ligatures w14:val="none"/>
        </w:rPr>
        <w:t>Lecturer Name: Dr Mudassar Hasan</w:t>
      </w:r>
    </w:p>
    <w:p w14:paraId="379F547A" w14:textId="77777777" w:rsidR="003743AD" w:rsidRPr="003743AD" w:rsidRDefault="003743AD" w:rsidP="003743AD">
      <w:pPr>
        <w:jc w:val="center"/>
        <w:rPr>
          <w:rFonts w:ascii="Arial" w:eastAsia="Times New Roman" w:hAnsi="Arial" w:cs="Arial"/>
          <w:b/>
          <w:bCs/>
          <w:sz w:val="32"/>
          <w:szCs w:val="32"/>
          <w:lang w:eastAsia="en-GB"/>
          <w14:ligatures w14:val="none"/>
        </w:rPr>
      </w:pPr>
      <w:r w:rsidRPr="003743AD">
        <w:rPr>
          <w:rFonts w:ascii="Arial" w:eastAsia="Times New Roman" w:hAnsi="Arial" w:cs="Arial"/>
          <w:b/>
          <w:bCs/>
          <w:sz w:val="32"/>
          <w:szCs w:val="32"/>
          <w:lang w:eastAsia="en-GB"/>
          <w14:ligatures w14:val="none"/>
        </w:rPr>
        <w:t>BA (Hons) Business Management</w:t>
      </w:r>
    </w:p>
    <w:p w14:paraId="7678A495" w14:textId="77777777" w:rsidR="003743AD" w:rsidRPr="003743AD" w:rsidRDefault="003743AD" w:rsidP="003743AD">
      <w:pPr>
        <w:jc w:val="center"/>
        <w:rPr>
          <w:rFonts w:ascii="Arial" w:eastAsia="Times New Roman" w:hAnsi="Arial" w:cs="Arial"/>
          <w:b/>
          <w:bCs/>
          <w:sz w:val="32"/>
          <w:szCs w:val="32"/>
          <w:lang w:eastAsia="en-GB"/>
          <w14:ligatures w14:val="none"/>
        </w:rPr>
      </w:pPr>
      <w:r w:rsidRPr="003743AD">
        <w:rPr>
          <w:rFonts w:ascii="Arial" w:eastAsia="Times New Roman" w:hAnsi="Arial" w:cs="Arial"/>
          <w:b/>
          <w:bCs/>
          <w:sz w:val="32"/>
          <w:szCs w:val="32"/>
          <w:lang w:eastAsia="en-GB"/>
          <w14:ligatures w14:val="none"/>
        </w:rPr>
        <w:t xml:space="preserve">International Financial Management </w:t>
      </w:r>
    </w:p>
    <w:p w14:paraId="0D4EE749" w14:textId="77777777" w:rsidR="003743AD" w:rsidRPr="003743AD" w:rsidRDefault="003743AD" w:rsidP="003743AD">
      <w:pPr>
        <w:jc w:val="center"/>
        <w:rPr>
          <w:rFonts w:ascii="Arial" w:eastAsia="Times New Roman" w:hAnsi="Arial" w:cs="Arial"/>
          <w:b/>
          <w:bCs/>
          <w:sz w:val="32"/>
          <w:szCs w:val="32"/>
          <w:lang w:eastAsia="en-GB"/>
          <w14:ligatures w14:val="none"/>
        </w:rPr>
      </w:pPr>
      <w:r w:rsidRPr="003743AD">
        <w:rPr>
          <w:rFonts w:ascii="Arial" w:eastAsia="Times New Roman" w:hAnsi="Arial" w:cs="Arial"/>
          <w:b/>
          <w:bCs/>
          <w:sz w:val="32"/>
          <w:szCs w:val="32"/>
          <w:lang w:eastAsia="en-GB"/>
          <w14:ligatures w14:val="none"/>
        </w:rPr>
        <w:t>LCBB6002</w:t>
      </w:r>
    </w:p>
    <w:p w14:paraId="6406354E" w14:textId="38454F2F" w:rsidR="003743AD" w:rsidRDefault="003743AD">
      <w:r>
        <w:br w:type="page"/>
      </w:r>
    </w:p>
    <w:sdt>
      <w:sdtPr>
        <w:rPr>
          <w:rFonts w:asciiTheme="minorHAnsi" w:eastAsiaTheme="minorHAnsi" w:hAnsiTheme="minorHAnsi" w:cstheme="minorBidi"/>
          <w:color w:val="auto"/>
          <w:kern w:val="2"/>
          <w:sz w:val="24"/>
          <w:szCs w:val="24"/>
          <w:lang w:val="en-GB"/>
          <w14:ligatures w14:val="standardContextual"/>
        </w:rPr>
        <w:id w:val="-896048255"/>
        <w:docPartObj>
          <w:docPartGallery w:val="Table of Contents"/>
          <w:docPartUnique/>
        </w:docPartObj>
      </w:sdtPr>
      <w:sdtEndPr>
        <w:rPr>
          <w:b/>
          <w:bCs/>
          <w:noProof/>
        </w:rPr>
      </w:sdtEndPr>
      <w:sdtContent>
        <w:p w14:paraId="7675BA39" w14:textId="6E2E4D42" w:rsidR="009B74EA" w:rsidRPr="00424270" w:rsidRDefault="009B74EA">
          <w:pPr>
            <w:pStyle w:val="TOCHeading"/>
            <w:rPr>
              <w:rFonts w:ascii="Arial" w:hAnsi="Arial" w:cs="Arial"/>
              <w:b/>
              <w:bCs/>
              <w:color w:val="000000" w:themeColor="text1"/>
              <w:sz w:val="28"/>
              <w:szCs w:val="28"/>
            </w:rPr>
          </w:pPr>
          <w:r w:rsidRPr="00424270">
            <w:rPr>
              <w:rFonts w:ascii="Arial" w:hAnsi="Arial" w:cs="Arial"/>
              <w:b/>
              <w:bCs/>
              <w:color w:val="000000" w:themeColor="text1"/>
              <w:sz w:val="28"/>
              <w:szCs w:val="28"/>
            </w:rPr>
            <w:t>Contents</w:t>
          </w:r>
        </w:p>
        <w:p w14:paraId="3578227B" w14:textId="480C1F60" w:rsidR="00A3111E" w:rsidRDefault="009B74EA">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1479136" w:history="1">
            <w:r w:rsidR="00A3111E" w:rsidRPr="006A0D83">
              <w:rPr>
                <w:rStyle w:val="Hyperlink"/>
                <w:rFonts w:ascii="Arial" w:eastAsia="Times New Roman" w:hAnsi="Arial" w:cs="Arial"/>
                <w:b/>
                <w:bCs/>
                <w:noProof/>
                <w:lang w:eastAsia="en-GB"/>
                <w14:ligatures w14:val="none"/>
              </w:rPr>
              <w:t>1.Introduction:</w:t>
            </w:r>
            <w:r w:rsidR="00A3111E">
              <w:rPr>
                <w:noProof/>
                <w:webHidden/>
              </w:rPr>
              <w:tab/>
            </w:r>
            <w:r w:rsidR="00A3111E">
              <w:rPr>
                <w:noProof/>
                <w:webHidden/>
              </w:rPr>
              <w:fldChar w:fldCharType="begin"/>
            </w:r>
            <w:r w:rsidR="00A3111E">
              <w:rPr>
                <w:noProof/>
                <w:webHidden/>
              </w:rPr>
              <w:instrText xml:space="preserve"> PAGEREF _Toc201479136 \h </w:instrText>
            </w:r>
            <w:r w:rsidR="00A3111E">
              <w:rPr>
                <w:noProof/>
                <w:webHidden/>
              </w:rPr>
            </w:r>
            <w:r w:rsidR="00A3111E">
              <w:rPr>
                <w:noProof/>
                <w:webHidden/>
              </w:rPr>
              <w:fldChar w:fldCharType="separate"/>
            </w:r>
            <w:r w:rsidR="00A3111E">
              <w:rPr>
                <w:noProof/>
                <w:webHidden/>
              </w:rPr>
              <w:t>3</w:t>
            </w:r>
            <w:r w:rsidR="00A3111E">
              <w:rPr>
                <w:noProof/>
                <w:webHidden/>
              </w:rPr>
              <w:fldChar w:fldCharType="end"/>
            </w:r>
          </w:hyperlink>
        </w:p>
        <w:p w14:paraId="5CCF98A1" w14:textId="2311D007" w:rsidR="00A3111E" w:rsidRDefault="00A3111E">
          <w:pPr>
            <w:pStyle w:val="TOC2"/>
            <w:tabs>
              <w:tab w:val="left" w:pos="720"/>
              <w:tab w:val="right" w:leader="dot" w:pos="9016"/>
            </w:tabs>
            <w:rPr>
              <w:rFonts w:eastAsiaTheme="minorEastAsia"/>
              <w:noProof/>
              <w:lang w:eastAsia="en-GB"/>
            </w:rPr>
          </w:pPr>
          <w:hyperlink w:anchor="_Toc201479137" w:history="1">
            <w:r w:rsidRPr="006A0D83">
              <w:rPr>
                <w:rStyle w:val="Hyperlink"/>
                <w:rFonts w:ascii="Arial" w:hAnsi="Arial" w:cs="Times New Roman"/>
                <w:b/>
                <w:bCs/>
                <w:noProof/>
              </w:rPr>
              <w:t>1.</w:t>
            </w:r>
            <w:r>
              <w:rPr>
                <w:rFonts w:eastAsiaTheme="minorEastAsia"/>
                <w:noProof/>
                <w:lang w:eastAsia="en-GB"/>
              </w:rPr>
              <w:tab/>
            </w:r>
            <w:r w:rsidRPr="006A0D83">
              <w:rPr>
                <w:rStyle w:val="Hyperlink"/>
                <w:rFonts w:ascii="Arial" w:hAnsi="Arial" w:cs="Arial"/>
                <w:b/>
                <w:bCs/>
                <w:noProof/>
              </w:rPr>
              <w:t>Introduction to Corporate Governance and Agency Theory:</w:t>
            </w:r>
            <w:r>
              <w:rPr>
                <w:noProof/>
                <w:webHidden/>
              </w:rPr>
              <w:tab/>
            </w:r>
            <w:r>
              <w:rPr>
                <w:noProof/>
                <w:webHidden/>
              </w:rPr>
              <w:fldChar w:fldCharType="begin"/>
            </w:r>
            <w:r>
              <w:rPr>
                <w:noProof/>
                <w:webHidden/>
              </w:rPr>
              <w:instrText xml:space="preserve"> PAGEREF _Toc201479137 \h </w:instrText>
            </w:r>
            <w:r>
              <w:rPr>
                <w:noProof/>
                <w:webHidden/>
              </w:rPr>
            </w:r>
            <w:r>
              <w:rPr>
                <w:noProof/>
                <w:webHidden/>
              </w:rPr>
              <w:fldChar w:fldCharType="separate"/>
            </w:r>
            <w:r>
              <w:rPr>
                <w:noProof/>
                <w:webHidden/>
              </w:rPr>
              <w:t>4</w:t>
            </w:r>
            <w:r>
              <w:rPr>
                <w:noProof/>
                <w:webHidden/>
              </w:rPr>
              <w:fldChar w:fldCharType="end"/>
            </w:r>
          </w:hyperlink>
        </w:p>
        <w:p w14:paraId="231F516D" w14:textId="5B0FAADB" w:rsidR="00A3111E" w:rsidRDefault="00A3111E">
          <w:pPr>
            <w:pStyle w:val="TOC2"/>
            <w:tabs>
              <w:tab w:val="left" w:pos="960"/>
              <w:tab w:val="right" w:leader="dot" w:pos="9016"/>
            </w:tabs>
            <w:rPr>
              <w:rFonts w:eastAsiaTheme="minorEastAsia"/>
              <w:noProof/>
              <w:lang w:eastAsia="en-GB"/>
            </w:rPr>
          </w:pPr>
          <w:hyperlink w:anchor="_Toc201479138" w:history="1">
            <w:r w:rsidRPr="006A0D83">
              <w:rPr>
                <w:rStyle w:val="Hyperlink"/>
                <w:rFonts w:ascii="Arial" w:hAnsi="Arial" w:cs="Times New Roman"/>
                <w:b/>
                <w:bCs/>
                <w:noProof/>
              </w:rPr>
              <w:t>1.1.</w:t>
            </w:r>
            <w:r>
              <w:rPr>
                <w:rFonts w:eastAsiaTheme="minorEastAsia"/>
                <w:noProof/>
                <w:lang w:eastAsia="en-GB"/>
              </w:rPr>
              <w:tab/>
            </w:r>
            <w:r w:rsidRPr="006A0D83">
              <w:rPr>
                <w:rStyle w:val="Hyperlink"/>
                <w:rFonts w:ascii="Arial" w:hAnsi="Arial" w:cs="Arial"/>
                <w:b/>
                <w:bCs/>
                <w:noProof/>
              </w:rPr>
              <w:t>Corporate Governance: Concept and Requirements:</w:t>
            </w:r>
            <w:r>
              <w:rPr>
                <w:noProof/>
                <w:webHidden/>
              </w:rPr>
              <w:tab/>
            </w:r>
            <w:r>
              <w:rPr>
                <w:noProof/>
                <w:webHidden/>
              </w:rPr>
              <w:fldChar w:fldCharType="begin"/>
            </w:r>
            <w:r>
              <w:rPr>
                <w:noProof/>
                <w:webHidden/>
              </w:rPr>
              <w:instrText xml:space="preserve"> PAGEREF _Toc201479138 \h </w:instrText>
            </w:r>
            <w:r>
              <w:rPr>
                <w:noProof/>
                <w:webHidden/>
              </w:rPr>
            </w:r>
            <w:r>
              <w:rPr>
                <w:noProof/>
                <w:webHidden/>
              </w:rPr>
              <w:fldChar w:fldCharType="separate"/>
            </w:r>
            <w:r>
              <w:rPr>
                <w:noProof/>
                <w:webHidden/>
              </w:rPr>
              <w:t>4</w:t>
            </w:r>
            <w:r>
              <w:rPr>
                <w:noProof/>
                <w:webHidden/>
              </w:rPr>
              <w:fldChar w:fldCharType="end"/>
            </w:r>
          </w:hyperlink>
        </w:p>
        <w:p w14:paraId="03837C85" w14:textId="28FD670E" w:rsidR="00A3111E" w:rsidRDefault="00A3111E">
          <w:pPr>
            <w:pStyle w:val="TOC2"/>
            <w:tabs>
              <w:tab w:val="left" w:pos="960"/>
              <w:tab w:val="right" w:leader="dot" w:pos="9016"/>
            </w:tabs>
            <w:rPr>
              <w:rFonts w:eastAsiaTheme="minorEastAsia"/>
              <w:noProof/>
              <w:lang w:eastAsia="en-GB"/>
            </w:rPr>
          </w:pPr>
          <w:hyperlink w:anchor="_Toc201479139" w:history="1">
            <w:r w:rsidRPr="006A0D83">
              <w:rPr>
                <w:rStyle w:val="Hyperlink"/>
                <w:rFonts w:ascii="Arial" w:hAnsi="Arial" w:cs="Times New Roman"/>
                <w:b/>
                <w:bCs/>
                <w:noProof/>
              </w:rPr>
              <w:t>1.2.</w:t>
            </w:r>
            <w:r>
              <w:rPr>
                <w:rFonts w:eastAsiaTheme="minorEastAsia"/>
                <w:noProof/>
                <w:lang w:eastAsia="en-GB"/>
              </w:rPr>
              <w:tab/>
            </w:r>
            <w:r w:rsidRPr="006A0D83">
              <w:rPr>
                <w:rStyle w:val="Hyperlink"/>
                <w:rFonts w:ascii="Arial" w:hAnsi="Arial" w:cs="Arial"/>
                <w:b/>
                <w:bCs/>
                <w:noProof/>
              </w:rPr>
              <w:t>Agency Theory: Overview:</w:t>
            </w:r>
            <w:r>
              <w:rPr>
                <w:noProof/>
                <w:webHidden/>
              </w:rPr>
              <w:tab/>
            </w:r>
            <w:r>
              <w:rPr>
                <w:noProof/>
                <w:webHidden/>
              </w:rPr>
              <w:fldChar w:fldCharType="begin"/>
            </w:r>
            <w:r>
              <w:rPr>
                <w:noProof/>
                <w:webHidden/>
              </w:rPr>
              <w:instrText xml:space="preserve"> PAGEREF _Toc201479139 \h </w:instrText>
            </w:r>
            <w:r>
              <w:rPr>
                <w:noProof/>
                <w:webHidden/>
              </w:rPr>
            </w:r>
            <w:r>
              <w:rPr>
                <w:noProof/>
                <w:webHidden/>
              </w:rPr>
              <w:fldChar w:fldCharType="separate"/>
            </w:r>
            <w:r>
              <w:rPr>
                <w:noProof/>
                <w:webHidden/>
              </w:rPr>
              <w:t>5</w:t>
            </w:r>
            <w:r>
              <w:rPr>
                <w:noProof/>
                <w:webHidden/>
              </w:rPr>
              <w:fldChar w:fldCharType="end"/>
            </w:r>
          </w:hyperlink>
        </w:p>
        <w:p w14:paraId="664CBD73" w14:textId="4171D977" w:rsidR="00A3111E" w:rsidRDefault="00A3111E">
          <w:pPr>
            <w:pStyle w:val="TOC2"/>
            <w:tabs>
              <w:tab w:val="left" w:pos="720"/>
              <w:tab w:val="right" w:leader="dot" w:pos="9016"/>
            </w:tabs>
            <w:rPr>
              <w:rFonts w:eastAsiaTheme="minorEastAsia"/>
              <w:noProof/>
              <w:lang w:eastAsia="en-GB"/>
            </w:rPr>
          </w:pPr>
          <w:hyperlink w:anchor="_Toc201479140" w:history="1">
            <w:r w:rsidRPr="006A0D83">
              <w:rPr>
                <w:rStyle w:val="Hyperlink"/>
                <w:rFonts w:ascii="Arial" w:eastAsia="Times New Roman" w:hAnsi="Arial" w:cs="Times New Roman"/>
                <w:b/>
                <w:bCs/>
                <w:noProof/>
                <w:lang w:eastAsia="en-GB"/>
                <w14:ligatures w14:val="none"/>
              </w:rPr>
              <w:t>2.</w:t>
            </w:r>
            <w:r>
              <w:rPr>
                <w:rFonts w:eastAsiaTheme="minorEastAsia"/>
                <w:noProof/>
                <w:lang w:eastAsia="en-GB"/>
              </w:rPr>
              <w:tab/>
            </w:r>
            <w:r w:rsidRPr="006A0D83">
              <w:rPr>
                <w:rStyle w:val="Hyperlink"/>
                <w:rFonts w:ascii="Arial" w:eastAsia="Times New Roman" w:hAnsi="Arial" w:cs="Arial"/>
                <w:b/>
                <w:bCs/>
                <w:noProof/>
                <w:lang w:eastAsia="en-GB"/>
                <w14:ligatures w14:val="none"/>
              </w:rPr>
              <w:t>Retaining Control While Holding 30% of Shares:</w:t>
            </w:r>
            <w:r>
              <w:rPr>
                <w:noProof/>
                <w:webHidden/>
              </w:rPr>
              <w:tab/>
            </w:r>
            <w:r>
              <w:rPr>
                <w:noProof/>
                <w:webHidden/>
              </w:rPr>
              <w:fldChar w:fldCharType="begin"/>
            </w:r>
            <w:r>
              <w:rPr>
                <w:noProof/>
                <w:webHidden/>
              </w:rPr>
              <w:instrText xml:space="preserve"> PAGEREF _Toc201479140 \h </w:instrText>
            </w:r>
            <w:r>
              <w:rPr>
                <w:noProof/>
                <w:webHidden/>
              </w:rPr>
            </w:r>
            <w:r>
              <w:rPr>
                <w:noProof/>
                <w:webHidden/>
              </w:rPr>
              <w:fldChar w:fldCharType="separate"/>
            </w:r>
            <w:r>
              <w:rPr>
                <w:noProof/>
                <w:webHidden/>
              </w:rPr>
              <w:t>6</w:t>
            </w:r>
            <w:r>
              <w:rPr>
                <w:noProof/>
                <w:webHidden/>
              </w:rPr>
              <w:fldChar w:fldCharType="end"/>
            </w:r>
          </w:hyperlink>
        </w:p>
        <w:p w14:paraId="290CDB64" w14:textId="5C14BDB3" w:rsidR="00A3111E" w:rsidRDefault="00A3111E">
          <w:pPr>
            <w:pStyle w:val="TOC2"/>
            <w:tabs>
              <w:tab w:val="left" w:pos="720"/>
              <w:tab w:val="right" w:leader="dot" w:pos="9016"/>
            </w:tabs>
            <w:rPr>
              <w:rFonts w:eastAsiaTheme="minorEastAsia"/>
              <w:noProof/>
              <w:lang w:eastAsia="en-GB"/>
            </w:rPr>
          </w:pPr>
          <w:hyperlink w:anchor="_Toc201479141" w:history="1">
            <w:r w:rsidRPr="006A0D83">
              <w:rPr>
                <w:rStyle w:val="Hyperlink"/>
                <w:rFonts w:ascii="Arial" w:eastAsia="Times New Roman" w:hAnsi="Arial" w:cs="Times New Roman"/>
                <w:b/>
                <w:bCs/>
                <w:noProof/>
                <w:lang w:eastAsia="en-GB"/>
                <w14:ligatures w14:val="none"/>
              </w:rPr>
              <w:t>3.</w:t>
            </w:r>
            <w:r>
              <w:rPr>
                <w:rFonts w:eastAsiaTheme="minorEastAsia"/>
                <w:noProof/>
                <w:lang w:eastAsia="en-GB"/>
              </w:rPr>
              <w:tab/>
            </w:r>
            <w:r w:rsidRPr="006A0D83">
              <w:rPr>
                <w:rStyle w:val="Hyperlink"/>
                <w:rFonts w:ascii="Arial" w:eastAsia="Times New Roman" w:hAnsi="Arial" w:cs="Arial"/>
                <w:b/>
                <w:bCs/>
                <w:noProof/>
                <w:lang w:eastAsia="en-GB"/>
                <w14:ligatures w14:val="none"/>
              </w:rPr>
              <w:t>Director Remuneration and Governance Structures:</w:t>
            </w:r>
            <w:r>
              <w:rPr>
                <w:noProof/>
                <w:webHidden/>
              </w:rPr>
              <w:tab/>
            </w:r>
            <w:r>
              <w:rPr>
                <w:noProof/>
                <w:webHidden/>
              </w:rPr>
              <w:fldChar w:fldCharType="begin"/>
            </w:r>
            <w:r>
              <w:rPr>
                <w:noProof/>
                <w:webHidden/>
              </w:rPr>
              <w:instrText xml:space="preserve"> PAGEREF _Toc201479141 \h </w:instrText>
            </w:r>
            <w:r>
              <w:rPr>
                <w:noProof/>
                <w:webHidden/>
              </w:rPr>
            </w:r>
            <w:r>
              <w:rPr>
                <w:noProof/>
                <w:webHidden/>
              </w:rPr>
              <w:fldChar w:fldCharType="separate"/>
            </w:r>
            <w:r>
              <w:rPr>
                <w:noProof/>
                <w:webHidden/>
              </w:rPr>
              <w:t>7</w:t>
            </w:r>
            <w:r>
              <w:rPr>
                <w:noProof/>
                <w:webHidden/>
              </w:rPr>
              <w:fldChar w:fldCharType="end"/>
            </w:r>
          </w:hyperlink>
        </w:p>
        <w:p w14:paraId="6D495368" w14:textId="7AC01984" w:rsidR="00A3111E" w:rsidRDefault="00A3111E">
          <w:pPr>
            <w:pStyle w:val="TOC2"/>
            <w:tabs>
              <w:tab w:val="left" w:pos="720"/>
              <w:tab w:val="right" w:leader="dot" w:pos="9016"/>
            </w:tabs>
            <w:rPr>
              <w:rFonts w:eastAsiaTheme="minorEastAsia"/>
              <w:noProof/>
              <w:lang w:eastAsia="en-GB"/>
            </w:rPr>
          </w:pPr>
          <w:hyperlink w:anchor="_Toc201479142" w:history="1">
            <w:r w:rsidRPr="006A0D83">
              <w:rPr>
                <w:rStyle w:val="Hyperlink"/>
                <w:rFonts w:ascii="Arial" w:eastAsia="Times New Roman" w:hAnsi="Arial" w:cs="Times New Roman"/>
                <w:b/>
                <w:bCs/>
                <w:noProof/>
                <w:lang w:eastAsia="en-GB"/>
                <w14:ligatures w14:val="none"/>
              </w:rPr>
              <w:t>4.</w:t>
            </w:r>
            <w:r>
              <w:rPr>
                <w:rFonts w:eastAsiaTheme="minorEastAsia"/>
                <w:noProof/>
                <w:lang w:eastAsia="en-GB"/>
              </w:rPr>
              <w:tab/>
            </w:r>
            <w:r w:rsidRPr="006A0D83">
              <w:rPr>
                <w:rStyle w:val="Hyperlink"/>
                <w:rFonts w:ascii="Arial" w:eastAsia="Times New Roman" w:hAnsi="Arial" w:cs="Arial"/>
                <w:b/>
                <w:bCs/>
                <w:noProof/>
                <w:lang w:eastAsia="en-GB"/>
                <w14:ligatures w14:val="none"/>
              </w:rPr>
              <w:t>Institutional Differences: Shanghai vs Netherlands Listing:</w:t>
            </w:r>
            <w:r>
              <w:rPr>
                <w:noProof/>
                <w:webHidden/>
              </w:rPr>
              <w:tab/>
            </w:r>
            <w:r>
              <w:rPr>
                <w:noProof/>
                <w:webHidden/>
              </w:rPr>
              <w:fldChar w:fldCharType="begin"/>
            </w:r>
            <w:r>
              <w:rPr>
                <w:noProof/>
                <w:webHidden/>
              </w:rPr>
              <w:instrText xml:space="preserve"> PAGEREF _Toc201479142 \h </w:instrText>
            </w:r>
            <w:r>
              <w:rPr>
                <w:noProof/>
                <w:webHidden/>
              </w:rPr>
            </w:r>
            <w:r>
              <w:rPr>
                <w:noProof/>
                <w:webHidden/>
              </w:rPr>
              <w:fldChar w:fldCharType="separate"/>
            </w:r>
            <w:r>
              <w:rPr>
                <w:noProof/>
                <w:webHidden/>
              </w:rPr>
              <w:t>8</w:t>
            </w:r>
            <w:r>
              <w:rPr>
                <w:noProof/>
                <w:webHidden/>
              </w:rPr>
              <w:fldChar w:fldCharType="end"/>
            </w:r>
          </w:hyperlink>
        </w:p>
        <w:p w14:paraId="3111B2F2" w14:textId="2CE3057E" w:rsidR="00A3111E" w:rsidRDefault="00A3111E">
          <w:pPr>
            <w:pStyle w:val="TOC2"/>
            <w:tabs>
              <w:tab w:val="left" w:pos="960"/>
              <w:tab w:val="right" w:leader="dot" w:pos="9016"/>
            </w:tabs>
            <w:rPr>
              <w:rFonts w:eastAsiaTheme="minorEastAsia"/>
              <w:noProof/>
              <w:lang w:eastAsia="en-GB"/>
            </w:rPr>
          </w:pPr>
          <w:hyperlink w:anchor="_Toc201479143" w:history="1">
            <w:r w:rsidRPr="006A0D83">
              <w:rPr>
                <w:rStyle w:val="Hyperlink"/>
                <w:rFonts w:ascii="Arial" w:eastAsia="Times New Roman" w:hAnsi="Arial" w:cs="Times New Roman"/>
                <w:b/>
                <w:bCs/>
                <w:noProof/>
                <w:lang w:eastAsia="en-GB"/>
                <w14:ligatures w14:val="none"/>
              </w:rPr>
              <w:t>4.1.</w:t>
            </w:r>
            <w:r>
              <w:rPr>
                <w:rFonts w:eastAsiaTheme="minorEastAsia"/>
                <w:noProof/>
                <w:lang w:eastAsia="en-GB"/>
              </w:rPr>
              <w:tab/>
            </w:r>
            <w:r w:rsidRPr="006A0D83">
              <w:rPr>
                <w:rStyle w:val="Hyperlink"/>
                <w:rFonts w:ascii="Arial" w:eastAsia="Times New Roman" w:hAnsi="Arial" w:cs="Arial"/>
                <w:b/>
                <w:bCs/>
                <w:noProof/>
                <w:lang w:eastAsia="en-GB"/>
                <w14:ligatures w14:val="none"/>
              </w:rPr>
              <w:t>Corporate Governance Frameworks:</w:t>
            </w:r>
            <w:r>
              <w:rPr>
                <w:noProof/>
                <w:webHidden/>
              </w:rPr>
              <w:tab/>
            </w:r>
            <w:r>
              <w:rPr>
                <w:noProof/>
                <w:webHidden/>
              </w:rPr>
              <w:fldChar w:fldCharType="begin"/>
            </w:r>
            <w:r>
              <w:rPr>
                <w:noProof/>
                <w:webHidden/>
              </w:rPr>
              <w:instrText xml:space="preserve"> PAGEREF _Toc201479143 \h </w:instrText>
            </w:r>
            <w:r>
              <w:rPr>
                <w:noProof/>
                <w:webHidden/>
              </w:rPr>
            </w:r>
            <w:r>
              <w:rPr>
                <w:noProof/>
                <w:webHidden/>
              </w:rPr>
              <w:fldChar w:fldCharType="separate"/>
            </w:r>
            <w:r>
              <w:rPr>
                <w:noProof/>
                <w:webHidden/>
              </w:rPr>
              <w:t>8</w:t>
            </w:r>
            <w:r>
              <w:rPr>
                <w:noProof/>
                <w:webHidden/>
              </w:rPr>
              <w:fldChar w:fldCharType="end"/>
            </w:r>
          </w:hyperlink>
        </w:p>
        <w:p w14:paraId="0F0AB2A0" w14:textId="3ABA0A1F" w:rsidR="00A3111E" w:rsidRDefault="00A3111E">
          <w:pPr>
            <w:pStyle w:val="TOC2"/>
            <w:tabs>
              <w:tab w:val="left" w:pos="960"/>
              <w:tab w:val="right" w:leader="dot" w:pos="9016"/>
            </w:tabs>
            <w:rPr>
              <w:rFonts w:eastAsiaTheme="minorEastAsia"/>
              <w:noProof/>
              <w:lang w:eastAsia="en-GB"/>
            </w:rPr>
          </w:pPr>
          <w:hyperlink w:anchor="_Toc201479144" w:history="1">
            <w:r w:rsidRPr="006A0D83">
              <w:rPr>
                <w:rStyle w:val="Hyperlink"/>
                <w:rFonts w:ascii="Arial" w:eastAsia="Times New Roman" w:hAnsi="Arial" w:cs="Times New Roman"/>
                <w:b/>
                <w:bCs/>
                <w:noProof/>
                <w:lang w:eastAsia="en-GB"/>
                <w14:ligatures w14:val="none"/>
              </w:rPr>
              <w:t>4.2.</w:t>
            </w:r>
            <w:r>
              <w:rPr>
                <w:rFonts w:eastAsiaTheme="minorEastAsia"/>
                <w:noProof/>
                <w:lang w:eastAsia="en-GB"/>
              </w:rPr>
              <w:tab/>
            </w:r>
            <w:r w:rsidRPr="006A0D83">
              <w:rPr>
                <w:rStyle w:val="Hyperlink"/>
                <w:rFonts w:ascii="Arial" w:eastAsia="Times New Roman" w:hAnsi="Arial" w:cs="Arial"/>
                <w:b/>
                <w:bCs/>
                <w:noProof/>
                <w:lang w:eastAsia="en-GB"/>
                <w14:ligatures w14:val="none"/>
              </w:rPr>
              <w:t>Legal and Institutional Environment:</w:t>
            </w:r>
            <w:r>
              <w:rPr>
                <w:noProof/>
                <w:webHidden/>
              </w:rPr>
              <w:tab/>
            </w:r>
            <w:r>
              <w:rPr>
                <w:noProof/>
                <w:webHidden/>
              </w:rPr>
              <w:fldChar w:fldCharType="begin"/>
            </w:r>
            <w:r>
              <w:rPr>
                <w:noProof/>
                <w:webHidden/>
              </w:rPr>
              <w:instrText xml:space="preserve"> PAGEREF _Toc201479144 \h </w:instrText>
            </w:r>
            <w:r>
              <w:rPr>
                <w:noProof/>
                <w:webHidden/>
              </w:rPr>
            </w:r>
            <w:r>
              <w:rPr>
                <w:noProof/>
                <w:webHidden/>
              </w:rPr>
              <w:fldChar w:fldCharType="separate"/>
            </w:r>
            <w:r>
              <w:rPr>
                <w:noProof/>
                <w:webHidden/>
              </w:rPr>
              <w:t>9</w:t>
            </w:r>
            <w:r>
              <w:rPr>
                <w:noProof/>
                <w:webHidden/>
              </w:rPr>
              <w:fldChar w:fldCharType="end"/>
            </w:r>
          </w:hyperlink>
        </w:p>
        <w:p w14:paraId="28736D42" w14:textId="71023EEC" w:rsidR="00A3111E" w:rsidRDefault="00A3111E">
          <w:pPr>
            <w:pStyle w:val="TOC2"/>
            <w:tabs>
              <w:tab w:val="left" w:pos="960"/>
              <w:tab w:val="right" w:leader="dot" w:pos="9016"/>
            </w:tabs>
            <w:rPr>
              <w:rFonts w:eastAsiaTheme="minorEastAsia"/>
              <w:noProof/>
              <w:lang w:eastAsia="en-GB"/>
            </w:rPr>
          </w:pPr>
          <w:hyperlink w:anchor="_Toc201479145" w:history="1">
            <w:r w:rsidRPr="006A0D83">
              <w:rPr>
                <w:rStyle w:val="Hyperlink"/>
                <w:rFonts w:ascii="Arial" w:eastAsia="Times New Roman" w:hAnsi="Arial" w:cs="Times New Roman"/>
                <w:b/>
                <w:bCs/>
                <w:noProof/>
                <w:lang w:eastAsia="en-GB"/>
                <w14:ligatures w14:val="none"/>
              </w:rPr>
              <w:t>4.3.</w:t>
            </w:r>
            <w:r>
              <w:rPr>
                <w:rFonts w:eastAsiaTheme="minorEastAsia"/>
                <w:noProof/>
                <w:lang w:eastAsia="en-GB"/>
              </w:rPr>
              <w:tab/>
            </w:r>
            <w:r w:rsidRPr="006A0D83">
              <w:rPr>
                <w:rStyle w:val="Hyperlink"/>
                <w:rFonts w:ascii="Arial" w:eastAsia="Times New Roman" w:hAnsi="Arial" w:cs="Arial"/>
                <w:b/>
                <w:bCs/>
                <w:noProof/>
                <w:lang w:eastAsia="en-GB"/>
                <w14:ligatures w14:val="none"/>
              </w:rPr>
              <w:t>Cultural and Institutional Norms:</w:t>
            </w:r>
            <w:r>
              <w:rPr>
                <w:noProof/>
                <w:webHidden/>
              </w:rPr>
              <w:tab/>
            </w:r>
            <w:r>
              <w:rPr>
                <w:noProof/>
                <w:webHidden/>
              </w:rPr>
              <w:fldChar w:fldCharType="begin"/>
            </w:r>
            <w:r>
              <w:rPr>
                <w:noProof/>
                <w:webHidden/>
              </w:rPr>
              <w:instrText xml:space="preserve"> PAGEREF _Toc201479145 \h </w:instrText>
            </w:r>
            <w:r>
              <w:rPr>
                <w:noProof/>
                <w:webHidden/>
              </w:rPr>
            </w:r>
            <w:r>
              <w:rPr>
                <w:noProof/>
                <w:webHidden/>
              </w:rPr>
              <w:fldChar w:fldCharType="separate"/>
            </w:r>
            <w:r>
              <w:rPr>
                <w:noProof/>
                <w:webHidden/>
              </w:rPr>
              <w:t>9</w:t>
            </w:r>
            <w:r>
              <w:rPr>
                <w:noProof/>
                <w:webHidden/>
              </w:rPr>
              <w:fldChar w:fldCharType="end"/>
            </w:r>
          </w:hyperlink>
        </w:p>
        <w:p w14:paraId="6F333B3D" w14:textId="4B7B7E24" w:rsidR="00A3111E" w:rsidRDefault="00A3111E">
          <w:pPr>
            <w:pStyle w:val="TOC2"/>
            <w:tabs>
              <w:tab w:val="left" w:pos="960"/>
              <w:tab w:val="right" w:leader="dot" w:pos="9016"/>
            </w:tabs>
            <w:rPr>
              <w:rFonts w:eastAsiaTheme="minorEastAsia"/>
              <w:noProof/>
              <w:lang w:eastAsia="en-GB"/>
            </w:rPr>
          </w:pPr>
          <w:hyperlink w:anchor="_Toc201479146" w:history="1">
            <w:r w:rsidRPr="006A0D83">
              <w:rPr>
                <w:rStyle w:val="Hyperlink"/>
                <w:rFonts w:ascii="Arial" w:eastAsia="Times New Roman" w:hAnsi="Arial" w:cs="Times New Roman"/>
                <w:b/>
                <w:bCs/>
                <w:noProof/>
                <w:lang w:eastAsia="en-GB"/>
                <w14:ligatures w14:val="none"/>
              </w:rPr>
              <w:t>4.4.</w:t>
            </w:r>
            <w:r>
              <w:rPr>
                <w:rFonts w:eastAsiaTheme="minorEastAsia"/>
                <w:noProof/>
                <w:lang w:eastAsia="en-GB"/>
              </w:rPr>
              <w:tab/>
            </w:r>
            <w:r w:rsidRPr="006A0D83">
              <w:rPr>
                <w:rStyle w:val="Hyperlink"/>
                <w:rFonts w:ascii="Arial" w:eastAsia="Times New Roman" w:hAnsi="Arial" w:cs="Arial"/>
                <w:b/>
                <w:bCs/>
                <w:noProof/>
                <w:lang w:eastAsia="en-GB"/>
                <w14:ligatures w14:val="none"/>
              </w:rPr>
              <w:t>Conclusion and Strategic Implications:</w:t>
            </w:r>
            <w:r>
              <w:rPr>
                <w:noProof/>
                <w:webHidden/>
              </w:rPr>
              <w:tab/>
            </w:r>
            <w:r>
              <w:rPr>
                <w:noProof/>
                <w:webHidden/>
              </w:rPr>
              <w:fldChar w:fldCharType="begin"/>
            </w:r>
            <w:r>
              <w:rPr>
                <w:noProof/>
                <w:webHidden/>
              </w:rPr>
              <w:instrText xml:space="preserve"> PAGEREF _Toc201479146 \h </w:instrText>
            </w:r>
            <w:r>
              <w:rPr>
                <w:noProof/>
                <w:webHidden/>
              </w:rPr>
            </w:r>
            <w:r>
              <w:rPr>
                <w:noProof/>
                <w:webHidden/>
              </w:rPr>
              <w:fldChar w:fldCharType="separate"/>
            </w:r>
            <w:r>
              <w:rPr>
                <w:noProof/>
                <w:webHidden/>
              </w:rPr>
              <w:t>10</w:t>
            </w:r>
            <w:r>
              <w:rPr>
                <w:noProof/>
                <w:webHidden/>
              </w:rPr>
              <w:fldChar w:fldCharType="end"/>
            </w:r>
          </w:hyperlink>
        </w:p>
        <w:p w14:paraId="1B749131" w14:textId="1A33E3B3" w:rsidR="00A3111E" w:rsidRDefault="00A3111E">
          <w:pPr>
            <w:pStyle w:val="TOC2"/>
            <w:tabs>
              <w:tab w:val="left" w:pos="720"/>
              <w:tab w:val="right" w:leader="dot" w:pos="9016"/>
            </w:tabs>
            <w:rPr>
              <w:rFonts w:eastAsiaTheme="minorEastAsia"/>
              <w:noProof/>
              <w:lang w:eastAsia="en-GB"/>
            </w:rPr>
          </w:pPr>
          <w:hyperlink w:anchor="_Toc201479147" w:history="1">
            <w:r w:rsidRPr="006A0D83">
              <w:rPr>
                <w:rStyle w:val="Hyperlink"/>
                <w:rFonts w:ascii="Arial" w:eastAsia="Times New Roman" w:hAnsi="Arial" w:cs="Times New Roman"/>
                <w:b/>
                <w:bCs/>
                <w:noProof/>
                <w:lang w:eastAsia="en-GB"/>
                <w14:ligatures w14:val="none"/>
              </w:rPr>
              <w:t>5.</w:t>
            </w:r>
            <w:r>
              <w:rPr>
                <w:rFonts w:eastAsiaTheme="minorEastAsia"/>
                <w:noProof/>
                <w:lang w:eastAsia="en-GB"/>
              </w:rPr>
              <w:tab/>
            </w:r>
            <w:r w:rsidRPr="006A0D83">
              <w:rPr>
                <w:rStyle w:val="Hyperlink"/>
                <w:rFonts w:ascii="Arial" w:eastAsia="Times New Roman" w:hAnsi="Arial" w:cs="Arial"/>
                <w:b/>
                <w:bCs/>
                <w:noProof/>
                <w:lang w:eastAsia="en-GB"/>
                <w14:ligatures w14:val="none"/>
              </w:rPr>
              <w:t>Conclusion:</w:t>
            </w:r>
            <w:r>
              <w:rPr>
                <w:noProof/>
                <w:webHidden/>
              </w:rPr>
              <w:tab/>
            </w:r>
            <w:r>
              <w:rPr>
                <w:noProof/>
                <w:webHidden/>
              </w:rPr>
              <w:fldChar w:fldCharType="begin"/>
            </w:r>
            <w:r>
              <w:rPr>
                <w:noProof/>
                <w:webHidden/>
              </w:rPr>
              <w:instrText xml:space="preserve"> PAGEREF _Toc201479147 \h </w:instrText>
            </w:r>
            <w:r>
              <w:rPr>
                <w:noProof/>
                <w:webHidden/>
              </w:rPr>
            </w:r>
            <w:r>
              <w:rPr>
                <w:noProof/>
                <w:webHidden/>
              </w:rPr>
              <w:fldChar w:fldCharType="separate"/>
            </w:r>
            <w:r>
              <w:rPr>
                <w:noProof/>
                <w:webHidden/>
              </w:rPr>
              <w:t>11</w:t>
            </w:r>
            <w:r>
              <w:rPr>
                <w:noProof/>
                <w:webHidden/>
              </w:rPr>
              <w:fldChar w:fldCharType="end"/>
            </w:r>
          </w:hyperlink>
        </w:p>
        <w:p w14:paraId="61F2CC5B" w14:textId="145253EF" w:rsidR="00A3111E" w:rsidRDefault="00A3111E">
          <w:pPr>
            <w:pStyle w:val="TOC1"/>
            <w:tabs>
              <w:tab w:val="right" w:leader="dot" w:pos="9016"/>
            </w:tabs>
            <w:rPr>
              <w:noProof/>
            </w:rPr>
          </w:pPr>
          <w:hyperlink w:anchor="_Toc201479148" w:history="1">
            <w:r w:rsidRPr="006A0D83">
              <w:rPr>
                <w:rStyle w:val="Hyperlink"/>
                <w:rFonts w:ascii="Arial" w:hAnsi="Arial" w:cs="Arial"/>
                <w:b/>
                <w:bCs/>
                <w:noProof/>
              </w:rPr>
              <w:t>Bibliography:</w:t>
            </w:r>
            <w:r>
              <w:rPr>
                <w:noProof/>
                <w:webHidden/>
              </w:rPr>
              <w:tab/>
            </w:r>
            <w:r>
              <w:rPr>
                <w:noProof/>
                <w:webHidden/>
              </w:rPr>
              <w:fldChar w:fldCharType="begin"/>
            </w:r>
            <w:r>
              <w:rPr>
                <w:noProof/>
                <w:webHidden/>
              </w:rPr>
              <w:instrText xml:space="preserve"> PAGEREF _Toc201479148 \h </w:instrText>
            </w:r>
            <w:r>
              <w:rPr>
                <w:noProof/>
                <w:webHidden/>
              </w:rPr>
            </w:r>
            <w:r>
              <w:rPr>
                <w:noProof/>
                <w:webHidden/>
              </w:rPr>
              <w:fldChar w:fldCharType="separate"/>
            </w:r>
            <w:r>
              <w:rPr>
                <w:noProof/>
                <w:webHidden/>
              </w:rPr>
              <w:t>12</w:t>
            </w:r>
            <w:r>
              <w:rPr>
                <w:noProof/>
                <w:webHidden/>
              </w:rPr>
              <w:fldChar w:fldCharType="end"/>
            </w:r>
          </w:hyperlink>
        </w:p>
        <w:p w14:paraId="1D76047C" w14:textId="3A96AACE" w:rsidR="009B74EA" w:rsidRDefault="009B74EA">
          <w:r>
            <w:rPr>
              <w:b/>
              <w:bCs/>
              <w:noProof/>
            </w:rPr>
            <w:fldChar w:fldCharType="end"/>
          </w:r>
        </w:p>
      </w:sdtContent>
    </w:sdt>
    <w:p w14:paraId="55FB98E3" w14:textId="3C6FA80F" w:rsidR="00850FF5" w:rsidRDefault="00850FF5"/>
    <w:p w14:paraId="228F1108" w14:textId="77777777" w:rsidR="00850FF5" w:rsidRDefault="00850FF5">
      <w:r>
        <w:br w:type="page"/>
      </w:r>
    </w:p>
    <w:p w14:paraId="2F9A0F40" w14:textId="77777777" w:rsidR="007C03F0" w:rsidRPr="007C03F0" w:rsidRDefault="007C03F0" w:rsidP="007C03F0">
      <w:pPr>
        <w:keepNext/>
        <w:spacing w:before="240" w:after="60"/>
        <w:outlineLvl w:val="1"/>
        <w:rPr>
          <w:rFonts w:ascii="Arial" w:eastAsia="Times New Roman" w:hAnsi="Arial" w:cs="Arial"/>
          <w:b/>
          <w:bCs/>
          <w:sz w:val="28"/>
          <w:szCs w:val="28"/>
          <w:lang w:eastAsia="en-GB"/>
          <w14:ligatures w14:val="none"/>
        </w:rPr>
      </w:pPr>
      <w:bookmarkStart w:id="0" w:name="_Toc201264059"/>
      <w:bookmarkStart w:id="1" w:name="_Toc201479136"/>
      <w:r w:rsidRPr="007C03F0">
        <w:rPr>
          <w:rFonts w:ascii="Arial" w:eastAsia="Times New Roman" w:hAnsi="Arial" w:cs="Arial"/>
          <w:b/>
          <w:bCs/>
          <w:sz w:val="28"/>
          <w:szCs w:val="28"/>
          <w:lang w:eastAsia="en-GB"/>
          <w14:ligatures w14:val="none"/>
        </w:rPr>
        <w:lastRenderedPageBreak/>
        <w:t>1.Introduction:</w:t>
      </w:r>
      <w:bookmarkEnd w:id="0"/>
      <w:bookmarkEnd w:id="1"/>
    </w:p>
    <w:p w14:paraId="4447DFE5" w14:textId="77777777" w:rsidR="007C03F0" w:rsidRPr="007C03F0" w:rsidRDefault="007C03F0" w:rsidP="007C03F0">
      <w:pPr>
        <w:rPr>
          <w:rFonts w:ascii="Aptos" w:eastAsia="Times New Roman" w:hAnsi="Aptos" w:cs="Times New Roman"/>
          <w:lang w:eastAsia="en-GB"/>
          <w14:ligatures w14:val="none"/>
        </w:rPr>
      </w:pPr>
    </w:p>
    <w:p w14:paraId="14651F46" w14:textId="77777777" w:rsidR="007C03F0" w:rsidRPr="007C03F0" w:rsidRDefault="007C03F0" w:rsidP="007C03F0">
      <w:pPr>
        <w:spacing w:line="360" w:lineRule="auto"/>
        <w:ind w:firstLine="720"/>
        <w:rPr>
          <w:rFonts w:ascii="Arial" w:eastAsia="Times New Roman" w:hAnsi="Arial" w:cs="Arial"/>
          <w:sz w:val="22"/>
          <w:szCs w:val="22"/>
          <w:lang w:eastAsia="en-GB"/>
          <w14:ligatures w14:val="none"/>
        </w:rPr>
      </w:pPr>
      <w:r w:rsidRPr="007C03F0">
        <w:rPr>
          <w:rFonts w:ascii="Arial" w:eastAsia="Times New Roman" w:hAnsi="Arial" w:cs="Arial"/>
          <w:sz w:val="22"/>
          <w:szCs w:val="22"/>
          <w:lang w:eastAsia="en-GB"/>
          <w14:ligatures w14:val="none"/>
        </w:rPr>
        <w:t xml:space="preserve">The transition from a </w:t>
      </w:r>
      <w:r w:rsidRPr="007C03F0">
        <w:rPr>
          <w:rFonts w:ascii="Arial" w:eastAsia="Times New Roman" w:hAnsi="Arial" w:cs="Arial"/>
          <w:i/>
          <w:iCs/>
          <w:sz w:val="22"/>
          <w:szCs w:val="22"/>
          <w:lang w:eastAsia="en-GB"/>
          <w14:ligatures w14:val="none"/>
        </w:rPr>
        <w:t>private limited company</w:t>
      </w:r>
      <w:r w:rsidRPr="007C03F0">
        <w:rPr>
          <w:rFonts w:ascii="Arial" w:eastAsia="Times New Roman" w:hAnsi="Arial" w:cs="Arial"/>
          <w:sz w:val="22"/>
          <w:szCs w:val="22"/>
          <w:lang w:eastAsia="en-GB"/>
          <w14:ligatures w14:val="none"/>
        </w:rPr>
        <w:t xml:space="preserve"> to a </w:t>
      </w:r>
      <w:r w:rsidRPr="007C03F0">
        <w:rPr>
          <w:rFonts w:ascii="Arial" w:eastAsia="Times New Roman" w:hAnsi="Arial" w:cs="Arial"/>
          <w:i/>
          <w:iCs/>
          <w:sz w:val="22"/>
          <w:szCs w:val="22"/>
          <w:lang w:eastAsia="en-GB"/>
          <w14:ligatures w14:val="none"/>
        </w:rPr>
        <w:t>publicly listed</w:t>
      </w:r>
      <w:r w:rsidRPr="007C03F0">
        <w:rPr>
          <w:rFonts w:ascii="Arial" w:eastAsia="Times New Roman" w:hAnsi="Arial" w:cs="Arial"/>
          <w:sz w:val="22"/>
          <w:szCs w:val="22"/>
          <w:lang w:eastAsia="en-GB"/>
          <w14:ligatures w14:val="none"/>
        </w:rPr>
        <w:t xml:space="preserve"> </w:t>
      </w:r>
      <w:r w:rsidRPr="007C03F0">
        <w:rPr>
          <w:rFonts w:ascii="Arial" w:eastAsia="Times New Roman" w:hAnsi="Arial" w:cs="Arial"/>
          <w:i/>
          <w:iCs/>
          <w:sz w:val="22"/>
          <w:szCs w:val="22"/>
          <w:lang w:eastAsia="en-GB"/>
          <w14:ligatures w14:val="none"/>
        </w:rPr>
        <w:t>entity</w:t>
      </w:r>
      <w:r w:rsidRPr="007C03F0">
        <w:rPr>
          <w:rFonts w:ascii="Arial" w:eastAsia="Times New Roman" w:hAnsi="Arial" w:cs="Arial"/>
          <w:sz w:val="22"/>
          <w:szCs w:val="22"/>
          <w:lang w:eastAsia="en-GB"/>
          <w14:ligatures w14:val="none"/>
        </w:rPr>
        <w:t xml:space="preserve"> marks a significant strategic and operational shift, particularly concerning changes in ownership structure, increased regulatory responsibilities and heightened corporate accountability. This report has been elaborated in the context of a family-run service business planning to list on the Alternative Investment Market (AIM) in the UK. Presently, the company is owned and managed by four sibling-directors, each holding an equal- 25% share. Following the public listing, family ownership is expected to decrease to 30%, with the remaining 70% of shares being offered to external investors.</w:t>
      </w:r>
    </w:p>
    <w:p w14:paraId="066D740F" w14:textId="77777777" w:rsidR="007C03F0" w:rsidRPr="007C03F0" w:rsidRDefault="007C03F0" w:rsidP="007C03F0">
      <w:pPr>
        <w:spacing w:line="360" w:lineRule="auto"/>
        <w:ind w:firstLine="720"/>
        <w:rPr>
          <w:rFonts w:ascii="Arial" w:eastAsia="Times New Roman" w:hAnsi="Arial" w:cs="Arial"/>
          <w:sz w:val="22"/>
          <w:szCs w:val="22"/>
          <w:lang w:eastAsia="en-GB"/>
          <w14:ligatures w14:val="none"/>
        </w:rPr>
      </w:pPr>
      <w:r w:rsidRPr="007C03F0">
        <w:rPr>
          <w:rFonts w:ascii="Arial" w:eastAsia="Times New Roman" w:hAnsi="Arial" w:cs="Arial"/>
          <w:sz w:val="22"/>
          <w:szCs w:val="22"/>
          <w:lang w:eastAsia="en-GB"/>
          <w14:ligatures w14:val="none"/>
        </w:rPr>
        <w:t xml:space="preserve">This expected change highlights the urgent need to establish robust corporate governance and agency frameworks to ensure transparency, accountability, and alignment of interests between the management team and the wider shareholder base in a public company environment. Additionally, the family’s intention to maintain strategic control despite a minority ownership stake introduces further complexity, imposing careful planning around governance and ownership structures. The report also examines the progress of equitable and performance-based director remuneration schemes, and evaluates the potential institutional and regulatory differences that could arise should the company consider an international listing, such as in </w:t>
      </w:r>
      <w:r w:rsidRPr="007C03F0">
        <w:rPr>
          <w:rFonts w:ascii="Arial" w:eastAsia="Times New Roman" w:hAnsi="Arial" w:cs="Arial"/>
          <w:i/>
          <w:iCs/>
          <w:sz w:val="22"/>
          <w:szCs w:val="22"/>
          <w:lang w:eastAsia="en-GB"/>
          <w14:ligatures w14:val="none"/>
        </w:rPr>
        <w:t xml:space="preserve">Shanghai </w:t>
      </w:r>
      <w:r w:rsidRPr="007C03F0">
        <w:rPr>
          <w:rFonts w:ascii="Arial" w:eastAsia="Times New Roman" w:hAnsi="Arial" w:cs="Arial"/>
          <w:sz w:val="22"/>
          <w:szCs w:val="22"/>
          <w:lang w:eastAsia="en-GB"/>
          <w14:ligatures w14:val="none"/>
        </w:rPr>
        <w:t xml:space="preserve">or the </w:t>
      </w:r>
      <w:r w:rsidRPr="007C03F0">
        <w:rPr>
          <w:rFonts w:ascii="Arial" w:eastAsia="Times New Roman" w:hAnsi="Arial" w:cs="Arial"/>
          <w:i/>
          <w:iCs/>
          <w:sz w:val="22"/>
          <w:szCs w:val="22"/>
          <w:lang w:eastAsia="en-GB"/>
          <w14:ligatures w14:val="none"/>
        </w:rPr>
        <w:t xml:space="preserve">Netherlands. </w:t>
      </w:r>
      <w:r w:rsidRPr="007C03F0">
        <w:rPr>
          <w:rFonts w:ascii="Arial" w:eastAsia="Times New Roman" w:hAnsi="Arial" w:cs="Arial"/>
          <w:sz w:val="22"/>
          <w:szCs w:val="22"/>
          <w:lang w:eastAsia="en-GB"/>
          <w14:ligatures w14:val="none"/>
        </w:rPr>
        <w:t>The overall target is to provide academically informed insights and practical strategies to support a successful and sustainable shift to public ownership.</w:t>
      </w:r>
    </w:p>
    <w:p w14:paraId="511C0EC6" w14:textId="4AA91859" w:rsidR="002833EB" w:rsidRDefault="002833EB"/>
    <w:p w14:paraId="5417F86E" w14:textId="77777777" w:rsidR="002833EB" w:rsidRDefault="002833EB">
      <w:r>
        <w:br w:type="page"/>
      </w:r>
    </w:p>
    <w:p w14:paraId="2C98F32B" w14:textId="77777777" w:rsidR="00E050BC" w:rsidRPr="00E050BC" w:rsidRDefault="00E050BC" w:rsidP="00E050BC">
      <w:pPr>
        <w:pStyle w:val="Heading2"/>
        <w:numPr>
          <w:ilvl w:val="0"/>
          <w:numId w:val="1"/>
        </w:numPr>
        <w:rPr>
          <w:rFonts w:ascii="Arial" w:hAnsi="Arial" w:cs="Arial"/>
          <w:b/>
          <w:bCs/>
          <w:color w:val="000000" w:themeColor="text1"/>
          <w:sz w:val="28"/>
          <w:szCs w:val="28"/>
        </w:rPr>
      </w:pPr>
      <w:bookmarkStart w:id="2" w:name="_Toc201264060"/>
      <w:bookmarkStart w:id="3" w:name="_Toc201479137"/>
      <w:r w:rsidRPr="00E050BC">
        <w:rPr>
          <w:rFonts w:ascii="Arial" w:hAnsi="Arial" w:cs="Arial"/>
          <w:b/>
          <w:bCs/>
          <w:color w:val="000000" w:themeColor="text1"/>
          <w:sz w:val="28"/>
          <w:szCs w:val="28"/>
        </w:rPr>
        <w:lastRenderedPageBreak/>
        <w:t>Introduction to Corporate Governance and Agency Theory:</w:t>
      </w:r>
      <w:bookmarkEnd w:id="2"/>
      <w:bookmarkEnd w:id="3"/>
    </w:p>
    <w:p w14:paraId="02B57FBB" w14:textId="77777777" w:rsidR="00E050BC" w:rsidRPr="00E050BC" w:rsidRDefault="00E050BC" w:rsidP="00E050BC">
      <w:pPr>
        <w:pStyle w:val="Heading2"/>
        <w:numPr>
          <w:ilvl w:val="1"/>
          <w:numId w:val="1"/>
        </w:numPr>
        <w:rPr>
          <w:rFonts w:ascii="Arial" w:hAnsi="Arial" w:cs="Arial"/>
          <w:b/>
          <w:bCs/>
          <w:color w:val="000000" w:themeColor="text1"/>
          <w:sz w:val="28"/>
          <w:szCs w:val="28"/>
        </w:rPr>
      </w:pPr>
      <w:bookmarkStart w:id="4" w:name="_Toc201264061"/>
      <w:bookmarkStart w:id="5" w:name="_Toc201479138"/>
      <w:r w:rsidRPr="00E050BC">
        <w:rPr>
          <w:rFonts w:ascii="Arial" w:hAnsi="Arial" w:cs="Arial"/>
          <w:b/>
          <w:bCs/>
          <w:color w:val="000000" w:themeColor="text1"/>
          <w:sz w:val="28"/>
          <w:szCs w:val="28"/>
        </w:rPr>
        <w:t>Corporate Governance: Concept and Requirements:</w:t>
      </w:r>
      <w:bookmarkEnd w:id="4"/>
      <w:bookmarkEnd w:id="5"/>
    </w:p>
    <w:p w14:paraId="07F1EAE0" w14:textId="77777777" w:rsidR="00E050BC" w:rsidRPr="00A03C2A" w:rsidRDefault="00E050BC" w:rsidP="00E050BC"/>
    <w:p w14:paraId="66CC40DB" w14:textId="2DBE129A" w:rsidR="00E050BC" w:rsidRDefault="00E050BC" w:rsidP="00E050BC">
      <w:pPr>
        <w:ind w:left="360"/>
        <w:rPr>
          <w:rFonts w:ascii="Arial" w:hAnsi="Arial" w:cs="Arial"/>
          <w:sz w:val="22"/>
          <w:szCs w:val="22"/>
        </w:rPr>
      </w:pPr>
      <w:r>
        <w:rPr>
          <w:noProof/>
        </w:rPr>
        <w:drawing>
          <wp:anchor distT="0" distB="0" distL="114300" distR="114300" simplePos="0" relativeHeight="251658240" behindDoc="1" locked="0" layoutInCell="1" allowOverlap="1" wp14:anchorId="34CDFE93" wp14:editId="69AA8BDE">
            <wp:simplePos x="0" y="0"/>
            <wp:positionH relativeFrom="column">
              <wp:posOffset>2927350</wp:posOffset>
            </wp:positionH>
            <wp:positionV relativeFrom="paragraph">
              <wp:posOffset>73025</wp:posOffset>
            </wp:positionV>
            <wp:extent cx="3016250" cy="1722755"/>
            <wp:effectExtent l="0" t="0" r="0" b="0"/>
            <wp:wrapTight wrapText="bothSides">
              <wp:wrapPolygon edited="0">
                <wp:start x="0" y="0"/>
                <wp:lineTo x="0" y="21258"/>
                <wp:lineTo x="21418" y="21258"/>
                <wp:lineTo x="21418" y="0"/>
                <wp:lineTo x="0" y="0"/>
              </wp:wrapPolygon>
            </wp:wrapTight>
            <wp:docPr id="805167631" name="Picture 8" descr="Words in a cross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167631" name="Picture 8" descr="Words in a crossword&#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16250" cy="17227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E10C35" w14:textId="77777777" w:rsidR="00E050BC" w:rsidRDefault="00E050BC" w:rsidP="00E050BC">
      <w:pPr>
        <w:spacing w:line="360" w:lineRule="auto"/>
        <w:ind w:left="360" w:firstLine="360"/>
        <w:rPr>
          <w:rFonts w:ascii="Arial" w:hAnsi="Arial" w:cs="Arial"/>
          <w:sz w:val="22"/>
          <w:szCs w:val="22"/>
        </w:rPr>
      </w:pPr>
      <w:r w:rsidRPr="00A03C2A">
        <w:rPr>
          <w:rFonts w:ascii="Arial" w:hAnsi="Arial" w:cs="Arial"/>
          <w:i/>
          <w:iCs/>
          <w:sz w:val="22"/>
          <w:szCs w:val="22"/>
          <w:u w:val="single"/>
        </w:rPr>
        <w:t>Corporate Governance</w:t>
      </w:r>
      <w:r w:rsidRPr="00A03C2A">
        <w:rPr>
          <w:rFonts w:ascii="Arial" w:hAnsi="Arial" w:cs="Arial"/>
          <w:sz w:val="22"/>
          <w:szCs w:val="22"/>
        </w:rPr>
        <w:t xml:space="preserve"> incorporates the system of rules, relationships, processes, and structures through which authority is directed and controlled within a company</w:t>
      </w:r>
      <w:r>
        <w:rPr>
          <w:rFonts w:ascii="Arial" w:hAnsi="Arial" w:cs="Arial"/>
          <w:noProof/>
          <w:sz w:val="22"/>
          <w:szCs w:val="22"/>
          <w:lang w:val="en-US"/>
        </w:rPr>
        <w:t xml:space="preserve"> </w:t>
      </w:r>
      <w:r w:rsidRPr="001F1B8F">
        <w:rPr>
          <w:rFonts w:ascii="Arial" w:hAnsi="Arial" w:cs="Arial"/>
          <w:noProof/>
          <w:sz w:val="22"/>
          <w:szCs w:val="22"/>
          <w:lang w:val="en-US"/>
        </w:rPr>
        <w:t>(Shoaf, 2005)</w:t>
      </w:r>
      <w:r w:rsidRPr="00A03C2A">
        <w:rPr>
          <w:rFonts w:ascii="Arial" w:hAnsi="Arial" w:cs="Arial"/>
          <w:sz w:val="22"/>
          <w:szCs w:val="22"/>
        </w:rPr>
        <w:t xml:space="preserve">. </w:t>
      </w:r>
    </w:p>
    <w:p w14:paraId="089E2513" w14:textId="77777777" w:rsidR="00E050BC" w:rsidRPr="00AE2DB5" w:rsidRDefault="00E050BC" w:rsidP="00E050BC">
      <w:pPr>
        <w:spacing w:line="360" w:lineRule="auto"/>
        <w:ind w:left="360" w:firstLine="360"/>
        <w:rPr>
          <w:rFonts w:ascii="Arial" w:hAnsi="Arial" w:cs="Arial"/>
          <w:b/>
          <w:bCs/>
          <w:sz w:val="22"/>
          <w:szCs w:val="22"/>
        </w:rPr>
      </w:pPr>
      <w:r w:rsidRPr="00A03C2A">
        <w:rPr>
          <w:rFonts w:ascii="Arial" w:hAnsi="Arial" w:cs="Arial"/>
          <w:sz w:val="22"/>
          <w:szCs w:val="22"/>
        </w:rPr>
        <w:t>Effective governance supports key principles such as: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Pr="00AE2DB5">
        <w:rPr>
          <w:rFonts w:ascii="Arial" w:hAnsi="Arial" w:cs="Arial"/>
          <w:b/>
          <w:bCs/>
          <w:sz w:val="22"/>
          <w:szCs w:val="22"/>
        </w:rPr>
        <w:t>Fig.1.</w:t>
      </w:r>
    </w:p>
    <w:p w14:paraId="3600F8E2" w14:textId="77777777" w:rsidR="00E050BC" w:rsidRDefault="00E050BC" w:rsidP="00E050BC">
      <w:pPr>
        <w:numPr>
          <w:ilvl w:val="0"/>
          <w:numId w:val="2"/>
        </w:numPr>
        <w:spacing w:line="360" w:lineRule="auto"/>
        <w:rPr>
          <w:rFonts w:ascii="Arial" w:hAnsi="Arial" w:cs="Arial"/>
          <w:sz w:val="22"/>
          <w:szCs w:val="22"/>
        </w:rPr>
      </w:pPr>
      <w:r w:rsidRPr="00A03C2A">
        <w:rPr>
          <w:rFonts w:ascii="Arial" w:hAnsi="Arial" w:cs="Arial"/>
          <w:sz w:val="22"/>
          <w:szCs w:val="22"/>
        </w:rPr>
        <w:t>Accountabilit</w:t>
      </w:r>
      <w:r>
        <w:rPr>
          <w:rFonts w:ascii="Arial" w:hAnsi="Arial" w:cs="Arial"/>
          <w:sz w:val="22"/>
          <w:szCs w:val="22"/>
        </w:rPr>
        <w:t>y;</w:t>
      </w:r>
    </w:p>
    <w:p w14:paraId="5E58CBAB" w14:textId="77777777" w:rsidR="00E050BC" w:rsidRDefault="00E050BC" w:rsidP="00E050BC">
      <w:pPr>
        <w:numPr>
          <w:ilvl w:val="0"/>
          <w:numId w:val="2"/>
        </w:numPr>
        <w:spacing w:line="360" w:lineRule="auto"/>
        <w:rPr>
          <w:rFonts w:ascii="Arial" w:hAnsi="Arial" w:cs="Arial"/>
          <w:sz w:val="22"/>
          <w:szCs w:val="22"/>
        </w:rPr>
      </w:pPr>
      <w:r w:rsidRPr="00A03C2A">
        <w:rPr>
          <w:rFonts w:ascii="Arial" w:hAnsi="Arial" w:cs="Arial"/>
          <w:sz w:val="22"/>
          <w:szCs w:val="22"/>
        </w:rPr>
        <w:t>Transparency</w:t>
      </w:r>
      <w:r>
        <w:rPr>
          <w:rFonts w:ascii="Arial" w:hAnsi="Arial" w:cs="Arial"/>
          <w:sz w:val="22"/>
          <w:szCs w:val="22"/>
        </w:rPr>
        <w:t>;</w:t>
      </w:r>
    </w:p>
    <w:p w14:paraId="0F8A4999" w14:textId="77777777" w:rsidR="00E050BC" w:rsidRDefault="00E050BC" w:rsidP="00E050BC">
      <w:pPr>
        <w:numPr>
          <w:ilvl w:val="0"/>
          <w:numId w:val="2"/>
        </w:numPr>
        <w:spacing w:line="360" w:lineRule="auto"/>
        <w:rPr>
          <w:rFonts w:ascii="Arial" w:hAnsi="Arial" w:cs="Arial"/>
          <w:sz w:val="22"/>
          <w:szCs w:val="22"/>
        </w:rPr>
      </w:pPr>
      <w:r w:rsidRPr="00A03C2A">
        <w:rPr>
          <w:rFonts w:ascii="Arial" w:hAnsi="Arial" w:cs="Arial"/>
          <w:sz w:val="22"/>
          <w:szCs w:val="22"/>
        </w:rPr>
        <w:t>Fairness</w:t>
      </w:r>
      <w:r>
        <w:rPr>
          <w:rFonts w:ascii="Arial" w:hAnsi="Arial" w:cs="Arial"/>
          <w:sz w:val="22"/>
          <w:szCs w:val="22"/>
        </w:rPr>
        <w:t>;</w:t>
      </w:r>
    </w:p>
    <w:p w14:paraId="47362A54" w14:textId="77777777" w:rsidR="00E050BC" w:rsidRPr="00A03C2A" w:rsidRDefault="00E050BC" w:rsidP="00E050BC">
      <w:pPr>
        <w:numPr>
          <w:ilvl w:val="0"/>
          <w:numId w:val="2"/>
        </w:numPr>
        <w:spacing w:line="360" w:lineRule="auto"/>
        <w:rPr>
          <w:rFonts w:ascii="Arial" w:hAnsi="Arial" w:cs="Arial"/>
          <w:sz w:val="22"/>
          <w:szCs w:val="22"/>
        </w:rPr>
      </w:pPr>
      <w:r w:rsidRPr="00A03C2A">
        <w:rPr>
          <w:rFonts w:ascii="Arial" w:hAnsi="Arial" w:cs="Arial"/>
          <w:sz w:val="22"/>
          <w:szCs w:val="22"/>
        </w:rPr>
        <w:t>Responsibility to both shareholders and other stakeholders</w:t>
      </w:r>
      <w:r>
        <w:rPr>
          <w:rFonts w:ascii="Arial" w:hAnsi="Arial" w:cs="Arial"/>
          <w:sz w:val="22"/>
          <w:szCs w:val="22"/>
        </w:rPr>
        <w:t>.</w:t>
      </w:r>
    </w:p>
    <w:p w14:paraId="0402B7C1" w14:textId="77777777" w:rsidR="00E050BC" w:rsidRPr="00A03C2A" w:rsidRDefault="00E050BC" w:rsidP="00E050BC">
      <w:pPr>
        <w:spacing w:line="360" w:lineRule="auto"/>
        <w:ind w:firstLine="360"/>
        <w:rPr>
          <w:rFonts w:ascii="Arial" w:hAnsi="Arial" w:cs="Arial"/>
          <w:sz w:val="22"/>
          <w:szCs w:val="22"/>
        </w:rPr>
      </w:pPr>
      <w:r w:rsidRPr="00A03C2A">
        <w:rPr>
          <w:rFonts w:ascii="Arial" w:hAnsi="Arial" w:cs="Arial"/>
          <w:sz w:val="22"/>
          <w:szCs w:val="22"/>
        </w:rPr>
        <w:t xml:space="preserve">For companies pursuing admission to the </w:t>
      </w:r>
      <w:r w:rsidRPr="000C48C3">
        <w:rPr>
          <w:rFonts w:ascii="Arial" w:hAnsi="Arial" w:cs="Arial"/>
          <w:i/>
          <w:iCs/>
          <w:sz w:val="22"/>
          <w:szCs w:val="22"/>
        </w:rPr>
        <w:t>Alternative Investment Market (AIM)</w:t>
      </w:r>
      <w:r w:rsidRPr="00A03C2A">
        <w:rPr>
          <w:rFonts w:ascii="Arial" w:hAnsi="Arial" w:cs="Arial"/>
          <w:sz w:val="22"/>
          <w:szCs w:val="22"/>
        </w:rPr>
        <w:t xml:space="preserve">, governance methods are primarily shaped by the </w:t>
      </w:r>
      <w:r w:rsidRPr="000C48C3">
        <w:rPr>
          <w:rFonts w:ascii="Arial" w:hAnsi="Arial" w:cs="Arial"/>
          <w:i/>
          <w:iCs/>
          <w:sz w:val="22"/>
          <w:szCs w:val="22"/>
        </w:rPr>
        <w:t>QCA Corporate Governance Code</w:t>
      </w:r>
      <w:r w:rsidRPr="00A03C2A">
        <w:rPr>
          <w:rFonts w:ascii="Arial" w:hAnsi="Arial" w:cs="Arial"/>
          <w:sz w:val="22"/>
          <w:szCs w:val="22"/>
        </w:rPr>
        <w:t>. This code emphasizes:</w:t>
      </w:r>
    </w:p>
    <w:p w14:paraId="7750156A" w14:textId="77777777" w:rsidR="00E050BC" w:rsidRDefault="00E050BC" w:rsidP="00E050BC">
      <w:pPr>
        <w:numPr>
          <w:ilvl w:val="0"/>
          <w:numId w:val="3"/>
        </w:numPr>
        <w:spacing w:line="360" w:lineRule="auto"/>
        <w:rPr>
          <w:rFonts w:ascii="Arial" w:hAnsi="Arial" w:cs="Arial"/>
          <w:sz w:val="22"/>
          <w:szCs w:val="22"/>
        </w:rPr>
      </w:pPr>
      <w:r w:rsidRPr="00A03C2A">
        <w:rPr>
          <w:rFonts w:ascii="Arial" w:hAnsi="Arial" w:cs="Arial"/>
          <w:sz w:val="22"/>
          <w:szCs w:val="22"/>
        </w:rPr>
        <w:t>A well-structured and stable board, involving the presence of independent directors</w:t>
      </w:r>
      <w:r>
        <w:rPr>
          <w:rFonts w:ascii="Arial" w:hAnsi="Arial" w:cs="Arial"/>
          <w:sz w:val="22"/>
          <w:szCs w:val="22"/>
        </w:rPr>
        <w:t>;</w:t>
      </w:r>
    </w:p>
    <w:p w14:paraId="56528D73" w14:textId="77777777" w:rsidR="00E050BC" w:rsidRDefault="00E050BC" w:rsidP="00E050BC">
      <w:pPr>
        <w:numPr>
          <w:ilvl w:val="0"/>
          <w:numId w:val="3"/>
        </w:numPr>
        <w:spacing w:line="360" w:lineRule="auto"/>
        <w:rPr>
          <w:rFonts w:ascii="Arial" w:hAnsi="Arial" w:cs="Arial"/>
          <w:sz w:val="22"/>
          <w:szCs w:val="22"/>
        </w:rPr>
      </w:pPr>
      <w:r w:rsidRPr="000C48C3">
        <w:rPr>
          <w:rFonts w:ascii="Arial" w:hAnsi="Arial" w:cs="Arial"/>
          <w:sz w:val="22"/>
          <w:szCs w:val="22"/>
        </w:rPr>
        <w:t>Clearly defined roles and responsibilities</w:t>
      </w:r>
      <w:r>
        <w:rPr>
          <w:rFonts w:ascii="Arial" w:hAnsi="Arial" w:cs="Arial"/>
          <w:sz w:val="22"/>
          <w:szCs w:val="22"/>
        </w:rPr>
        <w:t>;</w:t>
      </w:r>
    </w:p>
    <w:p w14:paraId="38095E0D" w14:textId="77777777" w:rsidR="00E050BC" w:rsidRDefault="00E050BC" w:rsidP="00E050BC">
      <w:pPr>
        <w:numPr>
          <w:ilvl w:val="0"/>
          <w:numId w:val="3"/>
        </w:numPr>
        <w:spacing w:line="360" w:lineRule="auto"/>
        <w:rPr>
          <w:rFonts w:ascii="Arial" w:hAnsi="Arial" w:cs="Arial"/>
          <w:sz w:val="22"/>
          <w:szCs w:val="22"/>
        </w:rPr>
      </w:pPr>
      <w:r w:rsidRPr="000C48C3">
        <w:rPr>
          <w:rFonts w:ascii="Arial" w:hAnsi="Arial" w:cs="Arial"/>
          <w:sz w:val="22"/>
          <w:szCs w:val="22"/>
        </w:rPr>
        <w:t>Strong strategic planning and risk control</w:t>
      </w:r>
      <w:r>
        <w:rPr>
          <w:rFonts w:ascii="Arial" w:hAnsi="Arial" w:cs="Arial"/>
          <w:sz w:val="22"/>
          <w:szCs w:val="22"/>
        </w:rPr>
        <w:t>;</w:t>
      </w:r>
    </w:p>
    <w:p w14:paraId="5A69FA6E" w14:textId="77777777" w:rsidR="00E050BC" w:rsidRPr="000C48C3" w:rsidRDefault="00E050BC" w:rsidP="00E050BC">
      <w:pPr>
        <w:numPr>
          <w:ilvl w:val="0"/>
          <w:numId w:val="3"/>
        </w:numPr>
        <w:spacing w:line="360" w:lineRule="auto"/>
        <w:rPr>
          <w:rFonts w:ascii="Arial" w:hAnsi="Arial" w:cs="Arial"/>
          <w:sz w:val="22"/>
          <w:szCs w:val="22"/>
        </w:rPr>
      </w:pPr>
      <w:r w:rsidRPr="000C48C3">
        <w:rPr>
          <w:rFonts w:ascii="Arial" w:hAnsi="Arial" w:cs="Arial"/>
          <w:sz w:val="22"/>
          <w:szCs w:val="22"/>
        </w:rPr>
        <w:t>Accessible and transparent interaction with stakeholders</w:t>
      </w:r>
      <w:r>
        <w:rPr>
          <w:rFonts w:ascii="Arial" w:hAnsi="Arial" w:cs="Arial"/>
          <w:sz w:val="22"/>
          <w:szCs w:val="22"/>
        </w:rPr>
        <w:t>.</w:t>
      </w:r>
    </w:p>
    <w:p w14:paraId="2EB92268" w14:textId="77777777" w:rsidR="00E050BC" w:rsidRDefault="00E050BC" w:rsidP="00E050BC">
      <w:pPr>
        <w:spacing w:line="360" w:lineRule="auto"/>
        <w:ind w:left="360" w:firstLine="360"/>
        <w:rPr>
          <w:rFonts w:ascii="Arial" w:hAnsi="Arial" w:cs="Arial"/>
          <w:sz w:val="22"/>
          <w:szCs w:val="22"/>
        </w:rPr>
      </w:pPr>
      <w:r w:rsidRPr="00A03C2A">
        <w:rPr>
          <w:rFonts w:ascii="Arial" w:hAnsi="Arial" w:cs="Arial"/>
          <w:sz w:val="22"/>
          <w:szCs w:val="22"/>
        </w:rPr>
        <w:t>Even if AIM does not impose the more stringent UK Corporate Governance Code applicable to Main Market listings, investors still assume companies to establish strong governance standards to reduce risk and support long-term achievement</w:t>
      </w:r>
      <w:r>
        <w:rPr>
          <w:rFonts w:ascii="Arial" w:hAnsi="Arial" w:cs="Arial"/>
          <w:noProof/>
          <w:sz w:val="22"/>
          <w:szCs w:val="22"/>
          <w:lang w:val="en-US"/>
        </w:rPr>
        <w:t xml:space="preserve"> </w:t>
      </w:r>
      <w:r w:rsidRPr="009616F3">
        <w:rPr>
          <w:rFonts w:ascii="Arial" w:hAnsi="Arial" w:cs="Arial"/>
          <w:noProof/>
          <w:sz w:val="22"/>
          <w:szCs w:val="22"/>
          <w:lang w:val="en-US"/>
        </w:rPr>
        <w:t>(Paul Sanderson, 2005)</w:t>
      </w:r>
      <w:r w:rsidRPr="00A03C2A">
        <w:rPr>
          <w:rFonts w:ascii="Arial" w:hAnsi="Arial" w:cs="Arial"/>
          <w:sz w:val="22"/>
          <w:szCs w:val="22"/>
        </w:rPr>
        <w:t>.</w:t>
      </w:r>
    </w:p>
    <w:p w14:paraId="0F69BE76" w14:textId="77777777" w:rsidR="00E050BC" w:rsidRDefault="00E050BC" w:rsidP="00E050BC">
      <w:pPr>
        <w:spacing w:line="360" w:lineRule="auto"/>
        <w:rPr>
          <w:rFonts w:ascii="Arial" w:hAnsi="Arial" w:cs="Arial"/>
          <w:sz w:val="22"/>
          <w:szCs w:val="22"/>
        </w:rPr>
      </w:pPr>
    </w:p>
    <w:p w14:paraId="66BC5DB3" w14:textId="77777777" w:rsidR="00E050BC" w:rsidRPr="00E050BC" w:rsidRDefault="00E050BC" w:rsidP="00E050BC">
      <w:pPr>
        <w:pStyle w:val="Heading2"/>
        <w:numPr>
          <w:ilvl w:val="1"/>
          <w:numId w:val="1"/>
        </w:numPr>
        <w:rPr>
          <w:rFonts w:ascii="Arial" w:hAnsi="Arial" w:cs="Arial"/>
          <w:b/>
          <w:bCs/>
          <w:color w:val="000000" w:themeColor="text1"/>
          <w:sz w:val="28"/>
          <w:szCs w:val="28"/>
        </w:rPr>
      </w:pPr>
      <w:bookmarkStart w:id="6" w:name="_Toc201264062"/>
      <w:bookmarkStart w:id="7" w:name="_Toc201479139"/>
      <w:r w:rsidRPr="00E050BC">
        <w:rPr>
          <w:rFonts w:ascii="Arial" w:hAnsi="Arial" w:cs="Arial"/>
          <w:b/>
          <w:bCs/>
          <w:color w:val="000000" w:themeColor="text1"/>
          <w:sz w:val="28"/>
          <w:szCs w:val="28"/>
        </w:rPr>
        <w:lastRenderedPageBreak/>
        <w:t>Agency Theory: Overview:</w:t>
      </w:r>
      <w:bookmarkEnd w:id="6"/>
      <w:bookmarkEnd w:id="7"/>
    </w:p>
    <w:p w14:paraId="63639C01" w14:textId="77777777" w:rsidR="00E050BC" w:rsidRPr="009C2A28" w:rsidRDefault="00E050BC" w:rsidP="00E050BC"/>
    <w:p w14:paraId="7F64B57D" w14:textId="71644297" w:rsidR="00E050BC" w:rsidRDefault="00E050BC" w:rsidP="00E050BC">
      <w:pPr>
        <w:spacing w:line="360" w:lineRule="auto"/>
        <w:ind w:left="720" w:firstLine="360"/>
        <w:rPr>
          <w:rFonts w:ascii="Arial" w:hAnsi="Arial" w:cs="Arial"/>
          <w:sz w:val="22"/>
          <w:szCs w:val="22"/>
        </w:rPr>
      </w:pPr>
      <w:r>
        <w:rPr>
          <w:noProof/>
        </w:rPr>
        <w:drawing>
          <wp:anchor distT="0" distB="0" distL="114300" distR="114300" simplePos="0" relativeHeight="251660288" behindDoc="1" locked="0" layoutInCell="1" allowOverlap="1" wp14:anchorId="5DAC0DC4" wp14:editId="6FDC7742">
            <wp:simplePos x="0" y="0"/>
            <wp:positionH relativeFrom="column">
              <wp:posOffset>2971800</wp:posOffset>
            </wp:positionH>
            <wp:positionV relativeFrom="paragraph">
              <wp:posOffset>25400</wp:posOffset>
            </wp:positionV>
            <wp:extent cx="2971800" cy="1682750"/>
            <wp:effectExtent l="0" t="0" r="0" b="0"/>
            <wp:wrapTight wrapText="bothSides">
              <wp:wrapPolygon edited="0">
                <wp:start x="0" y="0"/>
                <wp:lineTo x="0" y="21274"/>
                <wp:lineTo x="21462" y="21274"/>
                <wp:lineTo x="21462" y="0"/>
                <wp:lineTo x="0" y="0"/>
              </wp:wrapPolygon>
            </wp:wrapTight>
            <wp:docPr id="54652514" name="Picture 7" descr="A diagram of a company's work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52514" name="Picture 7" descr="A diagram of a company's work proces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71800" cy="16827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A475A">
        <w:rPr>
          <w:rFonts w:ascii="Arial" w:hAnsi="Arial" w:cs="Arial"/>
          <w:i/>
          <w:iCs/>
          <w:sz w:val="22"/>
          <w:szCs w:val="22"/>
        </w:rPr>
        <w:t>Agency Theory</w:t>
      </w:r>
      <w:r w:rsidRPr="008A475A">
        <w:rPr>
          <w:rFonts w:ascii="Arial" w:hAnsi="Arial" w:cs="Arial"/>
          <w:sz w:val="22"/>
          <w:szCs w:val="22"/>
        </w:rPr>
        <w:t xml:space="preserve"> </w:t>
      </w:r>
      <w:r w:rsidRPr="009C2A28">
        <w:rPr>
          <w:rFonts w:ascii="Arial" w:hAnsi="Arial" w:cs="Arial"/>
          <w:sz w:val="22"/>
          <w:szCs w:val="22"/>
        </w:rPr>
        <w:t xml:space="preserve">inspects the relationship between a </w:t>
      </w:r>
      <w:r w:rsidRPr="009C2A28">
        <w:rPr>
          <w:rFonts w:ascii="Arial" w:hAnsi="Arial" w:cs="Arial"/>
          <w:i/>
          <w:iCs/>
          <w:sz w:val="22"/>
          <w:szCs w:val="22"/>
        </w:rPr>
        <w:t>principal</w:t>
      </w:r>
      <w:r w:rsidRPr="009C2A28">
        <w:rPr>
          <w:rFonts w:ascii="Arial" w:hAnsi="Arial" w:cs="Arial"/>
          <w:sz w:val="22"/>
          <w:szCs w:val="22"/>
        </w:rPr>
        <w:t xml:space="preserve"> and an </w:t>
      </w:r>
      <w:r w:rsidRPr="009C2A28">
        <w:rPr>
          <w:rFonts w:ascii="Arial" w:hAnsi="Arial" w:cs="Arial"/>
          <w:i/>
          <w:iCs/>
          <w:sz w:val="22"/>
          <w:szCs w:val="22"/>
        </w:rPr>
        <w:t>agent</w:t>
      </w:r>
      <w:r w:rsidRPr="009C2A28">
        <w:rPr>
          <w:rFonts w:ascii="Arial" w:hAnsi="Arial" w:cs="Arial"/>
          <w:sz w:val="22"/>
          <w:szCs w:val="22"/>
        </w:rPr>
        <w:t>, where the agent is tasked with making decisions on the principal's behalf</w:t>
      </w:r>
      <w:r>
        <w:rPr>
          <w:rFonts w:ascii="Arial" w:hAnsi="Arial" w:cs="Arial"/>
          <w:noProof/>
          <w:sz w:val="22"/>
          <w:szCs w:val="22"/>
          <w:lang w:val="en-US"/>
        </w:rPr>
        <w:t xml:space="preserve"> </w:t>
      </w:r>
      <w:r w:rsidRPr="006B242C">
        <w:rPr>
          <w:rFonts w:ascii="Arial" w:hAnsi="Arial" w:cs="Arial"/>
          <w:noProof/>
          <w:sz w:val="22"/>
          <w:szCs w:val="22"/>
          <w:lang w:val="en-US"/>
        </w:rPr>
        <w:t>(Leepsa, 2017)</w:t>
      </w:r>
      <w:r w:rsidRPr="009C2A28">
        <w:rPr>
          <w:rFonts w:ascii="Arial" w:hAnsi="Arial" w:cs="Arial"/>
          <w:sz w:val="22"/>
          <w:szCs w:val="22"/>
        </w:rPr>
        <w:t xml:space="preserve">. </w:t>
      </w:r>
    </w:p>
    <w:p w14:paraId="55938886" w14:textId="77777777" w:rsidR="00E050BC" w:rsidRDefault="00E050BC" w:rsidP="00E050BC">
      <w:pPr>
        <w:spacing w:line="360" w:lineRule="auto"/>
        <w:ind w:left="720" w:firstLine="360"/>
        <w:rPr>
          <w:rFonts w:ascii="Arial" w:hAnsi="Arial" w:cs="Arial"/>
          <w:sz w:val="22"/>
          <w:szCs w:val="22"/>
        </w:rPr>
      </w:pPr>
      <w:r w:rsidRPr="009C2A28">
        <w:rPr>
          <w:rFonts w:ascii="Arial" w:hAnsi="Arial" w:cs="Arial"/>
          <w:sz w:val="22"/>
          <w:szCs w:val="22"/>
        </w:rPr>
        <w:t>The theory focuses on the potential conflicts of interest that can</w:t>
      </w:r>
    </w:p>
    <w:p w14:paraId="17E9704C" w14:textId="77777777" w:rsidR="00E050BC" w:rsidRPr="006B242C" w:rsidRDefault="00E050BC" w:rsidP="00E050BC">
      <w:pPr>
        <w:spacing w:line="360" w:lineRule="auto"/>
        <w:ind w:left="720" w:firstLine="360"/>
        <w:rPr>
          <w:rFonts w:ascii="Arial" w:hAnsi="Arial" w:cs="Arial"/>
          <w:b/>
          <w:bCs/>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   </w:t>
      </w:r>
      <w:r w:rsidRPr="006B242C">
        <w:rPr>
          <w:rFonts w:ascii="Arial" w:hAnsi="Arial" w:cs="Arial"/>
          <w:b/>
          <w:bCs/>
          <w:sz w:val="22"/>
          <w:szCs w:val="22"/>
        </w:rPr>
        <w:t xml:space="preserve">Fig.2. </w:t>
      </w:r>
    </w:p>
    <w:p w14:paraId="7185D17F" w14:textId="77777777" w:rsidR="00E050BC" w:rsidRDefault="00E050BC" w:rsidP="00E050BC">
      <w:pPr>
        <w:spacing w:line="360" w:lineRule="auto"/>
        <w:ind w:left="720"/>
        <w:rPr>
          <w:rFonts w:ascii="Arial" w:hAnsi="Arial" w:cs="Arial"/>
          <w:sz w:val="22"/>
          <w:szCs w:val="22"/>
        </w:rPr>
      </w:pPr>
      <w:r w:rsidRPr="009C2A28">
        <w:rPr>
          <w:rFonts w:ascii="Arial" w:hAnsi="Arial" w:cs="Arial"/>
          <w:sz w:val="22"/>
          <w:szCs w:val="22"/>
        </w:rPr>
        <w:t>arise between the two parties and</w:t>
      </w:r>
      <w:r>
        <w:rPr>
          <w:rFonts w:ascii="Arial" w:hAnsi="Arial" w:cs="Arial"/>
          <w:sz w:val="22"/>
          <w:szCs w:val="22"/>
        </w:rPr>
        <w:t xml:space="preserve"> </w:t>
      </w:r>
      <w:r w:rsidRPr="009C2A28">
        <w:rPr>
          <w:rFonts w:ascii="Arial" w:hAnsi="Arial" w:cs="Arial"/>
          <w:sz w:val="22"/>
          <w:szCs w:val="22"/>
        </w:rPr>
        <w:t>proposes ways to reduce or manage these conflicts. It is commonly used to analyse the dynamic between shareholders, who are the principals, and company managers, who act as their agents, within a corporate environment.</w:t>
      </w:r>
    </w:p>
    <w:tbl>
      <w:tblPr>
        <w:tblStyle w:val="TableGrid"/>
        <w:tblW w:w="0" w:type="auto"/>
        <w:tblInd w:w="720" w:type="dxa"/>
        <w:tblLook w:val="04A0" w:firstRow="1" w:lastRow="0" w:firstColumn="1" w:lastColumn="0" w:noHBand="0" w:noVBand="1"/>
      </w:tblPr>
      <w:tblGrid>
        <w:gridCol w:w="4142"/>
        <w:gridCol w:w="4154"/>
      </w:tblGrid>
      <w:tr w:rsidR="00E050BC" w14:paraId="7AE7BB15" w14:textId="77777777" w:rsidTr="00BD0993">
        <w:tc>
          <w:tcPr>
            <w:tcW w:w="4788" w:type="dxa"/>
          </w:tcPr>
          <w:p w14:paraId="35C2F6B0" w14:textId="77777777" w:rsidR="00E050BC" w:rsidRPr="00124A17" w:rsidRDefault="00E050BC" w:rsidP="00BD0993">
            <w:pPr>
              <w:spacing w:line="360" w:lineRule="auto"/>
              <w:jc w:val="center"/>
              <w:rPr>
                <w:rFonts w:ascii="Arial" w:hAnsi="Arial" w:cs="Arial"/>
                <w:b/>
                <w:bCs/>
              </w:rPr>
            </w:pPr>
            <w:r w:rsidRPr="00124A17">
              <w:rPr>
                <w:rFonts w:ascii="Arial" w:hAnsi="Arial" w:cs="Arial"/>
                <w:b/>
                <w:bCs/>
              </w:rPr>
              <w:t>Key risks:</w:t>
            </w:r>
          </w:p>
        </w:tc>
        <w:tc>
          <w:tcPr>
            <w:tcW w:w="4788" w:type="dxa"/>
          </w:tcPr>
          <w:p w14:paraId="137E9A07" w14:textId="77777777" w:rsidR="00E050BC" w:rsidRPr="00124A17" w:rsidRDefault="00E050BC" w:rsidP="00BD0993">
            <w:pPr>
              <w:spacing w:line="360" w:lineRule="auto"/>
              <w:jc w:val="center"/>
              <w:rPr>
                <w:rFonts w:ascii="Arial" w:hAnsi="Arial" w:cs="Arial"/>
                <w:b/>
                <w:bCs/>
              </w:rPr>
            </w:pPr>
            <w:r w:rsidRPr="00124A17">
              <w:rPr>
                <w:rFonts w:ascii="Arial" w:hAnsi="Arial" w:cs="Arial"/>
                <w:b/>
                <w:bCs/>
              </w:rPr>
              <w:t>Mitigation strategies:</w:t>
            </w:r>
          </w:p>
        </w:tc>
      </w:tr>
      <w:tr w:rsidR="00E050BC" w14:paraId="1F7ED1EF" w14:textId="77777777" w:rsidTr="00BD0993">
        <w:tc>
          <w:tcPr>
            <w:tcW w:w="4788" w:type="dxa"/>
          </w:tcPr>
          <w:p w14:paraId="27010BD7" w14:textId="77777777" w:rsidR="00E050BC" w:rsidRDefault="00E050BC" w:rsidP="00E050BC">
            <w:pPr>
              <w:numPr>
                <w:ilvl w:val="0"/>
                <w:numId w:val="4"/>
              </w:numPr>
              <w:spacing w:line="360" w:lineRule="auto"/>
              <w:rPr>
                <w:rFonts w:ascii="Arial" w:hAnsi="Arial" w:cs="Arial"/>
                <w:sz w:val="22"/>
                <w:szCs w:val="22"/>
              </w:rPr>
            </w:pPr>
            <w:r w:rsidRPr="00124A17">
              <w:rPr>
                <w:rFonts w:ascii="Arial" w:hAnsi="Arial" w:cs="Arial"/>
                <w:sz w:val="22"/>
                <w:szCs w:val="22"/>
              </w:rPr>
              <w:t>Directors pursuing personal interests (e.g., excessive pay, risk aversion)</w:t>
            </w:r>
            <w:r>
              <w:rPr>
                <w:rFonts w:ascii="Arial" w:hAnsi="Arial" w:cs="Arial"/>
                <w:sz w:val="22"/>
                <w:szCs w:val="22"/>
              </w:rPr>
              <w:t>;</w:t>
            </w:r>
          </w:p>
          <w:p w14:paraId="6E3010A4" w14:textId="77777777" w:rsidR="00E050BC" w:rsidRDefault="00E050BC" w:rsidP="00E050BC">
            <w:pPr>
              <w:numPr>
                <w:ilvl w:val="0"/>
                <w:numId w:val="4"/>
              </w:numPr>
              <w:spacing w:line="360" w:lineRule="auto"/>
              <w:rPr>
                <w:rFonts w:ascii="Arial" w:hAnsi="Arial" w:cs="Arial"/>
                <w:sz w:val="22"/>
                <w:szCs w:val="22"/>
              </w:rPr>
            </w:pPr>
            <w:r w:rsidRPr="00124A17">
              <w:rPr>
                <w:rFonts w:ascii="Arial" w:hAnsi="Arial" w:cs="Arial"/>
                <w:sz w:val="22"/>
                <w:szCs w:val="22"/>
              </w:rPr>
              <w:t>Shareholders being unable to monitor daily decisions</w:t>
            </w:r>
            <w:r>
              <w:rPr>
                <w:rFonts w:ascii="Arial" w:hAnsi="Arial" w:cs="Arial"/>
                <w:sz w:val="22"/>
                <w:szCs w:val="22"/>
              </w:rPr>
              <w:t>;</w:t>
            </w:r>
          </w:p>
          <w:p w14:paraId="44FB661A" w14:textId="77777777" w:rsidR="00E050BC" w:rsidRPr="00124A17" w:rsidRDefault="00E050BC" w:rsidP="00E050BC">
            <w:pPr>
              <w:numPr>
                <w:ilvl w:val="0"/>
                <w:numId w:val="4"/>
              </w:numPr>
              <w:spacing w:line="360" w:lineRule="auto"/>
              <w:rPr>
                <w:rFonts w:ascii="Arial" w:hAnsi="Arial" w:cs="Arial"/>
                <w:sz w:val="22"/>
                <w:szCs w:val="22"/>
              </w:rPr>
            </w:pPr>
            <w:r w:rsidRPr="00124A17">
              <w:rPr>
                <w:rFonts w:ascii="Arial" w:hAnsi="Arial" w:cs="Arial"/>
                <w:sz w:val="22"/>
                <w:szCs w:val="22"/>
              </w:rPr>
              <w:t>Misalignment of objectives and incentives</w:t>
            </w:r>
            <w:r>
              <w:rPr>
                <w:rFonts w:ascii="Arial" w:hAnsi="Arial" w:cs="Arial"/>
                <w:sz w:val="22"/>
                <w:szCs w:val="22"/>
              </w:rPr>
              <w:t>.</w:t>
            </w:r>
          </w:p>
        </w:tc>
        <w:tc>
          <w:tcPr>
            <w:tcW w:w="4788" w:type="dxa"/>
          </w:tcPr>
          <w:p w14:paraId="7B88DD77" w14:textId="77777777" w:rsidR="00E050BC" w:rsidRDefault="00E050BC" w:rsidP="00E050BC">
            <w:pPr>
              <w:numPr>
                <w:ilvl w:val="0"/>
                <w:numId w:val="4"/>
              </w:numPr>
              <w:spacing w:line="360" w:lineRule="auto"/>
              <w:rPr>
                <w:rFonts w:ascii="Arial" w:hAnsi="Arial" w:cs="Arial"/>
                <w:sz w:val="22"/>
                <w:szCs w:val="22"/>
              </w:rPr>
            </w:pPr>
            <w:r w:rsidRPr="00124A17">
              <w:rPr>
                <w:rFonts w:ascii="Arial" w:hAnsi="Arial" w:cs="Arial"/>
                <w:sz w:val="22"/>
                <w:szCs w:val="22"/>
              </w:rPr>
              <w:t>Transparent reporting</w:t>
            </w:r>
            <w:r>
              <w:rPr>
                <w:rFonts w:ascii="Arial" w:hAnsi="Arial" w:cs="Arial"/>
                <w:sz w:val="22"/>
                <w:szCs w:val="22"/>
              </w:rPr>
              <w:t>;</w:t>
            </w:r>
          </w:p>
          <w:p w14:paraId="4CA51F42" w14:textId="77777777" w:rsidR="00E050BC" w:rsidRDefault="00E050BC" w:rsidP="00E050BC">
            <w:pPr>
              <w:numPr>
                <w:ilvl w:val="0"/>
                <w:numId w:val="4"/>
              </w:numPr>
              <w:spacing w:line="360" w:lineRule="auto"/>
              <w:rPr>
                <w:rFonts w:ascii="Arial" w:hAnsi="Arial" w:cs="Arial"/>
                <w:sz w:val="22"/>
                <w:szCs w:val="22"/>
              </w:rPr>
            </w:pPr>
            <w:r w:rsidRPr="00124A17">
              <w:rPr>
                <w:rFonts w:ascii="Arial" w:hAnsi="Arial" w:cs="Arial"/>
                <w:sz w:val="22"/>
                <w:szCs w:val="22"/>
              </w:rPr>
              <w:t>Performance-linked remuneration</w:t>
            </w:r>
            <w:r>
              <w:rPr>
                <w:rFonts w:ascii="Arial" w:hAnsi="Arial" w:cs="Arial"/>
                <w:sz w:val="22"/>
                <w:szCs w:val="22"/>
              </w:rPr>
              <w:t>;</w:t>
            </w:r>
          </w:p>
          <w:p w14:paraId="75ACF8B8" w14:textId="77777777" w:rsidR="00E050BC" w:rsidRDefault="00E050BC" w:rsidP="00E050BC">
            <w:pPr>
              <w:numPr>
                <w:ilvl w:val="0"/>
                <w:numId w:val="4"/>
              </w:numPr>
              <w:spacing w:line="360" w:lineRule="auto"/>
              <w:rPr>
                <w:rFonts w:ascii="Arial" w:hAnsi="Arial" w:cs="Arial"/>
                <w:sz w:val="22"/>
                <w:szCs w:val="22"/>
              </w:rPr>
            </w:pPr>
            <w:r w:rsidRPr="00124A17">
              <w:rPr>
                <w:rFonts w:ascii="Arial" w:hAnsi="Arial" w:cs="Arial"/>
                <w:sz w:val="22"/>
                <w:szCs w:val="22"/>
              </w:rPr>
              <w:t>Independent oversight</w:t>
            </w:r>
            <w:r>
              <w:rPr>
                <w:rFonts w:ascii="Arial" w:hAnsi="Arial" w:cs="Arial"/>
                <w:sz w:val="22"/>
                <w:szCs w:val="22"/>
              </w:rPr>
              <w:t>;</w:t>
            </w:r>
          </w:p>
          <w:p w14:paraId="07CEB192" w14:textId="77777777" w:rsidR="00E050BC" w:rsidRPr="00124A17" w:rsidRDefault="00E050BC" w:rsidP="00E050BC">
            <w:pPr>
              <w:numPr>
                <w:ilvl w:val="0"/>
                <w:numId w:val="4"/>
              </w:numPr>
              <w:spacing w:line="360" w:lineRule="auto"/>
              <w:rPr>
                <w:rFonts w:ascii="Arial" w:hAnsi="Arial" w:cs="Arial"/>
                <w:sz w:val="22"/>
                <w:szCs w:val="22"/>
              </w:rPr>
            </w:pPr>
            <w:r w:rsidRPr="00124A17">
              <w:rPr>
                <w:rFonts w:ascii="Arial" w:hAnsi="Arial" w:cs="Arial"/>
                <w:sz w:val="22"/>
                <w:szCs w:val="22"/>
              </w:rPr>
              <w:t>Shareholder voting rights</w:t>
            </w:r>
            <w:r>
              <w:rPr>
                <w:rFonts w:ascii="Arial" w:hAnsi="Arial" w:cs="Arial"/>
                <w:sz w:val="22"/>
                <w:szCs w:val="22"/>
              </w:rPr>
              <w:t>.</w:t>
            </w:r>
          </w:p>
        </w:tc>
      </w:tr>
    </w:tbl>
    <w:p w14:paraId="5F487186" w14:textId="77777777" w:rsidR="00E050BC" w:rsidRPr="009C2A28" w:rsidRDefault="00E050BC" w:rsidP="00E050BC">
      <w:pPr>
        <w:spacing w:line="360" w:lineRule="auto"/>
        <w:ind w:left="720"/>
      </w:pPr>
    </w:p>
    <w:p w14:paraId="79380841" w14:textId="77777777" w:rsidR="00E050BC" w:rsidRDefault="00E050BC" w:rsidP="00E050BC">
      <w:pPr>
        <w:spacing w:line="360" w:lineRule="auto"/>
        <w:ind w:left="360" w:firstLine="360"/>
        <w:rPr>
          <w:rFonts w:ascii="Arial" w:hAnsi="Arial" w:cs="Arial"/>
          <w:sz w:val="22"/>
          <w:szCs w:val="22"/>
        </w:rPr>
      </w:pPr>
      <w:r w:rsidRPr="00951041">
        <w:rPr>
          <w:rFonts w:ascii="Arial" w:hAnsi="Arial" w:cs="Arial"/>
          <w:sz w:val="22"/>
          <w:szCs w:val="22"/>
        </w:rPr>
        <w:t>In the UK, Public Limited Companies (PLCs) hold an important position by enabling access to capital, increasing public visibility, and offering shareholders greater liquidity</w:t>
      </w:r>
      <w:r>
        <w:rPr>
          <w:rFonts w:ascii="Arial" w:hAnsi="Arial" w:cs="Arial"/>
          <w:noProof/>
          <w:sz w:val="22"/>
          <w:szCs w:val="22"/>
          <w:lang w:val="en-US"/>
        </w:rPr>
        <w:t xml:space="preserve"> </w:t>
      </w:r>
      <w:r w:rsidRPr="00E661B0">
        <w:rPr>
          <w:rFonts w:ascii="Arial" w:hAnsi="Arial" w:cs="Arial"/>
          <w:noProof/>
          <w:sz w:val="22"/>
          <w:szCs w:val="22"/>
          <w:lang w:val="en-US"/>
        </w:rPr>
        <w:t>(Jong, 2016)</w:t>
      </w:r>
      <w:r w:rsidRPr="00951041">
        <w:rPr>
          <w:rFonts w:ascii="Arial" w:hAnsi="Arial" w:cs="Arial"/>
          <w:sz w:val="22"/>
          <w:szCs w:val="22"/>
        </w:rPr>
        <w:t>. These companies are governed by stringent regulations aimed at safeguarding investor interests and ensuring transparency.</w:t>
      </w:r>
    </w:p>
    <w:p w14:paraId="5028DCBD" w14:textId="282F3C1B" w:rsidR="00E050BC" w:rsidRDefault="00E050BC"/>
    <w:p w14:paraId="3721A79C" w14:textId="77777777" w:rsidR="00E050BC" w:rsidRDefault="00E050BC">
      <w:r>
        <w:br w:type="page"/>
      </w:r>
    </w:p>
    <w:p w14:paraId="3707DA93" w14:textId="77777777" w:rsidR="00F70D60" w:rsidRPr="00F70D60" w:rsidRDefault="00F70D60" w:rsidP="00F70D60">
      <w:pPr>
        <w:keepNext/>
        <w:numPr>
          <w:ilvl w:val="0"/>
          <w:numId w:val="1"/>
        </w:numPr>
        <w:spacing w:before="240" w:after="60"/>
        <w:outlineLvl w:val="1"/>
        <w:rPr>
          <w:rFonts w:ascii="Arial" w:eastAsia="Times New Roman" w:hAnsi="Arial" w:cs="Arial"/>
          <w:b/>
          <w:bCs/>
          <w:sz w:val="28"/>
          <w:szCs w:val="28"/>
          <w:lang w:eastAsia="en-GB"/>
          <w14:ligatures w14:val="none"/>
        </w:rPr>
      </w:pPr>
      <w:bookmarkStart w:id="8" w:name="_Toc201264063"/>
      <w:bookmarkStart w:id="9" w:name="_Toc201479140"/>
      <w:r w:rsidRPr="00F70D60">
        <w:rPr>
          <w:rFonts w:ascii="Arial" w:eastAsia="Times New Roman" w:hAnsi="Arial" w:cs="Arial"/>
          <w:b/>
          <w:bCs/>
          <w:sz w:val="28"/>
          <w:szCs w:val="28"/>
          <w:lang w:eastAsia="en-GB"/>
          <w14:ligatures w14:val="none"/>
        </w:rPr>
        <w:lastRenderedPageBreak/>
        <w:t>Retaining Control While Holding 30% of Shares:</w:t>
      </w:r>
      <w:bookmarkEnd w:id="8"/>
      <w:bookmarkEnd w:id="9"/>
    </w:p>
    <w:p w14:paraId="43590741" w14:textId="77777777" w:rsidR="00F70D60" w:rsidRPr="00F70D60" w:rsidRDefault="00F70D60" w:rsidP="00F70D60">
      <w:pPr>
        <w:rPr>
          <w:rFonts w:ascii="Aptos" w:eastAsia="Times New Roman" w:hAnsi="Aptos" w:cs="Times New Roman"/>
          <w:lang w:eastAsia="en-GB"/>
          <w14:ligatures w14:val="none"/>
        </w:rPr>
      </w:pPr>
    </w:p>
    <w:p w14:paraId="497817E3" w14:textId="77777777" w:rsidR="00F70D60" w:rsidRPr="00F70D60" w:rsidRDefault="00F70D60" w:rsidP="00F70D60">
      <w:pPr>
        <w:spacing w:line="360" w:lineRule="auto"/>
        <w:ind w:firstLine="360"/>
        <w:rPr>
          <w:rFonts w:ascii="Arial" w:eastAsia="Times New Roman" w:hAnsi="Arial" w:cs="Arial"/>
          <w:sz w:val="22"/>
          <w:szCs w:val="22"/>
          <w:lang w:eastAsia="en-GB"/>
          <w14:ligatures w14:val="none"/>
        </w:rPr>
      </w:pPr>
      <w:r w:rsidRPr="00F70D60">
        <w:rPr>
          <w:rFonts w:ascii="Arial" w:eastAsia="Times New Roman" w:hAnsi="Arial" w:cs="Arial"/>
          <w:sz w:val="22"/>
          <w:szCs w:val="22"/>
          <w:lang w:eastAsia="en-GB"/>
          <w14:ligatures w14:val="none"/>
        </w:rPr>
        <w:t xml:space="preserve">Although </w:t>
      </w:r>
      <w:r w:rsidRPr="00F70D60">
        <w:rPr>
          <w:rFonts w:ascii="Arial" w:eastAsia="Times New Roman" w:hAnsi="Arial" w:cs="Arial"/>
          <w:i/>
          <w:iCs/>
          <w:sz w:val="22"/>
          <w:szCs w:val="22"/>
          <w:lang w:eastAsia="en-GB"/>
          <w14:ligatures w14:val="none"/>
        </w:rPr>
        <w:t>holding 30%</w:t>
      </w:r>
      <w:r w:rsidRPr="00F70D60">
        <w:rPr>
          <w:rFonts w:ascii="Arial" w:eastAsia="Times New Roman" w:hAnsi="Arial" w:cs="Arial"/>
          <w:sz w:val="22"/>
          <w:szCs w:val="22"/>
          <w:lang w:eastAsia="en-GB"/>
          <w14:ligatures w14:val="none"/>
        </w:rPr>
        <w:t xml:space="preserve"> of a company’s shares offers considerable influence, it does not typically equate to outright control. In most cases, control-particularly in a public company-requires ownership of </w:t>
      </w:r>
      <w:r w:rsidRPr="00F70D60">
        <w:rPr>
          <w:rFonts w:ascii="Arial" w:eastAsia="Times New Roman" w:hAnsi="Arial" w:cs="Arial"/>
          <w:i/>
          <w:iCs/>
          <w:sz w:val="22"/>
          <w:szCs w:val="22"/>
          <w:lang w:eastAsia="en-GB"/>
          <w14:ligatures w14:val="none"/>
        </w:rPr>
        <w:t>more than 50%</w:t>
      </w:r>
      <w:r w:rsidRPr="00F70D60">
        <w:rPr>
          <w:rFonts w:ascii="Arial" w:eastAsia="Times New Roman" w:hAnsi="Arial" w:cs="Arial"/>
          <w:sz w:val="22"/>
          <w:szCs w:val="22"/>
          <w:lang w:eastAsia="en-GB"/>
          <w14:ligatures w14:val="none"/>
        </w:rPr>
        <w:t xml:space="preserve"> of the voting rights. However, a 30% stake can still be strategically powerful and may be sufficient to influence key decisions or block certain corporate actions, particularly when combined with other mechanisms</w:t>
      </w:r>
      <w:r w:rsidRPr="00F70D60">
        <w:rPr>
          <w:rFonts w:ascii="Arial" w:eastAsia="Times New Roman" w:hAnsi="Arial" w:cs="Arial"/>
          <w:noProof/>
          <w:sz w:val="22"/>
          <w:szCs w:val="22"/>
          <w:lang w:val="en-US" w:eastAsia="en-GB"/>
          <w14:ligatures w14:val="none"/>
        </w:rPr>
        <w:t xml:space="preserve"> (Ooi, 1999)</w:t>
      </w:r>
      <w:r w:rsidRPr="00F70D60">
        <w:rPr>
          <w:rFonts w:ascii="Arial" w:eastAsia="Times New Roman" w:hAnsi="Arial" w:cs="Arial"/>
          <w:sz w:val="22"/>
          <w:szCs w:val="22"/>
          <w:lang w:eastAsia="en-GB"/>
          <w14:ligatures w14:val="none"/>
        </w:rPr>
        <w:t>.</w:t>
      </w:r>
    </w:p>
    <w:p w14:paraId="1F39400D" w14:textId="77777777" w:rsidR="00F70D60" w:rsidRPr="00F70D60" w:rsidRDefault="00F70D60" w:rsidP="00F70D60">
      <w:pPr>
        <w:spacing w:line="360" w:lineRule="auto"/>
        <w:ind w:firstLine="360"/>
        <w:rPr>
          <w:rFonts w:ascii="Arial" w:eastAsia="Times New Roman" w:hAnsi="Arial" w:cs="Arial"/>
          <w:sz w:val="22"/>
          <w:szCs w:val="22"/>
          <w:lang w:eastAsia="en-GB"/>
          <w14:ligatures w14:val="none"/>
        </w:rPr>
      </w:pPr>
      <w:r w:rsidRPr="00F70D60">
        <w:rPr>
          <w:rFonts w:ascii="Arial" w:eastAsia="Times New Roman" w:hAnsi="Arial" w:cs="Arial"/>
          <w:sz w:val="22"/>
          <w:szCs w:val="22"/>
          <w:lang w:eastAsia="en-GB"/>
          <w14:ligatures w14:val="none"/>
        </w:rPr>
        <w:t xml:space="preserve">For example, </w:t>
      </w:r>
      <w:r w:rsidRPr="00F70D60">
        <w:rPr>
          <w:rFonts w:ascii="Arial" w:eastAsia="Times New Roman" w:hAnsi="Arial" w:cs="Arial"/>
          <w:i/>
          <w:iCs/>
          <w:sz w:val="22"/>
          <w:szCs w:val="22"/>
          <w:u w:val="single"/>
          <w:lang w:eastAsia="en-GB"/>
          <w14:ligatures w14:val="none"/>
        </w:rPr>
        <w:t>under UK company law</w:t>
      </w:r>
      <w:r w:rsidRPr="00F70D60">
        <w:rPr>
          <w:rFonts w:ascii="Arial" w:eastAsia="Times New Roman" w:hAnsi="Arial" w:cs="Arial"/>
          <w:sz w:val="22"/>
          <w:szCs w:val="22"/>
          <w:lang w:eastAsia="en-GB"/>
          <w14:ligatures w14:val="none"/>
        </w:rPr>
        <w:t xml:space="preserve">, a shareholder with 25% or more can block special resolutions, which require a 75% majority to pass. This gives a 30% shareholder the ability to prevent changes such as amendments to the company’s constitution, approval of certain large transactions, or other significant strategic shifts. Also, forming alliances with other shareholders or securing board representation can further enhance influence. Introducing dual-class share structures </w:t>
      </w:r>
      <w:r w:rsidRPr="00F70D60">
        <w:rPr>
          <w:rFonts w:ascii="Arial" w:eastAsia="Times New Roman" w:hAnsi="Arial" w:cs="Arial"/>
          <w:i/>
          <w:iCs/>
          <w:sz w:val="22"/>
          <w:szCs w:val="22"/>
          <w:lang w:eastAsia="en-GB"/>
          <w14:ligatures w14:val="none"/>
        </w:rPr>
        <w:t>(where voting rights are not proportionate to ownership)</w:t>
      </w:r>
      <w:r w:rsidRPr="00F70D60">
        <w:rPr>
          <w:rFonts w:ascii="Arial" w:eastAsia="Times New Roman" w:hAnsi="Arial" w:cs="Arial"/>
          <w:sz w:val="22"/>
          <w:szCs w:val="22"/>
          <w:lang w:eastAsia="en-GB"/>
          <w14:ligatures w14:val="none"/>
        </w:rPr>
        <w:t xml:space="preserve"> is another potential strategy, although less common on markets like AIM and subject to investor scrutiny</w:t>
      </w:r>
      <w:r w:rsidRPr="00F70D60">
        <w:rPr>
          <w:rFonts w:ascii="Arial" w:eastAsia="Times New Roman" w:hAnsi="Arial" w:cs="Arial"/>
          <w:noProof/>
          <w:sz w:val="22"/>
          <w:szCs w:val="22"/>
          <w:lang w:val="en-US" w:eastAsia="en-GB"/>
          <w14:ligatures w14:val="none"/>
        </w:rPr>
        <w:t xml:space="preserve"> (Ooi, 1999)</w:t>
      </w:r>
      <w:r w:rsidRPr="00F70D60">
        <w:rPr>
          <w:rFonts w:ascii="Arial" w:eastAsia="Times New Roman" w:hAnsi="Arial" w:cs="Arial"/>
          <w:sz w:val="22"/>
          <w:szCs w:val="22"/>
          <w:lang w:eastAsia="en-GB"/>
          <w14:ligatures w14:val="none"/>
        </w:rPr>
        <w:t>.</w:t>
      </w:r>
    </w:p>
    <w:tbl>
      <w:tblPr>
        <w:tblStyle w:val="TableGrid"/>
        <w:tblW w:w="0" w:type="auto"/>
        <w:tblLook w:val="04A0" w:firstRow="1" w:lastRow="0" w:firstColumn="1" w:lastColumn="0" w:noHBand="0" w:noVBand="1"/>
      </w:tblPr>
      <w:tblGrid>
        <w:gridCol w:w="3813"/>
        <w:gridCol w:w="5203"/>
      </w:tblGrid>
      <w:tr w:rsidR="00F70D60" w:rsidRPr="00F70D60" w14:paraId="6EA939AF" w14:textId="77777777" w:rsidTr="00BD0993">
        <w:tc>
          <w:tcPr>
            <w:tcW w:w="3978" w:type="dxa"/>
          </w:tcPr>
          <w:p w14:paraId="725AEB5E" w14:textId="77777777" w:rsidR="00F70D60" w:rsidRPr="00F70D60" w:rsidRDefault="00F70D60" w:rsidP="00F70D60">
            <w:pPr>
              <w:numPr>
                <w:ilvl w:val="0"/>
                <w:numId w:val="5"/>
              </w:numPr>
              <w:spacing w:line="360" w:lineRule="auto"/>
              <w:rPr>
                <w:rFonts w:ascii="Arial" w:eastAsia="Times New Roman" w:hAnsi="Arial" w:cs="Arial"/>
                <w:b/>
                <w:bCs/>
                <w:sz w:val="22"/>
                <w:szCs w:val="22"/>
              </w:rPr>
            </w:pPr>
            <w:r w:rsidRPr="00F70D60">
              <w:rPr>
                <w:rFonts w:ascii="Arial" w:eastAsia="Times New Roman" w:hAnsi="Arial" w:cs="Arial"/>
                <w:b/>
                <w:bCs/>
                <w:sz w:val="22"/>
                <w:szCs w:val="22"/>
              </w:rPr>
              <w:t>Dual-Class Share Structures:</w:t>
            </w:r>
          </w:p>
        </w:tc>
        <w:tc>
          <w:tcPr>
            <w:tcW w:w="5598" w:type="dxa"/>
          </w:tcPr>
          <w:p w14:paraId="25045B47" w14:textId="77777777" w:rsidR="00F70D60" w:rsidRPr="00F70D60" w:rsidRDefault="00F70D60" w:rsidP="00F70D60">
            <w:pPr>
              <w:numPr>
                <w:ilvl w:val="0"/>
                <w:numId w:val="6"/>
              </w:numPr>
              <w:spacing w:line="360" w:lineRule="auto"/>
              <w:rPr>
                <w:rFonts w:ascii="Arial" w:eastAsia="Times New Roman" w:hAnsi="Arial" w:cs="Arial"/>
                <w:sz w:val="22"/>
                <w:szCs w:val="22"/>
              </w:rPr>
            </w:pPr>
            <w:r w:rsidRPr="00F70D60">
              <w:rPr>
                <w:rFonts w:ascii="Arial" w:eastAsia="Times New Roman" w:hAnsi="Arial" w:cs="Arial"/>
                <w:sz w:val="22"/>
                <w:szCs w:val="22"/>
              </w:rPr>
              <w:t>Issue Class A shares (public) with limited voting rights;</w:t>
            </w:r>
          </w:p>
          <w:p w14:paraId="332E7C73" w14:textId="77777777" w:rsidR="00F70D60" w:rsidRPr="00F70D60" w:rsidRDefault="00F70D60" w:rsidP="00F70D60">
            <w:pPr>
              <w:numPr>
                <w:ilvl w:val="0"/>
                <w:numId w:val="6"/>
              </w:numPr>
              <w:spacing w:line="360" w:lineRule="auto"/>
              <w:rPr>
                <w:rFonts w:ascii="Arial" w:eastAsia="Times New Roman" w:hAnsi="Arial" w:cs="Arial"/>
                <w:sz w:val="22"/>
                <w:szCs w:val="22"/>
              </w:rPr>
            </w:pPr>
            <w:r w:rsidRPr="00F70D60">
              <w:rPr>
                <w:rFonts w:ascii="Arial" w:eastAsia="Times New Roman" w:hAnsi="Arial" w:cs="Arial"/>
                <w:sz w:val="22"/>
                <w:szCs w:val="22"/>
              </w:rPr>
              <w:t>Retain Class B shares (family) with enhanced voting rights;</w:t>
            </w:r>
          </w:p>
          <w:p w14:paraId="19691076" w14:textId="77777777" w:rsidR="00F70D60" w:rsidRPr="00F70D60" w:rsidRDefault="00F70D60" w:rsidP="00F70D60">
            <w:pPr>
              <w:numPr>
                <w:ilvl w:val="0"/>
                <w:numId w:val="6"/>
              </w:numPr>
              <w:spacing w:line="360" w:lineRule="auto"/>
              <w:rPr>
                <w:rFonts w:ascii="Arial" w:eastAsia="Times New Roman" w:hAnsi="Arial" w:cs="Arial"/>
                <w:sz w:val="22"/>
                <w:szCs w:val="22"/>
              </w:rPr>
            </w:pPr>
            <w:r w:rsidRPr="00F70D60">
              <w:rPr>
                <w:rFonts w:ascii="Arial" w:eastAsia="Times New Roman" w:hAnsi="Arial" w:cs="Arial"/>
                <w:sz w:val="22"/>
                <w:szCs w:val="22"/>
              </w:rPr>
              <w:t>Common among founders who want capital but retain control.</w:t>
            </w:r>
          </w:p>
        </w:tc>
      </w:tr>
      <w:tr w:rsidR="00F70D60" w:rsidRPr="00F70D60" w14:paraId="108EAB45" w14:textId="77777777" w:rsidTr="00BD0993">
        <w:tc>
          <w:tcPr>
            <w:tcW w:w="3978" w:type="dxa"/>
          </w:tcPr>
          <w:p w14:paraId="6D16DEF7" w14:textId="77777777" w:rsidR="00F70D60" w:rsidRPr="00F70D60" w:rsidRDefault="00F70D60" w:rsidP="00F70D60">
            <w:pPr>
              <w:numPr>
                <w:ilvl w:val="0"/>
                <w:numId w:val="5"/>
              </w:numPr>
              <w:spacing w:line="360" w:lineRule="auto"/>
              <w:rPr>
                <w:rFonts w:ascii="Arial" w:eastAsia="Times New Roman" w:hAnsi="Arial" w:cs="Arial"/>
                <w:b/>
                <w:bCs/>
                <w:sz w:val="22"/>
                <w:szCs w:val="22"/>
              </w:rPr>
            </w:pPr>
            <w:r w:rsidRPr="00F70D60">
              <w:rPr>
                <w:rFonts w:ascii="Arial" w:eastAsia="Times New Roman" w:hAnsi="Arial" w:cs="Arial"/>
                <w:b/>
                <w:bCs/>
                <w:sz w:val="22"/>
                <w:szCs w:val="22"/>
              </w:rPr>
              <w:t>Shareholder Agreements:</w:t>
            </w:r>
          </w:p>
        </w:tc>
        <w:tc>
          <w:tcPr>
            <w:tcW w:w="5598" w:type="dxa"/>
          </w:tcPr>
          <w:p w14:paraId="21749541" w14:textId="77777777" w:rsidR="00F70D60" w:rsidRPr="00F70D60" w:rsidRDefault="00F70D60" w:rsidP="00F70D60">
            <w:pPr>
              <w:numPr>
                <w:ilvl w:val="0"/>
                <w:numId w:val="7"/>
              </w:numPr>
              <w:spacing w:line="360" w:lineRule="auto"/>
              <w:rPr>
                <w:rFonts w:ascii="Arial" w:eastAsia="Times New Roman" w:hAnsi="Arial" w:cs="Arial"/>
                <w:sz w:val="22"/>
                <w:szCs w:val="22"/>
              </w:rPr>
            </w:pPr>
            <w:r w:rsidRPr="00F70D60">
              <w:rPr>
                <w:rFonts w:ascii="Arial" w:eastAsia="Times New Roman" w:hAnsi="Arial" w:cs="Arial"/>
                <w:sz w:val="22"/>
                <w:szCs w:val="22"/>
              </w:rPr>
              <w:t>Legal contracts between shareholders to ensure voting blocs, board representation, and veto rights on key decisions.</w:t>
            </w:r>
          </w:p>
        </w:tc>
      </w:tr>
      <w:tr w:rsidR="00F70D60" w:rsidRPr="00F70D60" w14:paraId="65A13063" w14:textId="77777777" w:rsidTr="00BD0993">
        <w:tc>
          <w:tcPr>
            <w:tcW w:w="3978" w:type="dxa"/>
          </w:tcPr>
          <w:p w14:paraId="4C4D2293" w14:textId="77777777" w:rsidR="00F70D60" w:rsidRPr="00F70D60" w:rsidRDefault="00F70D60" w:rsidP="00F70D60">
            <w:pPr>
              <w:numPr>
                <w:ilvl w:val="0"/>
                <w:numId w:val="5"/>
              </w:numPr>
              <w:spacing w:line="360" w:lineRule="auto"/>
              <w:rPr>
                <w:rFonts w:ascii="Arial" w:eastAsia="Times New Roman" w:hAnsi="Arial" w:cs="Arial"/>
                <w:b/>
                <w:bCs/>
                <w:sz w:val="22"/>
                <w:szCs w:val="22"/>
              </w:rPr>
            </w:pPr>
            <w:r w:rsidRPr="00F70D60">
              <w:rPr>
                <w:rFonts w:ascii="Arial" w:eastAsia="Times New Roman" w:hAnsi="Arial" w:cs="Arial"/>
                <w:b/>
                <w:bCs/>
                <w:sz w:val="22"/>
                <w:szCs w:val="22"/>
              </w:rPr>
              <w:t>Board Composition and Influence:</w:t>
            </w:r>
          </w:p>
        </w:tc>
        <w:tc>
          <w:tcPr>
            <w:tcW w:w="5598" w:type="dxa"/>
          </w:tcPr>
          <w:p w14:paraId="46343732" w14:textId="77777777" w:rsidR="00F70D60" w:rsidRPr="00F70D60" w:rsidRDefault="00F70D60" w:rsidP="00F70D60">
            <w:pPr>
              <w:numPr>
                <w:ilvl w:val="0"/>
                <w:numId w:val="7"/>
              </w:numPr>
              <w:spacing w:before="100" w:beforeAutospacing="1" w:after="100" w:afterAutospacing="1" w:line="360" w:lineRule="auto"/>
              <w:rPr>
                <w:rFonts w:ascii="Arial" w:eastAsia="Times New Roman" w:hAnsi="Arial" w:cs="Arial"/>
                <w:kern w:val="0"/>
                <w:sz w:val="22"/>
                <w:szCs w:val="22"/>
              </w:rPr>
            </w:pPr>
            <w:r w:rsidRPr="00F70D60">
              <w:rPr>
                <w:rFonts w:ascii="Arial" w:eastAsia="Times New Roman" w:hAnsi="Arial" w:cs="Arial"/>
                <w:kern w:val="0"/>
                <w:sz w:val="22"/>
                <w:szCs w:val="22"/>
              </w:rPr>
              <w:t xml:space="preserve">Make sure family members retain </w:t>
            </w:r>
            <w:r w:rsidRPr="00F70D60">
              <w:rPr>
                <w:rFonts w:ascii="Arial" w:eastAsia="Times New Roman" w:hAnsi="Arial" w:cs="Arial"/>
                <w:b/>
                <w:bCs/>
                <w:kern w:val="0"/>
                <w:sz w:val="22"/>
                <w:szCs w:val="22"/>
              </w:rPr>
              <w:t>Board majority or Chairperson role;</w:t>
            </w:r>
          </w:p>
          <w:p w14:paraId="5C36522D" w14:textId="77777777" w:rsidR="00F70D60" w:rsidRPr="00F70D60" w:rsidRDefault="00F70D60" w:rsidP="00F70D60">
            <w:pPr>
              <w:numPr>
                <w:ilvl w:val="0"/>
                <w:numId w:val="7"/>
              </w:numPr>
              <w:spacing w:before="100" w:beforeAutospacing="1" w:after="100" w:afterAutospacing="1" w:line="360" w:lineRule="auto"/>
              <w:rPr>
                <w:rFonts w:ascii="Arial" w:eastAsia="Times New Roman" w:hAnsi="Arial" w:cs="Arial"/>
                <w:kern w:val="0"/>
                <w:sz w:val="22"/>
                <w:szCs w:val="22"/>
              </w:rPr>
            </w:pPr>
            <w:r w:rsidRPr="00F70D60">
              <w:rPr>
                <w:rFonts w:ascii="Arial" w:eastAsia="Times New Roman" w:hAnsi="Arial" w:cs="Arial"/>
                <w:kern w:val="0"/>
                <w:sz w:val="22"/>
                <w:szCs w:val="22"/>
              </w:rPr>
              <w:t>Appoint trusted non-executive directors aligned with family values;</w:t>
            </w:r>
          </w:p>
          <w:p w14:paraId="2AFB8076" w14:textId="77777777" w:rsidR="00F70D60" w:rsidRPr="00F70D60" w:rsidRDefault="00F70D60" w:rsidP="00F70D60">
            <w:pPr>
              <w:numPr>
                <w:ilvl w:val="0"/>
                <w:numId w:val="7"/>
              </w:numPr>
              <w:spacing w:before="100" w:beforeAutospacing="1" w:after="100" w:afterAutospacing="1" w:line="360" w:lineRule="auto"/>
              <w:rPr>
                <w:rFonts w:ascii="Arial" w:eastAsia="Times New Roman" w:hAnsi="Arial" w:cs="Arial"/>
                <w:kern w:val="0"/>
                <w:sz w:val="22"/>
                <w:szCs w:val="22"/>
              </w:rPr>
            </w:pPr>
            <w:r w:rsidRPr="00F70D60">
              <w:rPr>
                <w:rFonts w:ascii="Arial" w:eastAsia="Times New Roman" w:hAnsi="Arial" w:cs="Arial"/>
                <w:kern w:val="0"/>
                <w:sz w:val="22"/>
                <w:szCs w:val="22"/>
              </w:rPr>
              <w:t xml:space="preserve">Utilize </w:t>
            </w:r>
            <w:r w:rsidRPr="00F70D60">
              <w:rPr>
                <w:rFonts w:ascii="Arial" w:eastAsia="Times New Roman" w:hAnsi="Arial" w:cs="Arial"/>
                <w:b/>
                <w:bCs/>
                <w:kern w:val="0"/>
                <w:sz w:val="22"/>
                <w:szCs w:val="22"/>
              </w:rPr>
              <w:t>family office or holding company</w:t>
            </w:r>
            <w:r w:rsidRPr="00F70D60">
              <w:rPr>
                <w:rFonts w:ascii="Arial" w:eastAsia="Times New Roman" w:hAnsi="Arial" w:cs="Arial"/>
                <w:kern w:val="0"/>
                <w:sz w:val="22"/>
                <w:szCs w:val="22"/>
              </w:rPr>
              <w:t xml:space="preserve"> structure to pool influence.</w:t>
            </w:r>
          </w:p>
          <w:p w14:paraId="0D7BE8DD" w14:textId="77777777" w:rsidR="00F70D60" w:rsidRPr="00F70D60" w:rsidRDefault="00F70D60" w:rsidP="00F70D60">
            <w:pPr>
              <w:spacing w:line="360" w:lineRule="auto"/>
              <w:rPr>
                <w:rFonts w:ascii="Arial" w:eastAsia="Times New Roman" w:hAnsi="Arial" w:cs="Arial"/>
                <w:sz w:val="22"/>
                <w:szCs w:val="22"/>
              </w:rPr>
            </w:pPr>
          </w:p>
        </w:tc>
      </w:tr>
    </w:tbl>
    <w:p w14:paraId="73CA3874" w14:textId="77777777" w:rsidR="00F70D60" w:rsidRPr="00F70D60" w:rsidRDefault="00F70D60" w:rsidP="00F70D60">
      <w:pPr>
        <w:spacing w:line="360" w:lineRule="auto"/>
        <w:ind w:firstLine="360"/>
        <w:rPr>
          <w:rFonts w:ascii="Arial" w:eastAsia="Times New Roman" w:hAnsi="Arial" w:cs="Arial"/>
          <w:sz w:val="22"/>
          <w:szCs w:val="22"/>
          <w:lang w:eastAsia="en-GB"/>
          <w14:ligatures w14:val="none"/>
        </w:rPr>
      </w:pPr>
    </w:p>
    <w:p w14:paraId="2FE4A8F6" w14:textId="77777777" w:rsidR="00F70D60" w:rsidRPr="00F70D60" w:rsidRDefault="00F70D60" w:rsidP="00F70D60">
      <w:pPr>
        <w:spacing w:line="360" w:lineRule="auto"/>
        <w:ind w:firstLine="720"/>
        <w:rPr>
          <w:rFonts w:ascii="Arial" w:eastAsia="Times New Roman" w:hAnsi="Arial" w:cs="Arial"/>
          <w:sz w:val="22"/>
          <w:szCs w:val="22"/>
          <w:lang w:eastAsia="en-GB"/>
          <w14:ligatures w14:val="none"/>
        </w:rPr>
      </w:pPr>
      <w:r w:rsidRPr="00F70D60">
        <w:rPr>
          <w:rFonts w:ascii="Arial" w:eastAsia="Times New Roman" w:hAnsi="Arial" w:cs="Arial"/>
          <w:sz w:val="22"/>
          <w:szCs w:val="22"/>
          <w:lang w:eastAsia="en-GB"/>
          <w14:ligatures w14:val="none"/>
        </w:rPr>
        <w:t xml:space="preserve">In short, while a 30% shareholding may not provide full control, it allows for meaningful involvement in governance and can be leveraged through legal rights, board </w:t>
      </w:r>
      <w:r w:rsidRPr="00F70D60">
        <w:rPr>
          <w:rFonts w:ascii="Arial" w:eastAsia="Times New Roman" w:hAnsi="Arial" w:cs="Arial"/>
          <w:sz w:val="22"/>
          <w:szCs w:val="22"/>
          <w:lang w:eastAsia="en-GB"/>
          <w14:ligatures w14:val="none"/>
        </w:rPr>
        <w:lastRenderedPageBreak/>
        <w:t>participation, and strategic shareholder engagement to preserve significant influence over the company’s direction.</w:t>
      </w:r>
    </w:p>
    <w:p w14:paraId="7232B1B7" w14:textId="77777777" w:rsidR="00F70D60" w:rsidRPr="00F70D60" w:rsidRDefault="00F70D60" w:rsidP="00F70D60">
      <w:pPr>
        <w:keepNext/>
        <w:numPr>
          <w:ilvl w:val="0"/>
          <w:numId w:val="1"/>
        </w:numPr>
        <w:spacing w:before="240" w:after="60"/>
        <w:outlineLvl w:val="1"/>
        <w:rPr>
          <w:rFonts w:ascii="Arial" w:eastAsia="Times New Roman" w:hAnsi="Arial" w:cs="Arial"/>
          <w:b/>
          <w:bCs/>
          <w:sz w:val="28"/>
          <w:szCs w:val="28"/>
          <w:lang w:eastAsia="en-GB"/>
          <w14:ligatures w14:val="none"/>
        </w:rPr>
      </w:pPr>
      <w:bookmarkStart w:id="10" w:name="_Toc201264064"/>
      <w:bookmarkStart w:id="11" w:name="_Toc201479141"/>
      <w:r w:rsidRPr="00F70D60">
        <w:rPr>
          <w:rFonts w:ascii="Arial" w:eastAsia="Times New Roman" w:hAnsi="Arial" w:cs="Arial"/>
          <w:b/>
          <w:bCs/>
          <w:sz w:val="28"/>
          <w:szCs w:val="28"/>
          <w:lang w:eastAsia="en-GB"/>
          <w14:ligatures w14:val="none"/>
        </w:rPr>
        <w:t>Director Remuneration and Governance Structures:</w:t>
      </w:r>
      <w:bookmarkEnd w:id="10"/>
      <w:bookmarkEnd w:id="11"/>
    </w:p>
    <w:p w14:paraId="1DD8BD35" w14:textId="77777777" w:rsidR="00F70D60" w:rsidRPr="00F70D60" w:rsidRDefault="00F70D60" w:rsidP="00F70D60">
      <w:pPr>
        <w:spacing w:line="360" w:lineRule="auto"/>
        <w:ind w:firstLine="360"/>
        <w:rPr>
          <w:rFonts w:ascii="Arial" w:eastAsia="Times New Roman" w:hAnsi="Arial" w:cs="Arial"/>
          <w:sz w:val="22"/>
          <w:szCs w:val="22"/>
          <w:lang w:eastAsia="en-GB"/>
          <w14:ligatures w14:val="none"/>
        </w:rPr>
      </w:pPr>
      <w:r w:rsidRPr="00F70D60">
        <w:rPr>
          <w:rFonts w:ascii="Arial" w:eastAsia="Times New Roman" w:hAnsi="Arial" w:cs="Arial"/>
          <w:sz w:val="22"/>
          <w:szCs w:val="22"/>
          <w:lang w:eastAsia="en-GB"/>
          <w14:ligatures w14:val="none"/>
        </w:rPr>
        <w:t xml:space="preserve">In the United Kingdom, the regulation of director remuneration is primarily governed by the </w:t>
      </w:r>
      <w:r w:rsidRPr="00F70D60">
        <w:rPr>
          <w:rFonts w:ascii="Arial" w:eastAsia="Times New Roman" w:hAnsi="Arial" w:cs="Arial"/>
          <w:i/>
          <w:iCs/>
          <w:sz w:val="22"/>
          <w:szCs w:val="22"/>
          <w:u w:val="single"/>
          <w:lang w:eastAsia="en-GB"/>
          <w14:ligatures w14:val="none"/>
        </w:rPr>
        <w:t>Companies Act 2006</w:t>
      </w:r>
      <w:r w:rsidRPr="00F70D60">
        <w:rPr>
          <w:rFonts w:ascii="Arial" w:eastAsia="Times New Roman" w:hAnsi="Arial" w:cs="Arial"/>
          <w:sz w:val="22"/>
          <w:szCs w:val="22"/>
          <w:lang w:eastAsia="en-GB"/>
          <w14:ligatures w14:val="none"/>
        </w:rPr>
        <w:t>, alongside additional regulatory frameworks, with a strong emphasis on transparency, accountability, and alignment with shareholder interests</w:t>
      </w:r>
      <w:r w:rsidRPr="00F70D60">
        <w:rPr>
          <w:rFonts w:ascii="Arial" w:eastAsia="Times New Roman" w:hAnsi="Arial" w:cs="Arial"/>
          <w:noProof/>
          <w:sz w:val="22"/>
          <w:szCs w:val="22"/>
          <w:lang w:val="en-US" w:eastAsia="en-GB"/>
          <w14:ligatures w14:val="none"/>
        </w:rPr>
        <w:t xml:space="preserve"> (Conyon, 1999)</w:t>
      </w:r>
      <w:r w:rsidRPr="00F70D60">
        <w:rPr>
          <w:rFonts w:ascii="Arial" w:eastAsia="Times New Roman" w:hAnsi="Arial" w:cs="Arial"/>
          <w:sz w:val="22"/>
          <w:szCs w:val="22"/>
          <w:lang w:eastAsia="en-GB"/>
          <w14:ligatures w14:val="none"/>
        </w:rPr>
        <w:t xml:space="preserve">. A central requirement is the establishment of a remuneration committee—typically composed of independent non-executive directors—tasked with overseeing and determining executive pay structures. </w:t>
      </w:r>
    </w:p>
    <w:p w14:paraId="1EDF5A52" w14:textId="77777777" w:rsidR="00F70D60" w:rsidRPr="00F70D60" w:rsidRDefault="00F70D60" w:rsidP="00F70D60">
      <w:pPr>
        <w:spacing w:line="360" w:lineRule="auto"/>
        <w:ind w:firstLine="720"/>
        <w:rPr>
          <w:rFonts w:ascii="Arial" w:eastAsia="Times New Roman" w:hAnsi="Arial" w:cs="Arial"/>
          <w:sz w:val="22"/>
          <w:szCs w:val="22"/>
          <w:lang w:eastAsia="en-GB"/>
          <w14:ligatures w14:val="none"/>
        </w:rPr>
      </w:pPr>
      <w:r w:rsidRPr="00F70D60">
        <w:rPr>
          <w:rFonts w:ascii="Arial" w:eastAsia="Times New Roman" w:hAnsi="Arial" w:cs="Arial"/>
          <w:sz w:val="22"/>
          <w:szCs w:val="22"/>
          <w:lang w:eastAsia="en-GB"/>
          <w14:ligatures w14:val="none"/>
        </w:rPr>
        <w:t>Additionally, companies are obliged to submit their remuneration policies to a binding shareholder vote at least every three years, in addition to an annual advisory vote on the remuneration report.</w:t>
      </w:r>
    </w:p>
    <w:tbl>
      <w:tblPr>
        <w:tblStyle w:val="TableGrid"/>
        <w:tblW w:w="0" w:type="auto"/>
        <w:tblLook w:val="04A0" w:firstRow="1" w:lastRow="0" w:firstColumn="1" w:lastColumn="0" w:noHBand="0" w:noVBand="1"/>
      </w:tblPr>
      <w:tblGrid>
        <w:gridCol w:w="2268"/>
        <w:gridCol w:w="2261"/>
        <w:gridCol w:w="2253"/>
        <w:gridCol w:w="2234"/>
      </w:tblGrid>
      <w:tr w:rsidR="00F70D60" w:rsidRPr="00F70D60" w14:paraId="30AB712C" w14:textId="77777777" w:rsidTr="00BD0993">
        <w:tc>
          <w:tcPr>
            <w:tcW w:w="2394" w:type="dxa"/>
            <w:tcBorders>
              <w:right w:val="nil"/>
            </w:tcBorders>
          </w:tcPr>
          <w:p w14:paraId="7998BAE0" w14:textId="77777777" w:rsidR="00F70D60" w:rsidRPr="00F70D60" w:rsidRDefault="00F70D60" w:rsidP="00F70D60">
            <w:pPr>
              <w:spacing w:line="360" w:lineRule="auto"/>
              <w:jc w:val="center"/>
              <w:rPr>
                <w:rFonts w:ascii="Arial" w:eastAsia="Times New Roman" w:hAnsi="Arial" w:cs="Arial"/>
                <w:b/>
                <w:bCs/>
                <w:sz w:val="22"/>
                <w:szCs w:val="22"/>
              </w:rPr>
            </w:pPr>
            <w:r w:rsidRPr="00F70D60">
              <w:rPr>
                <w:rFonts w:ascii="Arial" w:eastAsia="Times New Roman" w:hAnsi="Arial" w:cs="Arial"/>
                <w:b/>
                <w:bCs/>
                <w:sz w:val="22"/>
                <w:szCs w:val="22"/>
              </w:rPr>
              <w:t>Principles of Fair Remuneration:</w:t>
            </w:r>
          </w:p>
        </w:tc>
        <w:tc>
          <w:tcPr>
            <w:tcW w:w="2394" w:type="dxa"/>
            <w:tcBorders>
              <w:left w:val="nil"/>
            </w:tcBorders>
          </w:tcPr>
          <w:p w14:paraId="73462154" w14:textId="77777777" w:rsidR="00F70D60" w:rsidRPr="00F70D60" w:rsidRDefault="00F70D60" w:rsidP="00F70D60">
            <w:pPr>
              <w:spacing w:line="360" w:lineRule="auto"/>
              <w:jc w:val="center"/>
              <w:rPr>
                <w:rFonts w:ascii="Arial" w:eastAsia="Times New Roman" w:hAnsi="Arial" w:cs="Arial"/>
                <w:b/>
                <w:bCs/>
                <w:sz w:val="22"/>
                <w:szCs w:val="22"/>
              </w:rPr>
            </w:pPr>
          </w:p>
        </w:tc>
        <w:tc>
          <w:tcPr>
            <w:tcW w:w="2394" w:type="dxa"/>
            <w:tcBorders>
              <w:right w:val="nil"/>
            </w:tcBorders>
          </w:tcPr>
          <w:p w14:paraId="64797A64" w14:textId="77777777" w:rsidR="00F70D60" w:rsidRPr="00F70D60" w:rsidRDefault="00F70D60" w:rsidP="00F70D60">
            <w:pPr>
              <w:spacing w:line="360" w:lineRule="auto"/>
              <w:jc w:val="center"/>
              <w:rPr>
                <w:rFonts w:ascii="Arial" w:eastAsia="Times New Roman" w:hAnsi="Arial" w:cs="Arial"/>
                <w:b/>
                <w:bCs/>
                <w:sz w:val="22"/>
                <w:szCs w:val="22"/>
              </w:rPr>
            </w:pPr>
            <w:r w:rsidRPr="00F70D60">
              <w:rPr>
                <w:rFonts w:ascii="Arial" w:eastAsia="Times New Roman" w:hAnsi="Arial" w:cs="Arial"/>
                <w:b/>
                <w:bCs/>
                <w:sz w:val="22"/>
                <w:szCs w:val="22"/>
              </w:rPr>
              <w:t>Governance Structures Needed:</w:t>
            </w:r>
          </w:p>
        </w:tc>
        <w:tc>
          <w:tcPr>
            <w:tcW w:w="2394" w:type="dxa"/>
            <w:tcBorders>
              <w:left w:val="nil"/>
            </w:tcBorders>
          </w:tcPr>
          <w:p w14:paraId="2359374E" w14:textId="77777777" w:rsidR="00F70D60" w:rsidRPr="00F70D60" w:rsidRDefault="00F70D60" w:rsidP="00F70D60">
            <w:pPr>
              <w:spacing w:line="360" w:lineRule="auto"/>
              <w:rPr>
                <w:rFonts w:ascii="Arial" w:eastAsia="Times New Roman" w:hAnsi="Arial" w:cs="Arial"/>
                <w:sz w:val="22"/>
                <w:szCs w:val="22"/>
              </w:rPr>
            </w:pPr>
          </w:p>
        </w:tc>
      </w:tr>
      <w:tr w:rsidR="00F70D60" w:rsidRPr="00F70D60" w14:paraId="50E183A5" w14:textId="77777777" w:rsidTr="00BD0993">
        <w:tc>
          <w:tcPr>
            <w:tcW w:w="2394" w:type="dxa"/>
          </w:tcPr>
          <w:p w14:paraId="3C21638D" w14:textId="77777777" w:rsidR="00F70D60" w:rsidRPr="00F70D60" w:rsidRDefault="00F70D60" w:rsidP="00F70D60">
            <w:pPr>
              <w:spacing w:line="360" w:lineRule="auto"/>
              <w:jc w:val="center"/>
              <w:rPr>
                <w:rFonts w:ascii="Arial" w:eastAsia="Times New Roman" w:hAnsi="Arial" w:cs="Arial"/>
                <w:b/>
                <w:bCs/>
                <w:i/>
                <w:iCs/>
                <w:sz w:val="22"/>
                <w:szCs w:val="22"/>
              </w:rPr>
            </w:pPr>
            <w:r w:rsidRPr="00F70D60">
              <w:rPr>
                <w:rFonts w:ascii="Arial" w:eastAsia="Times New Roman" w:hAnsi="Arial" w:cs="Arial"/>
                <w:b/>
                <w:bCs/>
                <w:i/>
                <w:iCs/>
                <w:sz w:val="22"/>
                <w:szCs w:val="22"/>
              </w:rPr>
              <w:t>Remuneration should:</w:t>
            </w:r>
          </w:p>
        </w:tc>
        <w:tc>
          <w:tcPr>
            <w:tcW w:w="2394" w:type="dxa"/>
          </w:tcPr>
          <w:p w14:paraId="67F4E566" w14:textId="77777777" w:rsidR="00F70D60" w:rsidRPr="00F70D60" w:rsidRDefault="00F70D60" w:rsidP="00F70D60">
            <w:pPr>
              <w:spacing w:line="360" w:lineRule="auto"/>
              <w:jc w:val="center"/>
              <w:rPr>
                <w:rFonts w:ascii="Arial" w:eastAsia="Times New Roman" w:hAnsi="Arial" w:cs="Arial"/>
                <w:b/>
                <w:bCs/>
                <w:i/>
                <w:iCs/>
                <w:sz w:val="22"/>
                <w:szCs w:val="22"/>
              </w:rPr>
            </w:pPr>
            <w:r w:rsidRPr="00F70D60">
              <w:rPr>
                <w:rFonts w:ascii="Arial" w:eastAsia="Times New Roman" w:hAnsi="Arial" w:cs="Arial"/>
                <w:b/>
                <w:bCs/>
                <w:i/>
                <w:iCs/>
                <w:sz w:val="22"/>
                <w:szCs w:val="22"/>
              </w:rPr>
              <w:t>Types of remuneration:</w:t>
            </w:r>
          </w:p>
        </w:tc>
        <w:tc>
          <w:tcPr>
            <w:tcW w:w="2394" w:type="dxa"/>
          </w:tcPr>
          <w:p w14:paraId="39115757" w14:textId="77777777" w:rsidR="00F70D60" w:rsidRPr="00F70D60" w:rsidRDefault="00F70D60" w:rsidP="00F70D60">
            <w:pPr>
              <w:spacing w:line="360" w:lineRule="auto"/>
              <w:jc w:val="center"/>
              <w:rPr>
                <w:rFonts w:ascii="Arial" w:eastAsia="Times New Roman" w:hAnsi="Arial" w:cs="Arial"/>
                <w:b/>
                <w:bCs/>
                <w:i/>
                <w:iCs/>
                <w:sz w:val="22"/>
                <w:szCs w:val="22"/>
              </w:rPr>
            </w:pPr>
            <w:r w:rsidRPr="00F70D60">
              <w:rPr>
                <w:rFonts w:ascii="Arial" w:eastAsia="Times New Roman" w:hAnsi="Arial" w:cs="Arial"/>
                <w:b/>
                <w:bCs/>
                <w:i/>
                <w:iCs/>
                <w:sz w:val="22"/>
                <w:szCs w:val="22"/>
              </w:rPr>
              <w:t>Remuneration Committee:</w:t>
            </w:r>
          </w:p>
        </w:tc>
        <w:tc>
          <w:tcPr>
            <w:tcW w:w="2394" w:type="dxa"/>
          </w:tcPr>
          <w:p w14:paraId="695083E9" w14:textId="77777777" w:rsidR="00F70D60" w:rsidRPr="00F70D60" w:rsidRDefault="00F70D60" w:rsidP="00F70D60">
            <w:pPr>
              <w:spacing w:line="360" w:lineRule="auto"/>
              <w:jc w:val="center"/>
              <w:rPr>
                <w:rFonts w:ascii="Arial" w:eastAsia="Times New Roman" w:hAnsi="Arial" w:cs="Arial"/>
                <w:b/>
                <w:bCs/>
                <w:i/>
                <w:iCs/>
                <w:sz w:val="22"/>
                <w:szCs w:val="22"/>
              </w:rPr>
            </w:pPr>
            <w:r w:rsidRPr="00F70D60">
              <w:rPr>
                <w:rFonts w:ascii="Arial" w:eastAsia="Times New Roman" w:hAnsi="Arial" w:cs="Arial"/>
                <w:b/>
                <w:bCs/>
                <w:i/>
                <w:iCs/>
                <w:sz w:val="22"/>
                <w:szCs w:val="22"/>
              </w:rPr>
              <w:t>Disclosure:</w:t>
            </w:r>
          </w:p>
        </w:tc>
      </w:tr>
      <w:tr w:rsidR="00F70D60" w:rsidRPr="00F70D60" w14:paraId="4136A0BA" w14:textId="77777777" w:rsidTr="00BD0993">
        <w:tc>
          <w:tcPr>
            <w:tcW w:w="2394" w:type="dxa"/>
          </w:tcPr>
          <w:p w14:paraId="76843066" w14:textId="77777777" w:rsidR="00F70D60" w:rsidRPr="00F70D60" w:rsidRDefault="00F70D60" w:rsidP="00F70D60">
            <w:pPr>
              <w:spacing w:line="276" w:lineRule="auto"/>
              <w:rPr>
                <w:rFonts w:ascii="Arial" w:eastAsia="Times New Roman" w:hAnsi="Arial" w:cs="Arial"/>
                <w:sz w:val="22"/>
                <w:szCs w:val="22"/>
              </w:rPr>
            </w:pPr>
            <w:r w:rsidRPr="00F70D60">
              <w:rPr>
                <w:rFonts w:ascii="Arial" w:eastAsia="Times New Roman" w:hAnsi="Arial" w:cs="Arial"/>
                <w:sz w:val="22"/>
                <w:szCs w:val="22"/>
              </w:rPr>
              <w:t>1.Attract and retain qualified professionals;</w:t>
            </w:r>
          </w:p>
          <w:p w14:paraId="4841A2A1" w14:textId="77777777" w:rsidR="00F70D60" w:rsidRPr="00F70D60" w:rsidRDefault="00F70D60" w:rsidP="00F70D60">
            <w:pPr>
              <w:spacing w:line="276" w:lineRule="auto"/>
              <w:rPr>
                <w:rFonts w:ascii="Arial" w:eastAsia="Times New Roman" w:hAnsi="Arial" w:cs="Arial"/>
                <w:sz w:val="22"/>
                <w:szCs w:val="22"/>
              </w:rPr>
            </w:pPr>
            <w:r w:rsidRPr="00F70D60">
              <w:rPr>
                <w:rFonts w:ascii="Arial" w:eastAsia="Times New Roman" w:hAnsi="Arial" w:cs="Arial"/>
                <w:sz w:val="22"/>
                <w:szCs w:val="22"/>
              </w:rPr>
              <w:t>2.Reflect performance and contribution;</w:t>
            </w:r>
          </w:p>
          <w:p w14:paraId="1908D1C8" w14:textId="77777777" w:rsidR="00F70D60" w:rsidRPr="00F70D60" w:rsidRDefault="00F70D60" w:rsidP="00F70D60">
            <w:pPr>
              <w:spacing w:line="276" w:lineRule="auto"/>
              <w:rPr>
                <w:rFonts w:ascii="Arial" w:eastAsia="Times New Roman" w:hAnsi="Arial" w:cs="Arial"/>
                <w:sz w:val="22"/>
                <w:szCs w:val="22"/>
              </w:rPr>
            </w:pPr>
            <w:r w:rsidRPr="00F70D60">
              <w:rPr>
                <w:rFonts w:ascii="Arial" w:eastAsia="Times New Roman" w:hAnsi="Arial" w:cs="Arial"/>
                <w:sz w:val="22"/>
                <w:szCs w:val="22"/>
              </w:rPr>
              <w:t>3.Align with shareholder interests;</w:t>
            </w:r>
          </w:p>
          <w:p w14:paraId="0264B097" w14:textId="77777777" w:rsidR="00F70D60" w:rsidRPr="00F70D60" w:rsidRDefault="00F70D60" w:rsidP="00F70D60">
            <w:pPr>
              <w:spacing w:line="276" w:lineRule="auto"/>
              <w:rPr>
                <w:rFonts w:ascii="Arial" w:eastAsia="Times New Roman" w:hAnsi="Arial" w:cs="Arial"/>
                <w:sz w:val="22"/>
                <w:szCs w:val="22"/>
              </w:rPr>
            </w:pPr>
            <w:r w:rsidRPr="00F70D60">
              <w:rPr>
                <w:rFonts w:ascii="Arial" w:eastAsia="Times New Roman" w:hAnsi="Arial" w:cs="Arial"/>
                <w:sz w:val="22"/>
                <w:szCs w:val="22"/>
              </w:rPr>
              <w:t>4.Be transparent and benchmarked.</w:t>
            </w:r>
          </w:p>
        </w:tc>
        <w:tc>
          <w:tcPr>
            <w:tcW w:w="2394" w:type="dxa"/>
          </w:tcPr>
          <w:p w14:paraId="6BD7368B" w14:textId="77777777" w:rsidR="00F70D60" w:rsidRPr="00F70D60" w:rsidRDefault="00F70D60" w:rsidP="00F70D60">
            <w:pPr>
              <w:spacing w:line="276" w:lineRule="auto"/>
              <w:rPr>
                <w:rFonts w:ascii="Arial" w:eastAsia="Times New Roman" w:hAnsi="Arial" w:cs="Arial"/>
                <w:sz w:val="22"/>
                <w:szCs w:val="22"/>
              </w:rPr>
            </w:pPr>
            <w:r w:rsidRPr="00F70D60">
              <w:rPr>
                <w:rFonts w:ascii="Arial" w:eastAsia="Times New Roman" w:hAnsi="Arial" w:cs="Arial"/>
                <w:sz w:val="22"/>
                <w:szCs w:val="22"/>
              </w:rPr>
              <w:t>1.Fixed salary;</w:t>
            </w:r>
          </w:p>
          <w:p w14:paraId="3A545A5A" w14:textId="77777777" w:rsidR="00F70D60" w:rsidRPr="00F70D60" w:rsidRDefault="00F70D60" w:rsidP="00F70D60">
            <w:pPr>
              <w:spacing w:line="276" w:lineRule="auto"/>
              <w:rPr>
                <w:rFonts w:ascii="Arial" w:eastAsia="Times New Roman" w:hAnsi="Arial" w:cs="Arial"/>
                <w:sz w:val="22"/>
                <w:szCs w:val="22"/>
              </w:rPr>
            </w:pPr>
            <w:r w:rsidRPr="00F70D60">
              <w:rPr>
                <w:rFonts w:ascii="Arial" w:eastAsia="Times New Roman" w:hAnsi="Arial" w:cs="Arial"/>
                <w:sz w:val="22"/>
                <w:szCs w:val="22"/>
              </w:rPr>
              <w:t>2.Performance-based bonuses;</w:t>
            </w:r>
          </w:p>
          <w:p w14:paraId="511AEFCF" w14:textId="77777777" w:rsidR="00F70D60" w:rsidRPr="00F70D60" w:rsidRDefault="00F70D60" w:rsidP="00F70D60">
            <w:pPr>
              <w:spacing w:line="276" w:lineRule="auto"/>
              <w:rPr>
                <w:rFonts w:ascii="Arial" w:eastAsia="Times New Roman" w:hAnsi="Arial" w:cs="Arial"/>
                <w:sz w:val="22"/>
                <w:szCs w:val="22"/>
              </w:rPr>
            </w:pPr>
            <w:r w:rsidRPr="00F70D60">
              <w:rPr>
                <w:rFonts w:ascii="Arial" w:eastAsia="Times New Roman" w:hAnsi="Arial" w:cs="Arial"/>
                <w:sz w:val="22"/>
                <w:szCs w:val="22"/>
              </w:rPr>
              <w:t>3.Long-term incentives (e.g., share options);</w:t>
            </w:r>
          </w:p>
          <w:p w14:paraId="116EAC1F" w14:textId="77777777" w:rsidR="00F70D60" w:rsidRPr="00F70D60" w:rsidRDefault="00F70D60" w:rsidP="00F70D60">
            <w:pPr>
              <w:spacing w:line="276" w:lineRule="auto"/>
              <w:rPr>
                <w:rFonts w:ascii="Arial" w:eastAsia="Times New Roman" w:hAnsi="Arial" w:cs="Arial"/>
                <w:sz w:val="22"/>
                <w:szCs w:val="22"/>
              </w:rPr>
            </w:pPr>
            <w:r w:rsidRPr="00F70D60">
              <w:rPr>
                <w:rFonts w:ascii="Arial" w:eastAsia="Times New Roman" w:hAnsi="Arial" w:cs="Arial"/>
                <w:sz w:val="22"/>
                <w:szCs w:val="22"/>
              </w:rPr>
              <w:t>4.Pensions and benefits.</w:t>
            </w:r>
          </w:p>
        </w:tc>
        <w:tc>
          <w:tcPr>
            <w:tcW w:w="2394" w:type="dxa"/>
          </w:tcPr>
          <w:p w14:paraId="5DCDE585" w14:textId="77777777" w:rsidR="00F70D60" w:rsidRPr="00F70D60" w:rsidRDefault="00F70D60" w:rsidP="00F70D60">
            <w:pPr>
              <w:spacing w:line="276" w:lineRule="auto"/>
              <w:rPr>
                <w:rFonts w:ascii="Arial" w:eastAsia="Times New Roman" w:hAnsi="Arial" w:cs="Arial"/>
                <w:i/>
                <w:iCs/>
                <w:sz w:val="22"/>
                <w:szCs w:val="22"/>
              </w:rPr>
            </w:pPr>
            <w:r w:rsidRPr="00F70D60">
              <w:rPr>
                <w:rFonts w:ascii="Arial" w:eastAsia="Times New Roman" w:hAnsi="Arial" w:cs="Arial"/>
                <w:i/>
                <w:iCs/>
                <w:sz w:val="22"/>
                <w:szCs w:val="22"/>
              </w:rPr>
              <w:t>Composed of independent non-executive directors.</w:t>
            </w:r>
          </w:p>
          <w:p w14:paraId="3EEB0B5D" w14:textId="77777777" w:rsidR="00F70D60" w:rsidRPr="00F70D60" w:rsidRDefault="00F70D60" w:rsidP="00F70D60">
            <w:pPr>
              <w:spacing w:line="276" w:lineRule="auto"/>
              <w:rPr>
                <w:rFonts w:ascii="Arial" w:eastAsia="Times New Roman" w:hAnsi="Arial" w:cs="Arial"/>
                <w:sz w:val="22"/>
                <w:szCs w:val="22"/>
              </w:rPr>
            </w:pPr>
            <w:r w:rsidRPr="00F70D60">
              <w:rPr>
                <w:rFonts w:ascii="Arial" w:eastAsia="Times New Roman" w:hAnsi="Arial" w:cs="Arial"/>
                <w:sz w:val="22"/>
                <w:szCs w:val="22"/>
              </w:rPr>
              <w:t>Responsible for:</w:t>
            </w:r>
          </w:p>
          <w:p w14:paraId="5A1FC5C7" w14:textId="77777777" w:rsidR="00F70D60" w:rsidRPr="00F70D60" w:rsidRDefault="00F70D60" w:rsidP="00F70D60">
            <w:pPr>
              <w:spacing w:line="276" w:lineRule="auto"/>
              <w:rPr>
                <w:rFonts w:ascii="Arial" w:eastAsia="Times New Roman" w:hAnsi="Arial" w:cs="Arial"/>
                <w:sz w:val="22"/>
                <w:szCs w:val="22"/>
              </w:rPr>
            </w:pPr>
            <w:r w:rsidRPr="00F70D60">
              <w:rPr>
                <w:rFonts w:ascii="Arial" w:eastAsia="Times New Roman" w:hAnsi="Arial" w:cs="Arial"/>
                <w:sz w:val="22"/>
                <w:szCs w:val="22"/>
              </w:rPr>
              <w:t>1.Setting pay policy for executive directors;</w:t>
            </w:r>
          </w:p>
          <w:p w14:paraId="0FF338B7" w14:textId="77777777" w:rsidR="00F70D60" w:rsidRPr="00F70D60" w:rsidRDefault="00F70D60" w:rsidP="00F70D60">
            <w:pPr>
              <w:spacing w:line="276" w:lineRule="auto"/>
              <w:rPr>
                <w:rFonts w:ascii="Arial" w:eastAsia="Times New Roman" w:hAnsi="Arial" w:cs="Arial"/>
                <w:sz w:val="22"/>
                <w:szCs w:val="22"/>
              </w:rPr>
            </w:pPr>
            <w:r w:rsidRPr="00F70D60">
              <w:rPr>
                <w:rFonts w:ascii="Arial" w:eastAsia="Times New Roman" w:hAnsi="Arial" w:cs="Arial"/>
                <w:sz w:val="22"/>
                <w:szCs w:val="22"/>
              </w:rPr>
              <w:t>2.Reviewing performance and aligning incentives;</w:t>
            </w:r>
          </w:p>
          <w:p w14:paraId="00D37AA8" w14:textId="77777777" w:rsidR="00F70D60" w:rsidRPr="00F70D60" w:rsidRDefault="00F70D60" w:rsidP="00F70D60">
            <w:pPr>
              <w:spacing w:line="276" w:lineRule="auto"/>
              <w:rPr>
                <w:rFonts w:ascii="Arial" w:eastAsia="Times New Roman" w:hAnsi="Arial" w:cs="Arial"/>
                <w:sz w:val="22"/>
                <w:szCs w:val="22"/>
              </w:rPr>
            </w:pPr>
            <w:r w:rsidRPr="00F70D60">
              <w:rPr>
                <w:rFonts w:ascii="Arial" w:eastAsia="Times New Roman" w:hAnsi="Arial" w:cs="Arial"/>
                <w:sz w:val="22"/>
                <w:szCs w:val="22"/>
              </w:rPr>
              <w:t>3.Ensuring compliance with corporate governance codes;</w:t>
            </w:r>
          </w:p>
        </w:tc>
        <w:tc>
          <w:tcPr>
            <w:tcW w:w="2394" w:type="dxa"/>
          </w:tcPr>
          <w:p w14:paraId="4C153F05" w14:textId="77777777" w:rsidR="00F70D60" w:rsidRPr="00F70D60" w:rsidRDefault="00F70D60" w:rsidP="00F70D60">
            <w:pPr>
              <w:spacing w:line="276" w:lineRule="auto"/>
              <w:rPr>
                <w:rFonts w:ascii="Arial" w:eastAsia="Times New Roman" w:hAnsi="Arial" w:cs="Arial"/>
                <w:i/>
                <w:iCs/>
                <w:sz w:val="22"/>
                <w:szCs w:val="22"/>
              </w:rPr>
            </w:pPr>
            <w:r w:rsidRPr="00F70D60">
              <w:rPr>
                <w:rFonts w:ascii="Arial" w:eastAsia="Times New Roman" w:hAnsi="Arial" w:cs="Arial"/>
                <w:i/>
                <w:iCs/>
                <w:sz w:val="22"/>
                <w:szCs w:val="22"/>
              </w:rPr>
              <w:t>Publicly listed companies must disclose:</w:t>
            </w:r>
          </w:p>
          <w:p w14:paraId="661F814D" w14:textId="77777777" w:rsidR="00F70D60" w:rsidRPr="00F70D60" w:rsidRDefault="00F70D60" w:rsidP="00F70D60">
            <w:pPr>
              <w:spacing w:line="276" w:lineRule="auto"/>
              <w:rPr>
                <w:rFonts w:ascii="Arial" w:eastAsia="Times New Roman" w:hAnsi="Arial" w:cs="Arial"/>
                <w:sz w:val="22"/>
                <w:szCs w:val="22"/>
              </w:rPr>
            </w:pPr>
            <w:r w:rsidRPr="00F70D60">
              <w:rPr>
                <w:rFonts w:ascii="Arial" w:eastAsia="Times New Roman" w:hAnsi="Arial" w:cs="Arial"/>
                <w:sz w:val="22"/>
                <w:szCs w:val="22"/>
              </w:rPr>
              <w:t>1.Director remuneration policy;</w:t>
            </w:r>
          </w:p>
          <w:p w14:paraId="61B04E26" w14:textId="77777777" w:rsidR="00F70D60" w:rsidRPr="00F70D60" w:rsidRDefault="00F70D60" w:rsidP="00F70D60">
            <w:pPr>
              <w:spacing w:line="276" w:lineRule="auto"/>
              <w:rPr>
                <w:rFonts w:ascii="Arial" w:eastAsia="Times New Roman" w:hAnsi="Arial" w:cs="Arial"/>
                <w:sz w:val="22"/>
                <w:szCs w:val="22"/>
              </w:rPr>
            </w:pPr>
            <w:r w:rsidRPr="00F70D60">
              <w:rPr>
                <w:rFonts w:ascii="Arial" w:eastAsia="Times New Roman" w:hAnsi="Arial" w:cs="Arial"/>
                <w:sz w:val="22"/>
                <w:szCs w:val="22"/>
              </w:rPr>
              <w:t>2.Pay ratios and justifications;</w:t>
            </w:r>
          </w:p>
          <w:p w14:paraId="43B2E637" w14:textId="77777777" w:rsidR="00F70D60" w:rsidRPr="00F70D60" w:rsidRDefault="00F70D60" w:rsidP="00F70D60">
            <w:pPr>
              <w:spacing w:line="276" w:lineRule="auto"/>
              <w:rPr>
                <w:rFonts w:ascii="Arial" w:eastAsia="Times New Roman" w:hAnsi="Arial" w:cs="Arial"/>
                <w:sz w:val="22"/>
                <w:szCs w:val="22"/>
              </w:rPr>
            </w:pPr>
            <w:r w:rsidRPr="00F70D60">
              <w:rPr>
                <w:rFonts w:ascii="Arial" w:eastAsia="Times New Roman" w:hAnsi="Arial" w:cs="Arial"/>
                <w:sz w:val="22"/>
                <w:szCs w:val="22"/>
              </w:rPr>
              <w:t>3.Annual Remuneration Reports.</w:t>
            </w:r>
          </w:p>
        </w:tc>
      </w:tr>
    </w:tbl>
    <w:p w14:paraId="5688CAA6" w14:textId="77777777" w:rsidR="00F70D60" w:rsidRDefault="00F70D60" w:rsidP="00F70D60">
      <w:pPr>
        <w:spacing w:line="360" w:lineRule="auto"/>
        <w:ind w:firstLine="360"/>
        <w:rPr>
          <w:rFonts w:ascii="Arial" w:eastAsia="Times New Roman" w:hAnsi="Arial" w:cs="Arial"/>
          <w:sz w:val="22"/>
          <w:szCs w:val="22"/>
          <w:lang w:eastAsia="en-GB"/>
          <w14:ligatures w14:val="none"/>
        </w:rPr>
      </w:pPr>
    </w:p>
    <w:p w14:paraId="67C0C3C1" w14:textId="65D925B7" w:rsidR="00F70D60" w:rsidRPr="00F70D60" w:rsidRDefault="00F70D60" w:rsidP="00F70D60">
      <w:pPr>
        <w:spacing w:line="360" w:lineRule="auto"/>
        <w:ind w:firstLine="360"/>
        <w:rPr>
          <w:rFonts w:ascii="Arial" w:eastAsia="Times New Roman" w:hAnsi="Arial" w:cs="Arial"/>
          <w:sz w:val="22"/>
          <w:szCs w:val="22"/>
          <w:lang w:eastAsia="en-GB"/>
          <w14:ligatures w14:val="none"/>
        </w:rPr>
      </w:pPr>
      <w:r w:rsidRPr="00F70D60">
        <w:rPr>
          <w:rFonts w:ascii="Arial" w:eastAsia="Times New Roman" w:hAnsi="Arial" w:cs="Arial"/>
          <w:sz w:val="22"/>
          <w:szCs w:val="22"/>
          <w:lang w:eastAsia="en-GB"/>
          <w14:ligatures w14:val="none"/>
        </w:rPr>
        <w:t>Detailed expose requirements mandate the publication of comprehensive information regarding directors’ pay, including fixed and variable factors, performance metrics, and any long-term incentive arrangements. These measures are intended to ensure that remuneration practices are fair, performance-driven, and consistent with principles of good corporate governance, thereby fostering trust among investors and broader stakeholder groups</w:t>
      </w:r>
      <w:r w:rsidRPr="00F70D60">
        <w:rPr>
          <w:rFonts w:ascii="Arial" w:eastAsia="Times New Roman" w:hAnsi="Arial" w:cs="Arial"/>
          <w:noProof/>
          <w:sz w:val="22"/>
          <w:szCs w:val="22"/>
          <w:lang w:val="en-US" w:eastAsia="en-GB"/>
          <w14:ligatures w14:val="none"/>
        </w:rPr>
        <w:t xml:space="preserve"> (Conyon, 1999)</w:t>
      </w:r>
      <w:r w:rsidRPr="00F70D60">
        <w:rPr>
          <w:rFonts w:ascii="Arial" w:eastAsia="Times New Roman" w:hAnsi="Arial" w:cs="Arial"/>
          <w:sz w:val="22"/>
          <w:szCs w:val="22"/>
          <w:lang w:eastAsia="en-GB"/>
          <w14:ligatures w14:val="none"/>
        </w:rPr>
        <w:t>.</w:t>
      </w:r>
    </w:p>
    <w:p w14:paraId="6922A830" w14:textId="77777777" w:rsidR="00F70D60" w:rsidRPr="00F70D60" w:rsidRDefault="00F70D60" w:rsidP="00F70D60">
      <w:pPr>
        <w:keepNext/>
        <w:numPr>
          <w:ilvl w:val="0"/>
          <w:numId w:val="1"/>
        </w:numPr>
        <w:spacing w:before="240" w:after="60"/>
        <w:outlineLvl w:val="1"/>
        <w:rPr>
          <w:rFonts w:ascii="Arial" w:eastAsia="Times New Roman" w:hAnsi="Arial" w:cs="Arial"/>
          <w:b/>
          <w:bCs/>
          <w:sz w:val="28"/>
          <w:szCs w:val="28"/>
          <w:lang w:eastAsia="en-GB"/>
          <w14:ligatures w14:val="none"/>
        </w:rPr>
      </w:pPr>
      <w:bookmarkStart w:id="12" w:name="_Toc201264065"/>
      <w:bookmarkStart w:id="13" w:name="_Toc201479142"/>
      <w:r w:rsidRPr="00F70D60">
        <w:rPr>
          <w:rFonts w:ascii="Arial" w:eastAsia="Times New Roman" w:hAnsi="Arial" w:cs="Arial"/>
          <w:b/>
          <w:bCs/>
          <w:sz w:val="28"/>
          <w:szCs w:val="28"/>
          <w:lang w:eastAsia="en-GB"/>
          <w14:ligatures w14:val="none"/>
        </w:rPr>
        <w:lastRenderedPageBreak/>
        <w:t>Institutional Differences: Shanghai vs Netherlands Listing:</w:t>
      </w:r>
      <w:bookmarkEnd w:id="12"/>
      <w:bookmarkEnd w:id="13"/>
    </w:p>
    <w:p w14:paraId="719B3AE9" w14:textId="77777777" w:rsidR="00F70D60" w:rsidRPr="00F70D60" w:rsidRDefault="00F70D60" w:rsidP="00F70D60">
      <w:pPr>
        <w:rPr>
          <w:rFonts w:ascii="Aptos" w:eastAsia="Times New Roman" w:hAnsi="Aptos" w:cs="Times New Roman"/>
          <w:lang w:eastAsia="en-GB"/>
          <w14:ligatures w14:val="none"/>
        </w:rPr>
      </w:pPr>
    </w:p>
    <w:p w14:paraId="6B2FF80D" w14:textId="77777777" w:rsidR="00F70D60" w:rsidRPr="00F70D60" w:rsidRDefault="00F70D60" w:rsidP="00F70D60">
      <w:pPr>
        <w:spacing w:line="360" w:lineRule="auto"/>
        <w:ind w:firstLine="360"/>
        <w:rPr>
          <w:rFonts w:ascii="Arial" w:eastAsia="Times New Roman" w:hAnsi="Arial" w:cs="Arial"/>
          <w:sz w:val="22"/>
          <w:szCs w:val="22"/>
          <w:lang w:eastAsia="en-GB"/>
          <w14:ligatures w14:val="none"/>
        </w:rPr>
      </w:pPr>
      <w:r w:rsidRPr="00F70D60">
        <w:rPr>
          <w:rFonts w:ascii="Arial" w:eastAsia="Times New Roman" w:hAnsi="Arial" w:cs="Arial"/>
          <w:sz w:val="22"/>
          <w:szCs w:val="22"/>
          <w:lang w:eastAsia="en-GB"/>
          <w14:ligatures w14:val="none"/>
        </w:rPr>
        <w:t xml:space="preserve">When pursuing a public listing abroad outside the UK, companies must carefully navigate the complex and varied institutional frameworks of different countries. Choosing between </w:t>
      </w:r>
      <w:r w:rsidRPr="00F70D60">
        <w:rPr>
          <w:rFonts w:ascii="Arial" w:eastAsia="Times New Roman" w:hAnsi="Arial" w:cs="Arial"/>
          <w:sz w:val="22"/>
          <w:szCs w:val="22"/>
          <w:u w:val="single"/>
          <w:lang w:eastAsia="en-GB"/>
          <w14:ligatures w14:val="none"/>
        </w:rPr>
        <w:t>Shanghai (China) and the Netherlands,</w:t>
      </w:r>
      <w:r w:rsidRPr="00F70D60">
        <w:rPr>
          <w:rFonts w:ascii="Arial" w:eastAsia="Times New Roman" w:hAnsi="Arial" w:cs="Arial"/>
          <w:sz w:val="22"/>
          <w:szCs w:val="22"/>
          <w:lang w:eastAsia="en-GB"/>
          <w14:ligatures w14:val="none"/>
        </w:rPr>
        <w:t xml:space="preserve"> highlights two distinctly different environments, each presenting specific challenges and opportunities related to corporate governance, ownership structures, legal systems, and investor engagement. Obtaining a clear understanding of these contrasts is essential for sound strategic decision-making and adherence to local regulations</w:t>
      </w:r>
      <w:r w:rsidRPr="00F70D60">
        <w:rPr>
          <w:rFonts w:ascii="Arial" w:eastAsia="Times New Roman" w:hAnsi="Arial" w:cs="Arial"/>
          <w:noProof/>
          <w:sz w:val="22"/>
          <w:szCs w:val="22"/>
          <w:lang w:val="en-US" w:eastAsia="en-GB"/>
          <w14:ligatures w14:val="none"/>
        </w:rPr>
        <w:t xml:space="preserve"> (Schlevogt, 2001)</w:t>
      </w:r>
      <w:r w:rsidRPr="00F70D60">
        <w:rPr>
          <w:rFonts w:ascii="Arial" w:eastAsia="Times New Roman" w:hAnsi="Arial" w:cs="Arial"/>
          <w:sz w:val="22"/>
          <w:szCs w:val="22"/>
          <w:lang w:eastAsia="en-GB"/>
          <w14:ligatures w14:val="none"/>
        </w:rPr>
        <w:t>.</w:t>
      </w:r>
    </w:p>
    <w:p w14:paraId="2A4BEADB" w14:textId="77777777" w:rsidR="00F70D60" w:rsidRPr="00F70D60" w:rsidRDefault="00F70D60" w:rsidP="00F70D60">
      <w:pPr>
        <w:keepNext/>
        <w:numPr>
          <w:ilvl w:val="1"/>
          <w:numId w:val="1"/>
        </w:numPr>
        <w:spacing w:before="240" w:after="60"/>
        <w:outlineLvl w:val="1"/>
        <w:rPr>
          <w:rFonts w:ascii="Arial" w:eastAsia="Times New Roman" w:hAnsi="Arial" w:cs="Arial"/>
          <w:b/>
          <w:bCs/>
          <w:sz w:val="28"/>
          <w:szCs w:val="28"/>
          <w:lang w:eastAsia="en-GB"/>
          <w14:ligatures w14:val="none"/>
        </w:rPr>
      </w:pPr>
      <w:bookmarkStart w:id="14" w:name="_Toc201264066"/>
      <w:bookmarkStart w:id="15" w:name="_Toc201479143"/>
      <w:r w:rsidRPr="00F70D60">
        <w:rPr>
          <w:rFonts w:ascii="Arial" w:eastAsia="Times New Roman" w:hAnsi="Arial" w:cs="Arial"/>
          <w:b/>
          <w:bCs/>
          <w:sz w:val="28"/>
          <w:szCs w:val="28"/>
          <w:lang w:eastAsia="en-GB"/>
          <w14:ligatures w14:val="none"/>
        </w:rPr>
        <w:t>Corporate Governance Frameworks:</w:t>
      </w:r>
      <w:bookmarkEnd w:id="14"/>
      <w:bookmarkEnd w:id="15"/>
    </w:p>
    <w:p w14:paraId="3D7DAF32" w14:textId="77777777" w:rsidR="00F70D60" w:rsidRPr="00F70D60" w:rsidRDefault="00F70D60" w:rsidP="00F70D60">
      <w:pPr>
        <w:rPr>
          <w:rFonts w:ascii="Aptos" w:eastAsia="Times New Roman" w:hAnsi="Aptos" w:cs="Times New Roman"/>
          <w:lang w:eastAsia="en-GB"/>
          <w14:ligatures w14:val="none"/>
        </w:rPr>
      </w:pPr>
    </w:p>
    <w:tbl>
      <w:tblPr>
        <w:tblStyle w:val="TableGrid"/>
        <w:tblW w:w="0" w:type="auto"/>
        <w:tblLook w:val="04A0" w:firstRow="1" w:lastRow="0" w:firstColumn="1" w:lastColumn="0" w:noHBand="0" w:noVBand="1"/>
      </w:tblPr>
      <w:tblGrid>
        <w:gridCol w:w="1781"/>
        <w:gridCol w:w="3383"/>
        <w:gridCol w:w="3852"/>
      </w:tblGrid>
      <w:tr w:rsidR="00F70D60" w:rsidRPr="00F70D60" w14:paraId="738719D3" w14:textId="77777777" w:rsidTr="00BD0993">
        <w:tc>
          <w:tcPr>
            <w:tcW w:w="1818" w:type="dxa"/>
          </w:tcPr>
          <w:p w14:paraId="19B6F0A0" w14:textId="77777777" w:rsidR="00F70D60" w:rsidRPr="00F70D60" w:rsidRDefault="00F70D60" w:rsidP="00F70D60">
            <w:pPr>
              <w:spacing w:line="360" w:lineRule="auto"/>
              <w:rPr>
                <w:rFonts w:ascii="Arial" w:eastAsia="Times New Roman" w:hAnsi="Arial" w:cs="Arial"/>
                <w:b/>
                <w:bCs/>
                <w:sz w:val="22"/>
                <w:szCs w:val="22"/>
              </w:rPr>
            </w:pPr>
            <w:r w:rsidRPr="00F70D60">
              <w:rPr>
                <w:rFonts w:ascii="Arial" w:eastAsia="Times New Roman" w:hAnsi="Arial" w:cs="Arial"/>
                <w:b/>
                <w:bCs/>
                <w:sz w:val="22"/>
                <w:szCs w:val="22"/>
              </w:rPr>
              <w:t>Factor</w:t>
            </w:r>
          </w:p>
        </w:tc>
        <w:tc>
          <w:tcPr>
            <w:tcW w:w="3600" w:type="dxa"/>
          </w:tcPr>
          <w:p w14:paraId="1A39ED57" w14:textId="77777777" w:rsidR="00F70D60" w:rsidRPr="00F70D60" w:rsidRDefault="00F70D60" w:rsidP="00F70D60">
            <w:pPr>
              <w:spacing w:line="360" w:lineRule="auto"/>
              <w:jc w:val="center"/>
              <w:rPr>
                <w:rFonts w:ascii="Arial" w:eastAsia="Times New Roman" w:hAnsi="Arial" w:cs="Arial"/>
                <w:b/>
                <w:bCs/>
                <w:sz w:val="22"/>
                <w:szCs w:val="22"/>
              </w:rPr>
            </w:pPr>
            <w:r w:rsidRPr="00F70D60">
              <w:rPr>
                <w:rFonts w:ascii="Arial" w:eastAsia="Times New Roman" w:hAnsi="Arial" w:cs="Arial"/>
                <w:b/>
                <w:bCs/>
                <w:sz w:val="22"/>
                <w:szCs w:val="22"/>
              </w:rPr>
              <w:t>Netherlands</w:t>
            </w:r>
          </w:p>
        </w:tc>
        <w:tc>
          <w:tcPr>
            <w:tcW w:w="4158" w:type="dxa"/>
          </w:tcPr>
          <w:p w14:paraId="3B52D376" w14:textId="77777777" w:rsidR="00F70D60" w:rsidRPr="00F70D60" w:rsidRDefault="00F70D60" w:rsidP="00F70D60">
            <w:pPr>
              <w:spacing w:line="360" w:lineRule="auto"/>
              <w:jc w:val="center"/>
              <w:rPr>
                <w:rFonts w:ascii="Arial" w:eastAsia="Times New Roman" w:hAnsi="Arial" w:cs="Arial"/>
                <w:b/>
                <w:bCs/>
                <w:sz w:val="22"/>
                <w:szCs w:val="22"/>
              </w:rPr>
            </w:pPr>
            <w:r w:rsidRPr="00F70D60">
              <w:rPr>
                <w:rFonts w:ascii="Arial" w:eastAsia="Times New Roman" w:hAnsi="Arial" w:cs="Arial"/>
                <w:b/>
                <w:bCs/>
                <w:sz w:val="22"/>
                <w:szCs w:val="22"/>
              </w:rPr>
              <w:t>Shanghai (China)</w:t>
            </w:r>
          </w:p>
        </w:tc>
      </w:tr>
      <w:tr w:rsidR="00F70D60" w:rsidRPr="00F70D60" w14:paraId="6C1B4080" w14:textId="77777777" w:rsidTr="00BD0993">
        <w:tc>
          <w:tcPr>
            <w:tcW w:w="1818" w:type="dxa"/>
          </w:tcPr>
          <w:p w14:paraId="20F6AA31" w14:textId="77777777" w:rsidR="00F70D60" w:rsidRPr="00F70D60" w:rsidRDefault="00F70D60" w:rsidP="00F70D60">
            <w:pPr>
              <w:spacing w:line="360" w:lineRule="auto"/>
              <w:rPr>
                <w:rFonts w:ascii="Arial" w:eastAsia="Times New Roman" w:hAnsi="Arial" w:cs="Arial"/>
                <w:b/>
                <w:bCs/>
                <w:sz w:val="22"/>
                <w:szCs w:val="22"/>
              </w:rPr>
            </w:pPr>
            <w:r w:rsidRPr="00F70D60">
              <w:rPr>
                <w:rFonts w:ascii="Arial" w:eastAsia="Times New Roman" w:hAnsi="Arial" w:cs="Arial"/>
                <w:b/>
                <w:bCs/>
                <w:sz w:val="22"/>
                <w:szCs w:val="22"/>
              </w:rPr>
              <w:t>Governance Structure</w:t>
            </w:r>
          </w:p>
        </w:tc>
        <w:tc>
          <w:tcPr>
            <w:tcW w:w="3600" w:type="dxa"/>
          </w:tcPr>
          <w:p w14:paraId="31EBDB11" w14:textId="77777777" w:rsidR="00F70D60" w:rsidRPr="00F70D60" w:rsidRDefault="00F70D60" w:rsidP="00F70D60">
            <w:pPr>
              <w:spacing w:line="360" w:lineRule="auto"/>
              <w:rPr>
                <w:rFonts w:ascii="Arial" w:eastAsia="Times New Roman" w:hAnsi="Arial" w:cs="Arial"/>
                <w:sz w:val="22"/>
                <w:szCs w:val="22"/>
              </w:rPr>
            </w:pPr>
            <w:r w:rsidRPr="00F70D60">
              <w:rPr>
                <w:rFonts w:ascii="Arial" w:eastAsia="Times New Roman" w:hAnsi="Arial" w:cs="Arial"/>
                <w:sz w:val="22"/>
                <w:szCs w:val="22"/>
              </w:rPr>
              <w:t>The Netherlands adheres to the Dutch Corporate Governance Code (2016), based on the “comply or explain” principle. It promotes transparency, board independence, and shareholder rights, and is consistent with EU standards. The governance framework emphasizes long-term value creation and stakeholder-oriented decision-making.</w:t>
            </w:r>
          </w:p>
        </w:tc>
        <w:tc>
          <w:tcPr>
            <w:tcW w:w="4158" w:type="dxa"/>
          </w:tcPr>
          <w:p w14:paraId="403FD6AB" w14:textId="77777777" w:rsidR="00F70D60" w:rsidRPr="00F70D60" w:rsidRDefault="00F70D60" w:rsidP="00F70D60">
            <w:pPr>
              <w:spacing w:line="360" w:lineRule="auto"/>
              <w:rPr>
                <w:rFonts w:ascii="Arial" w:eastAsia="Times New Roman" w:hAnsi="Arial" w:cs="Arial"/>
                <w:sz w:val="22"/>
                <w:szCs w:val="22"/>
              </w:rPr>
            </w:pPr>
            <w:r w:rsidRPr="00F70D60">
              <w:rPr>
                <w:rFonts w:ascii="Arial" w:eastAsia="Times New Roman" w:hAnsi="Arial" w:cs="Arial"/>
                <w:sz w:val="22"/>
                <w:szCs w:val="22"/>
              </w:rPr>
              <w:t>Corporate governance in China remains highly centralized and state-influenced. Companies listed in Shanghai are subject to the Code of Corporate Governance for Listed Companies and oversight by the China Securities Regulatory Commission (CSRC). The presence of Chinese Communist Party (CCP) Committees within larger corporations is mandated, reflecting the state's strategic interest in corporate oversight.</w:t>
            </w:r>
          </w:p>
        </w:tc>
      </w:tr>
    </w:tbl>
    <w:p w14:paraId="6C865B4B" w14:textId="77777777" w:rsidR="00F70D60" w:rsidRPr="00F70D60" w:rsidRDefault="00F70D60" w:rsidP="00F70D60">
      <w:pPr>
        <w:rPr>
          <w:rFonts w:ascii="Aptos" w:eastAsia="Times New Roman" w:hAnsi="Aptos" w:cs="Times New Roman"/>
          <w:lang w:eastAsia="en-GB"/>
          <w14:ligatures w14:val="none"/>
        </w:rPr>
      </w:pPr>
    </w:p>
    <w:p w14:paraId="7969428E" w14:textId="77777777" w:rsidR="00F70D60" w:rsidRPr="00F70D60" w:rsidRDefault="00F70D60" w:rsidP="00F70D60">
      <w:pPr>
        <w:numPr>
          <w:ilvl w:val="0"/>
          <w:numId w:val="5"/>
        </w:numPr>
        <w:spacing w:line="360" w:lineRule="auto"/>
        <w:rPr>
          <w:rFonts w:ascii="Arial" w:eastAsia="Times New Roman" w:hAnsi="Arial" w:cs="Arial"/>
          <w:sz w:val="22"/>
          <w:szCs w:val="22"/>
          <w:lang w:eastAsia="en-GB"/>
          <w14:ligatures w14:val="none"/>
        </w:rPr>
      </w:pPr>
      <w:r w:rsidRPr="00F70D60">
        <w:rPr>
          <w:rFonts w:ascii="Arial" w:eastAsia="Times New Roman" w:hAnsi="Arial" w:cs="Arial"/>
          <w:sz w:val="22"/>
          <w:szCs w:val="22"/>
          <w:lang w:eastAsia="en-GB"/>
          <w14:ligatures w14:val="none"/>
        </w:rPr>
        <w:t>Shanghai’s governance model allows for tighter managerial or founder control, but the formal presence of state mechanisms and Party Committees may raise concerns for international investors regarding political interference and agency risk.</w:t>
      </w:r>
    </w:p>
    <w:p w14:paraId="562B3A98" w14:textId="77777777" w:rsidR="00F70D60" w:rsidRPr="00F70D60" w:rsidRDefault="00F70D60" w:rsidP="00F70D60">
      <w:pPr>
        <w:numPr>
          <w:ilvl w:val="0"/>
          <w:numId w:val="5"/>
        </w:numPr>
        <w:spacing w:line="360" w:lineRule="auto"/>
        <w:rPr>
          <w:rFonts w:ascii="Arial" w:eastAsia="Times New Roman" w:hAnsi="Arial" w:cs="Arial"/>
          <w:sz w:val="22"/>
          <w:szCs w:val="22"/>
          <w:lang w:eastAsia="en-GB"/>
          <w14:ligatures w14:val="none"/>
        </w:rPr>
      </w:pPr>
      <w:r w:rsidRPr="00F70D60">
        <w:rPr>
          <w:rFonts w:ascii="Arial" w:eastAsia="Times New Roman" w:hAnsi="Arial" w:cs="Arial"/>
          <w:sz w:val="22"/>
          <w:szCs w:val="22"/>
          <w:lang w:eastAsia="en-GB"/>
          <w14:ligatures w14:val="none"/>
        </w:rPr>
        <w:t>The Netherlands model is perceived as more investor-friendly, with institutionalized mechanisms for accountability and protection of minority shareholders</w:t>
      </w:r>
      <w:r w:rsidRPr="00F70D60">
        <w:rPr>
          <w:rFonts w:ascii="Arial" w:eastAsia="Times New Roman" w:hAnsi="Arial" w:cs="Arial"/>
          <w:noProof/>
          <w:sz w:val="22"/>
          <w:szCs w:val="22"/>
          <w:lang w:val="en-US" w:eastAsia="en-GB"/>
          <w14:ligatures w14:val="none"/>
        </w:rPr>
        <w:t xml:space="preserve"> (Kees Van Veen, 2008)</w:t>
      </w:r>
      <w:r w:rsidRPr="00F70D60">
        <w:rPr>
          <w:rFonts w:ascii="Arial" w:eastAsia="Times New Roman" w:hAnsi="Arial" w:cs="Arial"/>
          <w:sz w:val="22"/>
          <w:szCs w:val="22"/>
          <w:lang w:eastAsia="en-GB"/>
          <w14:ligatures w14:val="none"/>
        </w:rPr>
        <w:t>.</w:t>
      </w:r>
    </w:p>
    <w:p w14:paraId="5373C08B" w14:textId="77777777" w:rsidR="00F70D60" w:rsidRPr="00F70D60" w:rsidRDefault="00F70D60" w:rsidP="00F70D60">
      <w:pPr>
        <w:keepNext/>
        <w:numPr>
          <w:ilvl w:val="1"/>
          <w:numId w:val="1"/>
        </w:numPr>
        <w:spacing w:before="240" w:after="60"/>
        <w:outlineLvl w:val="1"/>
        <w:rPr>
          <w:rFonts w:ascii="Arial" w:eastAsia="Times New Roman" w:hAnsi="Arial" w:cs="Arial"/>
          <w:b/>
          <w:bCs/>
          <w:sz w:val="28"/>
          <w:szCs w:val="28"/>
          <w:lang w:eastAsia="en-GB"/>
          <w14:ligatures w14:val="none"/>
        </w:rPr>
      </w:pPr>
      <w:bookmarkStart w:id="16" w:name="_Toc201264067"/>
      <w:bookmarkStart w:id="17" w:name="_Toc201479144"/>
      <w:r w:rsidRPr="00F70D60">
        <w:rPr>
          <w:rFonts w:ascii="Arial" w:eastAsia="Times New Roman" w:hAnsi="Arial" w:cs="Arial"/>
          <w:b/>
          <w:bCs/>
          <w:sz w:val="28"/>
          <w:szCs w:val="28"/>
          <w:lang w:eastAsia="en-GB"/>
          <w14:ligatures w14:val="none"/>
        </w:rPr>
        <w:lastRenderedPageBreak/>
        <w:t>Legal and Institutional Environment:</w:t>
      </w:r>
      <w:bookmarkEnd w:id="16"/>
      <w:bookmarkEnd w:id="17"/>
    </w:p>
    <w:p w14:paraId="1AAE80D8" w14:textId="77777777" w:rsidR="00F70D60" w:rsidRPr="00F70D60" w:rsidRDefault="00F70D60" w:rsidP="00F70D60">
      <w:pPr>
        <w:rPr>
          <w:rFonts w:ascii="Aptos" w:eastAsia="Times New Roman" w:hAnsi="Aptos" w:cs="Times New Roman"/>
          <w:lang w:eastAsia="en-GB"/>
          <w14:ligatures w14:val="none"/>
        </w:rPr>
      </w:pPr>
    </w:p>
    <w:p w14:paraId="3391AAF9" w14:textId="77777777" w:rsidR="00F70D60" w:rsidRPr="00F70D60" w:rsidRDefault="00F70D60" w:rsidP="00F70D60">
      <w:pPr>
        <w:numPr>
          <w:ilvl w:val="0"/>
          <w:numId w:val="8"/>
        </w:numPr>
        <w:spacing w:line="360" w:lineRule="auto"/>
        <w:rPr>
          <w:rFonts w:ascii="Arial" w:eastAsia="Times New Roman" w:hAnsi="Arial" w:cs="Arial"/>
          <w:sz w:val="22"/>
          <w:szCs w:val="22"/>
          <w:lang w:eastAsia="en-GB"/>
          <w14:ligatures w14:val="none"/>
        </w:rPr>
      </w:pPr>
      <w:r w:rsidRPr="00F70D60">
        <w:rPr>
          <w:rFonts w:ascii="Arial" w:eastAsia="Times New Roman" w:hAnsi="Arial" w:cs="Arial"/>
          <w:sz w:val="22"/>
          <w:szCs w:val="22"/>
          <w:lang w:eastAsia="en-GB"/>
          <w14:ligatures w14:val="none"/>
        </w:rPr>
        <w:t xml:space="preserve">China’s legal system is civil law-based but subject to state and political influences. Rule of law is evolving, but courts lack full independence, particularly in cases involving strategic sectors. </w:t>
      </w:r>
    </w:p>
    <w:p w14:paraId="7658D763" w14:textId="77777777" w:rsidR="00F70D60" w:rsidRPr="00F70D60" w:rsidRDefault="00F70D60" w:rsidP="00F70D60">
      <w:pPr>
        <w:numPr>
          <w:ilvl w:val="0"/>
          <w:numId w:val="8"/>
        </w:numPr>
        <w:spacing w:line="360" w:lineRule="auto"/>
        <w:rPr>
          <w:rFonts w:ascii="Arial" w:eastAsia="Times New Roman" w:hAnsi="Arial" w:cs="Arial"/>
          <w:sz w:val="22"/>
          <w:szCs w:val="22"/>
          <w:lang w:eastAsia="en-GB"/>
          <w14:ligatures w14:val="none"/>
        </w:rPr>
      </w:pPr>
      <w:r w:rsidRPr="00F70D60">
        <w:rPr>
          <w:rFonts w:ascii="Arial" w:eastAsia="Times New Roman" w:hAnsi="Arial" w:cs="Arial"/>
          <w:sz w:val="22"/>
          <w:szCs w:val="22"/>
          <w:lang w:eastAsia="en-GB"/>
          <w14:ligatures w14:val="none"/>
        </w:rPr>
        <w:t>The Netherlands has a strong tradition of rule of law, judicial independence, and predictable legal enforcement. Contractual and shareholder rights are well-protected under Dutch and EU laws.</w:t>
      </w:r>
    </w:p>
    <w:p w14:paraId="494BF55D" w14:textId="77777777" w:rsidR="00F70D60" w:rsidRPr="00F70D60" w:rsidRDefault="00F70D60" w:rsidP="00F70D60">
      <w:pPr>
        <w:numPr>
          <w:ilvl w:val="0"/>
          <w:numId w:val="8"/>
        </w:numPr>
        <w:spacing w:line="360" w:lineRule="auto"/>
        <w:rPr>
          <w:rFonts w:ascii="Arial" w:eastAsia="Times New Roman" w:hAnsi="Arial" w:cs="Arial"/>
          <w:sz w:val="22"/>
          <w:szCs w:val="22"/>
          <w:lang w:eastAsia="en-GB"/>
          <w14:ligatures w14:val="none"/>
        </w:rPr>
      </w:pPr>
      <w:r w:rsidRPr="00F70D60">
        <w:rPr>
          <w:rFonts w:ascii="Arial" w:eastAsia="Times New Roman" w:hAnsi="Arial" w:cs="Arial"/>
          <w:sz w:val="22"/>
          <w:szCs w:val="22"/>
          <w:lang w:eastAsia="en-GB"/>
          <w14:ligatures w14:val="none"/>
        </w:rPr>
        <w:t xml:space="preserve">The Netherlands legal environment provides greater legal certainty and recourse for foreign investors. </w:t>
      </w:r>
    </w:p>
    <w:p w14:paraId="0210C921" w14:textId="77777777" w:rsidR="00F70D60" w:rsidRPr="00F70D60" w:rsidRDefault="00F70D60" w:rsidP="00F70D60">
      <w:pPr>
        <w:numPr>
          <w:ilvl w:val="0"/>
          <w:numId w:val="8"/>
        </w:numPr>
        <w:spacing w:line="360" w:lineRule="auto"/>
        <w:rPr>
          <w:rFonts w:ascii="Arial" w:eastAsia="Times New Roman" w:hAnsi="Arial" w:cs="Arial"/>
          <w:sz w:val="22"/>
          <w:szCs w:val="22"/>
          <w:lang w:eastAsia="en-GB"/>
          <w14:ligatures w14:val="none"/>
        </w:rPr>
      </w:pPr>
      <w:r w:rsidRPr="00F70D60">
        <w:rPr>
          <w:rFonts w:ascii="Arial" w:eastAsia="Times New Roman" w:hAnsi="Arial" w:cs="Arial"/>
          <w:sz w:val="22"/>
          <w:szCs w:val="22"/>
          <w:lang w:eastAsia="en-GB"/>
          <w14:ligatures w14:val="none"/>
        </w:rPr>
        <w:t>The Chinese legal system, while getting better, still raises concerns regarding arbitrariness and political risk.</w:t>
      </w:r>
    </w:p>
    <w:p w14:paraId="5900B062" w14:textId="77777777" w:rsidR="00F70D60" w:rsidRPr="00F70D60" w:rsidRDefault="00F70D60" w:rsidP="00F70D60">
      <w:pPr>
        <w:keepNext/>
        <w:numPr>
          <w:ilvl w:val="1"/>
          <w:numId w:val="1"/>
        </w:numPr>
        <w:spacing w:before="240" w:after="60"/>
        <w:outlineLvl w:val="1"/>
        <w:rPr>
          <w:rFonts w:ascii="Arial" w:eastAsia="Times New Roman" w:hAnsi="Arial" w:cs="Arial"/>
          <w:b/>
          <w:bCs/>
          <w:sz w:val="28"/>
          <w:szCs w:val="28"/>
          <w:lang w:eastAsia="en-GB"/>
          <w14:ligatures w14:val="none"/>
        </w:rPr>
      </w:pPr>
      <w:bookmarkStart w:id="18" w:name="_Toc201264068"/>
      <w:bookmarkStart w:id="19" w:name="_Toc201479145"/>
      <w:r w:rsidRPr="00F70D60">
        <w:rPr>
          <w:rFonts w:ascii="Arial" w:eastAsia="Times New Roman" w:hAnsi="Arial" w:cs="Arial"/>
          <w:b/>
          <w:bCs/>
          <w:sz w:val="28"/>
          <w:szCs w:val="28"/>
          <w:lang w:eastAsia="en-GB"/>
          <w14:ligatures w14:val="none"/>
        </w:rPr>
        <w:t>Cultural and Institutional Norms:</w:t>
      </w:r>
      <w:bookmarkEnd w:id="18"/>
      <w:bookmarkEnd w:id="19"/>
    </w:p>
    <w:p w14:paraId="0A7B7EB1" w14:textId="77777777" w:rsidR="00F70D60" w:rsidRPr="00F70D60" w:rsidRDefault="00F70D60" w:rsidP="00F70D60">
      <w:pPr>
        <w:rPr>
          <w:rFonts w:ascii="Aptos" w:eastAsia="Times New Roman" w:hAnsi="Aptos" w:cs="Times New Roman"/>
          <w:lang w:eastAsia="en-GB"/>
          <w14:ligatures w14:val="none"/>
        </w:rPr>
      </w:pPr>
    </w:p>
    <w:p w14:paraId="3EB803AC" w14:textId="77777777" w:rsidR="00F70D60" w:rsidRPr="00F70D60" w:rsidRDefault="00F70D60" w:rsidP="00F70D60">
      <w:pPr>
        <w:numPr>
          <w:ilvl w:val="0"/>
          <w:numId w:val="9"/>
        </w:numPr>
        <w:spacing w:line="360" w:lineRule="auto"/>
        <w:rPr>
          <w:rFonts w:ascii="Arial" w:eastAsia="Times New Roman" w:hAnsi="Arial" w:cs="Arial"/>
          <w:sz w:val="22"/>
          <w:szCs w:val="22"/>
          <w:lang w:eastAsia="en-GB"/>
          <w14:ligatures w14:val="none"/>
        </w:rPr>
      </w:pPr>
      <w:r w:rsidRPr="00F70D60">
        <w:rPr>
          <w:rFonts w:ascii="Arial" w:eastAsia="Times New Roman" w:hAnsi="Arial" w:cs="Arial"/>
          <w:sz w:val="22"/>
          <w:szCs w:val="22"/>
          <w:lang w:eastAsia="en-GB"/>
          <w14:ligatures w14:val="none"/>
        </w:rPr>
        <w:t>Chinese corporate culture emphasizes hierarchy, collectivism, and internal consensus. Decision-making is often centralized, and public dissent is rare. Guanxi (networks) and informal ties may significantly influence corporate affairs.</w:t>
      </w:r>
    </w:p>
    <w:p w14:paraId="3471C03E" w14:textId="77777777" w:rsidR="00F70D60" w:rsidRPr="00F70D60" w:rsidRDefault="00F70D60" w:rsidP="00F70D60">
      <w:pPr>
        <w:numPr>
          <w:ilvl w:val="0"/>
          <w:numId w:val="9"/>
        </w:numPr>
        <w:spacing w:line="360" w:lineRule="auto"/>
        <w:rPr>
          <w:rFonts w:ascii="Aptos" w:eastAsia="Times New Roman" w:hAnsi="Aptos" w:cs="Times New Roman"/>
          <w:lang w:eastAsia="en-GB"/>
          <w14:ligatures w14:val="none"/>
        </w:rPr>
      </w:pPr>
      <w:r w:rsidRPr="00F70D60">
        <w:rPr>
          <w:rFonts w:ascii="Arial" w:eastAsia="Times New Roman" w:hAnsi="Arial" w:cs="Arial"/>
          <w:sz w:val="22"/>
          <w:szCs w:val="22"/>
          <w:lang w:eastAsia="en-GB"/>
          <w14:ligatures w14:val="none"/>
        </w:rPr>
        <w:t>Netherlands business culture values egalitarianism, open dialogue, and stakeholder involvement. The polder model of decision-making encourages negotiation and compromise among employers, employees, and government.</w:t>
      </w:r>
    </w:p>
    <w:p w14:paraId="0AE8CD70" w14:textId="77777777" w:rsidR="00F70D60" w:rsidRDefault="00F70D60" w:rsidP="00F70D60">
      <w:pPr>
        <w:spacing w:line="360" w:lineRule="auto"/>
        <w:ind w:left="360" w:firstLine="360"/>
        <w:rPr>
          <w:rFonts w:ascii="Arial" w:eastAsia="Times New Roman" w:hAnsi="Arial" w:cs="Arial"/>
          <w:sz w:val="22"/>
          <w:szCs w:val="22"/>
          <w:lang w:eastAsia="en-GB"/>
          <w14:ligatures w14:val="none"/>
        </w:rPr>
      </w:pPr>
      <w:r w:rsidRPr="00F70D60">
        <w:rPr>
          <w:rFonts w:ascii="Arial" w:eastAsia="Times New Roman" w:hAnsi="Arial" w:cs="Arial"/>
          <w:sz w:val="22"/>
          <w:szCs w:val="22"/>
          <w:lang w:eastAsia="en-GB"/>
          <w14:ligatures w14:val="none"/>
        </w:rPr>
        <w:t>Cultural orientation may impact boardroom dynamics, investor communications, and expectations around corporate transparency. Companies must adapt their investor relations strategy accordingly</w:t>
      </w:r>
      <w:r w:rsidRPr="00F70D60">
        <w:rPr>
          <w:rFonts w:ascii="Arial" w:eastAsia="Times New Roman" w:hAnsi="Arial" w:cs="Arial"/>
          <w:noProof/>
          <w:sz w:val="22"/>
          <w:szCs w:val="22"/>
          <w:lang w:val="en-US" w:eastAsia="en-GB"/>
          <w14:ligatures w14:val="none"/>
        </w:rPr>
        <w:t xml:space="preserve"> (Hofstede, 1994)</w:t>
      </w:r>
      <w:r w:rsidRPr="00F70D60">
        <w:rPr>
          <w:rFonts w:ascii="Arial" w:eastAsia="Times New Roman" w:hAnsi="Arial" w:cs="Arial"/>
          <w:sz w:val="22"/>
          <w:szCs w:val="22"/>
          <w:lang w:eastAsia="en-GB"/>
          <w14:ligatures w14:val="none"/>
        </w:rPr>
        <w:t>.</w:t>
      </w:r>
    </w:p>
    <w:p w14:paraId="39A8BE0C" w14:textId="77777777" w:rsidR="00F70D60" w:rsidRDefault="00F70D60" w:rsidP="00F70D60">
      <w:pPr>
        <w:spacing w:line="360" w:lineRule="auto"/>
        <w:ind w:left="360" w:firstLine="360"/>
        <w:rPr>
          <w:rFonts w:ascii="Arial" w:eastAsia="Times New Roman" w:hAnsi="Arial" w:cs="Arial"/>
          <w:sz w:val="22"/>
          <w:szCs w:val="22"/>
          <w:lang w:eastAsia="en-GB"/>
          <w14:ligatures w14:val="none"/>
        </w:rPr>
      </w:pPr>
    </w:p>
    <w:p w14:paraId="390D03D8" w14:textId="77777777" w:rsidR="00F70D60" w:rsidRDefault="00F70D60" w:rsidP="00F70D60">
      <w:pPr>
        <w:spacing w:line="360" w:lineRule="auto"/>
        <w:ind w:left="360" w:firstLine="360"/>
        <w:rPr>
          <w:rFonts w:ascii="Arial" w:eastAsia="Times New Roman" w:hAnsi="Arial" w:cs="Arial"/>
          <w:sz w:val="22"/>
          <w:szCs w:val="22"/>
          <w:lang w:eastAsia="en-GB"/>
          <w14:ligatures w14:val="none"/>
        </w:rPr>
      </w:pPr>
    </w:p>
    <w:p w14:paraId="5F429A5F" w14:textId="77777777" w:rsidR="00F70D60" w:rsidRDefault="00F70D60" w:rsidP="00F70D60">
      <w:pPr>
        <w:spacing w:line="360" w:lineRule="auto"/>
        <w:ind w:left="360" w:firstLine="360"/>
        <w:rPr>
          <w:rFonts w:ascii="Arial" w:eastAsia="Times New Roman" w:hAnsi="Arial" w:cs="Arial"/>
          <w:sz w:val="22"/>
          <w:szCs w:val="22"/>
          <w:lang w:eastAsia="en-GB"/>
          <w14:ligatures w14:val="none"/>
        </w:rPr>
      </w:pPr>
    </w:p>
    <w:p w14:paraId="31CB51F1" w14:textId="77777777" w:rsidR="00F70D60" w:rsidRDefault="00F70D60" w:rsidP="00F70D60">
      <w:pPr>
        <w:spacing w:line="360" w:lineRule="auto"/>
        <w:ind w:left="360" w:firstLine="360"/>
        <w:rPr>
          <w:rFonts w:ascii="Arial" w:eastAsia="Times New Roman" w:hAnsi="Arial" w:cs="Arial"/>
          <w:sz w:val="22"/>
          <w:szCs w:val="22"/>
          <w:lang w:eastAsia="en-GB"/>
          <w14:ligatures w14:val="none"/>
        </w:rPr>
      </w:pPr>
    </w:p>
    <w:p w14:paraId="5A548B12" w14:textId="77777777" w:rsidR="00F70D60" w:rsidRDefault="00F70D60" w:rsidP="00F70D60">
      <w:pPr>
        <w:spacing w:line="360" w:lineRule="auto"/>
        <w:ind w:left="360" w:firstLine="360"/>
        <w:rPr>
          <w:rFonts w:ascii="Arial" w:eastAsia="Times New Roman" w:hAnsi="Arial" w:cs="Arial"/>
          <w:sz w:val="22"/>
          <w:szCs w:val="22"/>
          <w:lang w:eastAsia="en-GB"/>
          <w14:ligatures w14:val="none"/>
        </w:rPr>
      </w:pPr>
    </w:p>
    <w:p w14:paraId="34415B75" w14:textId="77777777" w:rsidR="00F70D60" w:rsidRPr="00F70D60" w:rsidRDefault="00F70D60" w:rsidP="00F70D60">
      <w:pPr>
        <w:spacing w:line="360" w:lineRule="auto"/>
        <w:ind w:left="360" w:firstLine="360"/>
        <w:rPr>
          <w:rFonts w:ascii="Arial" w:eastAsia="Times New Roman" w:hAnsi="Arial" w:cs="Arial"/>
          <w:sz w:val="22"/>
          <w:szCs w:val="22"/>
          <w:lang w:eastAsia="en-GB"/>
          <w14:ligatures w14:val="none"/>
        </w:rPr>
      </w:pPr>
    </w:p>
    <w:p w14:paraId="201DFD08" w14:textId="77777777" w:rsidR="00F70D60" w:rsidRPr="00F70D60" w:rsidRDefault="00F70D60" w:rsidP="00F70D60">
      <w:pPr>
        <w:keepNext/>
        <w:numPr>
          <w:ilvl w:val="1"/>
          <w:numId w:val="1"/>
        </w:numPr>
        <w:spacing w:before="240" w:after="60"/>
        <w:outlineLvl w:val="1"/>
        <w:rPr>
          <w:rFonts w:ascii="Arial" w:eastAsia="Times New Roman" w:hAnsi="Arial" w:cs="Arial"/>
          <w:b/>
          <w:bCs/>
          <w:sz w:val="28"/>
          <w:szCs w:val="28"/>
          <w:lang w:eastAsia="en-GB"/>
          <w14:ligatures w14:val="none"/>
        </w:rPr>
      </w:pPr>
      <w:bookmarkStart w:id="20" w:name="_Toc201264069"/>
      <w:bookmarkStart w:id="21" w:name="_Toc201479146"/>
      <w:r w:rsidRPr="00F70D60">
        <w:rPr>
          <w:rFonts w:ascii="Arial" w:eastAsia="Times New Roman" w:hAnsi="Arial" w:cs="Arial"/>
          <w:b/>
          <w:bCs/>
          <w:sz w:val="28"/>
          <w:szCs w:val="28"/>
          <w:lang w:eastAsia="en-GB"/>
          <w14:ligatures w14:val="none"/>
        </w:rPr>
        <w:lastRenderedPageBreak/>
        <w:t>Conclusion and Strategic Implications:</w:t>
      </w:r>
      <w:bookmarkEnd w:id="20"/>
      <w:bookmarkEnd w:id="21"/>
    </w:p>
    <w:p w14:paraId="3980F05A" w14:textId="77777777" w:rsidR="00F70D60" w:rsidRPr="00F70D60" w:rsidRDefault="00F70D60" w:rsidP="00F70D60">
      <w:pPr>
        <w:rPr>
          <w:rFonts w:ascii="Aptos" w:eastAsia="Times New Roman" w:hAnsi="Aptos" w:cs="Times New Roman"/>
          <w:lang w:eastAsia="en-GB"/>
          <w14:ligatures w14:val="none"/>
        </w:rPr>
      </w:pPr>
    </w:p>
    <w:tbl>
      <w:tblPr>
        <w:tblStyle w:val="TableGrid"/>
        <w:tblW w:w="0" w:type="auto"/>
        <w:tblLook w:val="04A0" w:firstRow="1" w:lastRow="0" w:firstColumn="1" w:lastColumn="0" w:noHBand="0" w:noVBand="1"/>
      </w:tblPr>
      <w:tblGrid>
        <w:gridCol w:w="3070"/>
        <w:gridCol w:w="2969"/>
        <w:gridCol w:w="2977"/>
      </w:tblGrid>
      <w:tr w:rsidR="00F70D60" w:rsidRPr="00F70D60" w14:paraId="17A03611" w14:textId="77777777" w:rsidTr="00BD0993">
        <w:tc>
          <w:tcPr>
            <w:tcW w:w="3192" w:type="dxa"/>
          </w:tcPr>
          <w:p w14:paraId="22917B5F" w14:textId="77777777" w:rsidR="00F70D60" w:rsidRPr="00F70D60" w:rsidRDefault="00F70D60" w:rsidP="00F70D60">
            <w:pPr>
              <w:numPr>
                <w:ilvl w:val="0"/>
                <w:numId w:val="10"/>
              </w:numPr>
              <w:spacing w:line="360" w:lineRule="auto"/>
              <w:rPr>
                <w:rFonts w:ascii="Arial" w:eastAsia="Times New Roman" w:hAnsi="Arial" w:cs="Arial"/>
                <w:b/>
                <w:bCs/>
                <w:sz w:val="22"/>
                <w:szCs w:val="22"/>
              </w:rPr>
            </w:pPr>
            <w:r w:rsidRPr="00F70D60">
              <w:rPr>
                <w:rFonts w:ascii="Arial" w:eastAsia="Times New Roman" w:hAnsi="Arial" w:cs="Arial"/>
                <w:b/>
                <w:bCs/>
                <w:sz w:val="22"/>
                <w:szCs w:val="22"/>
              </w:rPr>
              <w:t>Advantages:</w:t>
            </w:r>
          </w:p>
        </w:tc>
        <w:tc>
          <w:tcPr>
            <w:tcW w:w="3192" w:type="dxa"/>
          </w:tcPr>
          <w:p w14:paraId="4236BAB6" w14:textId="77777777" w:rsidR="00F70D60" w:rsidRPr="00F70D60" w:rsidRDefault="00F70D60" w:rsidP="00F70D60">
            <w:pPr>
              <w:spacing w:line="360" w:lineRule="auto"/>
              <w:rPr>
                <w:rFonts w:ascii="Arial" w:eastAsia="Times New Roman" w:hAnsi="Arial" w:cs="Arial"/>
                <w:sz w:val="22"/>
                <w:szCs w:val="22"/>
              </w:rPr>
            </w:pPr>
            <w:r w:rsidRPr="00F70D60">
              <w:rPr>
                <w:rFonts w:ascii="Arial" w:eastAsia="Times New Roman" w:hAnsi="Arial" w:cs="Arial"/>
                <w:b/>
                <w:bCs/>
                <w:sz w:val="22"/>
                <w:szCs w:val="22"/>
              </w:rPr>
              <w:t>Netherlands Listing-</w:t>
            </w:r>
            <w:r w:rsidRPr="00F70D60">
              <w:rPr>
                <w:rFonts w:ascii="Arial" w:eastAsia="Times New Roman" w:hAnsi="Arial" w:cs="Arial"/>
                <w:sz w:val="22"/>
                <w:szCs w:val="22"/>
              </w:rPr>
              <w:t xml:space="preserve"> High investor trust; strong legal framework; access to EU capital; robust governance norms</w:t>
            </w:r>
          </w:p>
        </w:tc>
        <w:tc>
          <w:tcPr>
            <w:tcW w:w="3192" w:type="dxa"/>
          </w:tcPr>
          <w:p w14:paraId="48A5B1BB" w14:textId="77777777" w:rsidR="00F70D60" w:rsidRPr="00F70D60" w:rsidRDefault="00F70D60" w:rsidP="00F70D60">
            <w:pPr>
              <w:spacing w:line="360" w:lineRule="auto"/>
              <w:rPr>
                <w:rFonts w:ascii="Arial" w:eastAsia="Times New Roman" w:hAnsi="Arial" w:cs="Arial"/>
                <w:sz w:val="22"/>
                <w:szCs w:val="22"/>
              </w:rPr>
            </w:pPr>
            <w:r w:rsidRPr="00F70D60">
              <w:rPr>
                <w:rFonts w:ascii="Arial" w:eastAsia="Times New Roman" w:hAnsi="Arial" w:cs="Arial"/>
                <w:b/>
                <w:bCs/>
                <w:sz w:val="22"/>
                <w:szCs w:val="22"/>
              </w:rPr>
              <w:t>Shanghai Listing</w:t>
            </w:r>
            <w:r w:rsidRPr="00F70D60">
              <w:rPr>
                <w:rFonts w:ascii="Arial" w:eastAsia="Times New Roman" w:hAnsi="Arial" w:cs="Arial"/>
                <w:sz w:val="22"/>
                <w:szCs w:val="22"/>
              </w:rPr>
              <w:t>- Control-friendly; access to Chinese capital markets; alignment with domestic industrial policy</w:t>
            </w:r>
          </w:p>
        </w:tc>
      </w:tr>
      <w:tr w:rsidR="00F70D60" w:rsidRPr="00F70D60" w14:paraId="1DC7B7FA" w14:textId="77777777" w:rsidTr="00BD0993">
        <w:tc>
          <w:tcPr>
            <w:tcW w:w="3192" w:type="dxa"/>
          </w:tcPr>
          <w:p w14:paraId="7846E990" w14:textId="77777777" w:rsidR="00F70D60" w:rsidRPr="00F70D60" w:rsidRDefault="00F70D60" w:rsidP="00F70D60">
            <w:pPr>
              <w:numPr>
                <w:ilvl w:val="0"/>
                <w:numId w:val="10"/>
              </w:numPr>
              <w:spacing w:line="360" w:lineRule="auto"/>
              <w:rPr>
                <w:rFonts w:ascii="Arial" w:eastAsia="Times New Roman" w:hAnsi="Arial" w:cs="Arial"/>
                <w:b/>
                <w:bCs/>
                <w:sz w:val="22"/>
                <w:szCs w:val="22"/>
              </w:rPr>
            </w:pPr>
            <w:r w:rsidRPr="00F70D60">
              <w:rPr>
                <w:rFonts w:ascii="Arial" w:eastAsia="Times New Roman" w:hAnsi="Arial" w:cs="Arial"/>
                <w:b/>
                <w:bCs/>
                <w:sz w:val="22"/>
                <w:szCs w:val="22"/>
              </w:rPr>
              <w:t>Risks:</w:t>
            </w:r>
          </w:p>
        </w:tc>
        <w:tc>
          <w:tcPr>
            <w:tcW w:w="3192" w:type="dxa"/>
          </w:tcPr>
          <w:p w14:paraId="537B2CC7" w14:textId="77777777" w:rsidR="00F70D60" w:rsidRPr="00F70D60" w:rsidRDefault="00F70D60" w:rsidP="00F70D60">
            <w:pPr>
              <w:spacing w:line="360" w:lineRule="auto"/>
              <w:rPr>
                <w:rFonts w:ascii="Arial" w:eastAsia="Times New Roman" w:hAnsi="Arial" w:cs="Arial"/>
                <w:sz w:val="22"/>
                <w:szCs w:val="22"/>
              </w:rPr>
            </w:pPr>
            <w:r w:rsidRPr="00F70D60">
              <w:rPr>
                <w:rFonts w:ascii="Arial" w:eastAsia="Times New Roman" w:hAnsi="Arial" w:cs="Arial"/>
                <w:b/>
                <w:bCs/>
                <w:sz w:val="22"/>
                <w:szCs w:val="22"/>
              </w:rPr>
              <w:t>Netherlands Listing</w:t>
            </w:r>
            <w:r w:rsidRPr="00F70D60">
              <w:rPr>
                <w:rFonts w:ascii="Arial" w:eastAsia="Times New Roman" w:hAnsi="Arial" w:cs="Arial"/>
                <w:sz w:val="22"/>
                <w:szCs w:val="22"/>
              </w:rPr>
              <w:t>- Less founder control (unless structured carefully); high regulatory compliance burden</w:t>
            </w:r>
          </w:p>
        </w:tc>
        <w:tc>
          <w:tcPr>
            <w:tcW w:w="3192" w:type="dxa"/>
          </w:tcPr>
          <w:p w14:paraId="3771A4B0" w14:textId="77777777" w:rsidR="00F70D60" w:rsidRPr="00F70D60" w:rsidRDefault="00F70D60" w:rsidP="00F70D60">
            <w:pPr>
              <w:spacing w:line="360" w:lineRule="auto"/>
              <w:rPr>
                <w:rFonts w:ascii="Arial" w:eastAsia="Times New Roman" w:hAnsi="Arial" w:cs="Arial"/>
                <w:sz w:val="22"/>
                <w:szCs w:val="22"/>
              </w:rPr>
            </w:pPr>
            <w:r w:rsidRPr="00F70D60">
              <w:rPr>
                <w:rFonts w:ascii="Arial" w:eastAsia="Times New Roman" w:hAnsi="Arial" w:cs="Arial"/>
                <w:b/>
                <w:bCs/>
                <w:sz w:val="22"/>
                <w:szCs w:val="22"/>
              </w:rPr>
              <w:t>Shanghai Listing</w:t>
            </w:r>
            <w:r w:rsidRPr="00F70D60">
              <w:rPr>
                <w:rFonts w:ascii="Arial" w:eastAsia="Times New Roman" w:hAnsi="Arial" w:cs="Arial"/>
                <w:sz w:val="22"/>
                <w:szCs w:val="22"/>
              </w:rPr>
              <w:t>- Lower transparency; political interference; weaker legal protections for investors</w:t>
            </w:r>
          </w:p>
        </w:tc>
      </w:tr>
    </w:tbl>
    <w:p w14:paraId="11E9A29A" w14:textId="77777777" w:rsidR="00F70D60" w:rsidRPr="00F70D60" w:rsidRDefault="00F70D60" w:rsidP="00F70D60">
      <w:pPr>
        <w:rPr>
          <w:rFonts w:ascii="Aptos" w:eastAsia="Times New Roman" w:hAnsi="Aptos" w:cs="Times New Roman"/>
          <w:lang w:eastAsia="en-GB"/>
          <w14:ligatures w14:val="none"/>
        </w:rPr>
      </w:pPr>
    </w:p>
    <w:p w14:paraId="4B0FAAF0" w14:textId="77777777" w:rsidR="00F70D60" w:rsidRPr="00F70D60" w:rsidRDefault="00F70D60" w:rsidP="00F70D60">
      <w:pPr>
        <w:spacing w:line="360" w:lineRule="auto"/>
        <w:ind w:firstLine="720"/>
        <w:rPr>
          <w:rFonts w:ascii="Arial" w:eastAsia="Times New Roman" w:hAnsi="Arial" w:cs="Arial"/>
          <w:sz w:val="22"/>
          <w:szCs w:val="22"/>
          <w:lang w:eastAsia="en-GB"/>
          <w14:ligatures w14:val="none"/>
        </w:rPr>
      </w:pPr>
      <w:r w:rsidRPr="00F70D60">
        <w:rPr>
          <w:rFonts w:ascii="Arial" w:eastAsia="Times New Roman" w:hAnsi="Arial" w:cs="Arial"/>
          <w:sz w:val="22"/>
          <w:szCs w:val="22"/>
          <w:lang w:eastAsia="en-GB"/>
          <w14:ligatures w14:val="none"/>
        </w:rPr>
        <w:t xml:space="preserve">In conclusion, a Shanghai listing may appeal to firms with strong domestic operations in China or those seeking capital with fewer constraints on managerial control. However, such advantages come with trade-offs in transparency and investor protection. </w:t>
      </w:r>
    </w:p>
    <w:p w14:paraId="331D8D7C" w14:textId="77777777" w:rsidR="00F70D60" w:rsidRPr="00F70D60" w:rsidRDefault="00F70D60" w:rsidP="00F70D60">
      <w:pPr>
        <w:spacing w:line="360" w:lineRule="auto"/>
        <w:ind w:firstLine="720"/>
        <w:rPr>
          <w:rFonts w:ascii="Arial" w:eastAsia="Times New Roman" w:hAnsi="Arial" w:cs="Arial"/>
          <w:sz w:val="22"/>
          <w:szCs w:val="22"/>
          <w:lang w:eastAsia="en-GB"/>
          <w14:ligatures w14:val="none"/>
        </w:rPr>
      </w:pPr>
      <w:r w:rsidRPr="00F70D60">
        <w:rPr>
          <w:rFonts w:ascii="Arial" w:eastAsia="Times New Roman" w:hAnsi="Arial" w:cs="Arial"/>
          <w:sz w:val="22"/>
          <w:szCs w:val="22"/>
          <w:lang w:eastAsia="en-GB"/>
          <w14:ligatures w14:val="none"/>
        </w:rPr>
        <w:t>Conversely, the Netherlands offers a stable, predictable environment ideal for companies aiming to build enduring relationships with international investors, provided they can accommodate higher governance and disclosure standards.</w:t>
      </w:r>
    </w:p>
    <w:p w14:paraId="0FC98ECA" w14:textId="77777777" w:rsidR="00F70D60" w:rsidRPr="00F70D60" w:rsidRDefault="00F70D60" w:rsidP="00F70D60">
      <w:pPr>
        <w:spacing w:line="360" w:lineRule="auto"/>
        <w:ind w:firstLine="720"/>
        <w:rPr>
          <w:rFonts w:ascii="Arial" w:eastAsia="Times New Roman" w:hAnsi="Arial" w:cs="Arial"/>
          <w:sz w:val="22"/>
          <w:szCs w:val="22"/>
          <w:lang w:eastAsia="en-GB"/>
          <w14:ligatures w14:val="none"/>
        </w:rPr>
      </w:pPr>
    </w:p>
    <w:p w14:paraId="42778C76" w14:textId="77777777" w:rsidR="00F70D60" w:rsidRPr="00F70D60" w:rsidRDefault="00F70D60" w:rsidP="00F70D60">
      <w:pPr>
        <w:spacing w:line="360" w:lineRule="auto"/>
        <w:ind w:firstLine="720"/>
        <w:rPr>
          <w:rFonts w:ascii="Arial" w:eastAsia="Times New Roman" w:hAnsi="Arial" w:cs="Arial"/>
          <w:sz w:val="22"/>
          <w:szCs w:val="22"/>
          <w:lang w:eastAsia="en-GB"/>
          <w14:ligatures w14:val="none"/>
        </w:rPr>
      </w:pPr>
    </w:p>
    <w:p w14:paraId="7F5463BB" w14:textId="77777777" w:rsidR="00F70D60" w:rsidRPr="00F70D60" w:rsidRDefault="00F70D60" w:rsidP="00F70D60">
      <w:pPr>
        <w:spacing w:line="360" w:lineRule="auto"/>
        <w:ind w:firstLine="720"/>
        <w:rPr>
          <w:rFonts w:ascii="Arial" w:eastAsia="Times New Roman" w:hAnsi="Arial" w:cs="Arial"/>
          <w:sz w:val="22"/>
          <w:szCs w:val="22"/>
          <w:lang w:eastAsia="en-GB"/>
          <w14:ligatures w14:val="none"/>
        </w:rPr>
      </w:pPr>
    </w:p>
    <w:p w14:paraId="6382E71B" w14:textId="77777777" w:rsidR="00F70D60" w:rsidRPr="00F70D60" w:rsidRDefault="00F70D60" w:rsidP="00F70D60">
      <w:pPr>
        <w:spacing w:line="360" w:lineRule="auto"/>
        <w:ind w:firstLine="720"/>
        <w:rPr>
          <w:rFonts w:ascii="Arial" w:eastAsia="Times New Roman" w:hAnsi="Arial" w:cs="Arial"/>
          <w:sz w:val="22"/>
          <w:szCs w:val="22"/>
          <w:lang w:eastAsia="en-GB"/>
          <w14:ligatures w14:val="none"/>
        </w:rPr>
      </w:pPr>
    </w:p>
    <w:p w14:paraId="2FE8DF7C" w14:textId="77777777" w:rsidR="00F70D60" w:rsidRPr="00F70D60" w:rsidRDefault="00F70D60" w:rsidP="00F70D60">
      <w:pPr>
        <w:spacing w:line="360" w:lineRule="auto"/>
        <w:ind w:firstLine="720"/>
        <w:rPr>
          <w:rFonts w:ascii="Arial" w:eastAsia="Times New Roman" w:hAnsi="Arial" w:cs="Arial"/>
          <w:sz w:val="22"/>
          <w:szCs w:val="22"/>
          <w:lang w:eastAsia="en-GB"/>
          <w14:ligatures w14:val="none"/>
        </w:rPr>
      </w:pPr>
    </w:p>
    <w:p w14:paraId="13D2685F" w14:textId="77777777" w:rsidR="00F70D60" w:rsidRPr="00F70D60" w:rsidRDefault="00F70D60" w:rsidP="00F70D60">
      <w:pPr>
        <w:spacing w:line="360" w:lineRule="auto"/>
        <w:ind w:firstLine="720"/>
        <w:rPr>
          <w:rFonts w:ascii="Arial" w:eastAsia="Times New Roman" w:hAnsi="Arial" w:cs="Arial"/>
          <w:sz w:val="22"/>
          <w:szCs w:val="22"/>
          <w:lang w:eastAsia="en-GB"/>
          <w14:ligatures w14:val="none"/>
        </w:rPr>
      </w:pPr>
    </w:p>
    <w:p w14:paraId="09FAD391" w14:textId="77777777" w:rsidR="00F70D60" w:rsidRDefault="00F70D60" w:rsidP="00F70D60">
      <w:pPr>
        <w:spacing w:line="360" w:lineRule="auto"/>
        <w:rPr>
          <w:rFonts w:ascii="Arial" w:eastAsia="Times New Roman" w:hAnsi="Arial" w:cs="Arial"/>
          <w:sz w:val="22"/>
          <w:szCs w:val="22"/>
          <w:lang w:eastAsia="en-GB"/>
          <w14:ligatures w14:val="none"/>
        </w:rPr>
      </w:pPr>
    </w:p>
    <w:p w14:paraId="50237BDF" w14:textId="77777777" w:rsidR="00F70D60" w:rsidRDefault="00F70D60" w:rsidP="00F70D60">
      <w:pPr>
        <w:spacing w:line="360" w:lineRule="auto"/>
        <w:rPr>
          <w:rFonts w:ascii="Arial" w:eastAsia="Times New Roman" w:hAnsi="Arial" w:cs="Arial"/>
          <w:sz w:val="22"/>
          <w:szCs w:val="22"/>
          <w:lang w:eastAsia="en-GB"/>
          <w14:ligatures w14:val="none"/>
        </w:rPr>
      </w:pPr>
    </w:p>
    <w:p w14:paraId="2158C0D6" w14:textId="77777777" w:rsidR="00F70D60" w:rsidRDefault="00F70D60" w:rsidP="00F70D60">
      <w:pPr>
        <w:spacing w:line="360" w:lineRule="auto"/>
        <w:rPr>
          <w:rFonts w:ascii="Arial" w:eastAsia="Times New Roman" w:hAnsi="Arial" w:cs="Arial"/>
          <w:sz w:val="22"/>
          <w:szCs w:val="22"/>
          <w:lang w:eastAsia="en-GB"/>
          <w14:ligatures w14:val="none"/>
        </w:rPr>
      </w:pPr>
    </w:p>
    <w:p w14:paraId="070F297B" w14:textId="77777777" w:rsidR="00F70D60" w:rsidRPr="00F70D60" w:rsidRDefault="00F70D60" w:rsidP="00F70D60">
      <w:pPr>
        <w:spacing w:line="360" w:lineRule="auto"/>
        <w:rPr>
          <w:rFonts w:ascii="Arial" w:eastAsia="Times New Roman" w:hAnsi="Arial" w:cs="Arial"/>
          <w:sz w:val="22"/>
          <w:szCs w:val="22"/>
          <w:lang w:eastAsia="en-GB"/>
          <w14:ligatures w14:val="none"/>
        </w:rPr>
      </w:pPr>
    </w:p>
    <w:p w14:paraId="769306FD" w14:textId="77777777" w:rsidR="00F70D60" w:rsidRPr="00F70D60" w:rsidRDefault="00F70D60" w:rsidP="00F70D60">
      <w:pPr>
        <w:keepNext/>
        <w:numPr>
          <w:ilvl w:val="0"/>
          <w:numId w:val="1"/>
        </w:numPr>
        <w:spacing w:before="240" w:after="60"/>
        <w:outlineLvl w:val="1"/>
        <w:rPr>
          <w:rFonts w:ascii="Arial" w:eastAsia="Times New Roman" w:hAnsi="Arial" w:cs="Arial"/>
          <w:b/>
          <w:bCs/>
          <w:sz w:val="28"/>
          <w:szCs w:val="28"/>
          <w:lang w:eastAsia="en-GB"/>
          <w14:ligatures w14:val="none"/>
        </w:rPr>
      </w:pPr>
      <w:bookmarkStart w:id="22" w:name="_Toc201264070"/>
      <w:bookmarkStart w:id="23" w:name="_Toc201479147"/>
      <w:r w:rsidRPr="00F70D60">
        <w:rPr>
          <w:rFonts w:ascii="Arial" w:eastAsia="Times New Roman" w:hAnsi="Arial" w:cs="Arial"/>
          <w:b/>
          <w:bCs/>
          <w:sz w:val="28"/>
          <w:szCs w:val="28"/>
          <w:lang w:eastAsia="en-GB"/>
          <w14:ligatures w14:val="none"/>
        </w:rPr>
        <w:lastRenderedPageBreak/>
        <w:t>Conclusion:</w:t>
      </w:r>
      <w:bookmarkEnd w:id="22"/>
      <w:bookmarkEnd w:id="23"/>
    </w:p>
    <w:p w14:paraId="01800349" w14:textId="77777777" w:rsidR="00F70D60" w:rsidRPr="00F70D60" w:rsidRDefault="00F70D60" w:rsidP="00F70D60">
      <w:pPr>
        <w:rPr>
          <w:rFonts w:ascii="Aptos" w:eastAsia="Times New Roman" w:hAnsi="Aptos" w:cs="Times New Roman"/>
          <w:lang w:eastAsia="en-GB"/>
          <w14:ligatures w14:val="none"/>
        </w:rPr>
      </w:pPr>
    </w:p>
    <w:p w14:paraId="270AC63D" w14:textId="77777777" w:rsidR="00F70D60" w:rsidRPr="00F70D60" w:rsidRDefault="00F70D60" w:rsidP="00F70D60">
      <w:pPr>
        <w:spacing w:line="360" w:lineRule="auto"/>
        <w:ind w:firstLine="360"/>
        <w:rPr>
          <w:rFonts w:ascii="Arial" w:eastAsia="Times New Roman" w:hAnsi="Arial" w:cs="Arial"/>
          <w:sz w:val="22"/>
          <w:szCs w:val="22"/>
          <w:lang w:eastAsia="en-GB"/>
          <w14:ligatures w14:val="none"/>
        </w:rPr>
      </w:pPr>
      <w:r w:rsidRPr="00F70D60">
        <w:rPr>
          <w:rFonts w:ascii="Arial" w:eastAsia="Times New Roman" w:hAnsi="Arial" w:cs="Arial"/>
          <w:sz w:val="22"/>
          <w:szCs w:val="22"/>
          <w:lang w:eastAsia="en-GB"/>
          <w14:ligatures w14:val="none"/>
        </w:rPr>
        <w:t>In summary, strong corporate governance and a solid scope of agency theory are critical for promoting transparency, accountability, and long-term business success.</w:t>
      </w:r>
    </w:p>
    <w:p w14:paraId="6363C6E9" w14:textId="77777777" w:rsidR="00F70D60" w:rsidRPr="00F70D60" w:rsidRDefault="00F70D60" w:rsidP="00F70D60">
      <w:pPr>
        <w:spacing w:line="360" w:lineRule="auto"/>
        <w:ind w:firstLine="360"/>
        <w:rPr>
          <w:rFonts w:ascii="Arial" w:eastAsia="Times New Roman" w:hAnsi="Arial" w:cs="Arial"/>
          <w:sz w:val="22"/>
          <w:szCs w:val="22"/>
          <w:lang w:eastAsia="en-GB"/>
          <w14:ligatures w14:val="none"/>
        </w:rPr>
      </w:pPr>
      <w:r w:rsidRPr="00F70D60">
        <w:rPr>
          <w:rFonts w:ascii="Arial" w:eastAsia="Times New Roman" w:hAnsi="Arial" w:cs="Arial"/>
          <w:sz w:val="22"/>
          <w:szCs w:val="22"/>
          <w:lang w:eastAsia="en-GB"/>
          <w14:ligatures w14:val="none"/>
        </w:rPr>
        <w:t>Although a 30% ownership stake does not equate to absolute control, it can offer considerable influence, especially when combined with mechanisms like shareholder agreements and board representation. Executive compensation should be designed to align the interests of management with those of shareholders, promoting both fairness and transparency. When evaluating international listing options, companies must weigh the trade-offs: listing in the Netherlands offers strong legal protections and high governance standards, enhancing investor trust; in contrast, a Shanghai listing may provide more managerial control but comes with increased political and regulatory uncertainty</w:t>
      </w:r>
      <w:r w:rsidRPr="00F70D60">
        <w:rPr>
          <w:rFonts w:ascii="Arial" w:eastAsia="Times New Roman" w:hAnsi="Arial" w:cs="Arial"/>
          <w:noProof/>
          <w:sz w:val="22"/>
          <w:szCs w:val="22"/>
          <w:lang w:val="en-US" w:eastAsia="en-GB"/>
          <w14:ligatures w14:val="none"/>
        </w:rPr>
        <w:t xml:space="preserve"> (Delmas &amp; Blass, 2010)</w:t>
      </w:r>
      <w:r w:rsidRPr="00F70D60">
        <w:rPr>
          <w:rFonts w:ascii="Arial" w:eastAsia="Times New Roman" w:hAnsi="Arial" w:cs="Arial"/>
          <w:sz w:val="22"/>
          <w:szCs w:val="22"/>
          <w:lang w:eastAsia="en-GB"/>
          <w14:ligatures w14:val="none"/>
        </w:rPr>
        <w:t xml:space="preserve">. </w:t>
      </w:r>
    </w:p>
    <w:p w14:paraId="05D2B932" w14:textId="77777777" w:rsidR="00F70D60" w:rsidRPr="00F70D60" w:rsidRDefault="00F70D60" w:rsidP="00F70D60">
      <w:pPr>
        <w:spacing w:line="360" w:lineRule="auto"/>
        <w:ind w:firstLine="360"/>
        <w:rPr>
          <w:rFonts w:ascii="Arial" w:eastAsia="Times New Roman" w:hAnsi="Arial" w:cs="Arial"/>
          <w:sz w:val="22"/>
          <w:szCs w:val="22"/>
          <w:lang w:eastAsia="en-GB"/>
          <w14:ligatures w14:val="none"/>
        </w:rPr>
      </w:pPr>
      <w:r w:rsidRPr="00F70D60">
        <w:rPr>
          <w:rFonts w:ascii="Arial" w:eastAsia="Times New Roman" w:hAnsi="Arial" w:cs="Arial"/>
          <w:sz w:val="22"/>
          <w:szCs w:val="22"/>
          <w:lang w:eastAsia="en-GB"/>
          <w14:ligatures w14:val="none"/>
        </w:rPr>
        <w:t>Ultimately, governance decisions should be strategically aligned with the firm’s long-term goals and the expectations of its global investor base.</w:t>
      </w:r>
    </w:p>
    <w:p w14:paraId="00175530" w14:textId="77777777" w:rsidR="00F70D60" w:rsidRPr="00F70D60" w:rsidRDefault="00F70D60" w:rsidP="00F70D60">
      <w:pPr>
        <w:rPr>
          <w:rFonts w:ascii="Arial" w:eastAsia="Times New Roman" w:hAnsi="Arial" w:cs="Arial"/>
          <w:sz w:val="22"/>
          <w:szCs w:val="22"/>
          <w:lang w:eastAsia="en-GB"/>
          <w14:ligatures w14:val="none"/>
        </w:rPr>
      </w:pPr>
    </w:p>
    <w:p w14:paraId="1A2BB163" w14:textId="77777777" w:rsidR="00F70D60" w:rsidRPr="00F70D60" w:rsidRDefault="00F70D60" w:rsidP="00F70D60">
      <w:pPr>
        <w:rPr>
          <w:rFonts w:ascii="Arial" w:eastAsia="Times New Roman" w:hAnsi="Arial" w:cs="Arial"/>
          <w:sz w:val="22"/>
          <w:szCs w:val="22"/>
          <w:lang w:eastAsia="en-GB"/>
          <w14:ligatures w14:val="none"/>
        </w:rPr>
      </w:pPr>
    </w:p>
    <w:p w14:paraId="1940D71E" w14:textId="77777777" w:rsidR="00F70D60" w:rsidRPr="00F70D60" w:rsidRDefault="00F70D60" w:rsidP="00F70D60">
      <w:pPr>
        <w:rPr>
          <w:rFonts w:ascii="Arial" w:eastAsia="Times New Roman" w:hAnsi="Arial" w:cs="Arial"/>
          <w:sz w:val="22"/>
          <w:szCs w:val="22"/>
          <w:lang w:eastAsia="en-GB"/>
          <w14:ligatures w14:val="none"/>
        </w:rPr>
      </w:pPr>
    </w:p>
    <w:p w14:paraId="3B6837BE" w14:textId="67ED6314" w:rsidR="000B02D9" w:rsidRDefault="000B02D9"/>
    <w:p w14:paraId="18FEDF51" w14:textId="77777777" w:rsidR="000B02D9" w:rsidRDefault="000B02D9">
      <w:r>
        <w:br w:type="page"/>
      </w:r>
    </w:p>
    <w:bookmarkStart w:id="24" w:name="_Toc201479148" w:displacedByCustomXml="next"/>
    <w:sdt>
      <w:sdtPr>
        <w:rPr>
          <w:rFonts w:asciiTheme="minorHAnsi" w:eastAsiaTheme="minorHAnsi" w:hAnsiTheme="minorHAnsi" w:cstheme="minorBidi"/>
          <w:color w:val="auto"/>
          <w:sz w:val="24"/>
          <w:szCs w:val="24"/>
        </w:rPr>
        <w:id w:val="1944103256"/>
        <w:docPartObj>
          <w:docPartGallery w:val="Bibliographies"/>
          <w:docPartUnique/>
        </w:docPartObj>
      </w:sdtPr>
      <w:sdtEndPr/>
      <w:sdtContent>
        <w:p w14:paraId="628A4F3A" w14:textId="7B661D42" w:rsidR="000B02D9" w:rsidRPr="00F05995" w:rsidRDefault="000B02D9">
          <w:pPr>
            <w:pStyle w:val="Heading1"/>
            <w:rPr>
              <w:rStyle w:val="Heading2Char"/>
              <w:rFonts w:ascii="Arial" w:hAnsi="Arial" w:cs="Arial"/>
              <w:b/>
              <w:bCs/>
              <w:color w:val="000000" w:themeColor="text1"/>
              <w:sz w:val="28"/>
              <w:szCs w:val="28"/>
            </w:rPr>
          </w:pPr>
          <w:r w:rsidRPr="00F05995">
            <w:rPr>
              <w:rStyle w:val="Heading2Char"/>
              <w:rFonts w:ascii="Arial" w:hAnsi="Arial" w:cs="Arial"/>
              <w:b/>
              <w:bCs/>
              <w:color w:val="000000" w:themeColor="text1"/>
              <w:sz w:val="28"/>
              <w:szCs w:val="28"/>
            </w:rPr>
            <w:t>Bibliography</w:t>
          </w:r>
          <w:r w:rsidR="00F05995">
            <w:rPr>
              <w:rStyle w:val="Heading2Char"/>
              <w:rFonts w:ascii="Arial" w:hAnsi="Arial" w:cs="Arial"/>
              <w:b/>
              <w:bCs/>
              <w:color w:val="000000" w:themeColor="text1"/>
              <w:sz w:val="28"/>
              <w:szCs w:val="28"/>
            </w:rPr>
            <w:t>:</w:t>
          </w:r>
          <w:bookmarkEnd w:id="24"/>
        </w:p>
        <w:sdt>
          <w:sdtPr>
            <w:rPr>
              <w:rFonts w:eastAsiaTheme="minorHAnsi" w:cstheme="minorBidi"/>
              <w:lang w:eastAsia="en-US"/>
              <w14:ligatures w14:val="standardContextual"/>
            </w:rPr>
            <w:id w:val="111145805"/>
            <w:bibliography/>
          </w:sdtPr>
          <w:sdtEndPr/>
          <w:sdtContent>
            <w:p w14:paraId="578546F2" w14:textId="77777777" w:rsidR="00F05995" w:rsidRDefault="00F05995" w:rsidP="00F05995">
              <w:pPr>
                <w:pStyle w:val="Bibliography"/>
                <w:rPr>
                  <w:noProof/>
                  <w:lang w:val="en-US"/>
                </w:rPr>
              </w:pPr>
              <w:r w:rsidRPr="00A3111E">
                <w:rPr>
                  <w:noProof/>
                </w:rPr>
                <w:t xml:space="preserve">Leepsa, B. P. N. M., 2017. </w:t>
              </w:r>
              <w:r>
                <w:rPr>
                  <w:noProof/>
                  <w:lang w:val="en-US"/>
                </w:rPr>
                <w:t xml:space="preserve">Agency theory: Review of Theory and Evidence on Problems and Perspectives. </w:t>
              </w:r>
              <w:r>
                <w:rPr>
                  <w:i/>
                  <w:iCs/>
                  <w:noProof/>
                  <w:lang w:val="en-US"/>
                </w:rPr>
                <w:t xml:space="preserve">Indian Journal of Corporate Governance, </w:t>
              </w:r>
              <w:r>
                <w:rPr>
                  <w:noProof/>
                  <w:lang w:val="en-US"/>
                </w:rPr>
                <w:t>10(1).</w:t>
              </w:r>
            </w:p>
            <w:p w14:paraId="2EFF884F" w14:textId="77777777" w:rsidR="00F05995" w:rsidRDefault="00F05995" w:rsidP="00F05995">
              <w:pPr>
                <w:pStyle w:val="Bibliography"/>
                <w:rPr>
                  <w:noProof/>
                  <w:lang w:val="en-US"/>
                </w:rPr>
              </w:pPr>
              <w:r>
                <w:rPr>
                  <w:noProof/>
                  <w:lang w:val="en-US"/>
                </w:rPr>
                <w:t xml:space="preserve">Shoaf, L. M. S. V., 2005. Reconciling Rules and Principles: An Ethics-Based Approach to Corporate Governance. </w:t>
              </w:r>
              <w:r>
                <w:rPr>
                  <w:i/>
                  <w:iCs/>
                  <w:noProof/>
                  <w:lang w:val="en-US"/>
                </w:rPr>
                <w:t xml:space="preserve">Journal of Business Ethics, </w:t>
              </w:r>
              <w:r>
                <w:rPr>
                  <w:noProof/>
                  <w:lang w:val="en-US"/>
                </w:rPr>
                <w:t>Volume 58, p. 177–185.</w:t>
              </w:r>
            </w:p>
            <w:p w14:paraId="1C1D02BD" w14:textId="77777777" w:rsidR="00F05995" w:rsidRDefault="00F05995" w:rsidP="00F05995">
              <w:pPr>
                <w:pStyle w:val="Bibliography"/>
                <w:rPr>
                  <w:noProof/>
                  <w:kern w:val="0"/>
                  <w:lang w:val="en-US"/>
                </w:rPr>
              </w:pPr>
              <w:r>
                <w:rPr>
                  <w:noProof/>
                  <w:lang w:val="en-US"/>
                </w:rPr>
                <w:t xml:space="preserve">Conyon, A. B. &amp;. M. J., 1999. The Governance of Directors' Pay: Evidence from UK Companies. </w:t>
              </w:r>
              <w:r>
                <w:rPr>
                  <w:i/>
                  <w:iCs/>
                  <w:noProof/>
                  <w:lang w:val="en-US"/>
                </w:rPr>
                <w:t xml:space="preserve">Journal of Management and Governance, </w:t>
              </w:r>
              <w:r>
                <w:rPr>
                  <w:noProof/>
                  <w:lang w:val="en-US"/>
                </w:rPr>
                <w:t>Volume 3, p. 117–136.</w:t>
              </w:r>
            </w:p>
            <w:p w14:paraId="1FFEBD71" w14:textId="77777777" w:rsidR="00F05995" w:rsidRDefault="00F05995" w:rsidP="00F05995">
              <w:pPr>
                <w:pStyle w:val="Bibliography"/>
                <w:rPr>
                  <w:noProof/>
                  <w:lang w:val="en-US"/>
                </w:rPr>
              </w:pPr>
              <w:r>
                <w:rPr>
                  <w:noProof/>
                  <w:lang w:val="en-US"/>
                </w:rPr>
                <w:t xml:space="preserve">Delmas, M. &amp; Blass, V. D., 2010. Measuring corporate environmental performance: the trade-offs of sustainability ratings. </w:t>
              </w:r>
              <w:r>
                <w:rPr>
                  <w:i/>
                  <w:iCs/>
                  <w:noProof/>
                  <w:lang w:val="en-US"/>
                </w:rPr>
                <w:t xml:space="preserve">Business Strategy and the Environment, </w:t>
              </w:r>
              <w:r>
                <w:rPr>
                  <w:noProof/>
                  <w:lang w:val="en-US"/>
                </w:rPr>
                <w:t>19(4), pp. 245-260.</w:t>
              </w:r>
            </w:p>
            <w:p w14:paraId="0AB6550C" w14:textId="77777777" w:rsidR="00F05995" w:rsidRDefault="00F05995" w:rsidP="00F05995">
              <w:pPr>
                <w:pStyle w:val="Bibliography"/>
                <w:rPr>
                  <w:noProof/>
                  <w:lang w:val="en-US"/>
                </w:rPr>
              </w:pPr>
              <w:r>
                <w:rPr>
                  <w:noProof/>
                  <w:lang w:val="en-US"/>
                </w:rPr>
                <w:t xml:space="preserve">Hofstede, G., 1994. The business of international business is culture. </w:t>
              </w:r>
              <w:r>
                <w:rPr>
                  <w:i/>
                  <w:iCs/>
                  <w:noProof/>
                  <w:lang w:val="en-US"/>
                </w:rPr>
                <w:t xml:space="preserve">International Business Review, </w:t>
              </w:r>
              <w:r>
                <w:rPr>
                  <w:noProof/>
                  <w:lang w:val="en-US"/>
                </w:rPr>
                <w:t>3(1), pp. 1-14.</w:t>
              </w:r>
            </w:p>
            <w:p w14:paraId="0FE95B4B" w14:textId="77777777" w:rsidR="00F05995" w:rsidRDefault="00F05995" w:rsidP="00F05995">
              <w:pPr>
                <w:pStyle w:val="Bibliography"/>
                <w:rPr>
                  <w:noProof/>
                  <w:lang w:val="en-US"/>
                </w:rPr>
              </w:pPr>
              <w:r>
                <w:rPr>
                  <w:noProof/>
                  <w:lang w:val="en-US"/>
                </w:rPr>
                <w:t xml:space="preserve">Jong, B. d., 2016. The Distinction between Public and Private Companies and its Relevance for Company Law: Observations from the United Kingdom and the Netherlands. </w:t>
              </w:r>
              <w:r>
                <w:rPr>
                  <w:i/>
                  <w:iCs/>
                  <w:noProof/>
                  <w:lang w:val="en-US"/>
                </w:rPr>
                <w:t xml:space="preserve">European Business Law Review, </w:t>
              </w:r>
              <w:r>
                <w:rPr>
                  <w:noProof/>
                  <w:lang w:val="en-US"/>
                </w:rPr>
                <w:t>27(1), p. 1 – 23.</w:t>
              </w:r>
            </w:p>
            <w:p w14:paraId="06600CFD" w14:textId="77777777" w:rsidR="00F05995" w:rsidRDefault="00F05995" w:rsidP="00F05995">
              <w:pPr>
                <w:pStyle w:val="Bibliography"/>
                <w:rPr>
                  <w:noProof/>
                  <w:lang w:val="en-US"/>
                </w:rPr>
              </w:pPr>
              <w:r>
                <w:rPr>
                  <w:noProof/>
                  <w:lang w:val="en-US"/>
                </w:rPr>
                <w:t xml:space="preserve">Kees Van Veen, J. E., 2008. Governance Regimes and Nationality Diversity in Corporate Boards: A Comparative Study of Germany, the Netherlands and the United Kingdom. </w:t>
              </w:r>
              <w:r>
                <w:rPr>
                  <w:i/>
                  <w:iCs/>
                  <w:noProof/>
                  <w:lang w:val="en-US"/>
                </w:rPr>
                <w:t xml:space="preserve">Corporate Governance: An International Review, </w:t>
              </w:r>
              <w:r>
                <w:rPr>
                  <w:noProof/>
                  <w:lang w:val="en-US"/>
                </w:rPr>
                <w:t>16(5), pp. 386-399.</w:t>
              </w:r>
            </w:p>
            <w:p w14:paraId="2DDEF6FD" w14:textId="77777777" w:rsidR="00F05995" w:rsidRDefault="00F05995" w:rsidP="00F05995">
              <w:pPr>
                <w:pStyle w:val="Bibliography"/>
                <w:rPr>
                  <w:noProof/>
                  <w:lang w:val="en-US"/>
                </w:rPr>
              </w:pPr>
              <w:r>
                <w:rPr>
                  <w:noProof/>
                  <w:lang w:val="en-US"/>
                </w:rPr>
                <w:t xml:space="preserve">Ooi, J., 1999. The determinants of capital structure Evidence on UK property companies. </w:t>
              </w:r>
              <w:r>
                <w:rPr>
                  <w:i/>
                  <w:iCs/>
                  <w:noProof/>
                  <w:lang w:val="en-US"/>
                </w:rPr>
                <w:t xml:space="preserve">Journal of Property Investment &amp; Finance, </w:t>
              </w:r>
              <w:r>
                <w:rPr>
                  <w:noProof/>
                  <w:lang w:val="en-US"/>
                </w:rPr>
                <w:t>17(5), pp. 464-480.</w:t>
              </w:r>
            </w:p>
            <w:p w14:paraId="5DB620C6" w14:textId="77777777" w:rsidR="00F05995" w:rsidRDefault="00F05995" w:rsidP="00F05995">
              <w:pPr>
                <w:pStyle w:val="Bibliography"/>
                <w:rPr>
                  <w:noProof/>
                  <w:lang w:val="en-US"/>
                </w:rPr>
              </w:pPr>
              <w:r>
                <w:rPr>
                  <w:noProof/>
                  <w:lang w:val="en-US"/>
                </w:rPr>
                <w:t xml:space="preserve">Paul Sanderson, D. S. A. K., 2005. The UK Corporate Governance Code Principle of ‘Comply or Explain’: Understanding Code Compliance as ‘Subjection’. </w:t>
              </w:r>
              <w:r>
                <w:rPr>
                  <w:i/>
                  <w:iCs/>
                  <w:noProof/>
                  <w:lang w:val="en-US"/>
                </w:rPr>
                <w:t xml:space="preserve">The Accounting Foundation, University of Sydney, </w:t>
              </w:r>
              <w:r>
                <w:rPr>
                  <w:noProof/>
                  <w:lang w:val="en-US"/>
                </w:rPr>
                <w:t>56(4), pp. 602-626.</w:t>
              </w:r>
            </w:p>
            <w:p w14:paraId="2F14361B" w14:textId="77777777" w:rsidR="00F05995" w:rsidRDefault="00F05995" w:rsidP="00F05995">
              <w:pPr>
                <w:pStyle w:val="Bibliography"/>
                <w:rPr>
                  <w:noProof/>
                  <w:lang w:val="en-US"/>
                </w:rPr>
              </w:pPr>
              <w:r>
                <w:rPr>
                  <w:noProof/>
                  <w:lang w:val="en-US"/>
                </w:rPr>
                <w:t xml:space="preserve">Schlevogt, K.-A., 2001. Institutional and Organizational Factors Affecting Effectiveness: Geoeconomic Comparison Between Shanghai and Beijing. </w:t>
              </w:r>
              <w:r>
                <w:rPr>
                  <w:i/>
                  <w:iCs/>
                  <w:noProof/>
                  <w:lang w:val="en-US"/>
                </w:rPr>
                <w:t xml:space="preserve">Asia Pacific Journal of Management, </w:t>
              </w:r>
              <w:r>
                <w:rPr>
                  <w:noProof/>
                  <w:lang w:val="en-US"/>
                </w:rPr>
                <w:t>Volume 18, p. 519–551.</w:t>
              </w:r>
            </w:p>
            <w:p w14:paraId="6F0E519D" w14:textId="0BAC3CF0" w:rsidR="000B02D9" w:rsidRDefault="000B02D9">
              <w:r>
                <w:fldChar w:fldCharType="begin"/>
              </w:r>
              <w:r>
                <w:instrText xml:space="preserve"> BIBLIOGRAPHY </w:instrText>
              </w:r>
              <w:r>
                <w:fldChar w:fldCharType="separate"/>
              </w:r>
              <w:r w:rsidR="00A3111E">
                <w:rPr>
                  <w:b/>
                  <w:bCs/>
                  <w:noProof/>
                  <w:lang w:val="en-US"/>
                </w:rPr>
                <w:t>There are no sources in the current document.</w:t>
              </w:r>
              <w:r>
                <w:rPr>
                  <w:b/>
                  <w:bCs/>
                  <w:noProof/>
                </w:rPr>
                <w:fldChar w:fldCharType="end"/>
              </w:r>
            </w:p>
          </w:sdtContent>
        </w:sdt>
      </w:sdtContent>
    </w:sdt>
    <w:p w14:paraId="2A17A3A3" w14:textId="77777777" w:rsidR="000531BD" w:rsidRDefault="000531BD"/>
    <w:sectPr w:rsidR="000531BD">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80C0D2" w14:textId="77777777" w:rsidR="002833EB" w:rsidRDefault="002833EB" w:rsidP="002833EB">
      <w:pPr>
        <w:spacing w:after="0" w:line="240" w:lineRule="auto"/>
      </w:pPr>
      <w:r>
        <w:separator/>
      </w:r>
    </w:p>
  </w:endnote>
  <w:endnote w:type="continuationSeparator" w:id="0">
    <w:p w14:paraId="3D50EE5B" w14:textId="77777777" w:rsidR="002833EB" w:rsidRDefault="002833EB" w:rsidP="002833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5836805"/>
      <w:docPartObj>
        <w:docPartGallery w:val="Page Numbers (Bottom of Page)"/>
        <w:docPartUnique/>
      </w:docPartObj>
    </w:sdtPr>
    <w:sdtEndPr>
      <w:rPr>
        <w:noProof/>
      </w:rPr>
    </w:sdtEndPr>
    <w:sdtContent>
      <w:p w14:paraId="18B7F8C8" w14:textId="148F7C67" w:rsidR="002833EB" w:rsidRDefault="002833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B6CE86" w14:textId="77777777" w:rsidR="002833EB" w:rsidRDefault="002833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9ED7B8" w14:textId="77777777" w:rsidR="002833EB" w:rsidRDefault="002833EB" w:rsidP="002833EB">
      <w:pPr>
        <w:spacing w:after="0" w:line="240" w:lineRule="auto"/>
      </w:pPr>
      <w:r>
        <w:separator/>
      </w:r>
    </w:p>
  </w:footnote>
  <w:footnote w:type="continuationSeparator" w:id="0">
    <w:p w14:paraId="39F54F1C" w14:textId="77777777" w:rsidR="002833EB" w:rsidRDefault="002833EB" w:rsidP="002833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370B9"/>
    <w:multiLevelType w:val="multilevel"/>
    <w:tmpl w:val="FFFFFFFF"/>
    <w:lvl w:ilvl="0">
      <w:start w:val="1"/>
      <w:numFmt w:val="decimal"/>
      <w:lvlText w:val="%1."/>
      <w:lvlJc w:val="left"/>
      <w:pPr>
        <w:ind w:left="450" w:hanging="360"/>
      </w:pPr>
      <w:rPr>
        <w:rFonts w:cs="Times New Roman" w:hint="default"/>
      </w:rPr>
    </w:lvl>
    <w:lvl w:ilvl="1">
      <w:start w:val="1"/>
      <w:numFmt w:val="decimal"/>
      <w:isLgl/>
      <w:lvlText w:val="%1.%2."/>
      <w:lvlJc w:val="left"/>
      <w:pPr>
        <w:ind w:left="810" w:hanging="720"/>
      </w:pPr>
      <w:rPr>
        <w:rFonts w:cs="Times New Roman" w:hint="default"/>
      </w:rPr>
    </w:lvl>
    <w:lvl w:ilvl="2">
      <w:start w:val="1"/>
      <w:numFmt w:val="decimal"/>
      <w:isLgl/>
      <w:lvlText w:val="%1.%2.%3."/>
      <w:lvlJc w:val="left"/>
      <w:pPr>
        <w:ind w:left="810" w:hanging="720"/>
      </w:pPr>
      <w:rPr>
        <w:rFonts w:cs="Times New Roman" w:hint="default"/>
      </w:rPr>
    </w:lvl>
    <w:lvl w:ilvl="3">
      <w:start w:val="1"/>
      <w:numFmt w:val="decimal"/>
      <w:isLgl/>
      <w:lvlText w:val="%1.%2.%3.%4."/>
      <w:lvlJc w:val="left"/>
      <w:pPr>
        <w:ind w:left="1170" w:hanging="1080"/>
      </w:pPr>
      <w:rPr>
        <w:rFonts w:cs="Times New Roman" w:hint="default"/>
      </w:rPr>
    </w:lvl>
    <w:lvl w:ilvl="4">
      <w:start w:val="1"/>
      <w:numFmt w:val="decimal"/>
      <w:isLgl/>
      <w:lvlText w:val="%1.%2.%3.%4.%5."/>
      <w:lvlJc w:val="left"/>
      <w:pPr>
        <w:ind w:left="1170" w:hanging="1080"/>
      </w:pPr>
      <w:rPr>
        <w:rFonts w:cs="Times New Roman" w:hint="default"/>
      </w:rPr>
    </w:lvl>
    <w:lvl w:ilvl="5">
      <w:start w:val="1"/>
      <w:numFmt w:val="decimal"/>
      <w:isLgl/>
      <w:lvlText w:val="%1.%2.%3.%4.%5.%6."/>
      <w:lvlJc w:val="left"/>
      <w:pPr>
        <w:ind w:left="1530" w:hanging="1440"/>
      </w:pPr>
      <w:rPr>
        <w:rFonts w:cs="Times New Roman" w:hint="default"/>
      </w:rPr>
    </w:lvl>
    <w:lvl w:ilvl="6">
      <w:start w:val="1"/>
      <w:numFmt w:val="decimal"/>
      <w:isLgl/>
      <w:lvlText w:val="%1.%2.%3.%4.%5.%6.%7."/>
      <w:lvlJc w:val="left"/>
      <w:pPr>
        <w:ind w:left="1530" w:hanging="1440"/>
      </w:pPr>
      <w:rPr>
        <w:rFonts w:cs="Times New Roman" w:hint="default"/>
      </w:rPr>
    </w:lvl>
    <w:lvl w:ilvl="7">
      <w:start w:val="1"/>
      <w:numFmt w:val="decimal"/>
      <w:isLgl/>
      <w:lvlText w:val="%1.%2.%3.%4.%5.%6.%7.%8."/>
      <w:lvlJc w:val="left"/>
      <w:pPr>
        <w:ind w:left="1890" w:hanging="1800"/>
      </w:pPr>
      <w:rPr>
        <w:rFonts w:cs="Times New Roman" w:hint="default"/>
      </w:rPr>
    </w:lvl>
    <w:lvl w:ilvl="8">
      <w:start w:val="1"/>
      <w:numFmt w:val="decimal"/>
      <w:isLgl/>
      <w:lvlText w:val="%1.%2.%3.%4.%5.%6.%7.%8.%9."/>
      <w:lvlJc w:val="left"/>
      <w:pPr>
        <w:ind w:left="1890" w:hanging="1800"/>
      </w:pPr>
      <w:rPr>
        <w:rFonts w:cs="Times New Roman" w:hint="default"/>
      </w:rPr>
    </w:lvl>
  </w:abstractNum>
  <w:abstractNum w:abstractNumId="1" w15:restartNumberingAfterBreak="0">
    <w:nsid w:val="136118AF"/>
    <w:multiLevelType w:val="hybridMultilevel"/>
    <w:tmpl w:val="FFFFFFFF"/>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AD92EA8"/>
    <w:multiLevelType w:val="hybridMultilevel"/>
    <w:tmpl w:val="FFFFFFFF"/>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F56B9C"/>
    <w:multiLevelType w:val="hybridMultilevel"/>
    <w:tmpl w:val="FFFFFFFF"/>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7A279D0"/>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5A4FAA"/>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EA156A"/>
    <w:multiLevelType w:val="hybridMultilevel"/>
    <w:tmpl w:val="FFFFFFFF"/>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C401AE"/>
    <w:multiLevelType w:val="hybridMultilevel"/>
    <w:tmpl w:val="FFFFFFFF"/>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FAE16B3"/>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FE1520"/>
    <w:multiLevelType w:val="hybridMultilevel"/>
    <w:tmpl w:val="FFFFFFFF"/>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347802143">
    <w:abstractNumId w:val="0"/>
  </w:num>
  <w:num w:numId="2" w16cid:durableId="2047023622">
    <w:abstractNumId w:val="7"/>
  </w:num>
  <w:num w:numId="3" w16cid:durableId="442191605">
    <w:abstractNumId w:val="1"/>
  </w:num>
  <w:num w:numId="4" w16cid:durableId="1244992782">
    <w:abstractNumId w:val="8"/>
  </w:num>
  <w:num w:numId="5" w16cid:durableId="2056003278">
    <w:abstractNumId w:val="9"/>
  </w:num>
  <w:num w:numId="6" w16cid:durableId="2114402601">
    <w:abstractNumId w:val="4"/>
  </w:num>
  <w:num w:numId="7" w16cid:durableId="736821304">
    <w:abstractNumId w:val="5"/>
  </w:num>
  <w:num w:numId="8" w16cid:durableId="879823068">
    <w:abstractNumId w:val="3"/>
  </w:num>
  <w:num w:numId="9" w16cid:durableId="474831963">
    <w:abstractNumId w:val="2"/>
  </w:num>
  <w:num w:numId="10" w16cid:durableId="121223079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1BD"/>
    <w:rsid w:val="000531BD"/>
    <w:rsid w:val="000B02D9"/>
    <w:rsid w:val="002833EB"/>
    <w:rsid w:val="003712D8"/>
    <w:rsid w:val="003743AD"/>
    <w:rsid w:val="00424270"/>
    <w:rsid w:val="007C03F0"/>
    <w:rsid w:val="00850FF5"/>
    <w:rsid w:val="009A58F0"/>
    <w:rsid w:val="009B74EA"/>
    <w:rsid w:val="00A3111E"/>
    <w:rsid w:val="00E050BC"/>
    <w:rsid w:val="00F05995"/>
    <w:rsid w:val="00F4448E"/>
    <w:rsid w:val="00F70D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A2F0B"/>
  <w15:chartTrackingRefBased/>
  <w15:docId w15:val="{2D266BFA-8A5B-48B2-945F-242C576C8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31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31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31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31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31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31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31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31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31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1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31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31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31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31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31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31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31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31BD"/>
    <w:rPr>
      <w:rFonts w:eastAsiaTheme="majorEastAsia" w:cstheme="majorBidi"/>
      <w:color w:val="272727" w:themeColor="text1" w:themeTint="D8"/>
    </w:rPr>
  </w:style>
  <w:style w:type="paragraph" w:styleId="Title">
    <w:name w:val="Title"/>
    <w:basedOn w:val="Normal"/>
    <w:next w:val="Normal"/>
    <w:link w:val="TitleChar"/>
    <w:uiPriority w:val="10"/>
    <w:qFormat/>
    <w:rsid w:val="000531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31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31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31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31BD"/>
    <w:pPr>
      <w:spacing w:before="160"/>
      <w:jc w:val="center"/>
    </w:pPr>
    <w:rPr>
      <w:i/>
      <w:iCs/>
      <w:color w:val="404040" w:themeColor="text1" w:themeTint="BF"/>
    </w:rPr>
  </w:style>
  <w:style w:type="character" w:customStyle="1" w:styleId="QuoteChar">
    <w:name w:val="Quote Char"/>
    <w:basedOn w:val="DefaultParagraphFont"/>
    <w:link w:val="Quote"/>
    <w:uiPriority w:val="29"/>
    <w:rsid w:val="000531BD"/>
    <w:rPr>
      <w:i/>
      <w:iCs/>
      <w:color w:val="404040" w:themeColor="text1" w:themeTint="BF"/>
    </w:rPr>
  </w:style>
  <w:style w:type="paragraph" w:styleId="ListParagraph">
    <w:name w:val="List Paragraph"/>
    <w:basedOn w:val="Normal"/>
    <w:uiPriority w:val="34"/>
    <w:qFormat/>
    <w:rsid w:val="000531BD"/>
    <w:pPr>
      <w:ind w:left="720"/>
      <w:contextualSpacing/>
    </w:pPr>
  </w:style>
  <w:style w:type="character" w:styleId="IntenseEmphasis">
    <w:name w:val="Intense Emphasis"/>
    <w:basedOn w:val="DefaultParagraphFont"/>
    <w:uiPriority w:val="21"/>
    <w:qFormat/>
    <w:rsid w:val="000531BD"/>
    <w:rPr>
      <w:i/>
      <w:iCs/>
      <w:color w:val="0F4761" w:themeColor="accent1" w:themeShade="BF"/>
    </w:rPr>
  </w:style>
  <w:style w:type="paragraph" w:styleId="IntenseQuote">
    <w:name w:val="Intense Quote"/>
    <w:basedOn w:val="Normal"/>
    <w:next w:val="Normal"/>
    <w:link w:val="IntenseQuoteChar"/>
    <w:uiPriority w:val="30"/>
    <w:qFormat/>
    <w:rsid w:val="000531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31BD"/>
    <w:rPr>
      <w:i/>
      <w:iCs/>
      <w:color w:val="0F4761" w:themeColor="accent1" w:themeShade="BF"/>
    </w:rPr>
  </w:style>
  <w:style w:type="character" w:styleId="IntenseReference">
    <w:name w:val="Intense Reference"/>
    <w:basedOn w:val="DefaultParagraphFont"/>
    <w:uiPriority w:val="32"/>
    <w:qFormat/>
    <w:rsid w:val="000531BD"/>
    <w:rPr>
      <w:b/>
      <w:bCs/>
      <w:smallCaps/>
      <w:color w:val="0F4761" w:themeColor="accent1" w:themeShade="BF"/>
      <w:spacing w:val="5"/>
    </w:rPr>
  </w:style>
  <w:style w:type="paragraph" w:styleId="TOCHeading">
    <w:name w:val="TOC Heading"/>
    <w:basedOn w:val="Heading1"/>
    <w:next w:val="Normal"/>
    <w:uiPriority w:val="39"/>
    <w:unhideWhenUsed/>
    <w:qFormat/>
    <w:rsid w:val="009B74EA"/>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7C03F0"/>
    <w:pPr>
      <w:spacing w:after="100"/>
      <w:ind w:left="240"/>
    </w:pPr>
  </w:style>
  <w:style w:type="character" w:styleId="Hyperlink">
    <w:name w:val="Hyperlink"/>
    <w:basedOn w:val="DefaultParagraphFont"/>
    <w:uiPriority w:val="99"/>
    <w:unhideWhenUsed/>
    <w:rsid w:val="007C03F0"/>
    <w:rPr>
      <w:color w:val="467886" w:themeColor="hyperlink"/>
      <w:u w:val="single"/>
    </w:rPr>
  </w:style>
  <w:style w:type="paragraph" w:styleId="Header">
    <w:name w:val="header"/>
    <w:basedOn w:val="Normal"/>
    <w:link w:val="HeaderChar"/>
    <w:uiPriority w:val="99"/>
    <w:unhideWhenUsed/>
    <w:rsid w:val="002833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33EB"/>
  </w:style>
  <w:style w:type="paragraph" w:styleId="Footer">
    <w:name w:val="footer"/>
    <w:basedOn w:val="Normal"/>
    <w:link w:val="FooterChar"/>
    <w:uiPriority w:val="99"/>
    <w:unhideWhenUsed/>
    <w:rsid w:val="002833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33EB"/>
  </w:style>
  <w:style w:type="table" w:styleId="TableGrid">
    <w:name w:val="Table Grid"/>
    <w:basedOn w:val="TableNormal"/>
    <w:uiPriority w:val="39"/>
    <w:rsid w:val="00E050BC"/>
    <w:pPr>
      <w:spacing w:after="0" w:line="240" w:lineRule="auto"/>
    </w:pPr>
    <w:rPr>
      <w:rFonts w:eastAsiaTheme="minorEastAsia" w:cs="Times New Roman"/>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05995"/>
    <w:rPr>
      <w:rFonts w:eastAsiaTheme="minorEastAsia" w:cs="Times New Roman"/>
      <w:lang w:eastAsia="en-GB"/>
      <w14:ligatures w14:val="none"/>
    </w:rPr>
  </w:style>
  <w:style w:type="paragraph" w:styleId="TOC1">
    <w:name w:val="toc 1"/>
    <w:basedOn w:val="Normal"/>
    <w:next w:val="Normal"/>
    <w:autoRedefine/>
    <w:uiPriority w:val="39"/>
    <w:unhideWhenUsed/>
    <w:rsid w:val="00A3111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CBE8905-291B-45FB-B937-5DAB1594A1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2471</Words>
  <Characters>14088</Characters>
  <Application>Microsoft Office Word</Application>
  <DocSecurity>0</DocSecurity>
  <Lines>117</Lines>
  <Paragraphs>33</Paragraphs>
  <ScaleCrop>false</ScaleCrop>
  <Company/>
  <LinksUpToDate>false</LinksUpToDate>
  <CharactersWithSpaces>16526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Acris</dc:creator>
  <cp:keywords/>
  <dc:description/>
  <cp:lastModifiedBy>Radu Acris</cp:lastModifiedBy>
  <cp:revision>13</cp:revision>
  <dcterms:created xsi:type="dcterms:W3CDTF">2025-06-19T21:27:00Z</dcterms:created>
  <dcterms:modified xsi:type="dcterms:W3CDTF">2025-06-22T09:05:00Z</dcterms:modified>
</cp:coreProperties>
</file>