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059A6E" w14:textId="77777777" w:rsidR="009A58AA" w:rsidRDefault="009A58AA" w:rsidP="006A28CB">
      <w:pPr>
        <w:spacing w:line="480" w:lineRule="auto"/>
        <w:jc w:val="both"/>
        <w:rPr>
          <w:rFonts w:ascii="Arial" w:hAnsi="Arial" w:cs="Arial"/>
          <w:shd w:val="clear" w:color="auto" w:fill="FFFFFF"/>
        </w:rPr>
      </w:pPr>
    </w:p>
    <w:p w14:paraId="4E94523F" w14:textId="77777777" w:rsidR="009A58AA" w:rsidRDefault="009A58AA" w:rsidP="006A28CB">
      <w:pPr>
        <w:spacing w:line="480" w:lineRule="auto"/>
        <w:jc w:val="both"/>
        <w:rPr>
          <w:rFonts w:ascii="Arial" w:hAnsi="Arial" w:cs="Arial"/>
          <w:shd w:val="clear" w:color="auto" w:fill="FFFFFF"/>
        </w:rPr>
      </w:pPr>
    </w:p>
    <w:p w14:paraId="239D8556" w14:textId="77777777" w:rsidR="009A58AA" w:rsidRDefault="009A58AA" w:rsidP="006A28CB">
      <w:pPr>
        <w:spacing w:line="480" w:lineRule="auto"/>
        <w:jc w:val="both"/>
        <w:rPr>
          <w:rFonts w:ascii="Arial" w:hAnsi="Arial" w:cs="Arial"/>
          <w:shd w:val="clear" w:color="auto" w:fill="FFFFFF"/>
        </w:rPr>
      </w:pPr>
    </w:p>
    <w:p w14:paraId="410B7C2C" w14:textId="77777777" w:rsidR="009A58AA" w:rsidRDefault="009A58AA" w:rsidP="006A28CB">
      <w:pPr>
        <w:spacing w:line="480" w:lineRule="auto"/>
        <w:jc w:val="both"/>
        <w:rPr>
          <w:rFonts w:ascii="Arial" w:hAnsi="Arial" w:cs="Arial"/>
          <w:shd w:val="clear" w:color="auto" w:fill="FFFFFF"/>
        </w:rPr>
      </w:pPr>
    </w:p>
    <w:p w14:paraId="668CC290" w14:textId="77777777" w:rsidR="009A58AA" w:rsidRDefault="009A58AA" w:rsidP="006A28CB">
      <w:pPr>
        <w:spacing w:line="480" w:lineRule="auto"/>
        <w:jc w:val="both"/>
        <w:rPr>
          <w:rFonts w:ascii="Arial" w:hAnsi="Arial" w:cs="Arial"/>
          <w:shd w:val="clear" w:color="auto" w:fill="FFFFFF"/>
        </w:rPr>
      </w:pPr>
    </w:p>
    <w:p w14:paraId="41256C26" w14:textId="77777777" w:rsidR="009A58AA" w:rsidRDefault="009A58AA" w:rsidP="006A28CB">
      <w:pPr>
        <w:spacing w:line="480" w:lineRule="auto"/>
        <w:jc w:val="both"/>
        <w:rPr>
          <w:rFonts w:ascii="Arial" w:hAnsi="Arial" w:cs="Arial"/>
          <w:shd w:val="clear" w:color="auto" w:fill="FFFFFF"/>
        </w:rPr>
      </w:pPr>
    </w:p>
    <w:p w14:paraId="0E230549" w14:textId="77777777" w:rsidR="009A58AA" w:rsidRDefault="009A58AA" w:rsidP="006A28CB">
      <w:pPr>
        <w:spacing w:line="480" w:lineRule="auto"/>
        <w:jc w:val="both"/>
        <w:rPr>
          <w:rFonts w:ascii="Arial" w:hAnsi="Arial" w:cs="Arial"/>
          <w:shd w:val="clear" w:color="auto" w:fill="FFFFFF"/>
        </w:rPr>
      </w:pPr>
    </w:p>
    <w:p w14:paraId="279504FF" w14:textId="61649381" w:rsidR="009A58AA" w:rsidRDefault="009A58AA" w:rsidP="006A28CB">
      <w:pPr>
        <w:spacing w:line="480" w:lineRule="auto"/>
        <w:jc w:val="both"/>
        <w:rPr>
          <w:rFonts w:ascii="Arial" w:hAnsi="Arial" w:cs="Arial"/>
          <w:shd w:val="clear" w:color="auto" w:fill="FFFFFF"/>
        </w:rPr>
      </w:pPr>
    </w:p>
    <w:p w14:paraId="6A7B9819" w14:textId="2286E7ED" w:rsidR="00FD2AC6" w:rsidRDefault="00FD2AC6" w:rsidP="006A28CB">
      <w:pPr>
        <w:spacing w:line="480" w:lineRule="auto"/>
        <w:jc w:val="both"/>
        <w:rPr>
          <w:rFonts w:ascii="Arial" w:hAnsi="Arial" w:cs="Arial"/>
          <w:shd w:val="clear" w:color="auto" w:fill="FFFFFF"/>
        </w:rPr>
      </w:pPr>
    </w:p>
    <w:p w14:paraId="2C7C37B4" w14:textId="77777777" w:rsidR="00FD2AC6" w:rsidRDefault="00FD2AC6" w:rsidP="006A28CB">
      <w:pPr>
        <w:spacing w:line="480" w:lineRule="auto"/>
        <w:jc w:val="both"/>
        <w:rPr>
          <w:rFonts w:ascii="Arial" w:hAnsi="Arial" w:cs="Arial"/>
          <w:shd w:val="clear" w:color="auto" w:fill="FFFFFF"/>
        </w:rPr>
      </w:pPr>
    </w:p>
    <w:p w14:paraId="212EB9F7" w14:textId="730ABF2A" w:rsidR="009A58AA" w:rsidRDefault="00FD2AC6" w:rsidP="00FD2AC6">
      <w:pPr>
        <w:spacing w:line="480" w:lineRule="auto"/>
        <w:jc w:val="center"/>
        <w:rPr>
          <w:rFonts w:ascii="Arial" w:hAnsi="Arial" w:cs="Arial"/>
          <w:shd w:val="clear" w:color="auto" w:fill="FFFFFF"/>
        </w:rPr>
      </w:pPr>
      <w:r>
        <w:rPr>
          <w:rFonts w:ascii="Arial" w:hAnsi="Arial" w:cs="Arial"/>
          <w:shd w:val="clear" w:color="auto" w:fill="FFFFFF"/>
        </w:rPr>
        <w:t xml:space="preserve">The Ambiguity of Terrorism </w:t>
      </w:r>
    </w:p>
    <w:p w14:paraId="7E54ADA2" w14:textId="3B1B0482" w:rsidR="00FD2AC6" w:rsidRDefault="00FD2AC6" w:rsidP="00FD2AC6">
      <w:pPr>
        <w:spacing w:line="480" w:lineRule="auto"/>
        <w:jc w:val="center"/>
        <w:rPr>
          <w:rFonts w:ascii="Arial" w:hAnsi="Arial" w:cs="Arial"/>
          <w:shd w:val="clear" w:color="auto" w:fill="FFFFFF"/>
        </w:rPr>
      </w:pPr>
      <w:r>
        <w:rPr>
          <w:rFonts w:ascii="Arial" w:hAnsi="Arial" w:cs="Arial"/>
          <w:shd w:val="clear" w:color="auto" w:fill="FFFFFF"/>
        </w:rPr>
        <w:t>Student ID: 1905589</w:t>
      </w:r>
      <w:r w:rsidR="00D514A2">
        <w:rPr>
          <w:rFonts w:ascii="Arial" w:hAnsi="Arial" w:cs="Arial"/>
          <w:shd w:val="clear" w:color="auto" w:fill="FFFFFF"/>
        </w:rPr>
        <w:t xml:space="preserve"> | Word count: 2,2</w:t>
      </w:r>
      <w:r w:rsidR="00E560F9">
        <w:rPr>
          <w:rFonts w:ascii="Arial" w:hAnsi="Arial" w:cs="Arial"/>
          <w:shd w:val="clear" w:color="auto" w:fill="FFFFFF"/>
        </w:rPr>
        <w:t>94</w:t>
      </w:r>
    </w:p>
    <w:p w14:paraId="73839D0A" w14:textId="77777777" w:rsidR="009A58AA" w:rsidRDefault="009A58AA" w:rsidP="006A28CB">
      <w:pPr>
        <w:spacing w:line="480" w:lineRule="auto"/>
        <w:jc w:val="both"/>
        <w:rPr>
          <w:rFonts w:ascii="Arial" w:hAnsi="Arial" w:cs="Arial"/>
          <w:shd w:val="clear" w:color="auto" w:fill="FFFFFF"/>
        </w:rPr>
      </w:pPr>
    </w:p>
    <w:p w14:paraId="15A455D7" w14:textId="77777777" w:rsidR="009A58AA" w:rsidRDefault="009A58AA" w:rsidP="00B75184">
      <w:pPr>
        <w:spacing w:line="480" w:lineRule="auto"/>
        <w:jc w:val="center"/>
        <w:rPr>
          <w:rFonts w:ascii="Arial" w:hAnsi="Arial" w:cs="Arial"/>
          <w:shd w:val="clear" w:color="auto" w:fill="FFFFFF"/>
        </w:rPr>
      </w:pPr>
    </w:p>
    <w:p w14:paraId="5FC27173" w14:textId="77777777" w:rsidR="009A58AA" w:rsidRDefault="009A58AA" w:rsidP="006A28CB">
      <w:pPr>
        <w:spacing w:line="480" w:lineRule="auto"/>
        <w:jc w:val="both"/>
        <w:rPr>
          <w:rFonts w:ascii="Arial" w:hAnsi="Arial" w:cs="Arial"/>
          <w:shd w:val="clear" w:color="auto" w:fill="FFFFFF"/>
        </w:rPr>
      </w:pPr>
    </w:p>
    <w:p w14:paraId="7833B9F9" w14:textId="77777777" w:rsidR="009A58AA" w:rsidRDefault="009A58AA" w:rsidP="006A28CB">
      <w:pPr>
        <w:spacing w:line="480" w:lineRule="auto"/>
        <w:jc w:val="both"/>
        <w:rPr>
          <w:rFonts w:ascii="Arial" w:hAnsi="Arial" w:cs="Arial"/>
          <w:shd w:val="clear" w:color="auto" w:fill="FFFFFF"/>
        </w:rPr>
      </w:pPr>
    </w:p>
    <w:p w14:paraId="0A00276C" w14:textId="77777777" w:rsidR="009A58AA" w:rsidRDefault="009A58AA" w:rsidP="006A28CB">
      <w:pPr>
        <w:spacing w:line="480" w:lineRule="auto"/>
        <w:jc w:val="both"/>
        <w:rPr>
          <w:rFonts w:ascii="Arial" w:hAnsi="Arial" w:cs="Arial"/>
          <w:shd w:val="clear" w:color="auto" w:fill="FFFFFF"/>
        </w:rPr>
      </w:pPr>
    </w:p>
    <w:p w14:paraId="4C0AE896" w14:textId="77777777" w:rsidR="009A58AA" w:rsidRDefault="009A58AA" w:rsidP="006A28CB">
      <w:pPr>
        <w:spacing w:line="480" w:lineRule="auto"/>
        <w:jc w:val="both"/>
        <w:rPr>
          <w:rFonts w:ascii="Arial" w:hAnsi="Arial" w:cs="Arial"/>
          <w:shd w:val="clear" w:color="auto" w:fill="FFFFFF"/>
        </w:rPr>
      </w:pPr>
    </w:p>
    <w:p w14:paraId="0DD50AD9" w14:textId="77777777" w:rsidR="009A58AA" w:rsidRDefault="009A58AA" w:rsidP="006A28CB">
      <w:pPr>
        <w:spacing w:line="480" w:lineRule="auto"/>
        <w:jc w:val="both"/>
        <w:rPr>
          <w:rFonts w:ascii="Arial" w:hAnsi="Arial" w:cs="Arial"/>
          <w:shd w:val="clear" w:color="auto" w:fill="FFFFFF"/>
        </w:rPr>
      </w:pPr>
    </w:p>
    <w:p w14:paraId="4E7F37B6" w14:textId="77777777" w:rsidR="009A58AA" w:rsidRDefault="009A58AA" w:rsidP="006A28CB">
      <w:pPr>
        <w:spacing w:line="480" w:lineRule="auto"/>
        <w:jc w:val="both"/>
        <w:rPr>
          <w:rFonts w:ascii="Arial" w:hAnsi="Arial" w:cs="Arial"/>
          <w:shd w:val="clear" w:color="auto" w:fill="FFFFFF"/>
        </w:rPr>
      </w:pPr>
    </w:p>
    <w:p w14:paraId="05012D7D" w14:textId="77777777" w:rsidR="009A58AA" w:rsidRDefault="009A58AA" w:rsidP="006A28CB">
      <w:pPr>
        <w:spacing w:line="480" w:lineRule="auto"/>
        <w:jc w:val="both"/>
        <w:rPr>
          <w:rFonts w:ascii="Arial" w:hAnsi="Arial" w:cs="Arial"/>
          <w:shd w:val="clear" w:color="auto" w:fill="FFFFFF"/>
        </w:rPr>
      </w:pPr>
    </w:p>
    <w:p w14:paraId="7F412A90" w14:textId="77777777" w:rsidR="009A58AA" w:rsidRDefault="009A58AA" w:rsidP="006A28CB">
      <w:pPr>
        <w:spacing w:line="480" w:lineRule="auto"/>
        <w:jc w:val="both"/>
        <w:rPr>
          <w:rFonts w:ascii="Arial" w:hAnsi="Arial" w:cs="Arial"/>
          <w:shd w:val="clear" w:color="auto" w:fill="FFFFFF"/>
        </w:rPr>
      </w:pPr>
    </w:p>
    <w:p w14:paraId="71AEC3E2" w14:textId="77777777" w:rsidR="009A58AA" w:rsidRDefault="009A58AA" w:rsidP="006A28CB">
      <w:pPr>
        <w:spacing w:line="480" w:lineRule="auto"/>
        <w:jc w:val="both"/>
        <w:rPr>
          <w:rFonts w:ascii="Arial" w:hAnsi="Arial" w:cs="Arial"/>
          <w:shd w:val="clear" w:color="auto" w:fill="FFFFFF"/>
        </w:rPr>
      </w:pPr>
    </w:p>
    <w:p w14:paraId="360D70E8" w14:textId="77777777" w:rsidR="009A58AA" w:rsidRDefault="009A58AA" w:rsidP="006A28CB">
      <w:pPr>
        <w:spacing w:line="480" w:lineRule="auto"/>
        <w:jc w:val="both"/>
        <w:rPr>
          <w:rFonts w:ascii="Arial" w:hAnsi="Arial" w:cs="Arial"/>
          <w:shd w:val="clear" w:color="auto" w:fill="FFFFFF"/>
        </w:rPr>
      </w:pPr>
    </w:p>
    <w:p w14:paraId="4F65C25F" w14:textId="77777777" w:rsidR="009A58AA" w:rsidRDefault="009A58AA" w:rsidP="006A28CB">
      <w:pPr>
        <w:spacing w:line="480" w:lineRule="auto"/>
        <w:jc w:val="both"/>
        <w:rPr>
          <w:rFonts w:ascii="Arial" w:hAnsi="Arial" w:cs="Arial"/>
          <w:shd w:val="clear" w:color="auto" w:fill="FFFFFF"/>
        </w:rPr>
      </w:pPr>
    </w:p>
    <w:p w14:paraId="31B017B3" w14:textId="77777777" w:rsidR="009A58AA" w:rsidRDefault="009A58AA" w:rsidP="006A28CB">
      <w:pPr>
        <w:spacing w:line="480" w:lineRule="auto"/>
        <w:jc w:val="both"/>
        <w:rPr>
          <w:rFonts w:ascii="Arial" w:hAnsi="Arial" w:cs="Arial"/>
          <w:shd w:val="clear" w:color="auto" w:fill="FFFFFF"/>
        </w:rPr>
      </w:pPr>
    </w:p>
    <w:p w14:paraId="0161560F" w14:textId="633869BF" w:rsidR="00654B14" w:rsidRDefault="00654B14" w:rsidP="006A28CB">
      <w:pPr>
        <w:pStyle w:val="NormalWeb"/>
        <w:spacing w:line="480" w:lineRule="auto"/>
        <w:jc w:val="both"/>
        <w:rPr>
          <w:rFonts w:ascii="Arial" w:hAnsi="Arial" w:cs="Arial"/>
          <w:shd w:val="clear" w:color="auto" w:fill="FFFFFF"/>
        </w:rPr>
      </w:pPr>
      <w:r w:rsidRPr="00654B14">
        <w:rPr>
          <w:rFonts w:ascii="Arial" w:hAnsi="Arial" w:cs="Arial"/>
          <w:shd w:val="clear" w:color="auto" w:fill="FFFFFF"/>
        </w:rPr>
        <w:t>As a means of combating the threat of terrorism and functioning as a reference in the pursuit of alleged terrorists, a clear definition must be developed at the earliest stage possible.  Clarke (2009) provides that the challenge in formulating a unanimously agreed upon comprehensive definition of terrorism results from differentiation. Although, the complexity of compartmentalising methodology, targets and ideologies that terrorist groups embrace makes the task of defining terrorism almost impossible to group together under one unanimously agreed upon definition (Clarke, 2009).  Most scholars conclude that it is never possible to agree on an acceptable and internationally agreed concept of terrorism, with many saying that those who may be a terrorist to some, may be a freedom fighter to others (Ganor, 2010). Ganor's (2010) proposed school of thinking suggests the issue of who is a terrorist rests solely on the definer's biased view. Unquestionably, it is simply too large a feat for the point of this essay to aim to address all things found within the plethora of terrorism in order to reach a definition – which, as mentioned, may prove impossible due to the subjective nature of the matter. This essay, however, analyse</w:t>
      </w:r>
      <w:r w:rsidR="00A059D8">
        <w:rPr>
          <w:rFonts w:ascii="Arial" w:hAnsi="Arial" w:cs="Arial"/>
          <w:shd w:val="clear" w:color="auto" w:fill="FFFFFF"/>
        </w:rPr>
        <w:t>s</w:t>
      </w:r>
      <w:r w:rsidRPr="00654B14">
        <w:rPr>
          <w:rFonts w:ascii="Arial" w:hAnsi="Arial" w:cs="Arial"/>
          <w:shd w:val="clear" w:color="auto" w:fill="FFFFFF"/>
        </w:rPr>
        <w:t xml:space="preserve"> the reasons why the Provisional Irish Republic Army (IRA) are to be considered as a terrorist group, by exploring the methodology, ideology and structure of the organisation, as well as comparing their activities to the Ulster Defence Association (UDA) who as an organisation, arguably were treated contrastingly to the IRA due to attachments to the British monarchy.</w:t>
      </w:r>
    </w:p>
    <w:p w14:paraId="5B93590B" w14:textId="6EBCB294" w:rsidR="00150840" w:rsidRDefault="00150840" w:rsidP="00156B62">
      <w:pPr>
        <w:pStyle w:val="NormalWeb"/>
        <w:spacing w:line="480" w:lineRule="auto"/>
        <w:jc w:val="both"/>
        <w:rPr>
          <w:rFonts w:ascii="Arial" w:hAnsi="Arial" w:cs="Arial"/>
          <w:color w:val="212529"/>
        </w:rPr>
      </w:pPr>
      <w:r w:rsidRPr="00150840">
        <w:rPr>
          <w:rFonts w:ascii="Arial" w:hAnsi="Arial" w:cs="Arial"/>
          <w:color w:val="212529"/>
        </w:rPr>
        <w:t xml:space="preserve">It should also be acknowledged that terrorist definitions of terrorism are generally contrasting </w:t>
      </w:r>
      <w:r>
        <w:rPr>
          <w:rFonts w:ascii="Arial" w:hAnsi="Arial" w:cs="Arial"/>
          <w:color w:val="212529"/>
        </w:rPr>
        <w:t xml:space="preserve">to </w:t>
      </w:r>
      <w:r w:rsidRPr="00150840">
        <w:rPr>
          <w:rFonts w:ascii="Arial" w:hAnsi="Arial" w:cs="Arial"/>
          <w:color w:val="212529"/>
        </w:rPr>
        <w:t xml:space="preserve">those upheld </w:t>
      </w:r>
      <w:r>
        <w:rPr>
          <w:rFonts w:ascii="Arial" w:hAnsi="Arial" w:cs="Arial"/>
          <w:color w:val="212529"/>
        </w:rPr>
        <w:t>by</w:t>
      </w:r>
      <w:r w:rsidRPr="00150840">
        <w:rPr>
          <w:rFonts w:ascii="Arial" w:hAnsi="Arial" w:cs="Arial"/>
          <w:color w:val="212529"/>
        </w:rPr>
        <w:t xml:space="preserve"> the remainder of society</w:t>
      </w:r>
      <w:r>
        <w:rPr>
          <w:rFonts w:ascii="Arial" w:hAnsi="Arial" w:cs="Arial"/>
          <w:color w:val="212529"/>
        </w:rPr>
        <w:t>,</w:t>
      </w:r>
      <w:r w:rsidRPr="00150840">
        <w:rPr>
          <w:rFonts w:ascii="Arial" w:hAnsi="Arial" w:cs="Arial"/>
          <w:color w:val="212529"/>
        </w:rPr>
        <w:t xml:space="preserve"> as they tend to favour terms such as freedom-fighter or revolutionar</w:t>
      </w:r>
      <w:r>
        <w:rPr>
          <w:rFonts w:ascii="Arial" w:hAnsi="Arial" w:cs="Arial"/>
          <w:color w:val="212529"/>
        </w:rPr>
        <w:t>ies</w:t>
      </w:r>
      <w:r w:rsidRPr="00150840">
        <w:rPr>
          <w:rFonts w:ascii="Arial" w:hAnsi="Arial" w:cs="Arial"/>
          <w:color w:val="212529"/>
        </w:rPr>
        <w:t xml:space="preserve"> – even if they do not satisfy the loose definitions of those terms (Bruce, 2013). The consequences of the lack of a general </w:t>
      </w:r>
      <w:r w:rsidRPr="00150840">
        <w:rPr>
          <w:rFonts w:ascii="Arial" w:hAnsi="Arial" w:cs="Arial"/>
          <w:color w:val="212529"/>
        </w:rPr>
        <w:lastRenderedPageBreak/>
        <w:t xml:space="preserve">description of terrorism </w:t>
      </w:r>
      <w:r w:rsidR="00615411">
        <w:rPr>
          <w:rFonts w:ascii="Arial" w:hAnsi="Arial" w:cs="Arial"/>
          <w:color w:val="212529"/>
        </w:rPr>
        <w:t>have</w:t>
      </w:r>
      <w:r>
        <w:rPr>
          <w:rFonts w:ascii="Arial" w:hAnsi="Arial" w:cs="Arial"/>
          <w:color w:val="212529"/>
        </w:rPr>
        <w:t xml:space="preserve"> the potential to</w:t>
      </w:r>
      <w:r w:rsidRPr="00150840">
        <w:rPr>
          <w:rFonts w:ascii="Arial" w:hAnsi="Arial" w:cs="Arial"/>
          <w:color w:val="212529"/>
        </w:rPr>
        <w:t xml:space="preserve"> encourage the curtail</w:t>
      </w:r>
      <w:r w:rsidR="00615411">
        <w:rPr>
          <w:rFonts w:ascii="Arial" w:hAnsi="Arial" w:cs="Arial"/>
          <w:color w:val="212529"/>
        </w:rPr>
        <w:t xml:space="preserve"> of</w:t>
      </w:r>
      <w:r w:rsidRPr="00150840">
        <w:rPr>
          <w:rFonts w:ascii="Arial" w:hAnsi="Arial" w:cs="Arial"/>
          <w:color w:val="212529"/>
        </w:rPr>
        <w:t xml:space="preserve"> non-terrorist activities. According to Greene (2017), who acknowledges the open definition of the term 'terrorism', as stipulated by the Terrorism Act (2000), there is provision for a necessity for several definitions of terrorism that can be enforced on the grounds of particular situations intended to preserve the value of legality within British public law and the enforcement of counter-terrorism legislation to be developed. Hillyard (2010) provides that the term's ambiguity allows for highly selective usage, notably displayed during the conflict in Northern Ireland between the Provisional IRA, Northern Ireland and the British </w:t>
      </w:r>
      <w:r w:rsidR="00615411">
        <w:rPr>
          <w:rFonts w:ascii="Arial" w:hAnsi="Arial" w:cs="Arial"/>
          <w:color w:val="212529"/>
        </w:rPr>
        <w:t>g</w:t>
      </w:r>
      <w:r w:rsidRPr="00150840">
        <w:rPr>
          <w:rFonts w:ascii="Arial" w:hAnsi="Arial" w:cs="Arial"/>
          <w:color w:val="212529"/>
        </w:rPr>
        <w:t xml:space="preserve">overnment. The British </w:t>
      </w:r>
      <w:r w:rsidR="00615411">
        <w:rPr>
          <w:rFonts w:ascii="Arial" w:hAnsi="Arial" w:cs="Arial"/>
          <w:color w:val="212529"/>
        </w:rPr>
        <w:t>g</w:t>
      </w:r>
      <w:r w:rsidRPr="00150840">
        <w:rPr>
          <w:rFonts w:ascii="Arial" w:hAnsi="Arial" w:cs="Arial"/>
          <w:color w:val="212529"/>
        </w:rPr>
        <w:t>overnment has long categorised the IRA's violence as a brand of terrorism (Home Office, 2020). However, the same forms of abuse by loyalists were seldom placed within the same category</w:t>
      </w:r>
      <w:r w:rsidR="00615411">
        <w:rPr>
          <w:rFonts w:ascii="Arial" w:hAnsi="Arial" w:cs="Arial"/>
          <w:color w:val="212529"/>
        </w:rPr>
        <w:t>. U</w:t>
      </w:r>
      <w:r w:rsidRPr="00150840">
        <w:rPr>
          <w:rFonts w:ascii="Arial" w:hAnsi="Arial" w:cs="Arial"/>
          <w:color w:val="212529"/>
        </w:rPr>
        <w:t xml:space="preserve">nder the Act on the Prevention of Terrorism (1976), the Secretary of State was empowered to </w:t>
      </w:r>
      <w:r w:rsidR="00615411">
        <w:rPr>
          <w:rFonts w:ascii="Arial" w:hAnsi="Arial" w:cs="Arial"/>
          <w:color w:val="212529"/>
        </w:rPr>
        <w:t>prosrcibe</w:t>
      </w:r>
      <w:r w:rsidRPr="00150840">
        <w:rPr>
          <w:rFonts w:ascii="Arial" w:hAnsi="Arial" w:cs="Arial"/>
          <w:color w:val="212529"/>
        </w:rPr>
        <w:t xml:space="preserve"> selected organisations (Fenton, 2017). The IRA was </w:t>
      </w:r>
      <w:r w:rsidR="00615411">
        <w:rPr>
          <w:rFonts w:ascii="Arial" w:hAnsi="Arial" w:cs="Arial"/>
          <w:color w:val="212529"/>
        </w:rPr>
        <w:t>proscribed</w:t>
      </w:r>
      <w:r w:rsidRPr="00150840">
        <w:rPr>
          <w:rFonts w:ascii="Arial" w:hAnsi="Arial" w:cs="Arial"/>
          <w:color w:val="212529"/>
        </w:rPr>
        <w:t xml:space="preserve">, but the largest loyalist militant group, the Ulster Defence Association, who supported the preservation of Northern Ireland within the United Kingdom and, was responsible for the assassination of hundreds of Catholics, was not banned until 24 years after the 'war' had begun (Hillyard, 2010). Thus, displaying the problematic results of ambiguity and political influence around the definition of such a delicate matter.  Fenton (2017) further adds that the UDA was accountable, whether indirectly or directly, for numerous acts of violence that led to hundreds of people's deaths – yet, unlike the IRA, the UDA were never considered a terrorist organisation but rather branded as a political movement. Bruce (1992) argues that </w:t>
      </w:r>
      <w:r w:rsidR="00341E9B">
        <w:rPr>
          <w:rFonts w:ascii="Arial" w:hAnsi="Arial" w:cs="Arial"/>
          <w:color w:val="212529"/>
        </w:rPr>
        <w:t>the choice to label the UDA as a political movement</w:t>
      </w:r>
      <w:r w:rsidRPr="00150840">
        <w:rPr>
          <w:rFonts w:ascii="Arial" w:hAnsi="Arial" w:cs="Arial"/>
          <w:color w:val="212529"/>
        </w:rPr>
        <w:t xml:space="preserve"> </w:t>
      </w:r>
      <w:r w:rsidR="00341E9B">
        <w:rPr>
          <w:rFonts w:ascii="Arial" w:hAnsi="Arial" w:cs="Arial"/>
          <w:color w:val="212529"/>
        </w:rPr>
        <w:t>rather than immediately being</w:t>
      </w:r>
      <w:r w:rsidRPr="00150840">
        <w:rPr>
          <w:rFonts w:ascii="Arial" w:hAnsi="Arial" w:cs="Arial"/>
          <w:color w:val="212529"/>
        </w:rPr>
        <w:t xml:space="preserve"> recognised as a terrorist</w:t>
      </w:r>
      <w:r w:rsidR="00341E9B">
        <w:rPr>
          <w:rFonts w:ascii="Arial" w:hAnsi="Arial" w:cs="Arial"/>
          <w:color w:val="212529"/>
        </w:rPr>
        <w:t xml:space="preserve"> was</w:t>
      </w:r>
      <w:r w:rsidRPr="00150840">
        <w:rPr>
          <w:rFonts w:ascii="Arial" w:hAnsi="Arial" w:cs="Arial"/>
          <w:color w:val="212529"/>
        </w:rPr>
        <w:t xml:space="preserve"> due to their pro-state alliance with the British </w:t>
      </w:r>
      <w:r w:rsidR="00341E9B">
        <w:rPr>
          <w:rFonts w:ascii="Arial" w:hAnsi="Arial" w:cs="Arial"/>
          <w:color w:val="212529"/>
        </w:rPr>
        <w:t>g</w:t>
      </w:r>
      <w:r w:rsidRPr="00150840">
        <w:rPr>
          <w:rFonts w:ascii="Arial" w:hAnsi="Arial" w:cs="Arial"/>
          <w:color w:val="212529"/>
        </w:rPr>
        <w:t>overnment. Additionally, other contentious matters are raised following the Good Friday Agreement</w:t>
      </w:r>
      <w:r w:rsidR="00341E9B">
        <w:rPr>
          <w:rFonts w:ascii="Arial" w:hAnsi="Arial" w:cs="Arial"/>
          <w:color w:val="212529"/>
        </w:rPr>
        <w:t>, which was</w:t>
      </w:r>
      <w:r w:rsidRPr="00150840">
        <w:rPr>
          <w:rFonts w:ascii="Arial" w:hAnsi="Arial" w:cs="Arial"/>
          <w:color w:val="212529"/>
        </w:rPr>
        <w:t xml:space="preserve"> designed to establish peace and </w:t>
      </w:r>
      <w:r w:rsidRPr="00150840">
        <w:rPr>
          <w:rFonts w:ascii="Arial" w:hAnsi="Arial" w:cs="Arial"/>
          <w:color w:val="212529"/>
        </w:rPr>
        <w:lastRenderedPageBreak/>
        <w:t>democracy</w:t>
      </w:r>
      <w:r w:rsidR="00341E9B">
        <w:rPr>
          <w:rFonts w:ascii="Arial" w:hAnsi="Arial" w:cs="Arial"/>
          <w:color w:val="212529"/>
        </w:rPr>
        <w:t xml:space="preserve">, as it permits the </w:t>
      </w:r>
      <w:r w:rsidR="00341E9B" w:rsidRPr="00150840">
        <w:rPr>
          <w:rFonts w:ascii="Arial" w:hAnsi="Arial" w:cs="Arial"/>
          <w:color w:val="212529"/>
        </w:rPr>
        <w:t>release</w:t>
      </w:r>
      <w:r w:rsidRPr="00150840">
        <w:rPr>
          <w:rFonts w:ascii="Arial" w:hAnsi="Arial" w:cs="Arial"/>
          <w:color w:val="212529"/>
        </w:rPr>
        <w:t xml:space="preserve"> </w:t>
      </w:r>
      <w:r w:rsidR="00341E9B">
        <w:rPr>
          <w:rFonts w:ascii="Arial" w:hAnsi="Arial" w:cs="Arial"/>
          <w:color w:val="212529"/>
        </w:rPr>
        <w:t xml:space="preserve">of </w:t>
      </w:r>
      <w:r w:rsidRPr="00150840">
        <w:rPr>
          <w:rFonts w:ascii="Arial" w:hAnsi="Arial" w:cs="Arial"/>
          <w:color w:val="212529"/>
        </w:rPr>
        <w:t>convicted members of paramilitary organisations and provide</w:t>
      </w:r>
      <w:r w:rsidR="00341E9B">
        <w:rPr>
          <w:rFonts w:ascii="Arial" w:hAnsi="Arial" w:cs="Arial"/>
          <w:color w:val="212529"/>
        </w:rPr>
        <w:t xml:space="preserve">s </w:t>
      </w:r>
      <w:r w:rsidRPr="00150840">
        <w:rPr>
          <w:rFonts w:ascii="Arial" w:hAnsi="Arial" w:cs="Arial"/>
          <w:color w:val="212529"/>
        </w:rPr>
        <w:t xml:space="preserve">them with the opportunities to serve as politicians (Mulvihill, 2001). </w:t>
      </w:r>
    </w:p>
    <w:p w14:paraId="14329770" w14:textId="716F3211" w:rsidR="00341E9B" w:rsidRDefault="00341E9B" w:rsidP="00156B62">
      <w:pPr>
        <w:pStyle w:val="NormalWeb"/>
        <w:spacing w:line="480" w:lineRule="auto"/>
        <w:jc w:val="both"/>
        <w:rPr>
          <w:rFonts w:ascii="Arial" w:hAnsi="Arial" w:cs="Arial"/>
        </w:rPr>
      </w:pPr>
      <w:r w:rsidRPr="00341E9B">
        <w:rPr>
          <w:rFonts w:ascii="Arial" w:hAnsi="Arial" w:cs="Arial"/>
        </w:rPr>
        <w:t xml:space="preserve">It is claimed that the terrorist cell is a form of fragmented organisation, or gang, which uses violent actions to compel the change and influence of political organisations as well as intimidating the public (Teichman, 1989). According to Arthur (2019), by utilising militant approaches, the IRA sought to remove British rule in Northern Ireland and reunify Ireland as one independent country and, unify the mostly Roman Catholic Irish republic with mostly the Protestant Northern Ireland. Therefore, by understanding the IRA’s principal ideology and paramilitary use, one can understand why the organisation was labelled as one of terrorism. Mumford (2015) explores how contemporary political violence can be developed among terrorist groups by confirming that the IRA, as well as being passive learners, </w:t>
      </w:r>
      <w:r>
        <w:rPr>
          <w:rFonts w:ascii="Arial" w:hAnsi="Arial" w:cs="Arial"/>
        </w:rPr>
        <w:t>playing</w:t>
      </w:r>
      <w:r w:rsidRPr="00341E9B">
        <w:rPr>
          <w:rFonts w:ascii="Arial" w:hAnsi="Arial" w:cs="Arial"/>
        </w:rPr>
        <w:t xml:space="preserve"> a significant role in influencing other terrorist groups worldwide by offering training to organisations such as Euskadi Ta Askatasuna in Spain and uMkhonto we Sizewe in South Africa – which was founded by Nelson Mandela designed to fight against the apartheid government. Additionally, the IRA and its continuity members developed their strategies from observing Taliban explosively formed projectiles. Thus, displaying the interconnection within the terrorism network between very different groups with equally different motives and the power that the IRA held as a terrorist organisation at the time; subsequently, reaffirming that they were indeed a terrorist organisation (Mumford, 2015). The worst IRA attack consisted of the Omagh bomb, which killed 29 people and injured 220 on the 15th of August 1998 (BBC, 2018). In total, the IRA killed 3,500 people and wounded over 12,000 people, including civilians; military; politicians, throughout The Troubles – which spanned over 25 years – due to the paramilitary </w:t>
      </w:r>
      <w:r w:rsidRPr="00341E9B">
        <w:rPr>
          <w:rFonts w:ascii="Arial" w:hAnsi="Arial" w:cs="Arial"/>
        </w:rPr>
        <w:lastRenderedPageBreak/>
        <w:t>approaches taken and the anarchy that accompanied it (Hanley, 2013). Former leader of Labour political party leader, Jeremy Corbyn, has condemned the IRA for their acts of murder and reinforced that they were indeed terrorists who utilised terrorism methodologies (Staunton, 2017).</w:t>
      </w:r>
    </w:p>
    <w:p w14:paraId="52938068" w14:textId="63BAE6BC" w:rsidR="00156B62" w:rsidRPr="009A58AA" w:rsidRDefault="00156B62" w:rsidP="00156B62">
      <w:pPr>
        <w:pStyle w:val="NormalWeb"/>
        <w:spacing w:line="480" w:lineRule="auto"/>
        <w:jc w:val="both"/>
        <w:rPr>
          <w:rFonts w:ascii="Arial" w:hAnsi="Arial" w:cs="Arial"/>
        </w:rPr>
      </w:pPr>
      <w:r w:rsidRPr="009A58AA">
        <w:rPr>
          <w:rFonts w:ascii="Arial" w:hAnsi="Arial" w:cs="Arial"/>
        </w:rPr>
        <w:t>Additionally, Finn (2019) provides that the IRA were an army of terrorists who did not shy away from utilising every weapon available to achieve their goals of a united Ireland – including but not limited to, petrol bombs, guns, tools, marches and anything and everything that could be used to cause damage. Thus far, the information provided displays with the prominent position that the IRA held as a terrorist organisation rather than a group fighting for freedom. However, despite the linkage to the terrorism network and the categorisation implemented by opponents and victims, it is only natural to question whether or not they were freedom fighters seeking to avert political and religious oppression from the British government</w:t>
      </w:r>
      <w:r w:rsidR="009A58AA">
        <w:rPr>
          <w:rFonts w:ascii="Arial" w:hAnsi="Arial" w:cs="Arial"/>
        </w:rPr>
        <w:t xml:space="preserve"> (Finn, 2019)</w:t>
      </w:r>
      <w:r w:rsidRPr="009A58AA">
        <w:rPr>
          <w:rFonts w:ascii="Arial" w:hAnsi="Arial" w:cs="Arial"/>
        </w:rPr>
        <w:t xml:space="preserve">. </w:t>
      </w:r>
    </w:p>
    <w:p w14:paraId="3BC98276" w14:textId="1317E07B" w:rsidR="00810846" w:rsidRPr="009A58AA" w:rsidRDefault="00810846" w:rsidP="006A28CB">
      <w:pPr>
        <w:pStyle w:val="NormalWeb"/>
        <w:spacing w:line="480" w:lineRule="auto"/>
        <w:jc w:val="both"/>
        <w:rPr>
          <w:rFonts w:ascii="Arial" w:hAnsi="Arial" w:cs="Arial"/>
        </w:rPr>
      </w:pPr>
      <w:r w:rsidRPr="009A58AA">
        <w:rPr>
          <w:rFonts w:ascii="Arial" w:hAnsi="Arial" w:cs="Arial"/>
        </w:rPr>
        <w:t>The definition of a freedom fighter is less complicated than-so of a terrorist. A freedom fighter is considered to be a person who conducts a campaign to liberate civilians from an oppressive political establishment (Hodgson and Tadros, 2013). Simpson (1986) provides th</w:t>
      </w:r>
      <w:r w:rsidR="004A584D">
        <w:rPr>
          <w:rFonts w:ascii="Arial" w:hAnsi="Arial" w:cs="Arial"/>
        </w:rPr>
        <w:t>ere</w:t>
      </w:r>
      <w:r w:rsidRPr="009A58AA">
        <w:rPr>
          <w:rFonts w:ascii="Arial" w:hAnsi="Arial" w:cs="Arial"/>
        </w:rPr>
        <w:t xml:space="preserve"> has been previous opportunit</w:t>
      </w:r>
      <w:r w:rsidR="004A584D">
        <w:rPr>
          <w:rFonts w:ascii="Arial" w:hAnsi="Arial" w:cs="Arial"/>
        </w:rPr>
        <w:t xml:space="preserve">ies </w:t>
      </w:r>
      <w:r w:rsidRPr="009A58AA">
        <w:rPr>
          <w:rFonts w:ascii="Arial" w:hAnsi="Arial" w:cs="Arial"/>
        </w:rPr>
        <w:t>to dismiss that the IRA was a terrorist organisation defending some, albeit not all, of their actions as</w:t>
      </w:r>
      <w:r w:rsidR="004A584D">
        <w:rPr>
          <w:rFonts w:ascii="Arial" w:hAnsi="Arial" w:cs="Arial"/>
        </w:rPr>
        <w:t xml:space="preserve">, </w:t>
      </w:r>
      <w:r w:rsidRPr="009A58AA">
        <w:rPr>
          <w:rFonts w:ascii="Arial" w:hAnsi="Arial" w:cs="Arial"/>
        </w:rPr>
        <w:t>justifiable</w:t>
      </w:r>
      <w:r w:rsidR="004A584D">
        <w:rPr>
          <w:rFonts w:ascii="Arial" w:hAnsi="Arial" w:cs="Arial"/>
        </w:rPr>
        <w:t>,</w:t>
      </w:r>
      <w:r w:rsidRPr="009A58AA">
        <w:rPr>
          <w:rFonts w:ascii="Arial" w:hAnsi="Arial" w:cs="Arial"/>
        </w:rPr>
        <w:t xml:space="preserve"> under the Just War doctrine – which proposes that some actions which may be misinterpreted as terrorist or condemned as immoral, can be condoned as ethically justifiable. It is also feasible to argue the IRA as freedom-fighters</w:t>
      </w:r>
      <w:r w:rsidR="009A58AA" w:rsidRPr="009A58AA">
        <w:rPr>
          <w:rFonts w:ascii="Arial" w:hAnsi="Arial" w:cs="Arial"/>
        </w:rPr>
        <w:t xml:space="preserve">, </w:t>
      </w:r>
      <w:r w:rsidRPr="009A58AA">
        <w:rPr>
          <w:rFonts w:ascii="Arial" w:hAnsi="Arial" w:cs="Arial"/>
        </w:rPr>
        <w:t xml:space="preserve">as while they did utilise terrorist-like approaches to provoke change; they were concurrently attempting to negotiate terms – albeit in a non-passive way and after a prolonged period – to install the said desired change they were fighting for (Dochartaigh, 2013). However, Wells (1969) </w:t>
      </w:r>
      <w:r w:rsidRPr="009A58AA">
        <w:rPr>
          <w:rFonts w:ascii="Arial" w:hAnsi="Arial" w:cs="Arial"/>
        </w:rPr>
        <w:lastRenderedPageBreak/>
        <w:t xml:space="preserve">contest this by arguing that terrorism can nevertheless occur upon the basis of moral grounds. Despite that, it is still obtainable for the IRA to be classed as freedom fighters by embracing the proposition set out by Netanyahu (1987). If a group strives to protect fundamental freedom from oppression, they should be considered freedom fighters. Kennedy (2008) provides in a time where there was no general consensus of what political independence meant, the IRA’s fight for freedom was necessary to protect Irish culture and their religion, although due to pressure placed upon them by the British government’s oppression it meant that the IRA had little choice but to engage in terrorist-like approaches or lose the battle that meant that they were willing to die for. </w:t>
      </w:r>
    </w:p>
    <w:p w14:paraId="2563440C" w14:textId="2AD9D682" w:rsidR="00797FF8" w:rsidRDefault="00797FF8" w:rsidP="006A28CB">
      <w:pPr>
        <w:pStyle w:val="NormalWeb"/>
        <w:spacing w:line="480" w:lineRule="auto"/>
        <w:jc w:val="both"/>
        <w:rPr>
          <w:rFonts w:ascii="Arial" w:hAnsi="Arial" w:cs="Arial"/>
        </w:rPr>
      </w:pPr>
      <w:r w:rsidRPr="00797FF8">
        <w:rPr>
          <w:rFonts w:ascii="Arial" w:hAnsi="Arial" w:cs="Arial"/>
        </w:rPr>
        <w:t>The unequal treatment of the IRA displays flaws presented as a result of the lack of definition for the term terrorism</w:t>
      </w:r>
      <w:r>
        <w:rPr>
          <w:rFonts w:ascii="Arial" w:hAnsi="Arial" w:cs="Arial"/>
        </w:rPr>
        <w:t xml:space="preserve"> </w:t>
      </w:r>
      <w:r w:rsidRPr="00797FF8">
        <w:rPr>
          <w:rFonts w:ascii="Arial" w:hAnsi="Arial" w:cs="Arial"/>
        </w:rPr>
        <w:t xml:space="preserve">in association with the Troubles. The UDA were a labelled as a political organisation which defended Northern Ireland from the IRA. In 1971 the British implemented internment policy, which allowed individuals to be imprisonment without trial (Page, 2011). Page (2011) extends that the internment's focus was mainly on the IRA and not the UDA, as given by a declassified document that showed that the decision to exclude </w:t>
      </w:r>
      <w:r>
        <w:rPr>
          <w:rFonts w:ascii="Arial" w:hAnsi="Arial" w:cs="Arial"/>
        </w:rPr>
        <w:t>L</w:t>
      </w:r>
      <w:r w:rsidRPr="00797FF8">
        <w:rPr>
          <w:rFonts w:ascii="Arial" w:hAnsi="Arial" w:cs="Arial"/>
        </w:rPr>
        <w:t xml:space="preserve">oyalists from the internment policy had been made. Consequently, the disproportionate approach created a variation within the law (Wartchow, 2005). The British government remained committed to the role of an impartial player throughout the Troubles, though, it has been contested with the support from several sources displaying that the British government treated Republicans different from how Loyalists were dealt with (Jasanoff, 2008). </w:t>
      </w:r>
    </w:p>
    <w:p w14:paraId="03E574DA" w14:textId="10FE5AAA" w:rsidR="00797FF8" w:rsidRDefault="00797FF8" w:rsidP="006A28CB">
      <w:pPr>
        <w:pStyle w:val="NormalWeb"/>
        <w:spacing w:line="480" w:lineRule="auto"/>
        <w:jc w:val="both"/>
        <w:rPr>
          <w:rFonts w:ascii="Arial" w:hAnsi="Arial" w:cs="Arial"/>
        </w:rPr>
      </w:pPr>
      <w:r w:rsidRPr="00797FF8">
        <w:rPr>
          <w:rFonts w:ascii="Arial" w:hAnsi="Arial" w:cs="Arial"/>
        </w:rPr>
        <w:t xml:space="preserve">According to the Capability Spectrum, places the notion of state-sponsored terrorism somewhere between antagonistic and passive support – which can be used to </w:t>
      </w:r>
      <w:r w:rsidRPr="00797FF8">
        <w:rPr>
          <w:rFonts w:ascii="Arial" w:hAnsi="Arial" w:cs="Arial"/>
        </w:rPr>
        <w:lastRenderedPageBreak/>
        <w:t xml:space="preserve">describe the British government's usage of the UDA (Whelan, 2016). Harris (2012) provides that the British government and UDA were so committed to one another, the British placed undercover agents within the UDA </w:t>
      </w:r>
      <w:r w:rsidR="00D014E1">
        <w:rPr>
          <w:rFonts w:ascii="Arial" w:hAnsi="Arial" w:cs="Arial"/>
        </w:rPr>
        <w:t>to further</w:t>
      </w:r>
      <w:r w:rsidRPr="00797FF8">
        <w:rPr>
          <w:rFonts w:ascii="Arial" w:hAnsi="Arial" w:cs="Arial"/>
        </w:rPr>
        <w:t xml:space="preserve"> </w:t>
      </w:r>
      <w:r w:rsidR="00D014E1">
        <w:rPr>
          <w:rFonts w:ascii="Arial" w:hAnsi="Arial" w:cs="Arial"/>
        </w:rPr>
        <w:t>utilise</w:t>
      </w:r>
      <w:r w:rsidRPr="00797FF8">
        <w:rPr>
          <w:rFonts w:ascii="Arial" w:hAnsi="Arial" w:cs="Arial"/>
        </w:rPr>
        <w:t xml:space="preserve"> the so-claimed, </w:t>
      </w:r>
      <w:r w:rsidR="00D014E1">
        <w:rPr>
          <w:rFonts w:ascii="Arial" w:hAnsi="Arial" w:cs="Arial"/>
        </w:rPr>
        <w:t>‘</w:t>
      </w:r>
      <w:r w:rsidRPr="00797FF8">
        <w:rPr>
          <w:rFonts w:ascii="Arial" w:hAnsi="Arial" w:cs="Arial"/>
        </w:rPr>
        <w:t>supporting force</w:t>
      </w:r>
      <w:r w:rsidR="00D014E1">
        <w:rPr>
          <w:rFonts w:ascii="Arial" w:hAnsi="Arial" w:cs="Arial"/>
        </w:rPr>
        <w:t>’</w:t>
      </w:r>
      <w:r w:rsidRPr="00797FF8">
        <w:rPr>
          <w:rFonts w:ascii="Arial" w:hAnsi="Arial" w:cs="Arial"/>
        </w:rPr>
        <w:t xml:space="preserve">. Subsequently, passive support occurred because the British government disregarded actions of the UDA, which were aligned with those same actions that were labelled as terrorism by the IRA (Harris, 2012). The theory of state-sponsored terrorism supports the controversial notion of terrorism being subjective and therefore, making it increasingly challenging to develop a definition for the term. Failure to create an agreed definition of terrorism has left a gap for entities, whether state or non-state, to interpret terrorism in ways that meet their own perceived political and strategic purposes, which allows for an increasingly opportunistic appropriation and increase the prospects for state-terrorism to occur and thrive (Saul, 2006). Additionally, Richard English (2009) has previously argued that the subjective use of the term has allowed for little clarity of analytical clarification with regards to what defines terrorism. </w:t>
      </w:r>
    </w:p>
    <w:p w14:paraId="29CD8E11" w14:textId="77777777" w:rsidR="00D014E1" w:rsidRDefault="00D014E1" w:rsidP="00B33664">
      <w:pPr>
        <w:spacing w:line="480" w:lineRule="auto"/>
        <w:jc w:val="both"/>
        <w:rPr>
          <w:rFonts w:ascii="Arial" w:hAnsi="Arial" w:cs="Arial"/>
        </w:rPr>
      </w:pPr>
      <w:r w:rsidRPr="00D014E1">
        <w:rPr>
          <w:rFonts w:ascii="Arial" w:hAnsi="Arial" w:cs="Arial"/>
        </w:rPr>
        <w:t xml:space="preserve">The necessity for a clear definition of terrorism is not solely necessary to understand whether the IRA and UDA were terrorists or freedom fighters, albeit helpful as displayed by the complexity shown in the essay, the need for a definition is rather primarily required for the purpose of being able to understand what constitutes as terrorism, develop an awareness of why people may turn to terrorism and how understanding terrorism will allow for opportunities to develop better public services’ response strategies for the inevitability of future occurrences (DeAngelis, 2009). Despite the introduction of the Prevent anti-terrorism programme after the 7/7 London Bombings, several academics, lawmakers and Muslims have suggested that the initiative allows well-meaning elected authorities to look for risks where they do not </w:t>
      </w:r>
      <w:r w:rsidRPr="00D014E1">
        <w:rPr>
          <w:rFonts w:ascii="Arial" w:hAnsi="Arial" w:cs="Arial"/>
        </w:rPr>
        <w:lastRenderedPageBreak/>
        <w:t>occur – not only raising racist problems but also counter-productive ones (Warrell, 2019). Furthermore, Warrell (2019) provides that there has been a suggestion of doubt relating to the effectiveness of Prevent’s deradicalization programme questioning whether the lack of definition of terrorism has caused for ineffective methods being adopted to prevent it from occurring. Subsequently leading to the Home Office, making the decision to independently review the programme (Home Office, 2021).</w:t>
      </w:r>
    </w:p>
    <w:p w14:paraId="3B43E252" w14:textId="77777777" w:rsidR="00D014E1" w:rsidRDefault="00D014E1" w:rsidP="00B33664">
      <w:pPr>
        <w:spacing w:line="480" w:lineRule="auto"/>
        <w:jc w:val="both"/>
        <w:rPr>
          <w:rFonts w:ascii="Arial" w:hAnsi="Arial" w:cs="Arial"/>
        </w:rPr>
      </w:pPr>
    </w:p>
    <w:p w14:paraId="1493FF90" w14:textId="4DCFE2FD" w:rsidR="00B33664" w:rsidRPr="009A58AA" w:rsidRDefault="00124860" w:rsidP="00B33664">
      <w:pPr>
        <w:spacing w:line="480" w:lineRule="auto"/>
        <w:jc w:val="both"/>
        <w:rPr>
          <w:rFonts w:ascii="Arial" w:hAnsi="Arial" w:cs="Arial"/>
        </w:rPr>
      </w:pPr>
      <w:r w:rsidRPr="009A58AA">
        <w:rPr>
          <w:rFonts w:ascii="Arial" w:hAnsi="Arial" w:cs="Arial"/>
        </w:rPr>
        <w:t xml:space="preserve">To meet the challenges of defining terrorism effectively; then, it is vital to consider the history of terrorist incidents and embrace future potentialities (Clarke, 2009). It is mostly agreed that the IRA were a terrorist organisation due to their brutality, their dominance within the terrorism network, and the fact that they declined to cooperate with the British government to achieve a peace agreement for a significant period end-all anarchy (Clarke, 2009). However, that does not provide a wholly justifiable explanation regarding the British government's relationship with the UDA. Lesser et al. (1999) provides that by developing a consensus definition than a genuinely useful domestic, potentially global, counterterrorism could be developed that eradicates opportunities for political manipulation, disguised state-terrorism and ineffective, also discriminatory, deterrence programmes. Nevertheless, some people do not appear to be troubled with defining terrorism, nor do they think it worthwhile describing the term. However, as governments ask society to contribute with the fight the "war on terrorism," troops, policemen and other first-line respondents are entitled to a coherent answer to the issue of what precisely they are expected to the issue (Schmid, 2004). </w:t>
      </w:r>
    </w:p>
    <w:p w14:paraId="4BEBBFFD" w14:textId="3AED4566" w:rsidR="00A82518" w:rsidRPr="009A58AA" w:rsidRDefault="00B33664" w:rsidP="00B33664">
      <w:pPr>
        <w:pStyle w:val="NormalWeb"/>
        <w:spacing w:line="480" w:lineRule="auto"/>
        <w:jc w:val="both"/>
        <w:rPr>
          <w:rFonts w:ascii="Arial" w:hAnsi="Arial" w:cs="Arial"/>
        </w:rPr>
      </w:pPr>
      <w:r w:rsidRPr="009A58AA">
        <w:rPr>
          <w:rFonts w:ascii="Arial" w:hAnsi="Arial" w:cs="Arial"/>
        </w:rPr>
        <w:t xml:space="preserve">In conclusion, this essay has explored the fight led by the IRA and explored both the argument that they were a terrorist organisation and the contrasting perspective, although less favoured, that they were purely freedom-fighters fighting for what they </w:t>
      </w:r>
      <w:r w:rsidRPr="009A58AA">
        <w:rPr>
          <w:rFonts w:ascii="Arial" w:hAnsi="Arial" w:cs="Arial"/>
        </w:rPr>
        <w:lastRenderedPageBreak/>
        <w:t>believed in. The ambiguous nature of currently accessible definitions of terrorism and the inability for the formulation of a unanimous definition has not only meant that previous groups of terroris</w:t>
      </w:r>
      <w:r w:rsidR="002D7D46">
        <w:rPr>
          <w:rFonts w:ascii="Arial" w:hAnsi="Arial" w:cs="Arial"/>
        </w:rPr>
        <w:t xml:space="preserve">ts </w:t>
      </w:r>
      <w:r w:rsidRPr="009A58AA">
        <w:rPr>
          <w:rFonts w:ascii="Arial" w:hAnsi="Arial" w:cs="Arial"/>
        </w:rPr>
        <w:t>continue to lack a definite categorisation of what type of organisation they were</w:t>
      </w:r>
      <w:r w:rsidR="002D7D46">
        <w:rPr>
          <w:rFonts w:ascii="Arial" w:hAnsi="Arial" w:cs="Arial"/>
        </w:rPr>
        <w:t>,</w:t>
      </w:r>
      <w:r w:rsidRPr="009A58AA">
        <w:rPr>
          <w:rFonts w:ascii="Arial" w:hAnsi="Arial" w:cs="Arial"/>
        </w:rPr>
        <w:t xml:space="preserve"> but </w:t>
      </w:r>
      <w:r w:rsidR="002D7D46">
        <w:rPr>
          <w:rFonts w:ascii="Arial" w:hAnsi="Arial" w:cs="Arial"/>
        </w:rPr>
        <w:t xml:space="preserve">it </w:t>
      </w:r>
      <w:r w:rsidRPr="009A58AA">
        <w:rPr>
          <w:rFonts w:ascii="Arial" w:hAnsi="Arial" w:cs="Arial"/>
        </w:rPr>
        <w:t>has also meant that terrorism remains susceptible to politicisation from governments, unfair justice and inadequate radicalisation prevention strategies (Schmid, 2004). However, despite the inconsistencies presented, a conscious effort has been made and is continued to be made, to develop a general, likely subjective, definition of terrorism (Ganor, 2010). Only time will tell whether it will be possible for an internationally agreed definition of terrorism to be created. Possibly then, will it finally be possible to rule a formal verdict on whether the UDA and IRA were terrorist organisations, and whether or not the British government meanderingly engaged in terroris</w:t>
      </w:r>
      <w:r w:rsidR="007038FB">
        <w:rPr>
          <w:rFonts w:ascii="Arial" w:hAnsi="Arial" w:cs="Arial"/>
        </w:rPr>
        <w:t xml:space="preserve">t activities </w:t>
      </w:r>
      <w:r w:rsidRPr="009A58AA">
        <w:rPr>
          <w:rFonts w:ascii="Arial" w:hAnsi="Arial" w:cs="Arial"/>
        </w:rPr>
        <w:t>against Irish civilians.</w:t>
      </w:r>
      <w:r w:rsidR="007038FB">
        <w:rPr>
          <w:rFonts w:ascii="Arial" w:hAnsi="Arial" w:cs="Arial"/>
        </w:rPr>
        <w:t xml:space="preserve"> Although, for now, it can be confirmed with confidence is that the Troubles, involving the IRA and </w:t>
      </w:r>
      <w:r w:rsidR="00514798">
        <w:rPr>
          <w:rFonts w:ascii="Arial" w:hAnsi="Arial" w:cs="Arial"/>
        </w:rPr>
        <w:t xml:space="preserve">UDA was plagued with corruption and acts which in comparison to confirmed terror attacks, seem to belong under the same </w:t>
      </w:r>
      <w:r w:rsidR="00B75184">
        <w:rPr>
          <w:rFonts w:ascii="Arial" w:hAnsi="Arial" w:cs="Arial"/>
        </w:rPr>
        <w:t>category.</w:t>
      </w:r>
    </w:p>
    <w:p w14:paraId="2ED3837C" w14:textId="77777777" w:rsidR="00A82518" w:rsidRDefault="00A82518" w:rsidP="001052E8">
      <w:pPr>
        <w:pStyle w:val="NormalWeb"/>
        <w:spacing w:line="480" w:lineRule="auto"/>
        <w:jc w:val="both"/>
        <w:rPr>
          <w:rFonts w:ascii="Arial" w:hAnsi="Arial" w:cs="Arial"/>
          <w:highlight w:val="red"/>
        </w:rPr>
      </w:pPr>
    </w:p>
    <w:p w14:paraId="6238CD6D" w14:textId="77777777" w:rsidR="00BA28B5" w:rsidRDefault="00BA28B5" w:rsidP="001052E8">
      <w:pPr>
        <w:pStyle w:val="NormalWeb"/>
        <w:spacing w:line="480" w:lineRule="auto"/>
        <w:jc w:val="both"/>
        <w:rPr>
          <w:rFonts w:ascii="Arial" w:hAnsi="Arial" w:cs="Arial"/>
          <w:highlight w:val="red"/>
        </w:rPr>
      </w:pPr>
    </w:p>
    <w:p w14:paraId="4B391BA2" w14:textId="77777777" w:rsidR="00BA28B5" w:rsidRDefault="00BA28B5" w:rsidP="001052E8">
      <w:pPr>
        <w:pStyle w:val="NormalWeb"/>
        <w:spacing w:line="480" w:lineRule="auto"/>
        <w:jc w:val="both"/>
        <w:rPr>
          <w:rFonts w:ascii="Arial" w:hAnsi="Arial" w:cs="Arial"/>
          <w:highlight w:val="red"/>
        </w:rPr>
      </w:pPr>
    </w:p>
    <w:p w14:paraId="504B19ED" w14:textId="6C2E7196" w:rsidR="00D4280C" w:rsidRDefault="00D4280C" w:rsidP="001052E8">
      <w:pPr>
        <w:pStyle w:val="NormalWeb"/>
        <w:spacing w:line="480" w:lineRule="auto"/>
        <w:jc w:val="both"/>
        <w:rPr>
          <w:rFonts w:ascii="Arial" w:hAnsi="Arial" w:cs="Arial"/>
        </w:rPr>
      </w:pPr>
    </w:p>
    <w:p w14:paraId="5B84976E" w14:textId="09B9644A" w:rsidR="00844A85" w:rsidRDefault="00844A85" w:rsidP="00147671">
      <w:pPr>
        <w:spacing w:line="480" w:lineRule="auto"/>
        <w:jc w:val="both"/>
        <w:rPr>
          <w:rFonts w:ascii="Arial" w:hAnsi="Arial" w:cs="Arial"/>
          <w:sz w:val="20"/>
          <w:szCs w:val="20"/>
          <w:shd w:val="clear" w:color="auto" w:fill="FFFFFF"/>
        </w:rPr>
      </w:pPr>
    </w:p>
    <w:p w14:paraId="284930F1" w14:textId="1AE76106" w:rsidR="009A58AA" w:rsidRDefault="009A58AA" w:rsidP="00147671">
      <w:pPr>
        <w:spacing w:line="480" w:lineRule="auto"/>
        <w:jc w:val="both"/>
        <w:rPr>
          <w:rFonts w:ascii="Arial" w:hAnsi="Arial" w:cs="Arial"/>
          <w:sz w:val="20"/>
          <w:szCs w:val="20"/>
          <w:shd w:val="clear" w:color="auto" w:fill="FFFFFF"/>
        </w:rPr>
      </w:pPr>
    </w:p>
    <w:p w14:paraId="3981E3FE" w14:textId="77777777" w:rsidR="009A58AA" w:rsidRDefault="009A58AA" w:rsidP="00147671">
      <w:pPr>
        <w:spacing w:line="480" w:lineRule="auto"/>
        <w:jc w:val="both"/>
        <w:rPr>
          <w:rFonts w:ascii="Arial" w:hAnsi="Arial" w:cs="Arial"/>
          <w:sz w:val="20"/>
          <w:szCs w:val="20"/>
          <w:shd w:val="clear" w:color="auto" w:fill="FFFFFF"/>
        </w:rPr>
      </w:pPr>
    </w:p>
    <w:p w14:paraId="14188BB1" w14:textId="0CB3BE66" w:rsidR="00844A85" w:rsidRDefault="00844A85" w:rsidP="00147671">
      <w:pPr>
        <w:spacing w:line="480" w:lineRule="auto"/>
        <w:jc w:val="both"/>
        <w:rPr>
          <w:rFonts w:ascii="Arial" w:hAnsi="Arial" w:cs="Arial"/>
          <w:sz w:val="20"/>
          <w:szCs w:val="20"/>
          <w:shd w:val="clear" w:color="auto" w:fill="FFFFFF"/>
        </w:rPr>
      </w:pPr>
    </w:p>
    <w:p w14:paraId="6FA7C337" w14:textId="11F90F44" w:rsidR="00844A85" w:rsidRDefault="00844A85" w:rsidP="00147671">
      <w:pPr>
        <w:spacing w:line="480" w:lineRule="auto"/>
        <w:jc w:val="both"/>
        <w:rPr>
          <w:rFonts w:ascii="Arial" w:hAnsi="Arial" w:cs="Arial"/>
          <w:sz w:val="20"/>
          <w:szCs w:val="20"/>
          <w:shd w:val="clear" w:color="auto" w:fill="FFFFFF"/>
        </w:rPr>
      </w:pPr>
    </w:p>
    <w:p w14:paraId="46456775" w14:textId="136B0380" w:rsidR="002346AA" w:rsidRPr="00E560F9" w:rsidRDefault="002346AA" w:rsidP="00E560F9">
      <w:pPr>
        <w:spacing w:line="480" w:lineRule="auto"/>
        <w:jc w:val="both"/>
        <w:rPr>
          <w:rFonts w:ascii="Arial" w:hAnsi="Arial" w:cs="Arial"/>
          <w:color w:val="000000" w:themeColor="text1"/>
          <w:sz w:val="20"/>
          <w:szCs w:val="20"/>
          <w:shd w:val="clear" w:color="auto" w:fill="FFFFFF"/>
        </w:rPr>
      </w:pPr>
    </w:p>
    <w:p w14:paraId="6F0BF8E4" w14:textId="2D8B4A36" w:rsidR="00FC4F1D" w:rsidRPr="00E560F9" w:rsidRDefault="00DF65EA" w:rsidP="00E560F9">
      <w:pPr>
        <w:spacing w:line="480" w:lineRule="auto"/>
        <w:ind w:left="360"/>
        <w:jc w:val="both"/>
        <w:rPr>
          <w:rFonts w:ascii="Arial" w:hAnsi="Arial" w:cs="Arial"/>
          <w:b/>
          <w:bCs/>
          <w:color w:val="000000" w:themeColor="text1"/>
          <w:sz w:val="20"/>
          <w:szCs w:val="20"/>
          <w:shd w:val="clear" w:color="auto" w:fill="FFFFFF"/>
        </w:rPr>
      </w:pPr>
      <w:r>
        <w:rPr>
          <w:rFonts w:ascii="Arial" w:hAnsi="Arial" w:cs="Arial"/>
          <w:b/>
          <w:bCs/>
          <w:color w:val="000000" w:themeColor="text1"/>
          <w:sz w:val="20"/>
          <w:szCs w:val="20"/>
          <w:shd w:val="clear" w:color="auto" w:fill="FFFFFF"/>
        </w:rPr>
        <w:t>Case List</w:t>
      </w:r>
    </w:p>
    <w:p w14:paraId="7CD7FEB1" w14:textId="6933DE8D" w:rsidR="00FC4F1D" w:rsidRPr="00E560F9" w:rsidRDefault="00FC4F1D" w:rsidP="00E560F9">
      <w:pPr>
        <w:ind w:left="360"/>
        <w:rPr>
          <w:rFonts w:ascii="Arial" w:hAnsi="Arial" w:cs="Arial"/>
          <w:color w:val="000000" w:themeColor="text1"/>
          <w:sz w:val="20"/>
          <w:szCs w:val="20"/>
        </w:rPr>
      </w:pPr>
      <w:r w:rsidRPr="00E560F9">
        <w:rPr>
          <w:rFonts w:ascii="Arial" w:hAnsi="Arial" w:cs="Arial"/>
          <w:color w:val="000000" w:themeColor="text1"/>
          <w:sz w:val="20"/>
          <w:szCs w:val="20"/>
          <w:shd w:val="clear" w:color="auto" w:fill="FFFFFF"/>
        </w:rPr>
        <w:t xml:space="preserve">Prevention of Terrorism (Temporary Provisions) Act 1976. Available at: </w:t>
      </w:r>
      <w:hyperlink r:id="rId5" w:history="1">
        <w:r w:rsidRPr="00E560F9">
          <w:rPr>
            <w:rStyle w:val="Hyperlink"/>
            <w:rFonts w:ascii="Arial" w:hAnsi="Arial" w:cs="Arial"/>
            <w:color w:val="000000" w:themeColor="text1"/>
            <w:sz w:val="20"/>
            <w:szCs w:val="20"/>
            <w:shd w:val="clear" w:color="auto" w:fill="FFFFFF"/>
          </w:rPr>
          <w:t>https://www.legislation.gov.uk/ukpga/1976/8/contents/enacted</w:t>
        </w:r>
      </w:hyperlink>
      <w:r w:rsidRPr="00E560F9">
        <w:rPr>
          <w:rFonts w:ascii="Arial" w:hAnsi="Arial" w:cs="Arial"/>
          <w:color w:val="000000" w:themeColor="text1"/>
          <w:sz w:val="20"/>
          <w:szCs w:val="20"/>
          <w:shd w:val="clear" w:color="auto" w:fill="FFFFFF"/>
        </w:rPr>
        <w:t xml:space="preserve"> </w:t>
      </w:r>
      <w:r w:rsidRPr="00E560F9">
        <w:rPr>
          <w:rFonts w:ascii="Arial" w:hAnsi="Arial" w:cs="Arial"/>
          <w:color w:val="000000" w:themeColor="text1"/>
          <w:sz w:val="20"/>
          <w:szCs w:val="20"/>
        </w:rPr>
        <w:t>(Accessed: 8 February 2021).</w:t>
      </w:r>
    </w:p>
    <w:p w14:paraId="05EDC568" w14:textId="0DBAD5C4" w:rsidR="004B5681" w:rsidRPr="00E560F9" w:rsidRDefault="004B5681" w:rsidP="00E560F9">
      <w:pPr>
        <w:rPr>
          <w:rFonts w:ascii="Arial" w:hAnsi="Arial" w:cs="Arial"/>
          <w:color w:val="000000" w:themeColor="text1"/>
          <w:sz w:val="20"/>
          <w:szCs w:val="20"/>
        </w:rPr>
      </w:pPr>
    </w:p>
    <w:p w14:paraId="342A3FF4" w14:textId="18169074"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shd w:val="clear" w:color="auto" w:fill="FFFFFF"/>
        </w:rPr>
        <w:t xml:space="preserve">Terrorism Act 2000. Available at:  </w:t>
      </w:r>
      <w:hyperlink r:id="rId6" w:history="1">
        <w:r w:rsidRPr="00E560F9">
          <w:rPr>
            <w:rStyle w:val="Hyperlink"/>
            <w:rFonts w:ascii="Arial" w:hAnsi="Arial" w:cs="Arial"/>
            <w:color w:val="000000" w:themeColor="text1"/>
            <w:sz w:val="20"/>
            <w:szCs w:val="20"/>
            <w:shd w:val="clear" w:color="auto" w:fill="FFFFFF"/>
          </w:rPr>
          <w:t>https://www.legislation.gov.uk/ukpga/2000/11/contents</w:t>
        </w:r>
      </w:hyperlink>
      <w:r w:rsidRPr="00E560F9">
        <w:rPr>
          <w:rFonts w:ascii="Arial" w:hAnsi="Arial" w:cs="Arial"/>
          <w:color w:val="000000" w:themeColor="text1"/>
          <w:sz w:val="20"/>
          <w:szCs w:val="20"/>
          <w:shd w:val="clear" w:color="auto" w:fill="FFFFFF"/>
        </w:rPr>
        <w:t xml:space="preserve"> </w:t>
      </w:r>
      <w:r w:rsidRPr="00E560F9">
        <w:rPr>
          <w:rFonts w:ascii="Arial" w:hAnsi="Arial" w:cs="Arial"/>
          <w:color w:val="000000" w:themeColor="text1"/>
          <w:sz w:val="20"/>
          <w:szCs w:val="20"/>
        </w:rPr>
        <w:t>(Accessed: 8 February 2021).</w:t>
      </w:r>
    </w:p>
    <w:p w14:paraId="34B06E16" w14:textId="6F7C0174" w:rsidR="004B5681" w:rsidRPr="00E560F9" w:rsidRDefault="004B5681" w:rsidP="00E560F9">
      <w:pPr>
        <w:rPr>
          <w:rFonts w:ascii="Arial" w:hAnsi="Arial" w:cs="Arial"/>
          <w:color w:val="000000" w:themeColor="text1"/>
          <w:sz w:val="20"/>
          <w:szCs w:val="20"/>
        </w:rPr>
      </w:pPr>
    </w:p>
    <w:p w14:paraId="53E45113" w14:textId="15E98EE1" w:rsidR="004B5681" w:rsidRPr="00E560F9" w:rsidRDefault="004B5681" w:rsidP="00E560F9">
      <w:pPr>
        <w:ind w:left="360"/>
        <w:rPr>
          <w:rFonts w:ascii="Arial" w:hAnsi="Arial" w:cs="Arial"/>
          <w:b/>
          <w:bCs/>
          <w:color w:val="000000" w:themeColor="text1"/>
          <w:sz w:val="20"/>
          <w:szCs w:val="20"/>
        </w:rPr>
      </w:pPr>
      <w:r w:rsidRPr="00E560F9">
        <w:rPr>
          <w:rFonts w:ascii="Arial" w:hAnsi="Arial" w:cs="Arial"/>
          <w:b/>
          <w:bCs/>
          <w:color w:val="000000" w:themeColor="text1"/>
          <w:sz w:val="20"/>
          <w:szCs w:val="20"/>
        </w:rPr>
        <w:t>Reference List</w:t>
      </w:r>
    </w:p>
    <w:p w14:paraId="79073325" w14:textId="77777777" w:rsidR="004B5681" w:rsidRPr="00E560F9" w:rsidRDefault="004B5681" w:rsidP="00E560F9">
      <w:pPr>
        <w:pStyle w:val="ListParagraph"/>
        <w:rPr>
          <w:rFonts w:ascii="Arial" w:hAnsi="Arial" w:cs="Arial"/>
          <w:color w:val="000000" w:themeColor="text1"/>
          <w:sz w:val="20"/>
          <w:szCs w:val="20"/>
        </w:rPr>
      </w:pPr>
    </w:p>
    <w:p w14:paraId="24420C34" w14:textId="464088DE"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Arthur, P. (2019) Irish Republican Army. Available at: </w:t>
      </w:r>
      <w:hyperlink r:id="rId7" w:history="1">
        <w:r w:rsidRPr="00E560F9">
          <w:rPr>
            <w:rStyle w:val="Hyperlink"/>
            <w:rFonts w:ascii="Arial" w:hAnsi="Arial" w:cs="Arial"/>
            <w:color w:val="000000" w:themeColor="text1"/>
            <w:sz w:val="20"/>
            <w:szCs w:val="20"/>
          </w:rPr>
          <w:t>https://www.britannica.com/topic/Irish-Republican-Army</w:t>
        </w:r>
      </w:hyperlink>
      <w:r w:rsidRPr="00E560F9">
        <w:rPr>
          <w:rFonts w:ascii="Arial" w:hAnsi="Arial" w:cs="Arial"/>
          <w:color w:val="000000" w:themeColor="text1"/>
          <w:sz w:val="20"/>
          <w:szCs w:val="20"/>
        </w:rPr>
        <w:t xml:space="preserve"> (Accessed: 8 February 2021). </w:t>
      </w:r>
    </w:p>
    <w:p w14:paraId="34CF866A" w14:textId="77777777" w:rsidR="004B5681" w:rsidRPr="00E560F9" w:rsidRDefault="004B5681" w:rsidP="00E560F9">
      <w:pPr>
        <w:pStyle w:val="ListParagraph"/>
        <w:rPr>
          <w:rFonts w:ascii="Arial" w:eastAsia="Times New Roman" w:hAnsi="Arial" w:cs="Arial"/>
          <w:color w:val="000000" w:themeColor="text1"/>
          <w:sz w:val="20"/>
          <w:szCs w:val="20"/>
          <w:lang w:eastAsia="en-GB"/>
        </w:rPr>
      </w:pPr>
    </w:p>
    <w:p w14:paraId="14DAE0D0" w14:textId="18645B37"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BBC (2018) Omagh Bomb: Bell Tolls to Mark 20</w:t>
      </w:r>
      <w:r w:rsidRPr="00E560F9">
        <w:rPr>
          <w:rFonts w:ascii="Arial" w:hAnsi="Arial" w:cs="Arial"/>
          <w:color w:val="000000" w:themeColor="text1"/>
          <w:sz w:val="20"/>
          <w:szCs w:val="20"/>
          <w:vertAlign w:val="superscript"/>
        </w:rPr>
        <w:t>th</w:t>
      </w:r>
      <w:r w:rsidRPr="00E560F9">
        <w:rPr>
          <w:rFonts w:ascii="Arial" w:hAnsi="Arial" w:cs="Arial"/>
          <w:color w:val="000000" w:themeColor="text1"/>
          <w:sz w:val="20"/>
          <w:szCs w:val="20"/>
        </w:rPr>
        <w:t xml:space="preserve"> Anniversary. Available at: </w:t>
      </w:r>
      <w:hyperlink r:id="rId8" w:history="1">
        <w:r w:rsidRPr="00E560F9">
          <w:rPr>
            <w:rStyle w:val="Hyperlink"/>
            <w:rFonts w:ascii="Arial" w:hAnsi="Arial" w:cs="Arial"/>
            <w:color w:val="000000" w:themeColor="text1"/>
            <w:sz w:val="20"/>
            <w:szCs w:val="20"/>
          </w:rPr>
          <w:t>https://www.bbc.co.uk/news/uk-northern-ireland-45144511</w:t>
        </w:r>
      </w:hyperlink>
      <w:r w:rsidRPr="00E560F9">
        <w:rPr>
          <w:rFonts w:ascii="Arial" w:hAnsi="Arial" w:cs="Arial"/>
          <w:color w:val="000000" w:themeColor="text1"/>
          <w:sz w:val="20"/>
          <w:szCs w:val="20"/>
        </w:rPr>
        <w:t xml:space="preserve"> (Accessed: 8</w:t>
      </w:r>
      <w:r w:rsidRPr="00E560F9">
        <w:rPr>
          <w:rFonts w:ascii="Arial" w:hAnsi="Arial" w:cs="Arial"/>
          <w:color w:val="000000" w:themeColor="text1"/>
          <w:sz w:val="20"/>
          <w:szCs w:val="20"/>
          <w:vertAlign w:val="superscript"/>
        </w:rPr>
        <w:t xml:space="preserve"> </w:t>
      </w:r>
      <w:r w:rsidRPr="00E560F9">
        <w:rPr>
          <w:rFonts w:ascii="Arial" w:hAnsi="Arial" w:cs="Arial"/>
          <w:color w:val="000000" w:themeColor="text1"/>
          <w:sz w:val="20"/>
          <w:szCs w:val="20"/>
        </w:rPr>
        <w:t xml:space="preserve">February 2021). </w:t>
      </w:r>
    </w:p>
    <w:p w14:paraId="5D0C0420" w14:textId="77777777" w:rsidR="004B5681" w:rsidRPr="00E560F9" w:rsidRDefault="004B5681" w:rsidP="00E560F9">
      <w:pPr>
        <w:rPr>
          <w:rFonts w:ascii="Arial" w:hAnsi="Arial" w:cs="Arial"/>
          <w:color w:val="000000" w:themeColor="text1"/>
          <w:sz w:val="20"/>
          <w:szCs w:val="20"/>
        </w:rPr>
      </w:pPr>
    </w:p>
    <w:p w14:paraId="2BEF4EB3" w14:textId="34307FB1"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Bruce, G. (2013) ‘Definition of Terrorism Social and Political Effects’, </w:t>
      </w:r>
      <w:r w:rsidRPr="00E560F9">
        <w:rPr>
          <w:rFonts w:ascii="Arial" w:hAnsi="Arial" w:cs="Arial"/>
          <w:i/>
          <w:iCs/>
          <w:color w:val="000000" w:themeColor="text1"/>
          <w:sz w:val="20"/>
          <w:szCs w:val="20"/>
        </w:rPr>
        <w:t xml:space="preserve">Journal of Military and Veterans’ Health, </w:t>
      </w:r>
      <w:r w:rsidRPr="00E560F9">
        <w:rPr>
          <w:rFonts w:ascii="Arial" w:hAnsi="Arial" w:cs="Arial"/>
          <w:color w:val="000000" w:themeColor="text1"/>
          <w:sz w:val="20"/>
          <w:szCs w:val="20"/>
        </w:rPr>
        <w:t xml:space="preserve">21(2), pp. 26-29. Available at: </w:t>
      </w:r>
      <w:hyperlink r:id="rId9" w:history="1">
        <w:r w:rsidRPr="00E560F9">
          <w:rPr>
            <w:rStyle w:val="Hyperlink"/>
            <w:rFonts w:ascii="Arial" w:hAnsi="Arial" w:cs="Arial"/>
            <w:color w:val="000000" w:themeColor="text1"/>
            <w:sz w:val="20"/>
            <w:szCs w:val="20"/>
          </w:rPr>
          <w:t>https://jmvh.org/wp-content/uploads/2013/05/JMVH-May-2013.pdf</w:t>
        </w:r>
      </w:hyperlink>
      <w:r w:rsidRPr="00E560F9">
        <w:rPr>
          <w:rFonts w:ascii="Arial" w:hAnsi="Arial" w:cs="Arial"/>
          <w:color w:val="000000" w:themeColor="text1"/>
          <w:sz w:val="20"/>
          <w:szCs w:val="20"/>
        </w:rPr>
        <w:t xml:space="preserve"> (Accessed: 8 February 2021). </w:t>
      </w:r>
    </w:p>
    <w:p w14:paraId="439F6EAF" w14:textId="5666110E" w:rsidR="00A44106" w:rsidRPr="00E560F9" w:rsidRDefault="00A44106" w:rsidP="00E560F9">
      <w:pPr>
        <w:ind w:left="360"/>
        <w:rPr>
          <w:rFonts w:ascii="Arial" w:hAnsi="Arial" w:cs="Arial"/>
          <w:color w:val="000000" w:themeColor="text1"/>
          <w:sz w:val="20"/>
          <w:szCs w:val="20"/>
        </w:rPr>
      </w:pPr>
    </w:p>
    <w:p w14:paraId="2E79FF1D" w14:textId="209152E4" w:rsidR="004B5681" w:rsidRPr="00E560F9" w:rsidRDefault="00A44106" w:rsidP="00E560F9">
      <w:pPr>
        <w:shd w:val="clear" w:color="auto" w:fill="FFFFFF"/>
        <w:spacing w:afterAutospacing="1"/>
        <w:ind w:left="360"/>
        <w:rPr>
          <w:rFonts w:ascii="Arial" w:hAnsi="Arial" w:cs="Arial"/>
          <w:color w:val="000000" w:themeColor="text1"/>
          <w:sz w:val="20"/>
          <w:szCs w:val="20"/>
        </w:rPr>
      </w:pPr>
      <w:r w:rsidRPr="00E560F9">
        <w:rPr>
          <w:rStyle w:val="authors"/>
          <w:rFonts w:ascii="Arial" w:hAnsi="Arial" w:cs="Arial"/>
          <w:color w:val="000000" w:themeColor="text1"/>
          <w:sz w:val="20"/>
          <w:szCs w:val="20"/>
        </w:rPr>
        <w:t>Bruce, S.</w:t>
      </w:r>
      <w:r w:rsidRPr="00E560F9">
        <w:rPr>
          <w:rStyle w:val="apple-converted-space"/>
          <w:rFonts w:ascii="Arial" w:hAnsi="Arial" w:cs="Arial"/>
          <w:color w:val="000000" w:themeColor="text1"/>
          <w:sz w:val="20"/>
          <w:szCs w:val="20"/>
        </w:rPr>
        <w:t> </w:t>
      </w:r>
      <w:r w:rsidRPr="00E560F9">
        <w:rPr>
          <w:rStyle w:val="Date2"/>
          <w:rFonts w:ascii="Arial" w:hAnsi="Arial" w:cs="Arial"/>
          <w:color w:val="000000" w:themeColor="text1"/>
          <w:sz w:val="20"/>
          <w:szCs w:val="20"/>
        </w:rPr>
        <w:t>(1992)’</w:t>
      </w:r>
      <w:r w:rsidRPr="00E560F9">
        <w:rPr>
          <w:rStyle w:val="apple-converted-space"/>
          <w:rFonts w:ascii="Arial" w:hAnsi="Arial" w:cs="Arial"/>
          <w:color w:val="000000" w:themeColor="text1"/>
          <w:sz w:val="20"/>
          <w:szCs w:val="20"/>
        </w:rPr>
        <w:t> </w:t>
      </w:r>
      <w:r w:rsidRPr="00E560F9">
        <w:rPr>
          <w:rStyle w:val="arttitle"/>
          <w:rFonts w:ascii="Arial" w:hAnsi="Arial" w:cs="Arial"/>
          <w:color w:val="000000" w:themeColor="text1"/>
          <w:sz w:val="20"/>
          <w:szCs w:val="20"/>
        </w:rPr>
        <w:t>The problems of ‘pro</w:t>
      </w:r>
      <w:r w:rsidRPr="00E560F9">
        <w:rPr>
          <w:rStyle w:val="arttitle"/>
          <w:rFonts w:ascii="Cambria Math" w:hAnsi="Cambria Math" w:cs="Cambria Math"/>
          <w:color w:val="000000" w:themeColor="text1"/>
          <w:sz w:val="20"/>
          <w:szCs w:val="20"/>
        </w:rPr>
        <w:t>‐</w:t>
      </w:r>
      <w:r w:rsidRPr="00E560F9">
        <w:rPr>
          <w:rStyle w:val="arttitle"/>
          <w:rFonts w:ascii="Arial" w:hAnsi="Arial" w:cs="Arial"/>
          <w:color w:val="000000" w:themeColor="text1"/>
          <w:sz w:val="20"/>
          <w:szCs w:val="20"/>
        </w:rPr>
        <w:t>state’ terrorism: Loyalist paramilitaries in Northern Ireland’,</w:t>
      </w:r>
      <w:r w:rsidRPr="00E560F9">
        <w:rPr>
          <w:rStyle w:val="apple-converted-space"/>
          <w:rFonts w:ascii="Arial" w:hAnsi="Arial" w:cs="Arial"/>
          <w:color w:val="000000" w:themeColor="text1"/>
          <w:sz w:val="20"/>
          <w:szCs w:val="20"/>
        </w:rPr>
        <w:t> </w:t>
      </w:r>
      <w:r w:rsidRPr="00E560F9">
        <w:rPr>
          <w:rStyle w:val="serialtitle"/>
          <w:rFonts w:ascii="Arial" w:hAnsi="Arial" w:cs="Arial"/>
          <w:i/>
          <w:iCs/>
          <w:color w:val="000000" w:themeColor="text1"/>
          <w:sz w:val="20"/>
          <w:szCs w:val="20"/>
        </w:rPr>
        <w:t>Terrorism and Political Violence</w:t>
      </w:r>
      <w:r w:rsidRPr="00E560F9">
        <w:rPr>
          <w:rStyle w:val="serialtitle"/>
          <w:rFonts w:ascii="Arial" w:hAnsi="Arial" w:cs="Arial"/>
          <w:color w:val="000000" w:themeColor="text1"/>
          <w:sz w:val="20"/>
          <w:szCs w:val="20"/>
        </w:rPr>
        <w:t>,</w:t>
      </w:r>
      <w:r w:rsidRPr="00E560F9">
        <w:rPr>
          <w:rStyle w:val="apple-converted-space"/>
          <w:rFonts w:ascii="Arial" w:hAnsi="Arial" w:cs="Arial"/>
          <w:color w:val="000000" w:themeColor="text1"/>
          <w:sz w:val="20"/>
          <w:szCs w:val="20"/>
        </w:rPr>
        <w:t> </w:t>
      </w:r>
      <w:r w:rsidRPr="00E560F9">
        <w:rPr>
          <w:rStyle w:val="volumeissue"/>
          <w:rFonts w:ascii="Arial" w:hAnsi="Arial" w:cs="Arial"/>
          <w:color w:val="000000" w:themeColor="text1"/>
          <w:sz w:val="20"/>
          <w:szCs w:val="20"/>
        </w:rPr>
        <w:t>4(1), pp.</w:t>
      </w:r>
      <w:r w:rsidRPr="00E560F9">
        <w:rPr>
          <w:rStyle w:val="apple-converted-space"/>
          <w:rFonts w:ascii="Arial" w:hAnsi="Arial" w:cs="Arial"/>
          <w:color w:val="000000" w:themeColor="text1"/>
          <w:sz w:val="20"/>
          <w:szCs w:val="20"/>
        </w:rPr>
        <w:t> </w:t>
      </w:r>
      <w:r w:rsidRPr="00E560F9">
        <w:rPr>
          <w:rStyle w:val="pagerange"/>
          <w:rFonts w:ascii="Arial" w:hAnsi="Arial" w:cs="Arial"/>
          <w:color w:val="000000" w:themeColor="text1"/>
          <w:sz w:val="20"/>
          <w:szCs w:val="20"/>
        </w:rPr>
        <w:t>67-88,</w:t>
      </w:r>
      <w:r w:rsidRPr="00E560F9">
        <w:rPr>
          <w:rStyle w:val="apple-converted-space"/>
          <w:rFonts w:ascii="Arial" w:hAnsi="Arial" w:cs="Arial"/>
          <w:color w:val="000000" w:themeColor="text1"/>
          <w:sz w:val="20"/>
          <w:szCs w:val="20"/>
        </w:rPr>
        <w:t> </w:t>
      </w:r>
      <w:r w:rsidRPr="00E560F9">
        <w:rPr>
          <w:rStyle w:val="doilink"/>
          <w:rFonts w:ascii="Arial" w:hAnsi="Arial" w:cs="Arial"/>
          <w:color w:val="000000" w:themeColor="text1"/>
          <w:sz w:val="20"/>
          <w:szCs w:val="20"/>
        </w:rPr>
        <w:t>DOI:</w:t>
      </w:r>
      <w:r w:rsidRPr="00E560F9">
        <w:rPr>
          <w:rStyle w:val="apple-converted-space"/>
          <w:rFonts w:ascii="Arial" w:hAnsi="Arial" w:cs="Arial"/>
          <w:color w:val="000000" w:themeColor="text1"/>
          <w:sz w:val="20"/>
          <w:szCs w:val="20"/>
        </w:rPr>
        <w:t> </w:t>
      </w:r>
      <w:hyperlink r:id="rId10" w:history="1">
        <w:r w:rsidRPr="00E560F9">
          <w:rPr>
            <w:rStyle w:val="Hyperlink"/>
            <w:rFonts w:ascii="Arial" w:hAnsi="Arial" w:cs="Arial"/>
            <w:color w:val="000000" w:themeColor="text1"/>
            <w:sz w:val="20"/>
            <w:szCs w:val="20"/>
          </w:rPr>
          <w:t>10.1080/09546559208427138</w:t>
        </w:r>
      </w:hyperlink>
    </w:p>
    <w:p w14:paraId="618B0CE1" w14:textId="77777777" w:rsidR="004B5681" w:rsidRPr="00E560F9" w:rsidRDefault="004B5681" w:rsidP="00E560F9">
      <w:pPr>
        <w:rPr>
          <w:rFonts w:ascii="Arial" w:hAnsi="Arial" w:cs="Arial"/>
          <w:color w:val="000000" w:themeColor="text1"/>
          <w:sz w:val="20"/>
          <w:szCs w:val="20"/>
        </w:rPr>
      </w:pPr>
    </w:p>
    <w:p w14:paraId="16AAF947" w14:textId="3051B9FC"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Clarke, L. (2009) Why has Defining Terrorism Proved So Difficult? Available at: </w:t>
      </w:r>
      <w:hyperlink r:id="rId11" w:history="1">
        <w:r w:rsidRPr="00E560F9">
          <w:rPr>
            <w:rStyle w:val="Hyperlink"/>
            <w:rFonts w:ascii="Arial" w:hAnsi="Arial" w:cs="Arial"/>
            <w:color w:val="000000" w:themeColor="text1"/>
            <w:sz w:val="20"/>
            <w:szCs w:val="20"/>
          </w:rPr>
          <w:t>https://www.e-ir.info/2009/05/14/why-has-defining-terrorism-proved-so-difficult/</w:t>
        </w:r>
      </w:hyperlink>
      <w:r w:rsidRPr="00E560F9">
        <w:rPr>
          <w:rFonts w:ascii="Arial" w:hAnsi="Arial" w:cs="Arial"/>
          <w:color w:val="000000" w:themeColor="text1"/>
          <w:sz w:val="20"/>
          <w:szCs w:val="20"/>
        </w:rPr>
        <w:t xml:space="preserve"> (Accessed: 7 February 2021). </w:t>
      </w:r>
    </w:p>
    <w:p w14:paraId="4A58BC0F" w14:textId="77777777" w:rsidR="004B5681" w:rsidRPr="00E560F9" w:rsidRDefault="004B5681" w:rsidP="00E560F9">
      <w:pPr>
        <w:pStyle w:val="ListParagraph"/>
        <w:rPr>
          <w:rFonts w:ascii="Arial" w:hAnsi="Arial" w:cs="Arial"/>
          <w:color w:val="000000" w:themeColor="text1"/>
          <w:sz w:val="20"/>
          <w:szCs w:val="20"/>
        </w:rPr>
      </w:pPr>
    </w:p>
    <w:p w14:paraId="3829E0E0" w14:textId="4933582D"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DeAngelis, T. (2009) Understanding Terrorism. Available at: </w:t>
      </w:r>
      <w:hyperlink r:id="rId12" w:history="1">
        <w:r w:rsidRPr="00E560F9">
          <w:rPr>
            <w:rStyle w:val="Hyperlink"/>
            <w:rFonts w:ascii="Arial" w:hAnsi="Arial" w:cs="Arial"/>
            <w:color w:val="000000" w:themeColor="text1"/>
            <w:sz w:val="20"/>
            <w:szCs w:val="20"/>
          </w:rPr>
          <w:t>https://www.apa.org/monitor/2009/11/terrorism</w:t>
        </w:r>
      </w:hyperlink>
      <w:r w:rsidRPr="00E560F9">
        <w:rPr>
          <w:rFonts w:ascii="Arial" w:hAnsi="Arial" w:cs="Arial"/>
          <w:color w:val="000000" w:themeColor="text1"/>
          <w:sz w:val="20"/>
          <w:szCs w:val="20"/>
        </w:rPr>
        <w:t xml:space="preserve"> (Accessed: 8 February 2021).</w:t>
      </w:r>
    </w:p>
    <w:p w14:paraId="51CA9030" w14:textId="77777777" w:rsidR="004B5681" w:rsidRPr="00E560F9" w:rsidRDefault="004B5681" w:rsidP="00E560F9">
      <w:pPr>
        <w:rPr>
          <w:rFonts w:ascii="Arial" w:hAnsi="Arial" w:cs="Arial"/>
          <w:color w:val="000000" w:themeColor="text1"/>
          <w:sz w:val="20"/>
          <w:szCs w:val="20"/>
        </w:rPr>
      </w:pPr>
    </w:p>
    <w:p w14:paraId="39A4C12D" w14:textId="2612FA08"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Dochartaigh, Niall (2013) ‘The Longest Negotiation: British Policy, IRA Strategy and the Making of the Northern Ireland Peace Settlement’, </w:t>
      </w:r>
      <w:r w:rsidRPr="00E560F9">
        <w:rPr>
          <w:rFonts w:ascii="Arial" w:hAnsi="Arial" w:cs="Arial"/>
          <w:i/>
          <w:iCs/>
          <w:color w:val="000000" w:themeColor="text1"/>
          <w:sz w:val="20"/>
          <w:szCs w:val="20"/>
        </w:rPr>
        <w:t xml:space="preserve">Political Studies, </w:t>
      </w:r>
      <w:r w:rsidRPr="00E560F9">
        <w:rPr>
          <w:rFonts w:ascii="Arial" w:hAnsi="Arial" w:cs="Arial"/>
          <w:color w:val="000000" w:themeColor="text1"/>
          <w:sz w:val="20"/>
          <w:szCs w:val="20"/>
        </w:rPr>
        <w:t xml:space="preserve">63(1), pp. 202-220. Available at: </w:t>
      </w:r>
      <w:hyperlink r:id="rId13" w:history="1">
        <w:r w:rsidRPr="00E560F9">
          <w:rPr>
            <w:rStyle w:val="Hyperlink"/>
            <w:rFonts w:ascii="Arial" w:hAnsi="Arial" w:cs="Arial"/>
            <w:color w:val="000000" w:themeColor="text1"/>
            <w:sz w:val="20"/>
            <w:szCs w:val="20"/>
          </w:rPr>
          <w:t>https://onlinelibrary.wiley.com/doi/abs/10.1111/1467-9248.12091</w:t>
        </w:r>
      </w:hyperlink>
      <w:r w:rsidRPr="00E560F9">
        <w:rPr>
          <w:rFonts w:ascii="Arial" w:hAnsi="Arial" w:cs="Arial"/>
          <w:color w:val="000000" w:themeColor="text1"/>
          <w:sz w:val="20"/>
          <w:szCs w:val="20"/>
        </w:rPr>
        <w:t xml:space="preserve"> (Accessed: 8 February 2021).</w:t>
      </w:r>
    </w:p>
    <w:p w14:paraId="410ED3E2" w14:textId="77777777" w:rsidR="004B5681" w:rsidRPr="00E560F9" w:rsidRDefault="004B5681" w:rsidP="00E560F9">
      <w:pPr>
        <w:rPr>
          <w:rFonts w:ascii="Arial" w:hAnsi="Arial" w:cs="Arial"/>
          <w:color w:val="000000" w:themeColor="text1"/>
          <w:sz w:val="20"/>
          <w:szCs w:val="20"/>
        </w:rPr>
      </w:pPr>
    </w:p>
    <w:p w14:paraId="00939FFC" w14:textId="37F44BB7"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English, R. (2009) </w:t>
      </w:r>
      <w:r w:rsidRPr="00E560F9">
        <w:rPr>
          <w:rFonts w:ascii="Arial" w:hAnsi="Arial" w:cs="Arial"/>
          <w:i/>
          <w:iCs/>
          <w:color w:val="000000" w:themeColor="text1"/>
          <w:sz w:val="20"/>
          <w:szCs w:val="20"/>
        </w:rPr>
        <w:t xml:space="preserve">How to Respond. </w:t>
      </w:r>
      <w:r w:rsidRPr="00E560F9">
        <w:rPr>
          <w:rFonts w:ascii="Arial" w:hAnsi="Arial" w:cs="Arial"/>
          <w:color w:val="000000" w:themeColor="text1"/>
          <w:sz w:val="20"/>
          <w:szCs w:val="20"/>
        </w:rPr>
        <w:t xml:space="preserve">Oxford University Press: Oxford. </w:t>
      </w:r>
    </w:p>
    <w:p w14:paraId="320973A3" w14:textId="77777777" w:rsidR="004B5681" w:rsidRPr="00E560F9" w:rsidRDefault="004B5681" w:rsidP="00E560F9">
      <w:pPr>
        <w:rPr>
          <w:rFonts w:ascii="Arial" w:hAnsi="Arial" w:cs="Arial"/>
          <w:color w:val="000000" w:themeColor="text1"/>
          <w:sz w:val="20"/>
          <w:szCs w:val="20"/>
        </w:rPr>
      </w:pPr>
    </w:p>
    <w:p w14:paraId="3A6D48B6" w14:textId="23E193DD"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Fenton, S. (2017) The Tories are Forming a Coalition with a Party Backed by Terrorists. Available at: </w:t>
      </w:r>
      <w:hyperlink r:id="rId14" w:history="1">
        <w:r w:rsidRPr="00E560F9">
          <w:rPr>
            <w:rStyle w:val="Hyperlink"/>
            <w:rFonts w:ascii="Arial" w:hAnsi="Arial" w:cs="Arial"/>
            <w:color w:val="000000" w:themeColor="text1"/>
            <w:sz w:val="20"/>
            <w:szCs w:val="20"/>
          </w:rPr>
          <w:t>https://www.independent.co.uk/voices/dup-conservatives-northern-ireland-coalition-ulster-defence-association-paramilitaries-peace-process-a7782631.html</w:t>
        </w:r>
      </w:hyperlink>
      <w:r w:rsidRPr="00E560F9">
        <w:rPr>
          <w:rFonts w:ascii="Arial" w:hAnsi="Arial" w:cs="Arial"/>
          <w:color w:val="000000" w:themeColor="text1"/>
          <w:sz w:val="20"/>
          <w:szCs w:val="20"/>
        </w:rPr>
        <w:t xml:space="preserve"> (Accessed: 8 February 2021).</w:t>
      </w:r>
    </w:p>
    <w:p w14:paraId="1FF24880" w14:textId="77777777" w:rsidR="004B5681" w:rsidRPr="00E560F9" w:rsidRDefault="004B5681" w:rsidP="00E560F9">
      <w:pPr>
        <w:rPr>
          <w:rFonts w:ascii="Arial" w:hAnsi="Arial" w:cs="Arial"/>
          <w:color w:val="000000" w:themeColor="text1"/>
          <w:sz w:val="20"/>
          <w:szCs w:val="20"/>
        </w:rPr>
      </w:pPr>
    </w:p>
    <w:p w14:paraId="0D8B3082" w14:textId="3856D125"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Finn, D. (2019) </w:t>
      </w:r>
      <w:r w:rsidRPr="00E560F9">
        <w:rPr>
          <w:rFonts w:ascii="Arial" w:hAnsi="Arial" w:cs="Arial"/>
          <w:i/>
          <w:iCs/>
          <w:color w:val="000000" w:themeColor="text1"/>
          <w:sz w:val="20"/>
          <w:szCs w:val="20"/>
        </w:rPr>
        <w:t>One Man’s Terrorist: A Political History of the IRA.</w:t>
      </w:r>
      <w:r w:rsidRPr="00E560F9">
        <w:rPr>
          <w:rFonts w:ascii="Arial" w:hAnsi="Arial" w:cs="Arial"/>
          <w:color w:val="000000" w:themeColor="text1"/>
          <w:sz w:val="20"/>
          <w:szCs w:val="20"/>
        </w:rPr>
        <w:t xml:space="preserve"> Verso: United Kingdom. </w:t>
      </w:r>
    </w:p>
    <w:p w14:paraId="75A2453D" w14:textId="77777777" w:rsidR="004B5681" w:rsidRPr="00E560F9" w:rsidRDefault="004B5681" w:rsidP="00E560F9">
      <w:pPr>
        <w:rPr>
          <w:rFonts w:ascii="Arial" w:hAnsi="Arial" w:cs="Arial"/>
          <w:color w:val="000000" w:themeColor="text1"/>
          <w:sz w:val="20"/>
          <w:szCs w:val="20"/>
        </w:rPr>
      </w:pPr>
    </w:p>
    <w:p w14:paraId="496BCA13" w14:textId="69CB876A" w:rsidR="004B5681" w:rsidRPr="00E560F9" w:rsidRDefault="004B5681" w:rsidP="00E560F9">
      <w:pPr>
        <w:shd w:val="clear" w:color="auto" w:fill="FFFFFF"/>
        <w:spacing w:afterAutospacing="1"/>
        <w:ind w:left="360"/>
        <w:rPr>
          <w:rStyle w:val="Hyperlink"/>
          <w:rFonts w:ascii="Arial" w:hAnsi="Arial" w:cs="Arial"/>
          <w:color w:val="000000" w:themeColor="text1"/>
          <w:sz w:val="20"/>
          <w:szCs w:val="20"/>
          <w:u w:val="none"/>
        </w:rPr>
      </w:pPr>
      <w:r w:rsidRPr="00E560F9">
        <w:rPr>
          <w:rStyle w:val="authors"/>
          <w:rFonts w:ascii="Arial" w:hAnsi="Arial" w:cs="Arial"/>
          <w:color w:val="000000" w:themeColor="text1"/>
          <w:sz w:val="20"/>
          <w:szCs w:val="20"/>
        </w:rPr>
        <w:t>Ganor, B.</w:t>
      </w:r>
      <w:r w:rsidRPr="00E560F9">
        <w:rPr>
          <w:rStyle w:val="apple-converted-space"/>
          <w:rFonts w:ascii="Arial" w:hAnsi="Arial" w:cs="Arial"/>
          <w:color w:val="000000" w:themeColor="text1"/>
          <w:sz w:val="20"/>
          <w:szCs w:val="20"/>
        </w:rPr>
        <w:t> </w:t>
      </w:r>
      <w:r w:rsidRPr="00E560F9">
        <w:rPr>
          <w:rStyle w:val="Date1"/>
          <w:rFonts w:ascii="Arial" w:hAnsi="Arial" w:cs="Arial"/>
          <w:color w:val="000000" w:themeColor="text1"/>
          <w:sz w:val="20"/>
          <w:szCs w:val="20"/>
        </w:rPr>
        <w:t>(2002)</w:t>
      </w:r>
      <w:r w:rsidRPr="00E560F9">
        <w:rPr>
          <w:rStyle w:val="apple-converted-space"/>
          <w:rFonts w:ascii="Arial" w:hAnsi="Arial" w:cs="Arial"/>
          <w:color w:val="000000" w:themeColor="text1"/>
          <w:sz w:val="20"/>
          <w:szCs w:val="20"/>
        </w:rPr>
        <w:t> ‘</w:t>
      </w:r>
      <w:r w:rsidRPr="00E560F9">
        <w:rPr>
          <w:rStyle w:val="arttitle"/>
          <w:rFonts w:ascii="Arial" w:hAnsi="Arial" w:cs="Arial"/>
          <w:color w:val="000000" w:themeColor="text1"/>
          <w:sz w:val="20"/>
          <w:szCs w:val="20"/>
        </w:rPr>
        <w:t>Defining Terrorism: Is One Man's Terrorist another Man's Freedom Fighter’,</w:t>
      </w:r>
      <w:r w:rsidRPr="00E560F9">
        <w:rPr>
          <w:rStyle w:val="apple-converted-space"/>
          <w:rFonts w:ascii="Arial" w:hAnsi="Arial" w:cs="Arial"/>
          <w:color w:val="000000" w:themeColor="text1"/>
          <w:sz w:val="20"/>
          <w:szCs w:val="20"/>
        </w:rPr>
        <w:t> </w:t>
      </w:r>
      <w:r w:rsidRPr="00E560F9">
        <w:rPr>
          <w:rStyle w:val="serialtitle"/>
          <w:rFonts w:ascii="Arial" w:hAnsi="Arial" w:cs="Arial"/>
          <w:i/>
          <w:iCs/>
          <w:color w:val="000000" w:themeColor="text1"/>
          <w:sz w:val="20"/>
          <w:szCs w:val="20"/>
        </w:rPr>
        <w:t>Police Practice and Research</w:t>
      </w:r>
      <w:r w:rsidRPr="00E560F9">
        <w:rPr>
          <w:rStyle w:val="serialtitle"/>
          <w:rFonts w:ascii="Arial" w:hAnsi="Arial" w:cs="Arial"/>
          <w:color w:val="000000" w:themeColor="text1"/>
          <w:sz w:val="20"/>
          <w:szCs w:val="20"/>
        </w:rPr>
        <w:t>,</w:t>
      </w:r>
      <w:r w:rsidRPr="00E560F9">
        <w:rPr>
          <w:rStyle w:val="apple-converted-space"/>
          <w:rFonts w:ascii="Arial" w:hAnsi="Arial" w:cs="Arial"/>
          <w:color w:val="000000" w:themeColor="text1"/>
          <w:sz w:val="20"/>
          <w:szCs w:val="20"/>
        </w:rPr>
        <w:t> </w:t>
      </w:r>
      <w:r w:rsidRPr="00E560F9">
        <w:rPr>
          <w:rStyle w:val="volumeissue"/>
          <w:rFonts w:ascii="Arial" w:hAnsi="Arial" w:cs="Arial"/>
          <w:color w:val="000000" w:themeColor="text1"/>
          <w:sz w:val="20"/>
          <w:szCs w:val="20"/>
        </w:rPr>
        <w:t>3(4), pp.</w:t>
      </w:r>
      <w:r w:rsidRPr="00E560F9">
        <w:rPr>
          <w:rStyle w:val="apple-converted-space"/>
          <w:rFonts w:ascii="Arial" w:hAnsi="Arial" w:cs="Arial"/>
          <w:color w:val="000000" w:themeColor="text1"/>
          <w:sz w:val="20"/>
          <w:szCs w:val="20"/>
        </w:rPr>
        <w:t> </w:t>
      </w:r>
      <w:r w:rsidRPr="00E560F9">
        <w:rPr>
          <w:rStyle w:val="pagerange"/>
          <w:rFonts w:ascii="Arial" w:hAnsi="Arial" w:cs="Arial"/>
          <w:color w:val="000000" w:themeColor="text1"/>
          <w:sz w:val="20"/>
          <w:szCs w:val="20"/>
        </w:rPr>
        <w:t>287-304,</w:t>
      </w:r>
      <w:r w:rsidRPr="00E560F9">
        <w:rPr>
          <w:rStyle w:val="apple-converted-space"/>
          <w:rFonts w:ascii="Arial" w:hAnsi="Arial" w:cs="Arial"/>
          <w:color w:val="000000" w:themeColor="text1"/>
          <w:sz w:val="20"/>
          <w:szCs w:val="20"/>
        </w:rPr>
        <w:t> </w:t>
      </w:r>
      <w:r w:rsidRPr="00E560F9">
        <w:rPr>
          <w:rStyle w:val="doilink"/>
          <w:rFonts w:ascii="Arial" w:hAnsi="Arial" w:cs="Arial"/>
          <w:color w:val="000000" w:themeColor="text1"/>
          <w:sz w:val="20"/>
          <w:szCs w:val="20"/>
        </w:rPr>
        <w:t>DOI:</w:t>
      </w:r>
      <w:r w:rsidRPr="00E560F9">
        <w:rPr>
          <w:rStyle w:val="apple-converted-space"/>
          <w:rFonts w:ascii="Arial" w:hAnsi="Arial" w:cs="Arial"/>
          <w:color w:val="000000" w:themeColor="text1"/>
          <w:sz w:val="20"/>
          <w:szCs w:val="20"/>
        </w:rPr>
        <w:t> </w:t>
      </w:r>
      <w:hyperlink r:id="rId15" w:history="1">
        <w:r w:rsidRPr="00E560F9">
          <w:rPr>
            <w:rStyle w:val="Hyperlink"/>
            <w:rFonts w:ascii="Arial" w:hAnsi="Arial" w:cs="Arial"/>
            <w:color w:val="000000" w:themeColor="text1"/>
            <w:sz w:val="20"/>
            <w:szCs w:val="20"/>
          </w:rPr>
          <w:t>10.1080/1561426022000032060</w:t>
        </w:r>
      </w:hyperlink>
    </w:p>
    <w:p w14:paraId="72BB41AB" w14:textId="4734120B"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shd w:val="clear" w:color="auto" w:fill="FFFFFF"/>
        </w:rPr>
        <w:t xml:space="preserve">Greene, A. (2017) ,Defining terrorism: one size fits all?’, </w:t>
      </w:r>
      <w:r w:rsidRPr="00E560F9">
        <w:rPr>
          <w:rFonts w:ascii="Arial" w:hAnsi="Arial" w:cs="Arial"/>
          <w:i/>
          <w:iCs/>
          <w:color w:val="000000" w:themeColor="text1"/>
          <w:sz w:val="20"/>
          <w:szCs w:val="20"/>
          <w:bdr w:val="none" w:sz="0" w:space="0" w:color="auto" w:frame="1"/>
        </w:rPr>
        <w:t>International and Comparative Law Quarterly</w:t>
      </w:r>
      <w:r w:rsidRPr="00E560F9">
        <w:rPr>
          <w:rFonts w:ascii="Arial" w:hAnsi="Arial" w:cs="Arial"/>
          <w:color w:val="000000" w:themeColor="text1"/>
          <w:sz w:val="20"/>
          <w:szCs w:val="20"/>
          <w:shd w:val="clear" w:color="auto" w:fill="FFFFFF"/>
        </w:rPr>
        <w:t>. Cambridge University Press, 66(2), pp. 411–440. doi: 10.1017/S0020589317000070.</w:t>
      </w:r>
    </w:p>
    <w:p w14:paraId="33A5135A" w14:textId="77777777" w:rsidR="004B5681" w:rsidRPr="00E560F9" w:rsidRDefault="004B5681" w:rsidP="00E560F9">
      <w:pPr>
        <w:rPr>
          <w:rFonts w:ascii="Arial" w:hAnsi="Arial" w:cs="Arial"/>
          <w:color w:val="000000" w:themeColor="text1"/>
          <w:sz w:val="20"/>
          <w:szCs w:val="20"/>
        </w:rPr>
      </w:pPr>
    </w:p>
    <w:p w14:paraId="14D34532" w14:textId="060F87C1"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Hanley, B. (2013) ‘But Then They Started All This Killing: Attitudes to the I.R.A in the Irish Republic Since 1969’, </w:t>
      </w:r>
      <w:r w:rsidRPr="00E560F9">
        <w:rPr>
          <w:rFonts w:ascii="Arial" w:hAnsi="Arial" w:cs="Arial"/>
          <w:i/>
          <w:iCs/>
          <w:color w:val="000000" w:themeColor="text1"/>
          <w:sz w:val="20"/>
          <w:szCs w:val="20"/>
        </w:rPr>
        <w:t xml:space="preserve">Irish Historical Studies, </w:t>
      </w:r>
      <w:r w:rsidRPr="00E560F9">
        <w:rPr>
          <w:rFonts w:ascii="Arial" w:hAnsi="Arial" w:cs="Arial"/>
          <w:color w:val="000000" w:themeColor="text1"/>
          <w:sz w:val="20"/>
          <w:szCs w:val="20"/>
        </w:rPr>
        <w:t xml:space="preserve">38(151), pp. 439-456. Available at: </w:t>
      </w:r>
      <w:hyperlink r:id="rId16" w:history="1">
        <w:r w:rsidRPr="00E560F9">
          <w:rPr>
            <w:rStyle w:val="Hyperlink"/>
            <w:rFonts w:ascii="Arial" w:hAnsi="Arial" w:cs="Arial"/>
            <w:color w:val="000000" w:themeColor="text1"/>
            <w:sz w:val="20"/>
            <w:szCs w:val="20"/>
          </w:rPr>
          <w:t>https://www.jstor.org/stable/43654445?seq=1</w:t>
        </w:r>
      </w:hyperlink>
      <w:r w:rsidRPr="00E560F9">
        <w:rPr>
          <w:rFonts w:ascii="Arial" w:hAnsi="Arial" w:cs="Arial"/>
          <w:color w:val="000000" w:themeColor="text1"/>
          <w:sz w:val="20"/>
          <w:szCs w:val="20"/>
        </w:rPr>
        <w:t xml:space="preserve"> (Accessed: 8 February 2021).</w:t>
      </w:r>
    </w:p>
    <w:p w14:paraId="1CD7A1FA" w14:textId="77777777" w:rsidR="004B5681" w:rsidRPr="00E560F9" w:rsidRDefault="004B5681" w:rsidP="00E560F9">
      <w:pPr>
        <w:rPr>
          <w:rFonts w:ascii="Arial" w:hAnsi="Arial" w:cs="Arial"/>
          <w:color w:val="000000" w:themeColor="text1"/>
          <w:sz w:val="20"/>
          <w:szCs w:val="20"/>
        </w:rPr>
      </w:pPr>
    </w:p>
    <w:p w14:paraId="1C1808D5" w14:textId="77777777"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Harris, L. (2012) ‘Implications of a Strategic Analysis: The Operational Strategy of Loyalist Paramilitaries, Behaviour Sciences of Terrorism and Political Aggression’, </w:t>
      </w:r>
      <w:r w:rsidRPr="00E560F9">
        <w:rPr>
          <w:rFonts w:ascii="Arial" w:hAnsi="Arial" w:cs="Arial"/>
          <w:i/>
          <w:iCs/>
          <w:color w:val="000000" w:themeColor="text1"/>
          <w:sz w:val="20"/>
          <w:szCs w:val="20"/>
        </w:rPr>
        <w:t xml:space="preserve">Behavioural Sciences of Terrorism and Political Aggression, </w:t>
      </w:r>
      <w:r w:rsidRPr="00E560F9">
        <w:rPr>
          <w:rFonts w:ascii="Arial" w:hAnsi="Arial" w:cs="Arial"/>
          <w:color w:val="000000" w:themeColor="text1"/>
          <w:sz w:val="20"/>
          <w:szCs w:val="20"/>
        </w:rPr>
        <w:t>4(1), pp. 4-25</w:t>
      </w:r>
      <w:r w:rsidRPr="00E560F9">
        <w:rPr>
          <w:rFonts w:ascii="Arial" w:hAnsi="Arial" w:cs="Arial"/>
          <w:i/>
          <w:iCs/>
          <w:color w:val="000000" w:themeColor="text1"/>
          <w:sz w:val="20"/>
          <w:szCs w:val="20"/>
        </w:rPr>
        <w:t xml:space="preserve">. </w:t>
      </w:r>
      <w:r w:rsidRPr="00E560F9">
        <w:rPr>
          <w:rFonts w:ascii="Arial" w:hAnsi="Arial" w:cs="Arial"/>
          <w:color w:val="000000" w:themeColor="text1"/>
          <w:sz w:val="20"/>
          <w:szCs w:val="20"/>
        </w:rPr>
        <w:t xml:space="preserve">Available at: </w:t>
      </w:r>
      <w:hyperlink r:id="rId17" w:history="1">
        <w:r w:rsidRPr="00E560F9">
          <w:rPr>
            <w:rStyle w:val="Hyperlink"/>
            <w:rFonts w:ascii="Arial" w:hAnsi="Arial" w:cs="Arial"/>
            <w:color w:val="000000" w:themeColor="text1"/>
            <w:sz w:val="20"/>
            <w:szCs w:val="20"/>
          </w:rPr>
          <w:t>https://www.tandfonline.com/doi/abs/10.1080/19434472.2011.631348?scroll=top&amp;needAccess=true&amp;journalCode=rirt20</w:t>
        </w:r>
      </w:hyperlink>
      <w:r w:rsidRPr="00E560F9">
        <w:rPr>
          <w:rFonts w:ascii="Arial" w:hAnsi="Arial" w:cs="Arial"/>
          <w:color w:val="000000" w:themeColor="text1"/>
          <w:sz w:val="20"/>
          <w:szCs w:val="20"/>
        </w:rPr>
        <w:t xml:space="preserve"> (Accessed: 8 February 2021). </w:t>
      </w:r>
    </w:p>
    <w:p w14:paraId="08123D40" w14:textId="71DBD095" w:rsidR="004B5681" w:rsidRPr="00E560F9" w:rsidRDefault="004B5681" w:rsidP="00E560F9">
      <w:pPr>
        <w:ind w:left="60"/>
        <w:rPr>
          <w:rFonts w:ascii="Arial" w:hAnsi="Arial" w:cs="Arial"/>
          <w:color w:val="000000" w:themeColor="text1"/>
          <w:sz w:val="20"/>
          <w:szCs w:val="20"/>
        </w:rPr>
      </w:pPr>
    </w:p>
    <w:p w14:paraId="3EC46890" w14:textId="692060D6"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lastRenderedPageBreak/>
        <w:t xml:space="preserve">Hillyard, P. (2010) What is Terrorism? Available at: </w:t>
      </w:r>
      <w:hyperlink r:id="rId18" w:history="1">
        <w:r w:rsidRPr="00E560F9">
          <w:rPr>
            <w:rStyle w:val="Hyperlink"/>
            <w:rFonts w:ascii="Arial" w:hAnsi="Arial" w:cs="Arial"/>
            <w:color w:val="000000" w:themeColor="text1"/>
            <w:sz w:val="20"/>
            <w:szCs w:val="20"/>
          </w:rPr>
          <w:t>https://www.cato-unbound.org/2010/02/09/paddy-hillyard/what-terrorism</w:t>
        </w:r>
      </w:hyperlink>
      <w:r w:rsidRPr="00E560F9">
        <w:rPr>
          <w:rFonts w:ascii="Arial" w:hAnsi="Arial" w:cs="Arial"/>
          <w:color w:val="000000" w:themeColor="text1"/>
          <w:sz w:val="20"/>
          <w:szCs w:val="20"/>
        </w:rPr>
        <w:t xml:space="preserve"> (Accessed: 8 February 2021).</w:t>
      </w:r>
    </w:p>
    <w:p w14:paraId="1A2FD6F9" w14:textId="77777777" w:rsidR="004B5681" w:rsidRPr="00E560F9" w:rsidRDefault="004B5681" w:rsidP="00E560F9">
      <w:pPr>
        <w:pStyle w:val="ListParagraph"/>
        <w:rPr>
          <w:rFonts w:ascii="Arial" w:eastAsia="Times New Roman" w:hAnsi="Arial" w:cs="Arial"/>
          <w:color w:val="000000" w:themeColor="text1"/>
          <w:sz w:val="20"/>
          <w:szCs w:val="20"/>
          <w:lang w:eastAsia="en-GB"/>
        </w:rPr>
      </w:pPr>
    </w:p>
    <w:p w14:paraId="0FEC2B84" w14:textId="17AFA1AB"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Hodgson, J. and Tadros, V. (2013) ‘The Impossibility of Defining Terrorism’, </w:t>
      </w:r>
      <w:r w:rsidRPr="00E560F9">
        <w:rPr>
          <w:rFonts w:ascii="Arial" w:hAnsi="Arial" w:cs="Arial"/>
          <w:i/>
          <w:iCs/>
          <w:color w:val="000000" w:themeColor="text1"/>
          <w:sz w:val="20"/>
          <w:szCs w:val="20"/>
        </w:rPr>
        <w:t xml:space="preserve">New Criminal Law Review: An International and Interdisciplinary Journal, </w:t>
      </w:r>
      <w:r w:rsidRPr="00E560F9">
        <w:rPr>
          <w:rFonts w:ascii="Arial" w:hAnsi="Arial" w:cs="Arial"/>
          <w:color w:val="000000" w:themeColor="text1"/>
          <w:sz w:val="20"/>
          <w:szCs w:val="20"/>
        </w:rPr>
        <w:t xml:space="preserve">16(3), pp. 494-526. Available at: </w:t>
      </w:r>
      <w:hyperlink r:id="rId19" w:history="1">
        <w:r w:rsidRPr="00E560F9">
          <w:rPr>
            <w:rStyle w:val="Hyperlink"/>
            <w:rFonts w:ascii="Arial" w:hAnsi="Arial" w:cs="Arial"/>
            <w:color w:val="000000" w:themeColor="text1"/>
            <w:sz w:val="20"/>
            <w:szCs w:val="20"/>
          </w:rPr>
          <w:t>https://www.jstor.org/stable/10.1525/nclr.2013.16.3.494?seq=1</w:t>
        </w:r>
      </w:hyperlink>
      <w:r w:rsidRPr="00E560F9">
        <w:rPr>
          <w:rFonts w:ascii="Arial" w:hAnsi="Arial" w:cs="Arial"/>
          <w:color w:val="000000" w:themeColor="text1"/>
          <w:sz w:val="20"/>
          <w:szCs w:val="20"/>
        </w:rPr>
        <w:t xml:space="preserve"> (Accessed: 8 February 2021). </w:t>
      </w:r>
    </w:p>
    <w:p w14:paraId="47D9D11F" w14:textId="77777777" w:rsidR="004B5681" w:rsidRPr="00E560F9" w:rsidRDefault="004B5681" w:rsidP="00E560F9">
      <w:pPr>
        <w:rPr>
          <w:rFonts w:ascii="Arial" w:hAnsi="Arial" w:cs="Arial"/>
          <w:color w:val="000000" w:themeColor="text1"/>
          <w:sz w:val="20"/>
          <w:szCs w:val="20"/>
        </w:rPr>
      </w:pPr>
    </w:p>
    <w:p w14:paraId="724E1A34" w14:textId="0AF1C8A1"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Home Office (2020) Proscribed Terrorist Groups or Organisations. Available at: </w:t>
      </w:r>
      <w:hyperlink r:id="rId20" w:history="1">
        <w:r w:rsidRPr="00E560F9">
          <w:rPr>
            <w:rStyle w:val="Hyperlink"/>
            <w:rFonts w:ascii="Arial" w:hAnsi="Arial" w:cs="Arial"/>
            <w:color w:val="000000" w:themeColor="text1"/>
            <w:sz w:val="20"/>
            <w:szCs w:val="20"/>
          </w:rPr>
          <w:t>https://www.gov.uk/government/publications/proscribed-terror-groups-or-organisations--2</w:t>
        </w:r>
      </w:hyperlink>
      <w:r w:rsidRPr="00E560F9">
        <w:rPr>
          <w:rFonts w:ascii="Arial" w:hAnsi="Arial" w:cs="Arial"/>
          <w:color w:val="000000" w:themeColor="text1"/>
          <w:sz w:val="20"/>
          <w:szCs w:val="20"/>
        </w:rPr>
        <w:t xml:space="preserve"> (Accessed: 8 February 2021).</w:t>
      </w:r>
    </w:p>
    <w:p w14:paraId="78AA8B3F" w14:textId="77777777" w:rsidR="004B5681" w:rsidRPr="00E560F9" w:rsidRDefault="004B5681" w:rsidP="00E560F9">
      <w:pPr>
        <w:rPr>
          <w:rFonts w:ascii="Arial" w:hAnsi="Arial" w:cs="Arial"/>
          <w:color w:val="000000" w:themeColor="text1"/>
          <w:sz w:val="20"/>
          <w:szCs w:val="20"/>
        </w:rPr>
      </w:pPr>
    </w:p>
    <w:p w14:paraId="39502006" w14:textId="5D35BF44"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Home Office (2021) Independent Review of Prevent. Available at: </w:t>
      </w:r>
      <w:hyperlink r:id="rId21" w:history="1">
        <w:r w:rsidRPr="00E560F9">
          <w:rPr>
            <w:rStyle w:val="Hyperlink"/>
            <w:rFonts w:ascii="Arial" w:hAnsi="Arial" w:cs="Arial"/>
            <w:color w:val="000000" w:themeColor="text1"/>
            <w:sz w:val="20"/>
            <w:szCs w:val="20"/>
          </w:rPr>
          <w:t>https://www.gov.uk/government/collections/independent-review-of-prevent</w:t>
        </w:r>
      </w:hyperlink>
      <w:r w:rsidRPr="00E560F9">
        <w:rPr>
          <w:rFonts w:ascii="Arial" w:hAnsi="Arial" w:cs="Arial"/>
          <w:color w:val="000000" w:themeColor="text1"/>
          <w:sz w:val="20"/>
          <w:szCs w:val="20"/>
        </w:rPr>
        <w:t xml:space="preserve"> (Accessed: 8 February 2021). </w:t>
      </w:r>
    </w:p>
    <w:p w14:paraId="71F76EBD" w14:textId="77777777" w:rsidR="004B5681" w:rsidRPr="00E560F9" w:rsidRDefault="004B5681" w:rsidP="00E560F9">
      <w:pPr>
        <w:rPr>
          <w:rFonts w:ascii="Arial" w:hAnsi="Arial" w:cs="Arial"/>
          <w:color w:val="000000" w:themeColor="text1"/>
          <w:sz w:val="20"/>
          <w:szCs w:val="20"/>
        </w:rPr>
      </w:pPr>
    </w:p>
    <w:p w14:paraId="51E945A5" w14:textId="6C6E857E"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Jasanoff, M. (2008) ‘The Other Side of Revolution: Loyalists in the British Empire’, </w:t>
      </w:r>
      <w:r w:rsidRPr="00E560F9">
        <w:rPr>
          <w:rFonts w:ascii="Arial" w:hAnsi="Arial" w:cs="Arial"/>
          <w:i/>
          <w:iCs/>
          <w:color w:val="000000" w:themeColor="text1"/>
          <w:sz w:val="20"/>
          <w:szCs w:val="20"/>
        </w:rPr>
        <w:t xml:space="preserve">The William and Mary Quarterly, </w:t>
      </w:r>
      <w:r w:rsidRPr="00E560F9">
        <w:rPr>
          <w:rFonts w:ascii="Arial" w:hAnsi="Arial" w:cs="Arial"/>
          <w:color w:val="000000" w:themeColor="text1"/>
          <w:sz w:val="20"/>
          <w:szCs w:val="20"/>
        </w:rPr>
        <w:t xml:space="preserve">65(2), pp. 205-232. Available at: </w:t>
      </w:r>
      <w:hyperlink r:id="rId22" w:history="1">
        <w:r w:rsidRPr="00E560F9">
          <w:rPr>
            <w:rStyle w:val="Hyperlink"/>
            <w:rFonts w:ascii="Arial" w:hAnsi="Arial" w:cs="Arial"/>
            <w:color w:val="000000" w:themeColor="text1"/>
            <w:sz w:val="20"/>
            <w:szCs w:val="20"/>
          </w:rPr>
          <w:t>https://www.jstor.org/stable/25096784?seq=1</w:t>
        </w:r>
      </w:hyperlink>
      <w:r w:rsidRPr="00E560F9">
        <w:rPr>
          <w:rFonts w:ascii="Arial" w:hAnsi="Arial" w:cs="Arial"/>
          <w:color w:val="000000" w:themeColor="text1"/>
          <w:sz w:val="20"/>
          <w:szCs w:val="20"/>
        </w:rPr>
        <w:t xml:space="preserve"> (Accessed: 8 February 2021). </w:t>
      </w:r>
    </w:p>
    <w:p w14:paraId="670416E0" w14:textId="77777777" w:rsidR="004B5681" w:rsidRPr="00E560F9" w:rsidRDefault="004B5681" w:rsidP="00E560F9">
      <w:pPr>
        <w:rPr>
          <w:rFonts w:ascii="Arial" w:hAnsi="Arial" w:cs="Arial"/>
          <w:color w:val="000000" w:themeColor="text1"/>
          <w:sz w:val="20"/>
          <w:szCs w:val="20"/>
        </w:rPr>
      </w:pPr>
    </w:p>
    <w:p w14:paraId="7D219F02" w14:textId="0B831D75"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Kennedy, L. (2008) Was There an Irish War of Independence? Available at: </w:t>
      </w:r>
      <w:hyperlink r:id="rId23" w:history="1">
        <w:r w:rsidRPr="00E560F9">
          <w:rPr>
            <w:rStyle w:val="Hyperlink"/>
            <w:rFonts w:ascii="Arial" w:hAnsi="Arial" w:cs="Arial"/>
            <w:color w:val="000000" w:themeColor="text1"/>
            <w:sz w:val="20"/>
            <w:szCs w:val="20"/>
          </w:rPr>
          <w:t>https://www.qub.ac.uk/sites/irishhistorylive/IrishHistoryResources/Articlesandlecturesbyourteachingstaff/WasthereanIrishWarofIndependence/</w:t>
        </w:r>
      </w:hyperlink>
      <w:r w:rsidRPr="00E560F9">
        <w:rPr>
          <w:rFonts w:ascii="Arial" w:hAnsi="Arial" w:cs="Arial"/>
          <w:color w:val="000000" w:themeColor="text1"/>
          <w:sz w:val="20"/>
          <w:szCs w:val="20"/>
        </w:rPr>
        <w:t xml:space="preserve"> (Accessed: 8 February 2021). </w:t>
      </w:r>
    </w:p>
    <w:p w14:paraId="400DCD99" w14:textId="77777777" w:rsidR="004B5681" w:rsidRPr="00E560F9" w:rsidRDefault="004B5681" w:rsidP="00E560F9">
      <w:pPr>
        <w:rPr>
          <w:rFonts w:ascii="Arial" w:hAnsi="Arial" w:cs="Arial"/>
          <w:color w:val="000000" w:themeColor="text1"/>
          <w:sz w:val="20"/>
          <w:szCs w:val="20"/>
        </w:rPr>
      </w:pPr>
    </w:p>
    <w:p w14:paraId="0DDE084A" w14:textId="22598624"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Lesser, I., Hoffman, B., Arquilla, J., Ronfeldt, D., Zanini, M. and Jenkins, B. (1999) </w:t>
      </w:r>
      <w:r w:rsidRPr="00E560F9">
        <w:rPr>
          <w:rFonts w:ascii="Arial" w:hAnsi="Arial" w:cs="Arial"/>
          <w:i/>
          <w:iCs/>
          <w:color w:val="000000" w:themeColor="text1"/>
          <w:sz w:val="20"/>
          <w:szCs w:val="20"/>
        </w:rPr>
        <w:t xml:space="preserve">Countering the New Terrorism. </w:t>
      </w:r>
      <w:r w:rsidRPr="00E560F9">
        <w:rPr>
          <w:rFonts w:ascii="Arial" w:hAnsi="Arial" w:cs="Arial"/>
          <w:color w:val="000000" w:themeColor="text1"/>
          <w:sz w:val="20"/>
          <w:szCs w:val="20"/>
        </w:rPr>
        <w:t>Rand Corporation: Santa Monica. Available at:</w:t>
      </w:r>
      <w:r w:rsidRPr="00E560F9">
        <w:rPr>
          <w:rFonts w:ascii="Arial" w:hAnsi="Arial" w:cs="Arial"/>
          <w:color w:val="000000" w:themeColor="text1"/>
          <w:sz w:val="20"/>
          <w:szCs w:val="20"/>
          <w:shd w:val="clear" w:color="auto" w:fill="FFFFFF"/>
        </w:rPr>
        <w:t xml:space="preserve"> </w:t>
      </w:r>
      <w:hyperlink r:id="rId24" w:history="1">
        <w:r w:rsidRPr="00E560F9">
          <w:rPr>
            <w:rStyle w:val="Hyperlink"/>
            <w:rFonts w:ascii="Arial" w:hAnsi="Arial" w:cs="Arial"/>
            <w:color w:val="000000" w:themeColor="text1"/>
            <w:sz w:val="20"/>
            <w:szCs w:val="20"/>
            <w:shd w:val="clear" w:color="auto" w:fill="FFFFFF"/>
          </w:rPr>
          <w:t>https://www.rand.org/pubs/monograph_reports/MR989.html</w:t>
        </w:r>
      </w:hyperlink>
      <w:r w:rsidRPr="00E560F9">
        <w:rPr>
          <w:rFonts w:ascii="Arial" w:hAnsi="Arial" w:cs="Arial"/>
          <w:color w:val="000000" w:themeColor="text1"/>
          <w:sz w:val="20"/>
          <w:szCs w:val="20"/>
          <w:shd w:val="clear" w:color="auto" w:fill="FFFFFF"/>
        </w:rPr>
        <w:t xml:space="preserve">. (Accessed: 8 February 2021). </w:t>
      </w:r>
    </w:p>
    <w:p w14:paraId="5F7BE3ED" w14:textId="77777777" w:rsidR="004B5681" w:rsidRPr="00E560F9" w:rsidRDefault="004B5681" w:rsidP="00E560F9">
      <w:pPr>
        <w:rPr>
          <w:rFonts w:ascii="Arial" w:hAnsi="Arial" w:cs="Arial"/>
          <w:color w:val="000000" w:themeColor="text1"/>
          <w:sz w:val="20"/>
          <w:szCs w:val="20"/>
        </w:rPr>
      </w:pPr>
    </w:p>
    <w:p w14:paraId="19F0BC67" w14:textId="469D13E9"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Mulvihill, D. (2001) ‘The Legality of the Pardoning of Paramilitaries under the Early Release Provisions of Northern Ireland’s Good Friday Agreement’, </w:t>
      </w:r>
      <w:r w:rsidRPr="00E560F9">
        <w:rPr>
          <w:rFonts w:ascii="Arial" w:hAnsi="Arial" w:cs="Arial"/>
          <w:i/>
          <w:iCs/>
          <w:color w:val="000000" w:themeColor="text1"/>
          <w:sz w:val="20"/>
          <w:szCs w:val="20"/>
        </w:rPr>
        <w:t xml:space="preserve">Cornell International Law Journal, </w:t>
      </w:r>
      <w:r w:rsidRPr="00E560F9">
        <w:rPr>
          <w:rFonts w:ascii="Arial" w:hAnsi="Arial" w:cs="Arial"/>
          <w:color w:val="000000" w:themeColor="text1"/>
          <w:sz w:val="20"/>
          <w:szCs w:val="20"/>
        </w:rPr>
        <w:t xml:space="preserve">34(1), pp.228-255. Available at: </w:t>
      </w:r>
      <w:hyperlink r:id="rId25" w:history="1">
        <w:r w:rsidRPr="00E560F9">
          <w:rPr>
            <w:rStyle w:val="Hyperlink"/>
            <w:rFonts w:ascii="Arial" w:hAnsi="Arial" w:cs="Arial"/>
            <w:color w:val="000000" w:themeColor="text1"/>
            <w:sz w:val="20"/>
            <w:szCs w:val="20"/>
          </w:rPr>
          <w:t>https://scholarship.law.cornell.edu/cgi/viewcontent.cgi?article=1480&amp;context=cilj</w:t>
        </w:r>
      </w:hyperlink>
      <w:r w:rsidRPr="00E560F9">
        <w:rPr>
          <w:rFonts w:ascii="Arial" w:hAnsi="Arial" w:cs="Arial"/>
          <w:color w:val="000000" w:themeColor="text1"/>
          <w:sz w:val="20"/>
          <w:szCs w:val="20"/>
        </w:rPr>
        <w:t xml:space="preserve"> (Accessed: 8 February 2021). </w:t>
      </w:r>
    </w:p>
    <w:p w14:paraId="1311AFE8" w14:textId="77777777" w:rsidR="004B5681" w:rsidRPr="00E560F9" w:rsidRDefault="004B5681" w:rsidP="00E560F9">
      <w:pPr>
        <w:rPr>
          <w:rFonts w:ascii="Arial" w:hAnsi="Arial" w:cs="Arial"/>
          <w:color w:val="000000" w:themeColor="text1"/>
          <w:sz w:val="20"/>
          <w:szCs w:val="20"/>
        </w:rPr>
      </w:pPr>
    </w:p>
    <w:p w14:paraId="437873C4" w14:textId="139A7518"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Mumford, A. (2015) How Terrorist Groups ‘Learn’. Available at: </w:t>
      </w:r>
      <w:hyperlink r:id="rId26" w:history="1">
        <w:r w:rsidRPr="00E560F9">
          <w:rPr>
            <w:rStyle w:val="Hyperlink"/>
            <w:rFonts w:ascii="Arial" w:hAnsi="Arial" w:cs="Arial"/>
            <w:color w:val="000000" w:themeColor="text1"/>
            <w:sz w:val="20"/>
            <w:szCs w:val="20"/>
          </w:rPr>
          <w:t>https://www.thebritishacademy.ac.uk/documents/728/BAR26-08-Mumford.pdf</w:t>
        </w:r>
      </w:hyperlink>
      <w:r w:rsidRPr="00E560F9">
        <w:rPr>
          <w:rFonts w:ascii="Arial" w:hAnsi="Arial" w:cs="Arial"/>
          <w:color w:val="000000" w:themeColor="text1"/>
          <w:sz w:val="20"/>
          <w:szCs w:val="20"/>
        </w:rPr>
        <w:t xml:space="preserve"> (Accessed: 8 February 2021). </w:t>
      </w:r>
    </w:p>
    <w:p w14:paraId="278ADA62" w14:textId="77777777" w:rsidR="004B5681" w:rsidRPr="00E560F9" w:rsidRDefault="004B5681" w:rsidP="00E560F9">
      <w:pPr>
        <w:rPr>
          <w:rFonts w:ascii="Arial" w:hAnsi="Arial" w:cs="Arial"/>
          <w:color w:val="000000" w:themeColor="text1"/>
          <w:sz w:val="20"/>
          <w:szCs w:val="20"/>
        </w:rPr>
      </w:pPr>
    </w:p>
    <w:p w14:paraId="7EFDF074" w14:textId="267DB634"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Netanyahu, B. (1987) </w:t>
      </w:r>
      <w:r w:rsidRPr="00E560F9">
        <w:rPr>
          <w:rFonts w:ascii="Arial" w:hAnsi="Arial" w:cs="Arial"/>
          <w:i/>
          <w:iCs/>
          <w:color w:val="000000" w:themeColor="text1"/>
          <w:sz w:val="20"/>
          <w:szCs w:val="20"/>
        </w:rPr>
        <w:t xml:space="preserve">Terrorism: How the West Can Win. </w:t>
      </w:r>
      <w:r w:rsidRPr="00E560F9">
        <w:rPr>
          <w:rFonts w:ascii="Arial" w:hAnsi="Arial" w:cs="Arial"/>
          <w:color w:val="000000" w:themeColor="text1"/>
          <w:sz w:val="20"/>
          <w:szCs w:val="20"/>
        </w:rPr>
        <w:t xml:space="preserve">New York: Avon. </w:t>
      </w:r>
    </w:p>
    <w:p w14:paraId="3FC3BA7D" w14:textId="77777777" w:rsidR="004B5681" w:rsidRPr="00E560F9" w:rsidRDefault="004B5681" w:rsidP="00E560F9">
      <w:pPr>
        <w:rPr>
          <w:rFonts w:ascii="Arial" w:hAnsi="Arial" w:cs="Arial"/>
          <w:color w:val="000000" w:themeColor="text1"/>
          <w:sz w:val="20"/>
          <w:szCs w:val="20"/>
        </w:rPr>
      </w:pPr>
    </w:p>
    <w:p w14:paraId="6EFE9291" w14:textId="41B24906"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Page, C. (2011) NI Internment Remembered 40 Years On. Available at: </w:t>
      </w:r>
      <w:hyperlink r:id="rId27" w:history="1">
        <w:r w:rsidRPr="00E560F9">
          <w:rPr>
            <w:rStyle w:val="Hyperlink"/>
            <w:rFonts w:ascii="Arial" w:hAnsi="Arial" w:cs="Arial"/>
            <w:color w:val="000000" w:themeColor="text1"/>
            <w:sz w:val="20"/>
            <w:szCs w:val="20"/>
          </w:rPr>
          <w:t>https://www.bbc.co.uk/news/uk-northern-ireland-14458270</w:t>
        </w:r>
      </w:hyperlink>
      <w:r w:rsidRPr="00E560F9">
        <w:rPr>
          <w:rFonts w:ascii="Arial" w:hAnsi="Arial" w:cs="Arial"/>
          <w:color w:val="000000" w:themeColor="text1"/>
          <w:sz w:val="20"/>
          <w:szCs w:val="20"/>
        </w:rPr>
        <w:t xml:space="preserve"> (Accessed: 8 February 2021).</w:t>
      </w:r>
    </w:p>
    <w:p w14:paraId="6FA84C22" w14:textId="77777777" w:rsidR="004B5681" w:rsidRPr="00E560F9" w:rsidRDefault="004B5681" w:rsidP="00E560F9">
      <w:pPr>
        <w:pStyle w:val="ListParagraph"/>
        <w:rPr>
          <w:rFonts w:ascii="Arial" w:eastAsia="Times New Roman" w:hAnsi="Arial" w:cs="Arial"/>
          <w:color w:val="000000" w:themeColor="text1"/>
          <w:sz w:val="20"/>
          <w:szCs w:val="20"/>
          <w:lang w:eastAsia="en-GB"/>
        </w:rPr>
      </w:pPr>
    </w:p>
    <w:p w14:paraId="3749AB67" w14:textId="0C6ED8CA"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Saul, B. (2006) </w:t>
      </w:r>
      <w:r w:rsidRPr="00E560F9">
        <w:rPr>
          <w:rFonts w:ascii="Arial" w:hAnsi="Arial" w:cs="Arial"/>
          <w:i/>
          <w:iCs/>
          <w:color w:val="000000" w:themeColor="text1"/>
          <w:sz w:val="20"/>
          <w:szCs w:val="20"/>
        </w:rPr>
        <w:t xml:space="preserve">Defining Terrorism in International Law. </w:t>
      </w:r>
      <w:r w:rsidRPr="00E560F9">
        <w:rPr>
          <w:rFonts w:ascii="Arial" w:hAnsi="Arial" w:cs="Arial"/>
          <w:color w:val="000000" w:themeColor="text1"/>
          <w:sz w:val="20"/>
          <w:szCs w:val="20"/>
        </w:rPr>
        <w:t xml:space="preserve">Oxford University Press: Oxford. </w:t>
      </w:r>
    </w:p>
    <w:p w14:paraId="137F80AC" w14:textId="77777777" w:rsidR="004B5681" w:rsidRPr="00E560F9" w:rsidRDefault="004B5681" w:rsidP="00E560F9">
      <w:pPr>
        <w:rPr>
          <w:rFonts w:ascii="Arial" w:hAnsi="Arial" w:cs="Arial"/>
          <w:color w:val="000000" w:themeColor="text1"/>
          <w:sz w:val="20"/>
          <w:szCs w:val="20"/>
        </w:rPr>
      </w:pPr>
    </w:p>
    <w:p w14:paraId="20416975" w14:textId="00138277"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Schmid, A. (2004) ‘Terrorism – The Definitional Problem’, </w:t>
      </w:r>
      <w:r w:rsidRPr="00E560F9">
        <w:rPr>
          <w:rFonts w:ascii="Arial" w:hAnsi="Arial" w:cs="Arial"/>
          <w:i/>
          <w:iCs/>
          <w:color w:val="000000" w:themeColor="text1"/>
          <w:sz w:val="20"/>
          <w:szCs w:val="20"/>
        </w:rPr>
        <w:t xml:space="preserve">Case Western Reserve Journal of International Law, </w:t>
      </w:r>
      <w:r w:rsidRPr="00E560F9">
        <w:rPr>
          <w:rFonts w:ascii="Arial" w:hAnsi="Arial" w:cs="Arial"/>
          <w:color w:val="000000" w:themeColor="text1"/>
          <w:sz w:val="20"/>
          <w:szCs w:val="20"/>
        </w:rPr>
        <w:t xml:space="preserve">36(2), pp. 375- 419. Available at: </w:t>
      </w:r>
      <w:hyperlink r:id="rId28" w:history="1">
        <w:r w:rsidRPr="00E560F9">
          <w:rPr>
            <w:rStyle w:val="Hyperlink"/>
            <w:rFonts w:ascii="Arial" w:hAnsi="Arial" w:cs="Arial"/>
            <w:color w:val="000000" w:themeColor="text1"/>
            <w:sz w:val="20"/>
            <w:szCs w:val="20"/>
          </w:rPr>
          <w:t>https://core.ac.uk/download/pdf/214078705.pdf</w:t>
        </w:r>
      </w:hyperlink>
      <w:r w:rsidRPr="00E560F9">
        <w:rPr>
          <w:rFonts w:ascii="Arial" w:hAnsi="Arial" w:cs="Arial"/>
          <w:color w:val="000000" w:themeColor="text1"/>
          <w:sz w:val="20"/>
          <w:szCs w:val="20"/>
        </w:rPr>
        <w:t xml:space="preserve"> (Accessed: 8 February 2021).</w:t>
      </w:r>
    </w:p>
    <w:p w14:paraId="0780C721" w14:textId="77777777" w:rsidR="004B5681" w:rsidRPr="00E560F9" w:rsidRDefault="004B5681" w:rsidP="00E560F9">
      <w:pPr>
        <w:rPr>
          <w:rFonts w:ascii="Arial" w:hAnsi="Arial" w:cs="Arial"/>
          <w:color w:val="000000" w:themeColor="text1"/>
          <w:sz w:val="20"/>
          <w:szCs w:val="20"/>
        </w:rPr>
      </w:pPr>
    </w:p>
    <w:p w14:paraId="08777B95" w14:textId="4EC7C386"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Simpson, P. (1986) ‘Just War Theory and the IRA’, </w:t>
      </w:r>
      <w:r w:rsidRPr="00E560F9">
        <w:rPr>
          <w:rFonts w:ascii="Arial" w:hAnsi="Arial" w:cs="Arial"/>
          <w:i/>
          <w:iCs/>
          <w:color w:val="000000" w:themeColor="text1"/>
          <w:sz w:val="20"/>
          <w:szCs w:val="20"/>
        </w:rPr>
        <w:t xml:space="preserve">Journal of Applied Philosophy, </w:t>
      </w:r>
      <w:r w:rsidRPr="00E560F9">
        <w:rPr>
          <w:rFonts w:ascii="Arial" w:hAnsi="Arial" w:cs="Arial"/>
          <w:color w:val="000000" w:themeColor="text1"/>
          <w:sz w:val="20"/>
          <w:szCs w:val="20"/>
        </w:rPr>
        <w:t xml:space="preserve">3(1), pp. 73-88. Available at </w:t>
      </w:r>
      <w:hyperlink r:id="rId29" w:history="1">
        <w:r w:rsidRPr="00E560F9">
          <w:rPr>
            <w:rStyle w:val="Hyperlink"/>
            <w:rFonts w:ascii="Arial" w:hAnsi="Arial" w:cs="Arial"/>
            <w:color w:val="000000" w:themeColor="text1"/>
            <w:spacing w:val="-5"/>
            <w:sz w:val="20"/>
            <w:szCs w:val="20"/>
            <w:shd w:val="clear" w:color="auto" w:fill="FFFFFF"/>
          </w:rPr>
          <w:t>www.jstor.org/stable/24353474</w:t>
        </w:r>
      </w:hyperlink>
      <w:r w:rsidRPr="00E560F9">
        <w:rPr>
          <w:rFonts w:ascii="Arial" w:hAnsi="Arial" w:cs="Arial"/>
          <w:color w:val="000000" w:themeColor="text1"/>
          <w:spacing w:val="-5"/>
          <w:sz w:val="20"/>
          <w:szCs w:val="20"/>
          <w:shd w:val="clear" w:color="auto" w:fill="FFFFFF"/>
        </w:rPr>
        <w:t>.</w:t>
      </w:r>
      <w:r w:rsidRPr="00E560F9">
        <w:rPr>
          <w:rFonts w:ascii="Arial" w:hAnsi="Arial" w:cs="Arial"/>
          <w:color w:val="000000" w:themeColor="text1"/>
          <w:sz w:val="20"/>
          <w:szCs w:val="20"/>
        </w:rPr>
        <w:t xml:space="preserve"> (Accessed: 8 February 2021).</w:t>
      </w:r>
    </w:p>
    <w:p w14:paraId="60A4C870" w14:textId="77777777" w:rsidR="004B5681" w:rsidRPr="00E560F9" w:rsidRDefault="004B5681" w:rsidP="00E560F9">
      <w:pPr>
        <w:rPr>
          <w:rFonts w:ascii="Arial" w:hAnsi="Arial" w:cs="Arial"/>
          <w:color w:val="000000" w:themeColor="text1"/>
          <w:sz w:val="20"/>
          <w:szCs w:val="20"/>
        </w:rPr>
      </w:pPr>
    </w:p>
    <w:p w14:paraId="6ACCC0F1" w14:textId="6EFD72F3"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Staunton, D. (2017) Jeremy Corbyn Says IRA Were Terrorists. Available at: </w:t>
      </w:r>
      <w:hyperlink r:id="rId30" w:history="1">
        <w:r w:rsidRPr="00E560F9">
          <w:rPr>
            <w:rStyle w:val="Hyperlink"/>
            <w:rFonts w:ascii="Arial" w:hAnsi="Arial" w:cs="Arial"/>
            <w:color w:val="000000" w:themeColor="text1"/>
            <w:sz w:val="20"/>
            <w:szCs w:val="20"/>
          </w:rPr>
          <w:t>https://www.irishtimes.com/news/world/uk/jeremy-corbyn-says-ira-were-terrorists-1.3091883</w:t>
        </w:r>
      </w:hyperlink>
      <w:r w:rsidRPr="00E560F9">
        <w:rPr>
          <w:rFonts w:ascii="Arial" w:hAnsi="Arial" w:cs="Arial"/>
          <w:color w:val="000000" w:themeColor="text1"/>
          <w:sz w:val="20"/>
          <w:szCs w:val="20"/>
        </w:rPr>
        <w:t xml:space="preserve"> (Accessed: 8 February 2021). </w:t>
      </w:r>
    </w:p>
    <w:p w14:paraId="0C2FC5F2" w14:textId="77777777" w:rsidR="004B5681" w:rsidRPr="00E560F9" w:rsidRDefault="004B5681" w:rsidP="00E560F9">
      <w:pPr>
        <w:rPr>
          <w:rFonts w:ascii="Arial" w:hAnsi="Arial" w:cs="Arial"/>
          <w:color w:val="000000" w:themeColor="text1"/>
          <w:sz w:val="20"/>
          <w:szCs w:val="20"/>
        </w:rPr>
      </w:pPr>
    </w:p>
    <w:p w14:paraId="4C12D822" w14:textId="6DCEC945"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Teichman, J. (1989) ‘How to Define Terrorism’, </w:t>
      </w:r>
      <w:r w:rsidRPr="00E560F9">
        <w:rPr>
          <w:rFonts w:ascii="Arial" w:hAnsi="Arial" w:cs="Arial"/>
          <w:i/>
          <w:iCs/>
          <w:color w:val="000000" w:themeColor="text1"/>
          <w:sz w:val="20"/>
          <w:szCs w:val="20"/>
        </w:rPr>
        <w:t xml:space="preserve">Philosophy, </w:t>
      </w:r>
      <w:r w:rsidRPr="00E560F9">
        <w:rPr>
          <w:rFonts w:ascii="Arial" w:hAnsi="Arial" w:cs="Arial"/>
          <w:color w:val="000000" w:themeColor="text1"/>
          <w:sz w:val="20"/>
          <w:szCs w:val="20"/>
        </w:rPr>
        <w:t xml:space="preserve">64(250), pp. 505-517. Available at: </w:t>
      </w:r>
      <w:hyperlink r:id="rId31" w:history="1">
        <w:r w:rsidRPr="00E560F9">
          <w:rPr>
            <w:rStyle w:val="Hyperlink"/>
            <w:rFonts w:ascii="Arial" w:hAnsi="Arial" w:cs="Arial"/>
            <w:color w:val="000000" w:themeColor="text1"/>
            <w:sz w:val="20"/>
            <w:szCs w:val="20"/>
          </w:rPr>
          <w:t>https://www.jstor.org/stable/3751606?seq=1</w:t>
        </w:r>
      </w:hyperlink>
      <w:r w:rsidRPr="00E560F9">
        <w:rPr>
          <w:rFonts w:ascii="Arial" w:hAnsi="Arial" w:cs="Arial"/>
          <w:color w:val="000000" w:themeColor="text1"/>
          <w:sz w:val="20"/>
          <w:szCs w:val="20"/>
        </w:rPr>
        <w:t xml:space="preserve"> (Accessed: 8 February 2021).</w:t>
      </w:r>
    </w:p>
    <w:p w14:paraId="424DD40A" w14:textId="77777777" w:rsidR="004B5681" w:rsidRPr="00E560F9" w:rsidRDefault="004B5681" w:rsidP="00E560F9">
      <w:pPr>
        <w:pStyle w:val="ListParagraph"/>
        <w:rPr>
          <w:rFonts w:ascii="Arial" w:eastAsia="Times New Roman" w:hAnsi="Arial" w:cs="Arial"/>
          <w:color w:val="000000" w:themeColor="text1"/>
          <w:sz w:val="20"/>
          <w:szCs w:val="20"/>
          <w:lang w:eastAsia="en-GB"/>
        </w:rPr>
      </w:pPr>
    </w:p>
    <w:p w14:paraId="310C5CB8" w14:textId="77777777" w:rsidR="004B5681" w:rsidRPr="00E560F9" w:rsidRDefault="004B5681" w:rsidP="00E560F9">
      <w:pPr>
        <w:pStyle w:val="ListParagraph"/>
        <w:rPr>
          <w:rFonts w:ascii="Arial" w:eastAsia="Times New Roman" w:hAnsi="Arial" w:cs="Arial"/>
          <w:color w:val="000000" w:themeColor="text1"/>
          <w:sz w:val="20"/>
          <w:szCs w:val="20"/>
          <w:lang w:eastAsia="en-GB"/>
        </w:rPr>
      </w:pPr>
    </w:p>
    <w:p w14:paraId="1EDA327F" w14:textId="77777777" w:rsidR="007038FB"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lastRenderedPageBreak/>
        <w:t xml:space="preserve">Warrell, H. (2019) Inside Prevent, the UK’s controversial anti-terrorism programme. Available at: </w:t>
      </w:r>
      <w:hyperlink r:id="rId32" w:history="1">
        <w:r w:rsidRPr="00E560F9">
          <w:rPr>
            <w:rStyle w:val="Hyperlink"/>
            <w:rFonts w:ascii="Arial" w:hAnsi="Arial" w:cs="Arial"/>
            <w:color w:val="000000" w:themeColor="text1"/>
            <w:sz w:val="20"/>
            <w:szCs w:val="20"/>
          </w:rPr>
          <w:t>https://www.ft.com/content/a82e18b4-1ea3-11e9-b126-46fc3ad87c65</w:t>
        </w:r>
      </w:hyperlink>
      <w:r w:rsidRPr="00E560F9">
        <w:rPr>
          <w:rFonts w:ascii="Arial" w:hAnsi="Arial" w:cs="Arial"/>
          <w:color w:val="000000" w:themeColor="text1"/>
          <w:sz w:val="20"/>
          <w:szCs w:val="20"/>
        </w:rPr>
        <w:t xml:space="preserve"> (Accessed: 8 February 2021).</w:t>
      </w:r>
    </w:p>
    <w:p w14:paraId="67BA209B" w14:textId="02520017"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Wartchow, L. (2005) ‘Civil and Human Rights Violations in Northern Ireland: Effects and Shortcomings of the Good Friday Agreement in Guaranteeing Protections’, </w:t>
      </w:r>
      <w:r w:rsidRPr="00E560F9">
        <w:rPr>
          <w:rFonts w:ascii="Arial" w:hAnsi="Arial" w:cs="Arial"/>
          <w:i/>
          <w:iCs/>
          <w:color w:val="000000" w:themeColor="text1"/>
          <w:sz w:val="20"/>
          <w:szCs w:val="20"/>
        </w:rPr>
        <w:t xml:space="preserve">Northwestern Journal of International Human Rights, </w:t>
      </w:r>
      <w:r w:rsidRPr="00E560F9">
        <w:rPr>
          <w:rFonts w:ascii="Arial" w:hAnsi="Arial" w:cs="Arial"/>
          <w:color w:val="000000" w:themeColor="text1"/>
          <w:sz w:val="20"/>
          <w:szCs w:val="20"/>
        </w:rPr>
        <w:t xml:space="preserve">3(1). Available at: </w:t>
      </w:r>
      <w:hyperlink r:id="rId33" w:history="1">
        <w:r w:rsidRPr="00E560F9">
          <w:rPr>
            <w:rStyle w:val="Hyperlink"/>
            <w:rFonts w:ascii="Arial" w:hAnsi="Arial" w:cs="Arial"/>
            <w:color w:val="000000" w:themeColor="text1"/>
            <w:sz w:val="20"/>
            <w:szCs w:val="20"/>
          </w:rPr>
          <w:t>https://scholarlycommons.law.northwestern.edu/cgi/viewcontent.cgi?article=1012&amp;context=njihr</w:t>
        </w:r>
      </w:hyperlink>
      <w:r w:rsidRPr="00E560F9">
        <w:rPr>
          <w:rFonts w:ascii="Arial" w:hAnsi="Arial" w:cs="Arial"/>
          <w:color w:val="000000" w:themeColor="text1"/>
          <w:sz w:val="20"/>
          <w:szCs w:val="20"/>
        </w:rPr>
        <w:t xml:space="preserve"> (Accessed: 8 February 2021).</w:t>
      </w:r>
    </w:p>
    <w:p w14:paraId="7E23BBF4" w14:textId="77777777" w:rsidR="004B5681" w:rsidRPr="00E560F9" w:rsidRDefault="004B5681" w:rsidP="00E560F9">
      <w:pPr>
        <w:rPr>
          <w:rFonts w:ascii="Arial" w:hAnsi="Arial" w:cs="Arial"/>
          <w:color w:val="000000" w:themeColor="text1"/>
          <w:sz w:val="20"/>
          <w:szCs w:val="20"/>
        </w:rPr>
      </w:pPr>
    </w:p>
    <w:p w14:paraId="6A81D929" w14:textId="09E3B2C4"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Wells, D. (1969) ‘How Much Can the “Just War” Justify?’, </w:t>
      </w:r>
      <w:r w:rsidRPr="00E560F9">
        <w:rPr>
          <w:rFonts w:ascii="Arial" w:hAnsi="Arial" w:cs="Arial"/>
          <w:i/>
          <w:iCs/>
          <w:color w:val="000000" w:themeColor="text1"/>
          <w:sz w:val="20"/>
          <w:szCs w:val="20"/>
        </w:rPr>
        <w:t xml:space="preserve">The Journal of Philosophy, </w:t>
      </w:r>
      <w:r w:rsidRPr="00E560F9">
        <w:rPr>
          <w:rFonts w:ascii="Arial" w:hAnsi="Arial" w:cs="Arial"/>
          <w:color w:val="000000" w:themeColor="text1"/>
          <w:sz w:val="20"/>
          <w:szCs w:val="20"/>
        </w:rPr>
        <w:t xml:space="preserve">66(23), pp. 819-829. Available at: </w:t>
      </w:r>
      <w:hyperlink r:id="rId34" w:history="1">
        <w:r w:rsidRPr="00E560F9">
          <w:rPr>
            <w:rStyle w:val="Hyperlink"/>
            <w:rFonts w:ascii="Arial" w:hAnsi="Arial" w:cs="Arial"/>
            <w:color w:val="000000" w:themeColor="text1"/>
            <w:sz w:val="20"/>
            <w:szCs w:val="20"/>
          </w:rPr>
          <w:t>https://www.jstor.org/stable/i335675</w:t>
        </w:r>
      </w:hyperlink>
      <w:r w:rsidRPr="00E560F9">
        <w:rPr>
          <w:rFonts w:ascii="Arial" w:hAnsi="Arial" w:cs="Arial"/>
          <w:color w:val="000000" w:themeColor="text1"/>
          <w:sz w:val="20"/>
          <w:szCs w:val="20"/>
        </w:rPr>
        <w:t xml:space="preserve"> (Accessed: 8 February 2021).</w:t>
      </w:r>
    </w:p>
    <w:p w14:paraId="4E2FFC59" w14:textId="77777777" w:rsidR="004B5681" w:rsidRPr="00E560F9" w:rsidRDefault="004B5681" w:rsidP="00E560F9">
      <w:pPr>
        <w:rPr>
          <w:rFonts w:ascii="Arial" w:hAnsi="Arial" w:cs="Arial"/>
          <w:color w:val="000000" w:themeColor="text1"/>
          <w:sz w:val="20"/>
          <w:szCs w:val="20"/>
        </w:rPr>
      </w:pPr>
    </w:p>
    <w:p w14:paraId="1274E798" w14:textId="77777777" w:rsidR="004B5681" w:rsidRPr="00E560F9" w:rsidRDefault="004B5681" w:rsidP="00E560F9">
      <w:pPr>
        <w:ind w:left="360"/>
        <w:rPr>
          <w:rFonts w:ascii="Arial" w:hAnsi="Arial" w:cs="Arial"/>
          <w:color w:val="000000" w:themeColor="text1"/>
          <w:sz w:val="20"/>
          <w:szCs w:val="20"/>
        </w:rPr>
      </w:pPr>
      <w:r w:rsidRPr="00E560F9">
        <w:rPr>
          <w:rFonts w:ascii="Arial" w:hAnsi="Arial" w:cs="Arial"/>
          <w:color w:val="000000" w:themeColor="text1"/>
          <w:sz w:val="20"/>
          <w:szCs w:val="20"/>
        </w:rPr>
        <w:t xml:space="preserve">Whelan, T. (2016) The Capability Spectrum: Location Terrorism in Relation to other Manifestations of Political Violence. Available at: </w:t>
      </w:r>
      <w:hyperlink r:id="rId35" w:history="1">
        <w:r w:rsidRPr="00E560F9">
          <w:rPr>
            <w:rStyle w:val="Hyperlink"/>
            <w:rFonts w:ascii="Arial" w:hAnsi="Arial" w:cs="Arial"/>
            <w:color w:val="000000" w:themeColor="text1"/>
            <w:sz w:val="20"/>
            <w:szCs w:val="20"/>
          </w:rPr>
          <w:t>https://cvir.st-andrews.ac.uk/article/10.15664/jtr.1083/</w:t>
        </w:r>
      </w:hyperlink>
      <w:r w:rsidRPr="00E560F9">
        <w:rPr>
          <w:rFonts w:ascii="Arial" w:hAnsi="Arial" w:cs="Arial"/>
          <w:color w:val="000000" w:themeColor="text1"/>
          <w:sz w:val="20"/>
          <w:szCs w:val="20"/>
        </w:rPr>
        <w:t xml:space="preserve"> (Accessed: 8 February 2021).</w:t>
      </w:r>
    </w:p>
    <w:sectPr w:rsidR="004B5681" w:rsidRPr="00E56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E77BC"/>
    <w:multiLevelType w:val="hybridMultilevel"/>
    <w:tmpl w:val="8E165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81923"/>
    <w:multiLevelType w:val="hybridMultilevel"/>
    <w:tmpl w:val="EFA89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C50475"/>
    <w:multiLevelType w:val="multilevel"/>
    <w:tmpl w:val="5A107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7CA"/>
    <w:rsid w:val="00006562"/>
    <w:rsid w:val="0001570D"/>
    <w:rsid w:val="0003582F"/>
    <w:rsid w:val="00051B1C"/>
    <w:rsid w:val="00056437"/>
    <w:rsid w:val="00061065"/>
    <w:rsid w:val="00070557"/>
    <w:rsid w:val="00074475"/>
    <w:rsid w:val="0008481C"/>
    <w:rsid w:val="000B57CA"/>
    <w:rsid w:val="000C3711"/>
    <w:rsid w:val="001052E8"/>
    <w:rsid w:val="00124443"/>
    <w:rsid w:val="00124860"/>
    <w:rsid w:val="00133318"/>
    <w:rsid w:val="0013764A"/>
    <w:rsid w:val="00147671"/>
    <w:rsid w:val="00150840"/>
    <w:rsid w:val="00150EAC"/>
    <w:rsid w:val="00154730"/>
    <w:rsid w:val="00156B62"/>
    <w:rsid w:val="0016007D"/>
    <w:rsid w:val="00160BDE"/>
    <w:rsid w:val="0016325F"/>
    <w:rsid w:val="00165242"/>
    <w:rsid w:val="00182D9E"/>
    <w:rsid w:val="001D2CD5"/>
    <w:rsid w:val="001D3868"/>
    <w:rsid w:val="001D3B5B"/>
    <w:rsid w:val="001D770C"/>
    <w:rsid w:val="001E5A39"/>
    <w:rsid w:val="002112EC"/>
    <w:rsid w:val="00214761"/>
    <w:rsid w:val="0021782D"/>
    <w:rsid w:val="002346AA"/>
    <w:rsid w:val="00250113"/>
    <w:rsid w:val="00253346"/>
    <w:rsid w:val="00276E2E"/>
    <w:rsid w:val="00286021"/>
    <w:rsid w:val="002A1E26"/>
    <w:rsid w:val="002A2DA9"/>
    <w:rsid w:val="002B274A"/>
    <w:rsid w:val="002D3CD0"/>
    <w:rsid w:val="002D4D59"/>
    <w:rsid w:val="002D7D46"/>
    <w:rsid w:val="003104B2"/>
    <w:rsid w:val="00324A48"/>
    <w:rsid w:val="0034070E"/>
    <w:rsid w:val="00341707"/>
    <w:rsid w:val="00341E9B"/>
    <w:rsid w:val="003445EA"/>
    <w:rsid w:val="00353071"/>
    <w:rsid w:val="00360739"/>
    <w:rsid w:val="00385254"/>
    <w:rsid w:val="0039548C"/>
    <w:rsid w:val="003C166A"/>
    <w:rsid w:val="003F1825"/>
    <w:rsid w:val="0043103B"/>
    <w:rsid w:val="00442D5E"/>
    <w:rsid w:val="00465DC1"/>
    <w:rsid w:val="00470FD8"/>
    <w:rsid w:val="00491FCE"/>
    <w:rsid w:val="0049362A"/>
    <w:rsid w:val="004A584D"/>
    <w:rsid w:val="004A5D01"/>
    <w:rsid w:val="004B5657"/>
    <w:rsid w:val="004B5681"/>
    <w:rsid w:val="004C2EF5"/>
    <w:rsid w:val="004C6254"/>
    <w:rsid w:val="004E590B"/>
    <w:rsid w:val="004F625C"/>
    <w:rsid w:val="00514798"/>
    <w:rsid w:val="005169A1"/>
    <w:rsid w:val="00521875"/>
    <w:rsid w:val="00523DFF"/>
    <w:rsid w:val="00530D82"/>
    <w:rsid w:val="005316C6"/>
    <w:rsid w:val="0055420F"/>
    <w:rsid w:val="00557162"/>
    <w:rsid w:val="0055777A"/>
    <w:rsid w:val="0056162F"/>
    <w:rsid w:val="005743C7"/>
    <w:rsid w:val="005979DF"/>
    <w:rsid w:val="005A08E8"/>
    <w:rsid w:val="005A29DE"/>
    <w:rsid w:val="005A7208"/>
    <w:rsid w:val="005A7CAB"/>
    <w:rsid w:val="005B024D"/>
    <w:rsid w:val="005B7B66"/>
    <w:rsid w:val="005D0A65"/>
    <w:rsid w:val="005D6A37"/>
    <w:rsid w:val="005E6EA1"/>
    <w:rsid w:val="00612AD2"/>
    <w:rsid w:val="00615411"/>
    <w:rsid w:val="00623B78"/>
    <w:rsid w:val="0062648E"/>
    <w:rsid w:val="00631DC1"/>
    <w:rsid w:val="00635162"/>
    <w:rsid w:val="00636DE7"/>
    <w:rsid w:val="00654B14"/>
    <w:rsid w:val="0067064B"/>
    <w:rsid w:val="00693F07"/>
    <w:rsid w:val="006A123C"/>
    <w:rsid w:val="006A28CB"/>
    <w:rsid w:val="006A392F"/>
    <w:rsid w:val="006B3C89"/>
    <w:rsid w:val="006E34F5"/>
    <w:rsid w:val="006F6408"/>
    <w:rsid w:val="007038FB"/>
    <w:rsid w:val="007129C7"/>
    <w:rsid w:val="00713FD4"/>
    <w:rsid w:val="0073207F"/>
    <w:rsid w:val="00746218"/>
    <w:rsid w:val="00760F8B"/>
    <w:rsid w:val="007659E2"/>
    <w:rsid w:val="007724C1"/>
    <w:rsid w:val="00777DD1"/>
    <w:rsid w:val="00797FF8"/>
    <w:rsid w:val="007A65D7"/>
    <w:rsid w:val="007F10DD"/>
    <w:rsid w:val="007F508E"/>
    <w:rsid w:val="008052E4"/>
    <w:rsid w:val="00810846"/>
    <w:rsid w:val="0082078A"/>
    <w:rsid w:val="00843D38"/>
    <w:rsid w:val="00844A85"/>
    <w:rsid w:val="00844E35"/>
    <w:rsid w:val="00863251"/>
    <w:rsid w:val="0086685A"/>
    <w:rsid w:val="00895C10"/>
    <w:rsid w:val="008D16BD"/>
    <w:rsid w:val="008E3017"/>
    <w:rsid w:val="00935BD1"/>
    <w:rsid w:val="00937265"/>
    <w:rsid w:val="0094570B"/>
    <w:rsid w:val="009501DA"/>
    <w:rsid w:val="00950441"/>
    <w:rsid w:val="009728D6"/>
    <w:rsid w:val="00973186"/>
    <w:rsid w:val="00977D1C"/>
    <w:rsid w:val="00987D48"/>
    <w:rsid w:val="009A3FA5"/>
    <w:rsid w:val="009A58AA"/>
    <w:rsid w:val="009D3A12"/>
    <w:rsid w:val="00A0350F"/>
    <w:rsid w:val="00A059D8"/>
    <w:rsid w:val="00A13D8B"/>
    <w:rsid w:val="00A27C81"/>
    <w:rsid w:val="00A34D5A"/>
    <w:rsid w:val="00A37AFC"/>
    <w:rsid w:val="00A40098"/>
    <w:rsid w:val="00A44106"/>
    <w:rsid w:val="00A44DDC"/>
    <w:rsid w:val="00A53EF0"/>
    <w:rsid w:val="00A82518"/>
    <w:rsid w:val="00A92520"/>
    <w:rsid w:val="00AA2534"/>
    <w:rsid w:val="00AA5660"/>
    <w:rsid w:val="00AD40A8"/>
    <w:rsid w:val="00AE06F3"/>
    <w:rsid w:val="00AE2863"/>
    <w:rsid w:val="00B33664"/>
    <w:rsid w:val="00B40F1A"/>
    <w:rsid w:val="00B55A43"/>
    <w:rsid w:val="00B62C38"/>
    <w:rsid w:val="00B665B0"/>
    <w:rsid w:val="00B70882"/>
    <w:rsid w:val="00B75184"/>
    <w:rsid w:val="00BA28B5"/>
    <w:rsid w:val="00BA2ACE"/>
    <w:rsid w:val="00BC1C4B"/>
    <w:rsid w:val="00BD385D"/>
    <w:rsid w:val="00BF216D"/>
    <w:rsid w:val="00C000BC"/>
    <w:rsid w:val="00C02908"/>
    <w:rsid w:val="00C12989"/>
    <w:rsid w:val="00C2757E"/>
    <w:rsid w:val="00C32855"/>
    <w:rsid w:val="00C40895"/>
    <w:rsid w:val="00C47CCD"/>
    <w:rsid w:val="00C57B6A"/>
    <w:rsid w:val="00C77637"/>
    <w:rsid w:val="00C93397"/>
    <w:rsid w:val="00C95375"/>
    <w:rsid w:val="00CA434E"/>
    <w:rsid w:val="00D014E1"/>
    <w:rsid w:val="00D1206E"/>
    <w:rsid w:val="00D4280C"/>
    <w:rsid w:val="00D42E5F"/>
    <w:rsid w:val="00D45DCF"/>
    <w:rsid w:val="00D514A2"/>
    <w:rsid w:val="00D55171"/>
    <w:rsid w:val="00D661E6"/>
    <w:rsid w:val="00D66446"/>
    <w:rsid w:val="00D714B0"/>
    <w:rsid w:val="00D72F4F"/>
    <w:rsid w:val="00D96F8B"/>
    <w:rsid w:val="00DA0BC5"/>
    <w:rsid w:val="00DA0BCC"/>
    <w:rsid w:val="00DB2FB2"/>
    <w:rsid w:val="00DB34C7"/>
    <w:rsid w:val="00DB5A98"/>
    <w:rsid w:val="00DD0CC6"/>
    <w:rsid w:val="00DF4B04"/>
    <w:rsid w:val="00DF5AE1"/>
    <w:rsid w:val="00DF65EA"/>
    <w:rsid w:val="00E03626"/>
    <w:rsid w:val="00E05542"/>
    <w:rsid w:val="00E25C52"/>
    <w:rsid w:val="00E3259A"/>
    <w:rsid w:val="00E35E4D"/>
    <w:rsid w:val="00E4669C"/>
    <w:rsid w:val="00E560F9"/>
    <w:rsid w:val="00E65936"/>
    <w:rsid w:val="00E77FA2"/>
    <w:rsid w:val="00E941E4"/>
    <w:rsid w:val="00EA1B26"/>
    <w:rsid w:val="00EA5756"/>
    <w:rsid w:val="00EC0CD6"/>
    <w:rsid w:val="00EC6D8A"/>
    <w:rsid w:val="00ED751D"/>
    <w:rsid w:val="00F058A8"/>
    <w:rsid w:val="00F07129"/>
    <w:rsid w:val="00F43547"/>
    <w:rsid w:val="00F5618A"/>
    <w:rsid w:val="00F72ACE"/>
    <w:rsid w:val="00FA6127"/>
    <w:rsid w:val="00FB6E32"/>
    <w:rsid w:val="00FC4F1D"/>
    <w:rsid w:val="00FD2AC6"/>
    <w:rsid w:val="00FD7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201680"/>
  <w15:chartTrackingRefBased/>
  <w15:docId w15:val="{A0F2076C-E003-C245-BE1D-51E14C84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FD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058A8"/>
  </w:style>
  <w:style w:type="character" w:styleId="Hyperlink">
    <w:name w:val="Hyperlink"/>
    <w:basedOn w:val="DefaultParagraphFont"/>
    <w:uiPriority w:val="99"/>
    <w:unhideWhenUsed/>
    <w:rsid w:val="00F058A8"/>
    <w:rPr>
      <w:color w:val="0563C1" w:themeColor="hyperlink"/>
      <w:u w:val="single"/>
    </w:rPr>
  </w:style>
  <w:style w:type="character" w:customStyle="1" w:styleId="authors">
    <w:name w:val="authors"/>
    <w:basedOn w:val="DefaultParagraphFont"/>
    <w:rsid w:val="00F058A8"/>
  </w:style>
  <w:style w:type="character" w:customStyle="1" w:styleId="Date1">
    <w:name w:val="Date1"/>
    <w:basedOn w:val="DefaultParagraphFont"/>
    <w:rsid w:val="00F058A8"/>
  </w:style>
  <w:style w:type="character" w:customStyle="1" w:styleId="arttitle">
    <w:name w:val="art_title"/>
    <w:basedOn w:val="DefaultParagraphFont"/>
    <w:rsid w:val="00F058A8"/>
  </w:style>
  <w:style w:type="character" w:customStyle="1" w:styleId="serialtitle">
    <w:name w:val="serial_title"/>
    <w:basedOn w:val="DefaultParagraphFont"/>
    <w:rsid w:val="00F058A8"/>
  </w:style>
  <w:style w:type="character" w:customStyle="1" w:styleId="volumeissue">
    <w:name w:val="volume_issue"/>
    <w:basedOn w:val="DefaultParagraphFont"/>
    <w:rsid w:val="00F058A8"/>
  </w:style>
  <w:style w:type="character" w:customStyle="1" w:styleId="pagerange">
    <w:name w:val="page_range"/>
    <w:basedOn w:val="DefaultParagraphFont"/>
    <w:rsid w:val="00F058A8"/>
  </w:style>
  <w:style w:type="character" w:customStyle="1" w:styleId="doilink">
    <w:name w:val="doi_link"/>
    <w:basedOn w:val="DefaultParagraphFont"/>
    <w:rsid w:val="00F058A8"/>
  </w:style>
  <w:style w:type="paragraph" w:styleId="ListParagraph">
    <w:name w:val="List Paragraph"/>
    <w:basedOn w:val="Normal"/>
    <w:uiPriority w:val="34"/>
    <w:qFormat/>
    <w:rsid w:val="00F058A8"/>
    <w:pPr>
      <w:ind w:left="720"/>
      <w:contextualSpacing/>
    </w:pPr>
    <w:rPr>
      <w:rFonts w:asciiTheme="minorHAnsi" w:eastAsiaTheme="minorHAnsi" w:hAnsiTheme="minorHAnsi" w:cstheme="minorBidi"/>
      <w:lang w:eastAsia="en-US"/>
    </w:rPr>
  </w:style>
  <w:style w:type="character" w:styleId="UnresolvedMention">
    <w:name w:val="Unresolved Mention"/>
    <w:basedOn w:val="DefaultParagraphFont"/>
    <w:uiPriority w:val="99"/>
    <w:semiHidden/>
    <w:unhideWhenUsed/>
    <w:rsid w:val="00C57B6A"/>
    <w:rPr>
      <w:color w:val="605E5C"/>
      <w:shd w:val="clear" w:color="auto" w:fill="E1DFDD"/>
    </w:rPr>
  </w:style>
  <w:style w:type="paragraph" w:styleId="NormalWeb">
    <w:name w:val="Normal (Web)"/>
    <w:basedOn w:val="Normal"/>
    <w:uiPriority w:val="99"/>
    <w:unhideWhenUsed/>
    <w:rsid w:val="001052E8"/>
    <w:pPr>
      <w:spacing w:before="100" w:beforeAutospacing="1" w:after="100" w:afterAutospacing="1"/>
    </w:pPr>
  </w:style>
  <w:style w:type="character" w:styleId="FollowedHyperlink">
    <w:name w:val="FollowedHyperlink"/>
    <w:basedOn w:val="DefaultParagraphFont"/>
    <w:uiPriority w:val="99"/>
    <w:semiHidden/>
    <w:unhideWhenUsed/>
    <w:rsid w:val="006E34F5"/>
    <w:rPr>
      <w:color w:val="954F72" w:themeColor="followedHyperlink"/>
      <w:u w:val="single"/>
    </w:rPr>
  </w:style>
  <w:style w:type="character" w:customStyle="1" w:styleId="css-16f3y1r">
    <w:name w:val="css-16f3y1r"/>
    <w:basedOn w:val="DefaultParagraphFont"/>
    <w:rsid w:val="00D96F8B"/>
  </w:style>
  <w:style w:type="character" w:customStyle="1" w:styleId="Date2">
    <w:name w:val="Date2"/>
    <w:basedOn w:val="DefaultParagraphFont"/>
    <w:rsid w:val="00A44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2124">
      <w:bodyDiv w:val="1"/>
      <w:marLeft w:val="0"/>
      <w:marRight w:val="0"/>
      <w:marTop w:val="0"/>
      <w:marBottom w:val="0"/>
      <w:divBdr>
        <w:top w:val="none" w:sz="0" w:space="0" w:color="auto"/>
        <w:left w:val="none" w:sz="0" w:space="0" w:color="auto"/>
        <w:bottom w:val="none" w:sz="0" w:space="0" w:color="auto"/>
        <w:right w:val="none" w:sz="0" w:space="0" w:color="auto"/>
      </w:divBdr>
    </w:div>
    <w:div w:id="129979439">
      <w:bodyDiv w:val="1"/>
      <w:marLeft w:val="0"/>
      <w:marRight w:val="0"/>
      <w:marTop w:val="0"/>
      <w:marBottom w:val="0"/>
      <w:divBdr>
        <w:top w:val="none" w:sz="0" w:space="0" w:color="auto"/>
        <w:left w:val="none" w:sz="0" w:space="0" w:color="auto"/>
        <w:bottom w:val="none" w:sz="0" w:space="0" w:color="auto"/>
        <w:right w:val="none" w:sz="0" w:space="0" w:color="auto"/>
      </w:divBdr>
    </w:div>
    <w:div w:id="209071109">
      <w:bodyDiv w:val="1"/>
      <w:marLeft w:val="0"/>
      <w:marRight w:val="0"/>
      <w:marTop w:val="0"/>
      <w:marBottom w:val="0"/>
      <w:divBdr>
        <w:top w:val="none" w:sz="0" w:space="0" w:color="auto"/>
        <w:left w:val="none" w:sz="0" w:space="0" w:color="auto"/>
        <w:bottom w:val="none" w:sz="0" w:space="0" w:color="auto"/>
        <w:right w:val="none" w:sz="0" w:space="0" w:color="auto"/>
      </w:divBdr>
      <w:divsChild>
        <w:div w:id="129596992">
          <w:marLeft w:val="0"/>
          <w:marRight w:val="0"/>
          <w:marTop w:val="0"/>
          <w:marBottom w:val="0"/>
          <w:divBdr>
            <w:top w:val="none" w:sz="0" w:space="0" w:color="auto"/>
            <w:left w:val="none" w:sz="0" w:space="0" w:color="auto"/>
            <w:bottom w:val="none" w:sz="0" w:space="0" w:color="auto"/>
            <w:right w:val="none" w:sz="0" w:space="0" w:color="auto"/>
          </w:divBdr>
          <w:divsChild>
            <w:div w:id="217976296">
              <w:marLeft w:val="0"/>
              <w:marRight w:val="0"/>
              <w:marTop w:val="0"/>
              <w:marBottom w:val="0"/>
              <w:divBdr>
                <w:top w:val="none" w:sz="0" w:space="0" w:color="auto"/>
                <w:left w:val="none" w:sz="0" w:space="0" w:color="auto"/>
                <w:bottom w:val="none" w:sz="0" w:space="0" w:color="auto"/>
                <w:right w:val="none" w:sz="0" w:space="0" w:color="auto"/>
              </w:divBdr>
              <w:divsChild>
                <w:div w:id="1615558464">
                  <w:marLeft w:val="0"/>
                  <w:marRight w:val="0"/>
                  <w:marTop w:val="0"/>
                  <w:marBottom w:val="0"/>
                  <w:divBdr>
                    <w:top w:val="none" w:sz="0" w:space="0" w:color="auto"/>
                    <w:left w:val="none" w:sz="0" w:space="0" w:color="auto"/>
                    <w:bottom w:val="none" w:sz="0" w:space="0" w:color="auto"/>
                    <w:right w:val="none" w:sz="0" w:space="0" w:color="auto"/>
                  </w:divBdr>
                  <w:divsChild>
                    <w:div w:id="160565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200483">
      <w:bodyDiv w:val="1"/>
      <w:marLeft w:val="0"/>
      <w:marRight w:val="0"/>
      <w:marTop w:val="0"/>
      <w:marBottom w:val="0"/>
      <w:divBdr>
        <w:top w:val="none" w:sz="0" w:space="0" w:color="auto"/>
        <w:left w:val="none" w:sz="0" w:space="0" w:color="auto"/>
        <w:bottom w:val="none" w:sz="0" w:space="0" w:color="auto"/>
        <w:right w:val="none" w:sz="0" w:space="0" w:color="auto"/>
      </w:divBdr>
    </w:div>
    <w:div w:id="375661804">
      <w:bodyDiv w:val="1"/>
      <w:marLeft w:val="0"/>
      <w:marRight w:val="0"/>
      <w:marTop w:val="0"/>
      <w:marBottom w:val="0"/>
      <w:divBdr>
        <w:top w:val="none" w:sz="0" w:space="0" w:color="auto"/>
        <w:left w:val="none" w:sz="0" w:space="0" w:color="auto"/>
        <w:bottom w:val="none" w:sz="0" w:space="0" w:color="auto"/>
        <w:right w:val="none" w:sz="0" w:space="0" w:color="auto"/>
      </w:divBdr>
    </w:div>
    <w:div w:id="399793260">
      <w:bodyDiv w:val="1"/>
      <w:marLeft w:val="0"/>
      <w:marRight w:val="0"/>
      <w:marTop w:val="0"/>
      <w:marBottom w:val="0"/>
      <w:divBdr>
        <w:top w:val="none" w:sz="0" w:space="0" w:color="auto"/>
        <w:left w:val="none" w:sz="0" w:space="0" w:color="auto"/>
        <w:bottom w:val="none" w:sz="0" w:space="0" w:color="auto"/>
        <w:right w:val="none" w:sz="0" w:space="0" w:color="auto"/>
      </w:divBdr>
      <w:divsChild>
        <w:div w:id="639532275">
          <w:marLeft w:val="0"/>
          <w:marRight w:val="0"/>
          <w:marTop w:val="0"/>
          <w:marBottom w:val="0"/>
          <w:divBdr>
            <w:top w:val="none" w:sz="0" w:space="0" w:color="auto"/>
            <w:left w:val="none" w:sz="0" w:space="0" w:color="auto"/>
            <w:bottom w:val="none" w:sz="0" w:space="0" w:color="auto"/>
            <w:right w:val="none" w:sz="0" w:space="0" w:color="auto"/>
          </w:divBdr>
        </w:div>
      </w:divsChild>
    </w:div>
    <w:div w:id="401149383">
      <w:bodyDiv w:val="1"/>
      <w:marLeft w:val="0"/>
      <w:marRight w:val="0"/>
      <w:marTop w:val="0"/>
      <w:marBottom w:val="0"/>
      <w:divBdr>
        <w:top w:val="none" w:sz="0" w:space="0" w:color="auto"/>
        <w:left w:val="none" w:sz="0" w:space="0" w:color="auto"/>
        <w:bottom w:val="none" w:sz="0" w:space="0" w:color="auto"/>
        <w:right w:val="none" w:sz="0" w:space="0" w:color="auto"/>
      </w:divBdr>
    </w:div>
    <w:div w:id="511459562">
      <w:bodyDiv w:val="1"/>
      <w:marLeft w:val="0"/>
      <w:marRight w:val="0"/>
      <w:marTop w:val="0"/>
      <w:marBottom w:val="0"/>
      <w:divBdr>
        <w:top w:val="none" w:sz="0" w:space="0" w:color="auto"/>
        <w:left w:val="none" w:sz="0" w:space="0" w:color="auto"/>
        <w:bottom w:val="none" w:sz="0" w:space="0" w:color="auto"/>
        <w:right w:val="none" w:sz="0" w:space="0" w:color="auto"/>
      </w:divBdr>
      <w:divsChild>
        <w:div w:id="173106561">
          <w:marLeft w:val="0"/>
          <w:marRight w:val="0"/>
          <w:marTop w:val="0"/>
          <w:marBottom w:val="0"/>
          <w:divBdr>
            <w:top w:val="none" w:sz="0" w:space="0" w:color="auto"/>
            <w:left w:val="none" w:sz="0" w:space="0" w:color="auto"/>
            <w:bottom w:val="none" w:sz="0" w:space="0" w:color="auto"/>
            <w:right w:val="none" w:sz="0" w:space="0" w:color="auto"/>
          </w:divBdr>
          <w:divsChild>
            <w:div w:id="100881421">
              <w:marLeft w:val="0"/>
              <w:marRight w:val="0"/>
              <w:marTop w:val="0"/>
              <w:marBottom w:val="0"/>
              <w:divBdr>
                <w:top w:val="none" w:sz="0" w:space="0" w:color="auto"/>
                <w:left w:val="none" w:sz="0" w:space="0" w:color="auto"/>
                <w:bottom w:val="none" w:sz="0" w:space="0" w:color="auto"/>
                <w:right w:val="none" w:sz="0" w:space="0" w:color="auto"/>
              </w:divBdr>
              <w:divsChild>
                <w:div w:id="138787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741511">
      <w:bodyDiv w:val="1"/>
      <w:marLeft w:val="0"/>
      <w:marRight w:val="0"/>
      <w:marTop w:val="0"/>
      <w:marBottom w:val="0"/>
      <w:divBdr>
        <w:top w:val="none" w:sz="0" w:space="0" w:color="auto"/>
        <w:left w:val="none" w:sz="0" w:space="0" w:color="auto"/>
        <w:bottom w:val="none" w:sz="0" w:space="0" w:color="auto"/>
        <w:right w:val="none" w:sz="0" w:space="0" w:color="auto"/>
      </w:divBdr>
      <w:divsChild>
        <w:div w:id="774710729">
          <w:marLeft w:val="0"/>
          <w:marRight w:val="0"/>
          <w:marTop w:val="0"/>
          <w:marBottom w:val="0"/>
          <w:divBdr>
            <w:top w:val="none" w:sz="0" w:space="0" w:color="auto"/>
            <w:left w:val="none" w:sz="0" w:space="0" w:color="auto"/>
            <w:bottom w:val="none" w:sz="0" w:space="0" w:color="auto"/>
            <w:right w:val="none" w:sz="0" w:space="0" w:color="auto"/>
          </w:divBdr>
          <w:divsChild>
            <w:div w:id="1018965270">
              <w:marLeft w:val="0"/>
              <w:marRight w:val="0"/>
              <w:marTop w:val="0"/>
              <w:marBottom w:val="0"/>
              <w:divBdr>
                <w:top w:val="none" w:sz="0" w:space="0" w:color="auto"/>
                <w:left w:val="none" w:sz="0" w:space="0" w:color="auto"/>
                <w:bottom w:val="none" w:sz="0" w:space="0" w:color="auto"/>
                <w:right w:val="none" w:sz="0" w:space="0" w:color="auto"/>
              </w:divBdr>
              <w:divsChild>
                <w:div w:id="107350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937282">
      <w:bodyDiv w:val="1"/>
      <w:marLeft w:val="0"/>
      <w:marRight w:val="0"/>
      <w:marTop w:val="0"/>
      <w:marBottom w:val="0"/>
      <w:divBdr>
        <w:top w:val="none" w:sz="0" w:space="0" w:color="auto"/>
        <w:left w:val="none" w:sz="0" w:space="0" w:color="auto"/>
        <w:bottom w:val="none" w:sz="0" w:space="0" w:color="auto"/>
        <w:right w:val="none" w:sz="0" w:space="0" w:color="auto"/>
      </w:divBdr>
    </w:div>
    <w:div w:id="638808636">
      <w:bodyDiv w:val="1"/>
      <w:marLeft w:val="0"/>
      <w:marRight w:val="0"/>
      <w:marTop w:val="0"/>
      <w:marBottom w:val="0"/>
      <w:divBdr>
        <w:top w:val="none" w:sz="0" w:space="0" w:color="auto"/>
        <w:left w:val="none" w:sz="0" w:space="0" w:color="auto"/>
        <w:bottom w:val="none" w:sz="0" w:space="0" w:color="auto"/>
        <w:right w:val="none" w:sz="0" w:space="0" w:color="auto"/>
      </w:divBdr>
      <w:divsChild>
        <w:div w:id="1220901190">
          <w:marLeft w:val="0"/>
          <w:marRight w:val="0"/>
          <w:marTop w:val="0"/>
          <w:marBottom w:val="0"/>
          <w:divBdr>
            <w:top w:val="none" w:sz="0" w:space="0" w:color="auto"/>
            <w:left w:val="none" w:sz="0" w:space="0" w:color="auto"/>
            <w:bottom w:val="none" w:sz="0" w:space="0" w:color="auto"/>
            <w:right w:val="none" w:sz="0" w:space="0" w:color="auto"/>
          </w:divBdr>
          <w:divsChild>
            <w:div w:id="731931914">
              <w:marLeft w:val="0"/>
              <w:marRight w:val="0"/>
              <w:marTop w:val="0"/>
              <w:marBottom w:val="0"/>
              <w:divBdr>
                <w:top w:val="none" w:sz="0" w:space="0" w:color="auto"/>
                <w:left w:val="none" w:sz="0" w:space="0" w:color="auto"/>
                <w:bottom w:val="none" w:sz="0" w:space="0" w:color="auto"/>
                <w:right w:val="none" w:sz="0" w:space="0" w:color="auto"/>
              </w:divBdr>
              <w:divsChild>
                <w:div w:id="843739916">
                  <w:marLeft w:val="0"/>
                  <w:marRight w:val="0"/>
                  <w:marTop w:val="0"/>
                  <w:marBottom w:val="0"/>
                  <w:divBdr>
                    <w:top w:val="none" w:sz="0" w:space="0" w:color="auto"/>
                    <w:left w:val="none" w:sz="0" w:space="0" w:color="auto"/>
                    <w:bottom w:val="none" w:sz="0" w:space="0" w:color="auto"/>
                    <w:right w:val="none" w:sz="0" w:space="0" w:color="auto"/>
                  </w:divBdr>
                  <w:divsChild>
                    <w:div w:id="89948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492309">
      <w:bodyDiv w:val="1"/>
      <w:marLeft w:val="0"/>
      <w:marRight w:val="0"/>
      <w:marTop w:val="0"/>
      <w:marBottom w:val="0"/>
      <w:divBdr>
        <w:top w:val="none" w:sz="0" w:space="0" w:color="auto"/>
        <w:left w:val="none" w:sz="0" w:space="0" w:color="auto"/>
        <w:bottom w:val="none" w:sz="0" w:space="0" w:color="auto"/>
        <w:right w:val="none" w:sz="0" w:space="0" w:color="auto"/>
      </w:divBdr>
    </w:div>
    <w:div w:id="853615795">
      <w:bodyDiv w:val="1"/>
      <w:marLeft w:val="0"/>
      <w:marRight w:val="0"/>
      <w:marTop w:val="0"/>
      <w:marBottom w:val="0"/>
      <w:divBdr>
        <w:top w:val="none" w:sz="0" w:space="0" w:color="auto"/>
        <w:left w:val="none" w:sz="0" w:space="0" w:color="auto"/>
        <w:bottom w:val="none" w:sz="0" w:space="0" w:color="auto"/>
        <w:right w:val="none" w:sz="0" w:space="0" w:color="auto"/>
      </w:divBdr>
    </w:div>
    <w:div w:id="992292943">
      <w:bodyDiv w:val="1"/>
      <w:marLeft w:val="0"/>
      <w:marRight w:val="0"/>
      <w:marTop w:val="0"/>
      <w:marBottom w:val="0"/>
      <w:divBdr>
        <w:top w:val="none" w:sz="0" w:space="0" w:color="auto"/>
        <w:left w:val="none" w:sz="0" w:space="0" w:color="auto"/>
        <w:bottom w:val="none" w:sz="0" w:space="0" w:color="auto"/>
        <w:right w:val="none" w:sz="0" w:space="0" w:color="auto"/>
      </w:divBdr>
      <w:divsChild>
        <w:div w:id="1860193076">
          <w:marLeft w:val="0"/>
          <w:marRight w:val="0"/>
          <w:marTop w:val="0"/>
          <w:marBottom w:val="0"/>
          <w:divBdr>
            <w:top w:val="none" w:sz="0" w:space="0" w:color="auto"/>
            <w:left w:val="none" w:sz="0" w:space="0" w:color="auto"/>
            <w:bottom w:val="none" w:sz="0" w:space="0" w:color="auto"/>
            <w:right w:val="none" w:sz="0" w:space="0" w:color="auto"/>
          </w:divBdr>
          <w:divsChild>
            <w:div w:id="800879867">
              <w:marLeft w:val="0"/>
              <w:marRight w:val="0"/>
              <w:marTop w:val="0"/>
              <w:marBottom w:val="0"/>
              <w:divBdr>
                <w:top w:val="none" w:sz="0" w:space="0" w:color="auto"/>
                <w:left w:val="none" w:sz="0" w:space="0" w:color="auto"/>
                <w:bottom w:val="none" w:sz="0" w:space="0" w:color="auto"/>
                <w:right w:val="none" w:sz="0" w:space="0" w:color="auto"/>
              </w:divBdr>
              <w:divsChild>
                <w:div w:id="9386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425279">
      <w:bodyDiv w:val="1"/>
      <w:marLeft w:val="0"/>
      <w:marRight w:val="0"/>
      <w:marTop w:val="0"/>
      <w:marBottom w:val="0"/>
      <w:divBdr>
        <w:top w:val="none" w:sz="0" w:space="0" w:color="auto"/>
        <w:left w:val="none" w:sz="0" w:space="0" w:color="auto"/>
        <w:bottom w:val="none" w:sz="0" w:space="0" w:color="auto"/>
        <w:right w:val="none" w:sz="0" w:space="0" w:color="auto"/>
      </w:divBdr>
    </w:div>
    <w:div w:id="1309360339">
      <w:bodyDiv w:val="1"/>
      <w:marLeft w:val="0"/>
      <w:marRight w:val="0"/>
      <w:marTop w:val="0"/>
      <w:marBottom w:val="0"/>
      <w:divBdr>
        <w:top w:val="none" w:sz="0" w:space="0" w:color="auto"/>
        <w:left w:val="none" w:sz="0" w:space="0" w:color="auto"/>
        <w:bottom w:val="none" w:sz="0" w:space="0" w:color="auto"/>
        <w:right w:val="none" w:sz="0" w:space="0" w:color="auto"/>
      </w:divBdr>
      <w:divsChild>
        <w:div w:id="146022518">
          <w:marLeft w:val="0"/>
          <w:marRight w:val="0"/>
          <w:marTop w:val="0"/>
          <w:marBottom w:val="0"/>
          <w:divBdr>
            <w:top w:val="none" w:sz="0" w:space="0" w:color="auto"/>
            <w:left w:val="none" w:sz="0" w:space="0" w:color="auto"/>
            <w:bottom w:val="none" w:sz="0" w:space="0" w:color="auto"/>
            <w:right w:val="none" w:sz="0" w:space="0" w:color="auto"/>
          </w:divBdr>
          <w:divsChild>
            <w:div w:id="1919943740">
              <w:marLeft w:val="0"/>
              <w:marRight w:val="0"/>
              <w:marTop w:val="0"/>
              <w:marBottom w:val="0"/>
              <w:divBdr>
                <w:top w:val="none" w:sz="0" w:space="0" w:color="auto"/>
                <w:left w:val="none" w:sz="0" w:space="0" w:color="auto"/>
                <w:bottom w:val="none" w:sz="0" w:space="0" w:color="auto"/>
                <w:right w:val="none" w:sz="0" w:space="0" w:color="auto"/>
              </w:divBdr>
              <w:divsChild>
                <w:div w:id="214646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724600">
      <w:bodyDiv w:val="1"/>
      <w:marLeft w:val="0"/>
      <w:marRight w:val="0"/>
      <w:marTop w:val="0"/>
      <w:marBottom w:val="0"/>
      <w:divBdr>
        <w:top w:val="none" w:sz="0" w:space="0" w:color="auto"/>
        <w:left w:val="none" w:sz="0" w:space="0" w:color="auto"/>
        <w:bottom w:val="none" w:sz="0" w:space="0" w:color="auto"/>
        <w:right w:val="none" w:sz="0" w:space="0" w:color="auto"/>
      </w:divBdr>
    </w:div>
    <w:div w:id="1517691486">
      <w:bodyDiv w:val="1"/>
      <w:marLeft w:val="0"/>
      <w:marRight w:val="0"/>
      <w:marTop w:val="0"/>
      <w:marBottom w:val="0"/>
      <w:divBdr>
        <w:top w:val="none" w:sz="0" w:space="0" w:color="auto"/>
        <w:left w:val="none" w:sz="0" w:space="0" w:color="auto"/>
        <w:bottom w:val="none" w:sz="0" w:space="0" w:color="auto"/>
        <w:right w:val="none" w:sz="0" w:space="0" w:color="auto"/>
      </w:divBdr>
    </w:div>
    <w:div w:id="1537694544">
      <w:bodyDiv w:val="1"/>
      <w:marLeft w:val="0"/>
      <w:marRight w:val="0"/>
      <w:marTop w:val="0"/>
      <w:marBottom w:val="0"/>
      <w:divBdr>
        <w:top w:val="none" w:sz="0" w:space="0" w:color="auto"/>
        <w:left w:val="none" w:sz="0" w:space="0" w:color="auto"/>
        <w:bottom w:val="none" w:sz="0" w:space="0" w:color="auto"/>
        <w:right w:val="none" w:sz="0" w:space="0" w:color="auto"/>
      </w:divBdr>
    </w:div>
    <w:div w:id="1661274309">
      <w:bodyDiv w:val="1"/>
      <w:marLeft w:val="0"/>
      <w:marRight w:val="0"/>
      <w:marTop w:val="0"/>
      <w:marBottom w:val="0"/>
      <w:divBdr>
        <w:top w:val="none" w:sz="0" w:space="0" w:color="auto"/>
        <w:left w:val="none" w:sz="0" w:space="0" w:color="auto"/>
        <w:bottom w:val="none" w:sz="0" w:space="0" w:color="auto"/>
        <w:right w:val="none" w:sz="0" w:space="0" w:color="auto"/>
      </w:divBdr>
    </w:div>
    <w:div w:id="1676567390">
      <w:bodyDiv w:val="1"/>
      <w:marLeft w:val="0"/>
      <w:marRight w:val="0"/>
      <w:marTop w:val="0"/>
      <w:marBottom w:val="0"/>
      <w:divBdr>
        <w:top w:val="none" w:sz="0" w:space="0" w:color="auto"/>
        <w:left w:val="none" w:sz="0" w:space="0" w:color="auto"/>
        <w:bottom w:val="none" w:sz="0" w:space="0" w:color="auto"/>
        <w:right w:val="none" w:sz="0" w:space="0" w:color="auto"/>
      </w:divBdr>
      <w:divsChild>
        <w:div w:id="1789012454">
          <w:marLeft w:val="0"/>
          <w:marRight w:val="0"/>
          <w:marTop w:val="0"/>
          <w:marBottom w:val="0"/>
          <w:divBdr>
            <w:top w:val="none" w:sz="0" w:space="0" w:color="auto"/>
            <w:left w:val="none" w:sz="0" w:space="0" w:color="auto"/>
            <w:bottom w:val="none" w:sz="0" w:space="0" w:color="auto"/>
            <w:right w:val="none" w:sz="0" w:space="0" w:color="auto"/>
          </w:divBdr>
          <w:divsChild>
            <w:div w:id="1925062848">
              <w:marLeft w:val="0"/>
              <w:marRight w:val="0"/>
              <w:marTop w:val="0"/>
              <w:marBottom w:val="0"/>
              <w:divBdr>
                <w:top w:val="none" w:sz="0" w:space="0" w:color="auto"/>
                <w:left w:val="none" w:sz="0" w:space="0" w:color="auto"/>
                <w:bottom w:val="none" w:sz="0" w:space="0" w:color="auto"/>
                <w:right w:val="none" w:sz="0" w:space="0" w:color="auto"/>
              </w:divBdr>
              <w:divsChild>
                <w:div w:id="64620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742737">
      <w:bodyDiv w:val="1"/>
      <w:marLeft w:val="0"/>
      <w:marRight w:val="0"/>
      <w:marTop w:val="0"/>
      <w:marBottom w:val="0"/>
      <w:divBdr>
        <w:top w:val="none" w:sz="0" w:space="0" w:color="auto"/>
        <w:left w:val="none" w:sz="0" w:space="0" w:color="auto"/>
        <w:bottom w:val="none" w:sz="0" w:space="0" w:color="auto"/>
        <w:right w:val="none" w:sz="0" w:space="0" w:color="auto"/>
      </w:divBdr>
      <w:divsChild>
        <w:div w:id="1108700430">
          <w:marLeft w:val="0"/>
          <w:marRight w:val="0"/>
          <w:marTop w:val="0"/>
          <w:marBottom w:val="0"/>
          <w:divBdr>
            <w:top w:val="none" w:sz="0" w:space="0" w:color="auto"/>
            <w:left w:val="none" w:sz="0" w:space="0" w:color="auto"/>
            <w:bottom w:val="none" w:sz="0" w:space="0" w:color="auto"/>
            <w:right w:val="none" w:sz="0" w:space="0" w:color="auto"/>
          </w:divBdr>
          <w:divsChild>
            <w:div w:id="352339504">
              <w:marLeft w:val="0"/>
              <w:marRight w:val="0"/>
              <w:marTop w:val="0"/>
              <w:marBottom w:val="0"/>
              <w:divBdr>
                <w:top w:val="none" w:sz="0" w:space="0" w:color="auto"/>
                <w:left w:val="none" w:sz="0" w:space="0" w:color="auto"/>
                <w:bottom w:val="none" w:sz="0" w:space="0" w:color="auto"/>
                <w:right w:val="none" w:sz="0" w:space="0" w:color="auto"/>
              </w:divBdr>
              <w:divsChild>
                <w:div w:id="348223100">
                  <w:marLeft w:val="0"/>
                  <w:marRight w:val="0"/>
                  <w:marTop w:val="0"/>
                  <w:marBottom w:val="0"/>
                  <w:divBdr>
                    <w:top w:val="none" w:sz="0" w:space="0" w:color="auto"/>
                    <w:left w:val="none" w:sz="0" w:space="0" w:color="auto"/>
                    <w:bottom w:val="none" w:sz="0" w:space="0" w:color="auto"/>
                    <w:right w:val="none" w:sz="0" w:space="0" w:color="auto"/>
                  </w:divBdr>
                  <w:divsChild>
                    <w:div w:id="149337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05947">
      <w:bodyDiv w:val="1"/>
      <w:marLeft w:val="0"/>
      <w:marRight w:val="0"/>
      <w:marTop w:val="0"/>
      <w:marBottom w:val="0"/>
      <w:divBdr>
        <w:top w:val="none" w:sz="0" w:space="0" w:color="auto"/>
        <w:left w:val="none" w:sz="0" w:space="0" w:color="auto"/>
        <w:bottom w:val="none" w:sz="0" w:space="0" w:color="auto"/>
        <w:right w:val="none" w:sz="0" w:space="0" w:color="auto"/>
      </w:divBdr>
      <w:divsChild>
        <w:div w:id="1707942907">
          <w:marLeft w:val="0"/>
          <w:marRight w:val="0"/>
          <w:marTop w:val="0"/>
          <w:marBottom w:val="0"/>
          <w:divBdr>
            <w:top w:val="none" w:sz="0" w:space="0" w:color="auto"/>
            <w:left w:val="none" w:sz="0" w:space="0" w:color="auto"/>
            <w:bottom w:val="none" w:sz="0" w:space="0" w:color="auto"/>
            <w:right w:val="none" w:sz="0" w:space="0" w:color="auto"/>
          </w:divBdr>
          <w:divsChild>
            <w:div w:id="1687558735">
              <w:marLeft w:val="0"/>
              <w:marRight w:val="0"/>
              <w:marTop w:val="0"/>
              <w:marBottom w:val="0"/>
              <w:divBdr>
                <w:top w:val="none" w:sz="0" w:space="0" w:color="auto"/>
                <w:left w:val="none" w:sz="0" w:space="0" w:color="auto"/>
                <w:bottom w:val="none" w:sz="0" w:space="0" w:color="auto"/>
                <w:right w:val="none" w:sz="0" w:space="0" w:color="auto"/>
              </w:divBdr>
              <w:divsChild>
                <w:div w:id="200193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347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abs/10.1111/1467-9248.12091" TargetMode="External"/><Relationship Id="rId18" Type="http://schemas.openxmlformats.org/officeDocument/2006/relationships/hyperlink" Target="https://www.cato-unbound.org/2010/02/09/paddy-hillyard/what-terrorism" TargetMode="External"/><Relationship Id="rId26" Type="http://schemas.openxmlformats.org/officeDocument/2006/relationships/hyperlink" Target="https://www.thebritishacademy.ac.uk/documents/728/BAR26-08-Mumford.pdf" TargetMode="External"/><Relationship Id="rId21" Type="http://schemas.openxmlformats.org/officeDocument/2006/relationships/hyperlink" Target="https://www.gov.uk/government/collections/independent-review-of-prevent" TargetMode="External"/><Relationship Id="rId34" Type="http://schemas.openxmlformats.org/officeDocument/2006/relationships/hyperlink" Target="https://www.jstor.org/stable/i335675" TargetMode="External"/><Relationship Id="rId7" Type="http://schemas.openxmlformats.org/officeDocument/2006/relationships/hyperlink" Target="https://www.britannica.com/topic/Irish-Republican-Army" TargetMode="External"/><Relationship Id="rId12" Type="http://schemas.openxmlformats.org/officeDocument/2006/relationships/hyperlink" Target="https://www.apa.org/monitor/2009/11/terrorism" TargetMode="External"/><Relationship Id="rId17" Type="http://schemas.openxmlformats.org/officeDocument/2006/relationships/hyperlink" Target="https://www.tandfonline.com/doi/abs/10.1080/19434472.2011.631348?scroll=top&amp;needAccess=true&amp;journalCode=rirt20" TargetMode="External"/><Relationship Id="rId25" Type="http://schemas.openxmlformats.org/officeDocument/2006/relationships/hyperlink" Target="https://scholarship.law.cornell.edu/cgi/viewcontent.cgi?article=1480&amp;context=cilj" TargetMode="External"/><Relationship Id="rId33" Type="http://schemas.openxmlformats.org/officeDocument/2006/relationships/hyperlink" Target="https://scholarlycommons.law.northwestern.edu/cgi/viewcontent.cgi?article=1012&amp;context=njihr" TargetMode="External"/><Relationship Id="rId2" Type="http://schemas.openxmlformats.org/officeDocument/2006/relationships/styles" Target="styles.xml"/><Relationship Id="rId16" Type="http://schemas.openxmlformats.org/officeDocument/2006/relationships/hyperlink" Target="https://www.jstor.org/stable/43654445?seq=1" TargetMode="External"/><Relationship Id="rId20" Type="http://schemas.openxmlformats.org/officeDocument/2006/relationships/hyperlink" Target="https://www.gov.uk/government/publications/proscribed-terror-groups-or-organisations--2" TargetMode="External"/><Relationship Id="rId29" Type="http://schemas.openxmlformats.org/officeDocument/2006/relationships/hyperlink" Target="http://www.jstor.org/stable/24353474" TargetMode="External"/><Relationship Id="rId1" Type="http://schemas.openxmlformats.org/officeDocument/2006/relationships/numbering" Target="numbering.xml"/><Relationship Id="rId6" Type="http://schemas.openxmlformats.org/officeDocument/2006/relationships/hyperlink" Target="https://www.legislation.gov.uk/ukpga/2000/11/contents" TargetMode="External"/><Relationship Id="rId11" Type="http://schemas.openxmlformats.org/officeDocument/2006/relationships/hyperlink" Target="https://www.e-ir.info/2009/05/14/why-has-defining-terrorism-proved-so-difficult/" TargetMode="External"/><Relationship Id="rId24" Type="http://schemas.openxmlformats.org/officeDocument/2006/relationships/hyperlink" Target="https://www.rand.org/pubs/monograph_reports/MR989.html" TargetMode="External"/><Relationship Id="rId32" Type="http://schemas.openxmlformats.org/officeDocument/2006/relationships/hyperlink" Target="https://www.ft.com/content/a82e18b4-1ea3-11e9-b126-46fc3ad87c65" TargetMode="External"/><Relationship Id="rId37" Type="http://schemas.openxmlformats.org/officeDocument/2006/relationships/theme" Target="theme/theme1.xml"/><Relationship Id="rId5" Type="http://schemas.openxmlformats.org/officeDocument/2006/relationships/hyperlink" Target="https://www.legislation.gov.uk/ukpga/1976/8/contents/enacted" TargetMode="External"/><Relationship Id="rId15" Type="http://schemas.openxmlformats.org/officeDocument/2006/relationships/hyperlink" Target="https://doi.org/10.1080/1561426022000032060" TargetMode="External"/><Relationship Id="rId23" Type="http://schemas.openxmlformats.org/officeDocument/2006/relationships/hyperlink" Target="https://www.qub.ac.uk/sites/irishhistorylive/IrishHistoryResources/Articlesandlecturesbyourteachingstaff/WasthereanIrishWarofIndependence/" TargetMode="External"/><Relationship Id="rId28" Type="http://schemas.openxmlformats.org/officeDocument/2006/relationships/hyperlink" Target="https://core.ac.uk/download/pdf/214078705.pdf" TargetMode="External"/><Relationship Id="rId36" Type="http://schemas.openxmlformats.org/officeDocument/2006/relationships/fontTable" Target="fontTable.xml"/><Relationship Id="rId10" Type="http://schemas.openxmlformats.org/officeDocument/2006/relationships/hyperlink" Target="https://doi.org/10.1080/09546559208427138" TargetMode="External"/><Relationship Id="rId19" Type="http://schemas.openxmlformats.org/officeDocument/2006/relationships/hyperlink" Target="https://www.jstor.org/stable/10.1525/nclr.2013.16.3.494?seq=1" TargetMode="External"/><Relationship Id="rId31" Type="http://schemas.openxmlformats.org/officeDocument/2006/relationships/hyperlink" Target="https://www.jstor.org/stable/3751606?seq=1" TargetMode="External"/><Relationship Id="rId4" Type="http://schemas.openxmlformats.org/officeDocument/2006/relationships/webSettings" Target="webSettings.xml"/><Relationship Id="rId9" Type="http://schemas.openxmlformats.org/officeDocument/2006/relationships/hyperlink" Target="https://jmvh.org/wp-content/uploads/2013/05/JMVH-May-2013.pdf" TargetMode="External"/><Relationship Id="rId14" Type="http://schemas.openxmlformats.org/officeDocument/2006/relationships/hyperlink" Target="https://www.independent.co.uk/voices/dup-conservatives-northern-ireland-coalition-ulster-defence-association-paramilitaries-peace-process-a7782631.html" TargetMode="External"/><Relationship Id="rId22" Type="http://schemas.openxmlformats.org/officeDocument/2006/relationships/hyperlink" Target="https://www.jstor.org/stable/25096784?seq=1" TargetMode="External"/><Relationship Id="rId27" Type="http://schemas.openxmlformats.org/officeDocument/2006/relationships/hyperlink" Target="https://www.bbc.co.uk/news/uk-northern-ireland-14458270" TargetMode="External"/><Relationship Id="rId30" Type="http://schemas.openxmlformats.org/officeDocument/2006/relationships/hyperlink" Target="https://www.irishtimes.com/news/world/uk/jeremy-corbyn-says-ira-were-terrorists-1.3091883" TargetMode="External"/><Relationship Id="rId35" Type="http://schemas.openxmlformats.org/officeDocument/2006/relationships/hyperlink" Target="https://cvir.st-andrews.ac.uk/article/10.15664/jtr.1083/" TargetMode="External"/><Relationship Id="rId8" Type="http://schemas.openxmlformats.org/officeDocument/2006/relationships/hyperlink" Target="https://www.bbc.co.uk/news/uk-northern-ireland-4514451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3742</Words>
  <Characters>21334</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Warwick Koekemoer (1905889)</dc:creator>
  <cp:keywords/>
  <dc:description/>
  <cp:lastModifiedBy>Warwick Koekemoer (1905889)</cp:lastModifiedBy>
  <cp:revision>4</cp:revision>
  <dcterms:created xsi:type="dcterms:W3CDTF">2021-02-11T11:42:00Z</dcterms:created>
  <dcterms:modified xsi:type="dcterms:W3CDTF">2021-02-16T21:54:00Z</dcterms:modified>
</cp:coreProperties>
</file>