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E7A6A41" w14:textId="5C837368" w:rsidR="00726ED3" w:rsidRPr="00726ED3" w:rsidRDefault="00726ED3" w:rsidP="00581478">
      <w:pPr>
        <w:spacing w:line="360" w:lineRule="auto"/>
        <w:rPr>
          <w:rFonts w:ascii="Times New Roman" w:hAnsi="Times New Roman" w:cs="Times New Roman"/>
          <w:b/>
          <w:sz w:val="44"/>
          <w:szCs w:val="44"/>
        </w:rPr>
      </w:pPr>
    </w:p>
    <w:p w14:paraId="294B09B8" w14:textId="77777777" w:rsidR="00FE40F0" w:rsidRDefault="00FE40F0" w:rsidP="008D78F8">
      <w:pPr>
        <w:spacing w:line="360" w:lineRule="auto"/>
        <w:jc w:val="center"/>
        <w:rPr>
          <w:rFonts w:ascii="Times New Roman" w:hAnsi="Times New Roman" w:cs="Times New Roman"/>
          <w:b/>
          <w:sz w:val="36"/>
          <w:szCs w:val="36"/>
        </w:rPr>
      </w:pPr>
      <w:r w:rsidRPr="008D78F8">
        <w:rPr>
          <w:rFonts w:ascii="Times New Roman" w:hAnsi="Times New Roman" w:cs="Times New Roman"/>
          <w:b/>
          <w:sz w:val="36"/>
          <w:szCs w:val="36"/>
        </w:rPr>
        <w:t>LCLM5003 Assessment</w:t>
      </w:r>
    </w:p>
    <w:p w14:paraId="4AEA2E60" w14:textId="1501FD22" w:rsidR="00F669FF" w:rsidRPr="00F669FF" w:rsidRDefault="00F669FF" w:rsidP="00F669FF">
      <w:pPr>
        <w:spacing w:line="360" w:lineRule="auto"/>
        <w:jc w:val="center"/>
        <w:rPr>
          <w:rFonts w:ascii="Times New Roman" w:hAnsi="Times New Roman" w:cs="Times New Roman"/>
          <w:bCs/>
          <w:sz w:val="36"/>
          <w:szCs w:val="36"/>
        </w:rPr>
      </w:pPr>
      <w:r>
        <w:rPr>
          <w:rFonts w:ascii="Times New Roman" w:hAnsi="Times New Roman" w:cs="Times New Roman"/>
          <w:b/>
          <w:sz w:val="36"/>
          <w:szCs w:val="36"/>
        </w:rPr>
        <w:t xml:space="preserve">Part A : </w:t>
      </w:r>
      <w:r>
        <w:rPr>
          <w:rFonts w:ascii="Times New Roman" w:hAnsi="Times New Roman" w:cs="Times New Roman"/>
          <w:bCs/>
          <w:sz w:val="36"/>
          <w:szCs w:val="36"/>
        </w:rPr>
        <w:t>Project Portfolio Poster</w:t>
      </w:r>
    </w:p>
    <w:p w14:paraId="3EC0A3F9" w14:textId="77777777" w:rsidR="00FE40F0" w:rsidRPr="008D78F8" w:rsidRDefault="00FE40F0" w:rsidP="008D78F8">
      <w:pPr>
        <w:spacing w:line="360" w:lineRule="auto"/>
        <w:jc w:val="center"/>
        <w:rPr>
          <w:rFonts w:ascii="Times New Roman" w:hAnsi="Times New Roman" w:cs="Times New Roman"/>
          <w:sz w:val="36"/>
          <w:szCs w:val="36"/>
        </w:rPr>
      </w:pPr>
      <w:r w:rsidRPr="008D78F8">
        <w:rPr>
          <w:rFonts w:ascii="Times New Roman" w:hAnsi="Times New Roman" w:cs="Times New Roman"/>
          <w:b/>
          <w:sz w:val="36"/>
          <w:szCs w:val="36"/>
        </w:rPr>
        <w:t>Part B:</w:t>
      </w:r>
      <w:r w:rsidRPr="008D78F8">
        <w:rPr>
          <w:rFonts w:ascii="Times New Roman" w:hAnsi="Times New Roman" w:cs="Times New Roman"/>
          <w:sz w:val="36"/>
          <w:szCs w:val="36"/>
        </w:rPr>
        <w:t xml:space="preserve"> Reflection on Feedback</w:t>
      </w:r>
    </w:p>
    <w:p w14:paraId="7F5F4FE9" w14:textId="77777777" w:rsidR="00FE40F0" w:rsidRPr="008D78F8" w:rsidRDefault="00FE40F0" w:rsidP="008D78F8">
      <w:pPr>
        <w:spacing w:line="360" w:lineRule="auto"/>
        <w:jc w:val="center"/>
        <w:rPr>
          <w:rFonts w:ascii="Times New Roman" w:hAnsi="Times New Roman" w:cs="Times New Roman"/>
          <w:sz w:val="36"/>
          <w:szCs w:val="36"/>
        </w:rPr>
      </w:pPr>
      <w:r w:rsidRPr="008D78F8">
        <w:rPr>
          <w:rFonts w:ascii="Times New Roman" w:hAnsi="Times New Roman" w:cs="Times New Roman"/>
          <w:b/>
          <w:sz w:val="36"/>
          <w:szCs w:val="36"/>
        </w:rPr>
        <w:t>Part C:</w:t>
      </w:r>
      <w:r w:rsidRPr="008D78F8">
        <w:rPr>
          <w:rFonts w:ascii="Times New Roman" w:hAnsi="Times New Roman" w:cs="Times New Roman"/>
          <w:sz w:val="36"/>
          <w:szCs w:val="36"/>
        </w:rPr>
        <w:t xml:space="preserve"> Project Management Plan</w:t>
      </w:r>
    </w:p>
    <w:p w14:paraId="0689904A" w14:textId="77777777" w:rsidR="00FE40F0" w:rsidRPr="008D78F8" w:rsidRDefault="00FE40F0" w:rsidP="008D78F8">
      <w:pPr>
        <w:spacing w:line="360" w:lineRule="auto"/>
        <w:jc w:val="center"/>
        <w:rPr>
          <w:rFonts w:ascii="Times New Roman" w:hAnsi="Times New Roman" w:cs="Times New Roman"/>
          <w:sz w:val="36"/>
          <w:szCs w:val="36"/>
        </w:rPr>
      </w:pPr>
      <w:r w:rsidRPr="008D78F8">
        <w:rPr>
          <w:rFonts w:ascii="Times New Roman" w:hAnsi="Times New Roman" w:cs="Times New Roman"/>
          <w:sz w:val="36"/>
          <w:szCs w:val="36"/>
        </w:rPr>
        <w:t xml:space="preserve">Digital </w:t>
      </w:r>
      <w:proofErr w:type="spellStart"/>
      <w:r w:rsidRPr="008D78F8">
        <w:rPr>
          <w:rFonts w:ascii="Times New Roman" w:hAnsi="Times New Roman" w:cs="Times New Roman"/>
          <w:sz w:val="36"/>
          <w:szCs w:val="36"/>
        </w:rPr>
        <w:t>Modernisation</w:t>
      </w:r>
      <w:proofErr w:type="spellEnd"/>
      <w:r w:rsidRPr="008D78F8">
        <w:rPr>
          <w:rFonts w:ascii="Times New Roman" w:hAnsi="Times New Roman" w:cs="Times New Roman"/>
          <w:sz w:val="36"/>
          <w:szCs w:val="36"/>
        </w:rPr>
        <w:t xml:space="preserve"> of Passenger Flow and Logistics Coordination</w:t>
      </w:r>
    </w:p>
    <w:p w14:paraId="667116E9" w14:textId="77777777" w:rsidR="00FE40F0" w:rsidRPr="008D78F8" w:rsidRDefault="00FE40F0" w:rsidP="008D78F8">
      <w:pPr>
        <w:spacing w:line="360" w:lineRule="auto"/>
        <w:jc w:val="center"/>
        <w:rPr>
          <w:rFonts w:ascii="Times New Roman" w:hAnsi="Times New Roman" w:cs="Times New Roman"/>
          <w:sz w:val="36"/>
          <w:szCs w:val="36"/>
        </w:rPr>
      </w:pPr>
      <w:r w:rsidRPr="008D78F8">
        <w:rPr>
          <w:rFonts w:ascii="Times New Roman" w:hAnsi="Times New Roman" w:cs="Times New Roman"/>
          <w:b/>
          <w:sz w:val="36"/>
          <w:szCs w:val="36"/>
        </w:rPr>
        <w:t>Student Name:</w:t>
      </w:r>
      <w:r w:rsidRPr="008D78F8">
        <w:rPr>
          <w:rFonts w:ascii="Times New Roman" w:hAnsi="Times New Roman" w:cs="Times New Roman"/>
          <w:sz w:val="36"/>
          <w:szCs w:val="36"/>
        </w:rPr>
        <w:t xml:space="preserve"> Megija </w:t>
      </w:r>
      <w:proofErr w:type="spellStart"/>
      <w:r w:rsidRPr="008D78F8">
        <w:rPr>
          <w:rFonts w:ascii="Times New Roman" w:hAnsi="Times New Roman" w:cs="Times New Roman"/>
          <w:sz w:val="36"/>
          <w:szCs w:val="36"/>
        </w:rPr>
        <w:t>Hauberte</w:t>
      </w:r>
      <w:proofErr w:type="spellEnd"/>
      <w:r w:rsidRPr="008D78F8">
        <w:rPr>
          <w:rFonts w:ascii="Times New Roman" w:hAnsi="Times New Roman" w:cs="Times New Roman"/>
          <w:sz w:val="36"/>
          <w:szCs w:val="36"/>
        </w:rPr>
        <w:br/>
      </w:r>
      <w:r w:rsidRPr="008D78F8">
        <w:rPr>
          <w:rFonts w:ascii="Times New Roman" w:hAnsi="Times New Roman" w:cs="Times New Roman"/>
          <w:b/>
          <w:sz w:val="36"/>
          <w:szCs w:val="36"/>
        </w:rPr>
        <w:t>Student ID:</w:t>
      </w:r>
      <w:r w:rsidRPr="008D78F8">
        <w:rPr>
          <w:rFonts w:ascii="Times New Roman" w:hAnsi="Times New Roman" w:cs="Times New Roman"/>
          <w:sz w:val="36"/>
          <w:szCs w:val="36"/>
        </w:rPr>
        <w:t xml:space="preserve"> 2529722</w:t>
      </w:r>
    </w:p>
    <w:p w14:paraId="1B88D30C" w14:textId="77777777" w:rsidR="00FE40F0" w:rsidRDefault="00FE40F0" w:rsidP="008D78F8">
      <w:pPr>
        <w:spacing w:line="360" w:lineRule="auto"/>
        <w:jc w:val="center"/>
        <w:rPr>
          <w:rFonts w:ascii="Times New Roman" w:hAnsi="Times New Roman" w:cs="Times New Roman"/>
          <w:sz w:val="36"/>
          <w:szCs w:val="36"/>
        </w:rPr>
      </w:pPr>
      <w:r w:rsidRPr="008D78F8">
        <w:rPr>
          <w:rFonts w:ascii="Times New Roman" w:hAnsi="Times New Roman" w:cs="Times New Roman"/>
          <w:b/>
          <w:sz w:val="36"/>
          <w:szCs w:val="36"/>
        </w:rPr>
        <w:t>Module Code:</w:t>
      </w:r>
      <w:r w:rsidRPr="008D78F8">
        <w:rPr>
          <w:rFonts w:ascii="Times New Roman" w:hAnsi="Times New Roman" w:cs="Times New Roman"/>
          <w:sz w:val="36"/>
          <w:szCs w:val="36"/>
        </w:rPr>
        <w:t xml:space="preserve"> LCLM5003</w:t>
      </w:r>
      <w:r w:rsidRPr="008D78F8">
        <w:rPr>
          <w:rFonts w:ascii="Times New Roman" w:hAnsi="Times New Roman" w:cs="Times New Roman"/>
          <w:sz w:val="36"/>
          <w:szCs w:val="36"/>
        </w:rPr>
        <w:br/>
      </w:r>
      <w:r w:rsidRPr="008D78F8">
        <w:rPr>
          <w:rFonts w:ascii="Times New Roman" w:hAnsi="Times New Roman" w:cs="Times New Roman"/>
          <w:b/>
          <w:sz w:val="36"/>
          <w:szCs w:val="36"/>
        </w:rPr>
        <w:t>Module Title:</w:t>
      </w:r>
      <w:r w:rsidRPr="008D78F8">
        <w:rPr>
          <w:rFonts w:ascii="Times New Roman" w:hAnsi="Times New Roman" w:cs="Times New Roman"/>
          <w:sz w:val="36"/>
          <w:szCs w:val="36"/>
        </w:rPr>
        <w:t xml:space="preserve"> Project Management</w:t>
      </w:r>
      <w:r w:rsidRPr="008D78F8">
        <w:rPr>
          <w:rFonts w:ascii="Times New Roman" w:hAnsi="Times New Roman" w:cs="Times New Roman"/>
          <w:sz w:val="36"/>
          <w:szCs w:val="36"/>
        </w:rPr>
        <w:br/>
      </w:r>
      <w:proofErr w:type="spellStart"/>
      <w:r w:rsidRPr="008D78F8">
        <w:rPr>
          <w:rFonts w:ascii="Times New Roman" w:hAnsi="Times New Roman" w:cs="Times New Roman"/>
          <w:b/>
          <w:sz w:val="36"/>
          <w:szCs w:val="36"/>
        </w:rPr>
        <w:t>Programme</w:t>
      </w:r>
      <w:proofErr w:type="spellEnd"/>
      <w:r w:rsidRPr="008D78F8">
        <w:rPr>
          <w:rFonts w:ascii="Times New Roman" w:hAnsi="Times New Roman" w:cs="Times New Roman"/>
          <w:b/>
          <w:sz w:val="36"/>
          <w:szCs w:val="36"/>
        </w:rPr>
        <w:t>:</w:t>
      </w:r>
      <w:r w:rsidRPr="008D78F8">
        <w:rPr>
          <w:rFonts w:ascii="Times New Roman" w:hAnsi="Times New Roman" w:cs="Times New Roman"/>
          <w:sz w:val="36"/>
          <w:szCs w:val="36"/>
        </w:rPr>
        <w:t xml:space="preserve"> BA (</w:t>
      </w:r>
      <w:proofErr w:type="spellStart"/>
      <w:r w:rsidRPr="008D78F8">
        <w:rPr>
          <w:rFonts w:ascii="Times New Roman" w:hAnsi="Times New Roman" w:cs="Times New Roman"/>
          <w:sz w:val="36"/>
          <w:szCs w:val="36"/>
        </w:rPr>
        <w:t>Hons</w:t>
      </w:r>
      <w:proofErr w:type="spellEnd"/>
      <w:r w:rsidRPr="008D78F8">
        <w:rPr>
          <w:rFonts w:ascii="Times New Roman" w:hAnsi="Times New Roman" w:cs="Times New Roman"/>
          <w:sz w:val="36"/>
          <w:szCs w:val="36"/>
        </w:rPr>
        <w:t>) Leadership and Management Skills in the Workplace</w:t>
      </w:r>
    </w:p>
    <w:p w14:paraId="6B152423" w14:textId="77777777" w:rsidR="00726ED3" w:rsidRPr="008D78F8" w:rsidRDefault="00726ED3" w:rsidP="008D78F8">
      <w:pPr>
        <w:spacing w:line="360" w:lineRule="auto"/>
        <w:jc w:val="center"/>
        <w:rPr>
          <w:rFonts w:ascii="Times New Roman" w:hAnsi="Times New Roman" w:cs="Times New Roman"/>
          <w:sz w:val="36"/>
          <w:szCs w:val="36"/>
        </w:rPr>
      </w:pPr>
    </w:p>
    <w:p w14:paraId="25183612" w14:textId="77777777" w:rsidR="00FE40F0" w:rsidRPr="008D78F8" w:rsidRDefault="00FE40F0" w:rsidP="008D78F8">
      <w:pPr>
        <w:spacing w:line="360" w:lineRule="auto"/>
        <w:jc w:val="center"/>
        <w:rPr>
          <w:rFonts w:ascii="Times New Roman" w:hAnsi="Times New Roman" w:cs="Times New Roman"/>
          <w:sz w:val="36"/>
          <w:szCs w:val="36"/>
        </w:rPr>
      </w:pPr>
      <w:r w:rsidRPr="008D78F8">
        <w:rPr>
          <w:rFonts w:ascii="Times New Roman" w:hAnsi="Times New Roman" w:cs="Times New Roman"/>
          <w:sz w:val="36"/>
          <w:szCs w:val="36"/>
        </w:rPr>
        <w:br w:type="page"/>
      </w:r>
    </w:p>
    <w:sdt>
      <w:sdtPr>
        <w:rPr>
          <w:rFonts w:asciiTheme="minorHAnsi" w:eastAsiaTheme="minorHAnsi" w:hAnsiTheme="minorHAnsi" w:cstheme="minorBidi"/>
          <w:color w:val="auto"/>
          <w:sz w:val="22"/>
          <w:szCs w:val="22"/>
        </w:rPr>
        <w:id w:val="-666714711"/>
        <w:docPartObj>
          <w:docPartGallery w:val="Table of Contents"/>
          <w:docPartUnique/>
        </w:docPartObj>
      </w:sdtPr>
      <w:sdtEndPr>
        <w:rPr>
          <w:b/>
          <w:bCs/>
          <w:noProof/>
        </w:rPr>
      </w:sdtEndPr>
      <w:sdtContent>
        <w:p w14:paraId="2CDF24D6" w14:textId="77777777" w:rsidR="00F17A83" w:rsidRPr="00F17A83" w:rsidRDefault="00F17A83" w:rsidP="00F17A83">
          <w:pPr>
            <w:pStyle w:val="TOCHeading"/>
            <w:jc w:val="center"/>
            <w:rPr>
              <w:rFonts w:ascii="Times New Roman" w:hAnsi="Times New Roman" w:cs="Times New Roman"/>
              <w:b/>
              <w:color w:val="auto"/>
              <w:sz w:val="36"/>
              <w:szCs w:val="36"/>
            </w:rPr>
          </w:pPr>
          <w:r w:rsidRPr="00F17A83">
            <w:rPr>
              <w:rFonts w:ascii="Times New Roman" w:hAnsi="Times New Roman" w:cs="Times New Roman"/>
              <w:b/>
              <w:color w:val="auto"/>
              <w:sz w:val="36"/>
              <w:szCs w:val="36"/>
            </w:rPr>
            <w:t>Table of Contents</w:t>
          </w:r>
        </w:p>
        <w:p w14:paraId="0794E67C" w14:textId="77777777" w:rsidR="00F17A83" w:rsidRPr="00F17A83" w:rsidRDefault="00F17A83" w:rsidP="00F17A83">
          <w:pPr>
            <w:pStyle w:val="TOC1"/>
            <w:tabs>
              <w:tab w:val="right" w:leader="dot" w:pos="9350"/>
            </w:tabs>
            <w:spacing w:line="360" w:lineRule="auto"/>
            <w:rPr>
              <w:rFonts w:ascii="Times New Roman" w:eastAsiaTheme="minorEastAsia" w:hAnsi="Times New Roman" w:cs="Times New Roman"/>
              <w:noProof/>
              <w:sz w:val="24"/>
            </w:rPr>
          </w:pPr>
          <w:r w:rsidRPr="00F17A83">
            <w:rPr>
              <w:rFonts w:ascii="Times New Roman" w:hAnsi="Times New Roman" w:cs="Times New Roman"/>
              <w:sz w:val="24"/>
            </w:rPr>
            <w:fldChar w:fldCharType="begin"/>
          </w:r>
          <w:r w:rsidRPr="00F17A83">
            <w:rPr>
              <w:rFonts w:ascii="Times New Roman" w:hAnsi="Times New Roman" w:cs="Times New Roman"/>
              <w:sz w:val="24"/>
            </w:rPr>
            <w:instrText xml:space="preserve"> TOC \o "1-3" \h \z \u </w:instrText>
          </w:r>
          <w:r w:rsidRPr="00F17A83">
            <w:rPr>
              <w:rFonts w:ascii="Times New Roman" w:hAnsi="Times New Roman" w:cs="Times New Roman"/>
              <w:sz w:val="24"/>
            </w:rPr>
            <w:fldChar w:fldCharType="separate"/>
          </w:r>
          <w:hyperlink w:anchor="_Toc235969203" w:history="1">
            <w:r w:rsidRPr="00F17A83">
              <w:rPr>
                <w:rStyle w:val="Hyperlink"/>
                <w:rFonts w:ascii="Times New Roman" w:hAnsi="Times New Roman" w:cs="Times New Roman"/>
                <w:noProof/>
                <w:sz w:val="24"/>
              </w:rPr>
              <w:t>Part A: Project Portfolio Poster</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_Toc235969203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2</w:t>
            </w:r>
            <w:r w:rsidRPr="00F17A83">
              <w:rPr>
                <w:rFonts w:ascii="Times New Roman" w:hAnsi="Times New Roman" w:cs="Times New Roman"/>
                <w:noProof/>
                <w:webHidden/>
                <w:sz w:val="24"/>
              </w:rPr>
              <w:fldChar w:fldCharType="end"/>
            </w:r>
          </w:hyperlink>
        </w:p>
        <w:p w14:paraId="765AD41F" w14:textId="77777777" w:rsidR="00F17A83" w:rsidRPr="00F17A83" w:rsidRDefault="00F17A83" w:rsidP="00F17A83">
          <w:pPr>
            <w:pStyle w:val="TOC1"/>
            <w:tabs>
              <w:tab w:val="right" w:leader="dot" w:pos="9350"/>
            </w:tabs>
            <w:spacing w:line="360" w:lineRule="auto"/>
            <w:rPr>
              <w:rFonts w:ascii="Times New Roman" w:eastAsiaTheme="minorEastAsia" w:hAnsi="Times New Roman" w:cs="Times New Roman"/>
              <w:noProof/>
              <w:sz w:val="24"/>
            </w:rPr>
          </w:pPr>
          <w:hyperlink w:anchor="_Toc235969204" w:history="1">
            <w:r w:rsidRPr="00F17A83">
              <w:rPr>
                <w:rStyle w:val="Hyperlink"/>
                <w:rFonts w:ascii="Times New Roman" w:hAnsi="Times New Roman" w:cs="Times New Roman"/>
                <w:noProof/>
                <w:sz w:val="24"/>
              </w:rPr>
              <w:t>Part B: Reflection on Feedback</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_Toc235969204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3</w:t>
            </w:r>
            <w:r w:rsidRPr="00F17A83">
              <w:rPr>
                <w:rFonts w:ascii="Times New Roman" w:hAnsi="Times New Roman" w:cs="Times New Roman"/>
                <w:noProof/>
                <w:webHidden/>
                <w:sz w:val="24"/>
              </w:rPr>
              <w:fldChar w:fldCharType="end"/>
            </w:r>
          </w:hyperlink>
        </w:p>
        <w:p w14:paraId="1588A87E" w14:textId="77777777" w:rsidR="00F17A83" w:rsidRPr="00F17A83" w:rsidRDefault="00F17A83" w:rsidP="00F17A83">
          <w:pPr>
            <w:pStyle w:val="TOC1"/>
            <w:tabs>
              <w:tab w:val="right" w:leader="dot" w:pos="9350"/>
            </w:tabs>
            <w:spacing w:line="360" w:lineRule="auto"/>
            <w:rPr>
              <w:rFonts w:ascii="Times New Roman" w:eastAsiaTheme="minorEastAsia" w:hAnsi="Times New Roman" w:cs="Times New Roman"/>
              <w:noProof/>
              <w:sz w:val="24"/>
            </w:rPr>
          </w:pPr>
          <w:hyperlink w:anchor="_Toc235969205" w:history="1">
            <w:r w:rsidRPr="00F17A83">
              <w:rPr>
                <w:rStyle w:val="Hyperlink"/>
                <w:rFonts w:ascii="Times New Roman" w:hAnsi="Times New Roman" w:cs="Times New Roman"/>
                <w:noProof/>
                <w:sz w:val="24"/>
              </w:rPr>
              <w:t>Part C: Project Management Plan</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_Toc235969205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4</w:t>
            </w:r>
            <w:r w:rsidRPr="00F17A83">
              <w:rPr>
                <w:rFonts w:ascii="Times New Roman" w:hAnsi="Times New Roman" w:cs="Times New Roman"/>
                <w:noProof/>
                <w:webHidden/>
                <w:sz w:val="24"/>
              </w:rPr>
              <w:fldChar w:fldCharType="end"/>
            </w:r>
          </w:hyperlink>
        </w:p>
        <w:p w14:paraId="36B4AD96" w14:textId="77777777" w:rsidR="00F17A83" w:rsidRPr="00F17A83" w:rsidRDefault="00F17A83" w:rsidP="00F17A83">
          <w:pPr>
            <w:pStyle w:val="TOC2"/>
            <w:tabs>
              <w:tab w:val="right" w:leader="dot" w:pos="9350"/>
            </w:tabs>
            <w:spacing w:line="360" w:lineRule="auto"/>
            <w:rPr>
              <w:rFonts w:ascii="Times New Roman" w:eastAsiaTheme="minorEastAsia" w:hAnsi="Times New Roman" w:cs="Times New Roman"/>
              <w:noProof/>
              <w:sz w:val="24"/>
            </w:rPr>
          </w:pPr>
          <w:hyperlink w:anchor="_Toc235969206" w:history="1">
            <w:r w:rsidRPr="00F17A83">
              <w:rPr>
                <w:rStyle w:val="Hyperlink"/>
                <w:rFonts w:ascii="Times New Roman" w:hAnsi="Times New Roman" w:cs="Times New Roman"/>
                <w:noProof/>
                <w:sz w:val="24"/>
              </w:rPr>
              <w:t>1. Introduction</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_Toc235969206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4</w:t>
            </w:r>
            <w:r w:rsidRPr="00F17A83">
              <w:rPr>
                <w:rFonts w:ascii="Times New Roman" w:hAnsi="Times New Roman" w:cs="Times New Roman"/>
                <w:noProof/>
                <w:webHidden/>
                <w:sz w:val="24"/>
              </w:rPr>
              <w:fldChar w:fldCharType="end"/>
            </w:r>
          </w:hyperlink>
        </w:p>
        <w:p w14:paraId="4C7415BA" w14:textId="77777777" w:rsidR="00F17A83" w:rsidRPr="00F17A83" w:rsidRDefault="00F17A83" w:rsidP="00F17A83">
          <w:pPr>
            <w:pStyle w:val="TOC2"/>
            <w:tabs>
              <w:tab w:val="right" w:leader="dot" w:pos="9350"/>
            </w:tabs>
            <w:spacing w:line="360" w:lineRule="auto"/>
            <w:rPr>
              <w:rFonts w:ascii="Times New Roman" w:eastAsiaTheme="minorEastAsia" w:hAnsi="Times New Roman" w:cs="Times New Roman"/>
              <w:noProof/>
              <w:sz w:val="24"/>
            </w:rPr>
          </w:pPr>
          <w:hyperlink w:anchor="_Toc235969207" w:history="1">
            <w:r w:rsidRPr="00F17A83">
              <w:rPr>
                <w:rStyle w:val="Hyperlink"/>
                <w:rFonts w:ascii="Times New Roman" w:hAnsi="Times New Roman" w:cs="Times New Roman"/>
                <w:noProof/>
                <w:sz w:val="24"/>
              </w:rPr>
              <w:t>2. Project Description</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_Toc235969207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5</w:t>
            </w:r>
            <w:r w:rsidRPr="00F17A83">
              <w:rPr>
                <w:rFonts w:ascii="Times New Roman" w:hAnsi="Times New Roman" w:cs="Times New Roman"/>
                <w:noProof/>
                <w:webHidden/>
                <w:sz w:val="24"/>
              </w:rPr>
              <w:fldChar w:fldCharType="end"/>
            </w:r>
          </w:hyperlink>
        </w:p>
        <w:p w14:paraId="1C72704A" w14:textId="77777777" w:rsidR="00F17A83" w:rsidRPr="00F17A83" w:rsidRDefault="00F17A83" w:rsidP="00F17A83">
          <w:pPr>
            <w:pStyle w:val="TOC2"/>
            <w:tabs>
              <w:tab w:val="right" w:leader="dot" w:pos="9350"/>
            </w:tabs>
            <w:spacing w:line="360" w:lineRule="auto"/>
            <w:rPr>
              <w:rFonts w:ascii="Times New Roman" w:eastAsiaTheme="minorEastAsia" w:hAnsi="Times New Roman" w:cs="Times New Roman"/>
              <w:noProof/>
              <w:sz w:val="24"/>
            </w:rPr>
          </w:pPr>
          <w:hyperlink w:anchor="_Toc235969208" w:history="1">
            <w:r w:rsidRPr="00F17A83">
              <w:rPr>
                <w:rStyle w:val="Hyperlink"/>
                <w:rFonts w:ascii="Times New Roman" w:hAnsi="Times New Roman" w:cs="Times New Roman"/>
                <w:noProof/>
                <w:sz w:val="24"/>
              </w:rPr>
              <w:t>2.1 Aim and SMART Objectives</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_Toc235969208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5</w:t>
            </w:r>
            <w:r w:rsidRPr="00F17A83">
              <w:rPr>
                <w:rFonts w:ascii="Times New Roman" w:hAnsi="Times New Roman" w:cs="Times New Roman"/>
                <w:noProof/>
                <w:webHidden/>
                <w:sz w:val="24"/>
              </w:rPr>
              <w:fldChar w:fldCharType="end"/>
            </w:r>
          </w:hyperlink>
        </w:p>
        <w:p w14:paraId="6D4A9A0D" w14:textId="77777777" w:rsidR="00F17A83" w:rsidRPr="00F17A83" w:rsidRDefault="00F17A83" w:rsidP="00F17A83">
          <w:pPr>
            <w:pStyle w:val="TOC2"/>
            <w:tabs>
              <w:tab w:val="right" w:leader="dot" w:pos="9350"/>
            </w:tabs>
            <w:spacing w:line="360" w:lineRule="auto"/>
            <w:rPr>
              <w:rFonts w:ascii="Times New Roman" w:eastAsiaTheme="minorEastAsia" w:hAnsi="Times New Roman" w:cs="Times New Roman"/>
              <w:noProof/>
              <w:sz w:val="24"/>
            </w:rPr>
          </w:pPr>
          <w:hyperlink w:anchor="_Toc235969209" w:history="1">
            <w:r w:rsidRPr="00F17A83">
              <w:rPr>
                <w:rStyle w:val="Hyperlink"/>
                <w:rFonts w:ascii="Times New Roman" w:hAnsi="Times New Roman" w:cs="Times New Roman"/>
                <w:noProof/>
                <w:sz w:val="24"/>
              </w:rPr>
              <w:t>2.2 Governance and Success</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_Toc235969209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6</w:t>
            </w:r>
            <w:r w:rsidRPr="00F17A83">
              <w:rPr>
                <w:rFonts w:ascii="Times New Roman" w:hAnsi="Times New Roman" w:cs="Times New Roman"/>
                <w:noProof/>
                <w:webHidden/>
                <w:sz w:val="24"/>
              </w:rPr>
              <w:fldChar w:fldCharType="end"/>
            </w:r>
          </w:hyperlink>
        </w:p>
        <w:p w14:paraId="6204D663" w14:textId="77777777" w:rsidR="00F17A83" w:rsidRPr="00F17A83" w:rsidRDefault="00F17A83" w:rsidP="00F17A83">
          <w:pPr>
            <w:pStyle w:val="TOC2"/>
            <w:tabs>
              <w:tab w:val="right" w:leader="dot" w:pos="9350"/>
            </w:tabs>
            <w:spacing w:line="360" w:lineRule="auto"/>
            <w:rPr>
              <w:rFonts w:ascii="Times New Roman" w:eastAsiaTheme="minorEastAsia" w:hAnsi="Times New Roman" w:cs="Times New Roman"/>
              <w:noProof/>
              <w:sz w:val="24"/>
            </w:rPr>
          </w:pPr>
          <w:hyperlink w:anchor="_Toc235969210" w:history="1">
            <w:r w:rsidRPr="00F17A83">
              <w:rPr>
                <w:rStyle w:val="Hyperlink"/>
                <w:rFonts w:ascii="Times New Roman" w:hAnsi="Times New Roman" w:cs="Times New Roman"/>
                <w:noProof/>
                <w:sz w:val="24"/>
              </w:rPr>
              <w:t>3. Scope</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_Toc235969210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7</w:t>
            </w:r>
            <w:r w:rsidRPr="00F17A83">
              <w:rPr>
                <w:rFonts w:ascii="Times New Roman" w:hAnsi="Times New Roman" w:cs="Times New Roman"/>
                <w:noProof/>
                <w:webHidden/>
                <w:sz w:val="24"/>
              </w:rPr>
              <w:fldChar w:fldCharType="end"/>
            </w:r>
          </w:hyperlink>
        </w:p>
        <w:p w14:paraId="6EA182EE" w14:textId="77777777" w:rsidR="00F17A83" w:rsidRPr="00F17A83" w:rsidRDefault="00F17A83" w:rsidP="00F17A83">
          <w:pPr>
            <w:pStyle w:val="TOC2"/>
            <w:tabs>
              <w:tab w:val="right" w:leader="dot" w:pos="9350"/>
            </w:tabs>
            <w:spacing w:line="360" w:lineRule="auto"/>
            <w:rPr>
              <w:rFonts w:ascii="Times New Roman" w:eastAsiaTheme="minorEastAsia" w:hAnsi="Times New Roman" w:cs="Times New Roman"/>
              <w:noProof/>
              <w:sz w:val="24"/>
            </w:rPr>
          </w:pPr>
          <w:hyperlink w:anchor="_Toc235969211" w:history="1">
            <w:r w:rsidRPr="00F17A83">
              <w:rPr>
                <w:rStyle w:val="Hyperlink"/>
                <w:rFonts w:ascii="Times New Roman" w:hAnsi="Times New Roman" w:cs="Times New Roman"/>
                <w:noProof/>
                <w:sz w:val="24"/>
              </w:rPr>
              <w:t>4. Work Breakdown Structure</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_Toc235969211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8</w:t>
            </w:r>
            <w:r w:rsidRPr="00F17A83">
              <w:rPr>
                <w:rFonts w:ascii="Times New Roman" w:hAnsi="Times New Roman" w:cs="Times New Roman"/>
                <w:noProof/>
                <w:webHidden/>
                <w:sz w:val="24"/>
              </w:rPr>
              <w:fldChar w:fldCharType="end"/>
            </w:r>
          </w:hyperlink>
        </w:p>
        <w:p w14:paraId="4528E50A" w14:textId="77777777" w:rsidR="00F17A83" w:rsidRPr="00F17A83" w:rsidRDefault="00F17A83" w:rsidP="00F17A83">
          <w:pPr>
            <w:pStyle w:val="TOC2"/>
            <w:tabs>
              <w:tab w:val="right" w:leader="dot" w:pos="9350"/>
            </w:tabs>
            <w:spacing w:line="360" w:lineRule="auto"/>
            <w:rPr>
              <w:rFonts w:ascii="Times New Roman" w:eastAsiaTheme="minorEastAsia" w:hAnsi="Times New Roman" w:cs="Times New Roman"/>
              <w:noProof/>
              <w:sz w:val="24"/>
            </w:rPr>
          </w:pPr>
          <w:hyperlink w:anchor="_Toc235969212" w:history="1">
            <w:r w:rsidRPr="00F17A83">
              <w:rPr>
                <w:rStyle w:val="Hyperlink"/>
                <w:rFonts w:ascii="Times New Roman" w:hAnsi="Times New Roman" w:cs="Times New Roman"/>
                <w:noProof/>
                <w:sz w:val="24"/>
              </w:rPr>
              <w:t>5. Quad Chart</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_Toc235969212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10</w:t>
            </w:r>
            <w:r w:rsidRPr="00F17A83">
              <w:rPr>
                <w:rFonts w:ascii="Times New Roman" w:hAnsi="Times New Roman" w:cs="Times New Roman"/>
                <w:noProof/>
                <w:webHidden/>
                <w:sz w:val="24"/>
              </w:rPr>
              <w:fldChar w:fldCharType="end"/>
            </w:r>
          </w:hyperlink>
        </w:p>
        <w:p w14:paraId="4CE77EC8" w14:textId="77777777" w:rsidR="00F17A83" w:rsidRPr="00F17A83" w:rsidRDefault="00F17A83" w:rsidP="00F17A83">
          <w:pPr>
            <w:pStyle w:val="TOC2"/>
            <w:tabs>
              <w:tab w:val="right" w:leader="dot" w:pos="9350"/>
            </w:tabs>
            <w:spacing w:line="360" w:lineRule="auto"/>
            <w:rPr>
              <w:rFonts w:ascii="Times New Roman" w:eastAsiaTheme="minorEastAsia" w:hAnsi="Times New Roman" w:cs="Times New Roman"/>
              <w:noProof/>
              <w:sz w:val="24"/>
            </w:rPr>
          </w:pPr>
          <w:hyperlink w:anchor="_Toc235969213" w:history="1">
            <w:r w:rsidRPr="00F17A83">
              <w:rPr>
                <w:rStyle w:val="Hyperlink"/>
                <w:rFonts w:ascii="Times New Roman" w:hAnsi="Times New Roman" w:cs="Times New Roman"/>
                <w:noProof/>
                <w:sz w:val="24"/>
              </w:rPr>
              <w:t>6. Gantt Chart</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_Toc235969213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11</w:t>
            </w:r>
            <w:r w:rsidRPr="00F17A83">
              <w:rPr>
                <w:rFonts w:ascii="Times New Roman" w:hAnsi="Times New Roman" w:cs="Times New Roman"/>
                <w:noProof/>
                <w:webHidden/>
                <w:sz w:val="24"/>
              </w:rPr>
              <w:fldChar w:fldCharType="end"/>
            </w:r>
          </w:hyperlink>
        </w:p>
        <w:p w14:paraId="67F7A9CD" w14:textId="77777777" w:rsidR="00F17A83" w:rsidRPr="00F17A83" w:rsidRDefault="00F17A83" w:rsidP="00F17A83">
          <w:pPr>
            <w:pStyle w:val="TOC2"/>
            <w:tabs>
              <w:tab w:val="right" w:leader="dot" w:pos="9350"/>
            </w:tabs>
            <w:spacing w:line="360" w:lineRule="auto"/>
            <w:rPr>
              <w:rFonts w:ascii="Times New Roman" w:eastAsiaTheme="minorEastAsia" w:hAnsi="Times New Roman" w:cs="Times New Roman"/>
              <w:noProof/>
              <w:sz w:val="24"/>
            </w:rPr>
          </w:pPr>
          <w:hyperlink w:anchor="_Toc235969214" w:history="1">
            <w:r w:rsidRPr="00F17A83">
              <w:rPr>
                <w:rStyle w:val="Hyperlink"/>
                <w:rFonts w:ascii="Times New Roman" w:hAnsi="Times New Roman" w:cs="Times New Roman"/>
                <w:noProof/>
                <w:sz w:val="24"/>
              </w:rPr>
              <w:t>7. Stakeholder Involvement</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_Toc235969214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11</w:t>
            </w:r>
            <w:r w:rsidRPr="00F17A83">
              <w:rPr>
                <w:rFonts w:ascii="Times New Roman" w:hAnsi="Times New Roman" w:cs="Times New Roman"/>
                <w:noProof/>
                <w:webHidden/>
                <w:sz w:val="24"/>
              </w:rPr>
              <w:fldChar w:fldCharType="end"/>
            </w:r>
          </w:hyperlink>
        </w:p>
        <w:p w14:paraId="233A13F0" w14:textId="77777777" w:rsidR="00F17A83" w:rsidRPr="00F17A83" w:rsidRDefault="00F17A83" w:rsidP="00F17A83">
          <w:pPr>
            <w:pStyle w:val="TOC2"/>
            <w:tabs>
              <w:tab w:val="right" w:leader="dot" w:pos="9350"/>
            </w:tabs>
            <w:spacing w:line="360" w:lineRule="auto"/>
            <w:rPr>
              <w:rFonts w:ascii="Times New Roman" w:eastAsiaTheme="minorEastAsia" w:hAnsi="Times New Roman" w:cs="Times New Roman"/>
              <w:noProof/>
              <w:sz w:val="24"/>
            </w:rPr>
          </w:pPr>
          <w:hyperlink w:anchor="_Toc235969215" w:history="1">
            <w:r w:rsidRPr="00F17A83">
              <w:rPr>
                <w:rStyle w:val="Hyperlink"/>
                <w:rFonts w:ascii="Times New Roman" w:hAnsi="Times New Roman" w:cs="Times New Roman"/>
                <w:noProof/>
                <w:sz w:val="24"/>
              </w:rPr>
              <w:t>8. Allocation of Resources</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_Toc235969215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13</w:t>
            </w:r>
            <w:r w:rsidRPr="00F17A83">
              <w:rPr>
                <w:rFonts w:ascii="Times New Roman" w:hAnsi="Times New Roman" w:cs="Times New Roman"/>
                <w:noProof/>
                <w:webHidden/>
                <w:sz w:val="24"/>
              </w:rPr>
              <w:fldChar w:fldCharType="end"/>
            </w:r>
          </w:hyperlink>
        </w:p>
        <w:p w14:paraId="061B9856" w14:textId="77777777" w:rsidR="00F17A83" w:rsidRPr="00F17A83" w:rsidRDefault="00F17A83" w:rsidP="00F17A83">
          <w:pPr>
            <w:pStyle w:val="TOC2"/>
            <w:tabs>
              <w:tab w:val="right" w:leader="dot" w:pos="9350"/>
            </w:tabs>
            <w:spacing w:line="360" w:lineRule="auto"/>
            <w:rPr>
              <w:rFonts w:ascii="Times New Roman" w:eastAsiaTheme="minorEastAsia" w:hAnsi="Times New Roman" w:cs="Times New Roman"/>
              <w:noProof/>
              <w:sz w:val="24"/>
            </w:rPr>
          </w:pPr>
          <w:hyperlink w:anchor="_Toc235969216" w:history="1">
            <w:r w:rsidRPr="00F17A83">
              <w:rPr>
                <w:rStyle w:val="Hyperlink"/>
                <w:rFonts w:ascii="Times New Roman" w:hAnsi="Times New Roman" w:cs="Times New Roman"/>
                <w:noProof/>
                <w:sz w:val="24"/>
              </w:rPr>
              <w:t>9. Risk Analysis</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_Toc235969216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14</w:t>
            </w:r>
            <w:r w:rsidRPr="00F17A83">
              <w:rPr>
                <w:rFonts w:ascii="Times New Roman" w:hAnsi="Times New Roman" w:cs="Times New Roman"/>
                <w:noProof/>
                <w:webHidden/>
                <w:sz w:val="24"/>
              </w:rPr>
              <w:fldChar w:fldCharType="end"/>
            </w:r>
          </w:hyperlink>
        </w:p>
        <w:p w14:paraId="6BAFCCEB" w14:textId="77777777" w:rsidR="00F17A83" w:rsidRPr="00F17A83" w:rsidRDefault="00F17A83" w:rsidP="00F17A83">
          <w:pPr>
            <w:pStyle w:val="TOC2"/>
            <w:tabs>
              <w:tab w:val="right" w:leader="dot" w:pos="9350"/>
            </w:tabs>
            <w:spacing w:line="360" w:lineRule="auto"/>
            <w:rPr>
              <w:rFonts w:ascii="Times New Roman" w:eastAsiaTheme="minorEastAsia" w:hAnsi="Times New Roman" w:cs="Times New Roman"/>
              <w:noProof/>
              <w:sz w:val="24"/>
            </w:rPr>
          </w:pPr>
          <w:hyperlink w:anchor="_Toc235969217" w:history="1">
            <w:r w:rsidRPr="00F17A83">
              <w:rPr>
                <w:rStyle w:val="Hyperlink"/>
                <w:rFonts w:ascii="Times New Roman" w:hAnsi="Times New Roman" w:cs="Times New Roman"/>
                <w:noProof/>
                <w:sz w:val="24"/>
              </w:rPr>
              <w:t>10. Conclusion</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_Toc235969217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17</w:t>
            </w:r>
            <w:r w:rsidRPr="00F17A83">
              <w:rPr>
                <w:rFonts w:ascii="Times New Roman" w:hAnsi="Times New Roman" w:cs="Times New Roman"/>
                <w:noProof/>
                <w:webHidden/>
                <w:sz w:val="24"/>
              </w:rPr>
              <w:fldChar w:fldCharType="end"/>
            </w:r>
          </w:hyperlink>
        </w:p>
        <w:p w14:paraId="52553D9E" w14:textId="77777777" w:rsidR="00F17A83" w:rsidRPr="00F17A83" w:rsidRDefault="00F17A83" w:rsidP="00F17A83">
          <w:pPr>
            <w:pStyle w:val="TOC1"/>
            <w:tabs>
              <w:tab w:val="right" w:leader="dot" w:pos="9350"/>
            </w:tabs>
            <w:spacing w:line="360" w:lineRule="auto"/>
            <w:rPr>
              <w:rFonts w:ascii="Times New Roman" w:eastAsiaTheme="minorEastAsia" w:hAnsi="Times New Roman" w:cs="Times New Roman"/>
              <w:noProof/>
              <w:sz w:val="24"/>
            </w:rPr>
          </w:pPr>
          <w:hyperlink w:anchor="_Toc235969218" w:history="1">
            <w:r w:rsidRPr="00F17A83">
              <w:rPr>
                <w:rStyle w:val="Hyperlink"/>
                <w:rFonts w:ascii="Times New Roman" w:hAnsi="Times New Roman" w:cs="Times New Roman"/>
                <w:noProof/>
                <w:sz w:val="24"/>
              </w:rPr>
              <w:t>References</w:t>
            </w:r>
            <w:r w:rsidRPr="00F17A83">
              <w:rPr>
                <w:rFonts w:ascii="Times New Roman" w:hAnsi="Times New Roman" w:cs="Times New Roman"/>
                <w:noProof/>
                <w:webHidden/>
                <w:sz w:val="24"/>
              </w:rPr>
              <w:tab/>
            </w:r>
            <w:r w:rsidRPr="00F17A83">
              <w:rPr>
                <w:rFonts w:ascii="Times New Roman" w:hAnsi="Times New Roman" w:cs="Times New Roman"/>
                <w:noProof/>
                <w:webHidden/>
                <w:sz w:val="24"/>
              </w:rPr>
              <w:fldChar w:fldCharType="begin"/>
            </w:r>
            <w:r w:rsidRPr="00F17A83">
              <w:rPr>
                <w:rFonts w:ascii="Times New Roman" w:hAnsi="Times New Roman" w:cs="Times New Roman"/>
                <w:noProof/>
                <w:webHidden/>
                <w:sz w:val="24"/>
              </w:rPr>
              <w:instrText xml:space="preserve"> PAGEREF _Toc235969218 \h </w:instrText>
            </w:r>
            <w:r w:rsidRPr="00F17A83">
              <w:rPr>
                <w:rFonts w:ascii="Times New Roman" w:hAnsi="Times New Roman" w:cs="Times New Roman"/>
                <w:noProof/>
                <w:webHidden/>
                <w:sz w:val="24"/>
              </w:rPr>
            </w:r>
            <w:r w:rsidRPr="00F17A83">
              <w:rPr>
                <w:rFonts w:ascii="Times New Roman" w:hAnsi="Times New Roman" w:cs="Times New Roman"/>
                <w:noProof/>
                <w:webHidden/>
                <w:sz w:val="24"/>
              </w:rPr>
              <w:fldChar w:fldCharType="separate"/>
            </w:r>
            <w:r w:rsidRPr="00F17A83">
              <w:rPr>
                <w:rFonts w:ascii="Times New Roman" w:hAnsi="Times New Roman" w:cs="Times New Roman"/>
                <w:noProof/>
                <w:webHidden/>
                <w:sz w:val="24"/>
              </w:rPr>
              <w:t>18</w:t>
            </w:r>
            <w:r w:rsidRPr="00F17A83">
              <w:rPr>
                <w:rFonts w:ascii="Times New Roman" w:hAnsi="Times New Roman" w:cs="Times New Roman"/>
                <w:noProof/>
                <w:webHidden/>
                <w:sz w:val="24"/>
              </w:rPr>
              <w:fldChar w:fldCharType="end"/>
            </w:r>
          </w:hyperlink>
        </w:p>
        <w:p w14:paraId="2B29C5F8" w14:textId="77777777" w:rsidR="00F17A83" w:rsidRDefault="00F17A83" w:rsidP="00F17A83">
          <w:pPr>
            <w:spacing w:line="360" w:lineRule="auto"/>
          </w:pPr>
          <w:r w:rsidRPr="00F17A83">
            <w:rPr>
              <w:rFonts w:ascii="Times New Roman" w:hAnsi="Times New Roman" w:cs="Times New Roman"/>
              <w:b/>
              <w:bCs/>
              <w:noProof/>
              <w:sz w:val="24"/>
            </w:rPr>
            <w:fldChar w:fldCharType="end"/>
          </w:r>
        </w:p>
      </w:sdtContent>
    </w:sdt>
    <w:p w14:paraId="7C9C8053" w14:textId="77777777" w:rsidR="00D33F9A" w:rsidRDefault="00D33F9A">
      <w:pPr>
        <w:rPr>
          <w:rFonts w:ascii="Times New Roman" w:hAnsi="Times New Roman" w:cs="Times New Roman"/>
          <w:sz w:val="24"/>
          <w:szCs w:val="24"/>
        </w:rPr>
      </w:pPr>
      <w:r>
        <w:rPr>
          <w:rFonts w:ascii="Times New Roman" w:hAnsi="Times New Roman" w:cs="Times New Roman"/>
          <w:sz w:val="24"/>
          <w:szCs w:val="24"/>
        </w:rPr>
        <w:br w:type="page"/>
      </w:r>
    </w:p>
    <w:p w14:paraId="1AF3EA10" w14:textId="77777777" w:rsidR="00D33F9A" w:rsidRDefault="00D33F9A" w:rsidP="00D33F9A">
      <w:pPr>
        <w:pStyle w:val="Heading1"/>
      </w:pPr>
      <w:bookmarkStart w:id="0" w:name="_Toc235969203"/>
      <w:r>
        <w:lastRenderedPageBreak/>
        <w:t>Part A: Project Portfolio Poster</w:t>
      </w:r>
      <w:bookmarkEnd w:id="0"/>
    </w:p>
    <w:p w14:paraId="1A672FAC" w14:textId="77777777" w:rsidR="00FE40F0" w:rsidRPr="008D78F8" w:rsidRDefault="002112AE" w:rsidP="008D78F8">
      <w:pPr>
        <w:spacing w:line="360" w:lineRule="auto"/>
        <w:jc w:val="both"/>
        <w:rPr>
          <w:rFonts w:ascii="Times New Roman" w:hAnsi="Times New Roman" w:cs="Times New Roman"/>
          <w:sz w:val="24"/>
          <w:szCs w:val="24"/>
        </w:rPr>
      </w:pPr>
      <w:r w:rsidRPr="002112AE">
        <w:rPr>
          <w:rFonts w:ascii="Times New Roman" w:hAnsi="Times New Roman" w:cs="Times New Roman"/>
          <w:noProof/>
          <w:sz w:val="24"/>
          <w:szCs w:val="24"/>
        </w:rPr>
        <w:drawing>
          <wp:anchor distT="0" distB="0" distL="114300" distR="114300" simplePos="0" relativeHeight="251658240" behindDoc="1" locked="0" layoutInCell="1" allowOverlap="1" wp14:anchorId="1F11CD7D" wp14:editId="0904F59A">
            <wp:simplePos x="0" y="0"/>
            <wp:positionH relativeFrom="column">
              <wp:posOffset>-27709</wp:posOffset>
            </wp:positionH>
            <wp:positionV relativeFrom="paragraph">
              <wp:posOffset>564862</wp:posOffset>
            </wp:positionV>
            <wp:extent cx="5943600" cy="6428509"/>
            <wp:effectExtent l="0" t="0" r="0" b="0"/>
            <wp:wrapTight wrapText="bothSides">
              <wp:wrapPolygon edited="0">
                <wp:start x="0" y="0"/>
                <wp:lineTo x="0" y="21508"/>
                <wp:lineTo x="21531" y="21508"/>
                <wp:lineTo x="2153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6428509"/>
                    </a:xfrm>
                    <a:prstGeom prst="rect">
                      <a:avLst/>
                    </a:prstGeom>
                  </pic:spPr>
                </pic:pic>
              </a:graphicData>
            </a:graphic>
            <wp14:sizeRelH relativeFrom="page">
              <wp14:pctWidth>0</wp14:pctWidth>
            </wp14:sizeRelH>
            <wp14:sizeRelV relativeFrom="page">
              <wp14:pctHeight>0</wp14:pctHeight>
            </wp14:sizeRelV>
          </wp:anchor>
        </w:drawing>
      </w:r>
      <w:r w:rsidR="00FE40F0" w:rsidRPr="008D78F8">
        <w:rPr>
          <w:rFonts w:ascii="Times New Roman" w:hAnsi="Times New Roman" w:cs="Times New Roman"/>
          <w:sz w:val="24"/>
          <w:szCs w:val="24"/>
        </w:rPr>
        <w:br w:type="page"/>
      </w:r>
    </w:p>
    <w:p w14:paraId="039C9462" w14:textId="77777777" w:rsidR="00FE40F0" w:rsidRPr="008D78F8" w:rsidRDefault="00FE40F0" w:rsidP="008D78F8">
      <w:pPr>
        <w:pStyle w:val="Heading1"/>
        <w:spacing w:line="360" w:lineRule="auto"/>
        <w:jc w:val="both"/>
        <w:rPr>
          <w:rFonts w:cs="Times New Roman"/>
        </w:rPr>
      </w:pPr>
      <w:bookmarkStart w:id="1" w:name="_Toc235922313"/>
      <w:bookmarkStart w:id="2" w:name="_Toc235969204"/>
      <w:r w:rsidRPr="008D78F8">
        <w:rPr>
          <w:rFonts w:cs="Times New Roman"/>
        </w:rPr>
        <w:lastRenderedPageBreak/>
        <w:t>Part B: Reflection on Feedback</w:t>
      </w:r>
      <w:bookmarkEnd w:id="1"/>
      <w:bookmarkEnd w:id="2"/>
    </w:p>
    <w:p w14:paraId="28F51E3D" w14:textId="77777777" w:rsidR="001A3131"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The responses prove that the primary positive aspects of the poster include its visual appeal, rational structure and innovative approach to the transport-hub crisis. It further acknowledges that the proposal meets the assessment needs as it introduces the rationale, aims, and objectives, scope, stakeholders, risks, trade-offs and strategic value of digital </w:t>
      </w:r>
      <w:proofErr w:type="spellStart"/>
      <w:r w:rsidRPr="008D78F8">
        <w:rPr>
          <w:rFonts w:ascii="Times New Roman" w:hAnsi="Times New Roman" w:cs="Times New Roman"/>
          <w:sz w:val="24"/>
          <w:szCs w:val="24"/>
        </w:rPr>
        <w:t>modernisation</w:t>
      </w:r>
      <w:proofErr w:type="spellEnd"/>
      <w:r w:rsidRPr="008D78F8">
        <w:rPr>
          <w:rFonts w:ascii="Times New Roman" w:hAnsi="Times New Roman" w:cs="Times New Roman"/>
          <w:sz w:val="24"/>
          <w:szCs w:val="24"/>
        </w:rPr>
        <w:t>. The participation of quantifiable performance goals and present-day transport and project-management instructions proved quite effective. These merits demonstrate that the chosen project is applicable to the situation and that the poster conveys a complicated proposal in a clear manner. The affirmative remarks also suggest that the main project selection should not be substituted but instead should be maintained when the ultimate plan is being developed.</w:t>
      </w:r>
    </w:p>
    <w:p w14:paraId="5E95CB32" w14:textId="77777777" w:rsidR="001A3131"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The feedback however marks three related areas that can be improved. To begin with, the goals had to be more SMART, and every objective was to be attached to a measure of success. Though the initial proposal carried along performance ambitions, the connection between the aim, deadline, base line, target and owner to be accountable was not always apparent. The last plan, in turn, transforms the objectives into a table of benefits. It outlines, e.g., 95% live-data coverage by Month 6, 99% dashboard uptime, two-minute disruption updates, a 20% peak crowding hotspots reduction by Month 12, relevant staff training, and a quantifiable decrease in freight waiting and idling time. This renders accomplishment audit-able other than relying on general assertions.</w:t>
      </w:r>
    </w:p>
    <w:p w14:paraId="33A1307B" w14:textId="77777777" w:rsidR="001A3131"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Second, the feedback asked to use more practical project-management tools. The revised poster now contains a stakeholder power–interest matrix, high-level timeline and risk heat map. The last plan takes these tools further with a hierarchical structure of work breakdown structure, dependency based Gantt chart, quad chart, quantified budget, governance structure, stakeholder engagement schedule, and scored risk register. This will deal with the distinction between calling a tool and showing how it helps in making decisions, accountability and control. Every tool is related to a management purpose and not placed as an aesthetic necessity.</w:t>
      </w:r>
    </w:p>
    <w:p w14:paraId="49CDA710" w14:textId="77777777" w:rsidR="001A3131"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Third, the feedback demands further critical appraisal of strategic decisions. The last plan therefore justifies why a digital enabling project would be preferred over trying to make a one-step full rebuild, why a pilot phase would be preferred over big-bang launch, why open interfaces would be preferred over supplier-specific integration, and why </w:t>
      </w:r>
      <w:proofErr w:type="spellStart"/>
      <w:r w:rsidRPr="008D78F8">
        <w:rPr>
          <w:rFonts w:ascii="Times New Roman" w:hAnsi="Times New Roman" w:cs="Times New Roman"/>
          <w:sz w:val="24"/>
          <w:szCs w:val="24"/>
        </w:rPr>
        <w:t>privacy-minimised</w:t>
      </w:r>
      <w:proofErr w:type="spellEnd"/>
      <w:r w:rsidRPr="008D78F8">
        <w:rPr>
          <w:rFonts w:ascii="Times New Roman" w:hAnsi="Times New Roman" w:cs="Times New Roman"/>
          <w:sz w:val="24"/>
          <w:szCs w:val="24"/>
        </w:rPr>
        <w:t xml:space="preserve"> sensing with human </w:t>
      </w:r>
      <w:r w:rsidRPr="008D78F8">
        <w:rPr>
          <w:rFonts w:ascii="Times New Roman" w:hAnsi="Times New Roman" w:cs="Times New Roman"/>
          <w:sz w:val="24"/>
          <w:szCs w:val="24"/>
        </w:rPr>
        <w:lastRenderedPageBreak/>
        <w:t xml:space="preserve">support would be chosen over person tracking or an app-only service. Limitations are also recognized: the digital systems cannot prevent the structural flaws of the hub and thus need to facilitate, not substitute the more physical regeneration </w:t>
      </w:r>
      <w:proofErr w:type="spellStart"/>
      <w:r w:rsidRPr="008D78F8">
        <w:rPr>
          <w:rFonts w:ascii="Times New Roman" w:hAnsi="Times New Roman" w:cs="Times New Roman"/>
          <w:sz w:val="24"/>
          <w:szCs w:val="24"/>
        </w:rPr>
        <w:t>programme</w:t>
      </w:r>
      <w:proofErr w:type="spellEnd"/>
      <w:r w:rsidRPr="008D78F8">
        <w:rPr>
          <w:rFonts w:ascii="Times New Roman" w:hAnsi="Times New Roman" w:cs="Times New Roman"/>
          <w:sz w:val="24"/>
          <w:szCs w:val="24"/>
        </w:rPr>
        <w:t>.</w:t>
      </w:r>
    </w:p>
    <w:p w14:paraId="718EFC7B" w14:textId="77777777" w:rsidR="001A3131"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The presentation is also commended in the feedback but it is advised that the amount of text should be minimized in order to make important messages noticeable. This enlightens the final report with succinct subsections, terse sentences and decision-oriented tables. Generally, the feedback transforms the work into a more visually powerful proposal into a more evidence-based and manageable management plan. The last version maintains the innovation within a project but enhances the measurability, critical justification, practical usage, assurance and readability.</w:t>
      </w:r>
    </w:p>
    <w:p w14:paraId="1578FB90" w14:textId="77777777" w:rsidR="00FE40F0" w:rsidRPr="008D78F8" w:rsidRDefault="00FE40F0" w:rsidP="008D78F8">
      <w:pPr>
        <w:pStyle w:val="Heading1"/>
        <w:spacing w:line="360" w:lineRule="auto"/>
        <w:jc w:val="both"/>
        <w:rPr>
          <w:rFonts w:cs="Times New Roman"/>
        </w:rPr>
      </w:pPr>
      <w:bookmarkStart w:id="3" w:name="_Toc235922314"/>
      <w:bookmarkStart w:id="4" w:name="_Toc235969205"/>
      <w:r w:rsidRPr="008D78F8">
        <w:rPr>
          <w:rFonts w:cs="Times New Roman"/>
        </w:rPr>
        <w:t>Part C: Project Management Plan</w:t>
      </w:r>
      <w:bookmarkEnd w:id="3"/>
      <w:bookmarkEnd w:id="4"/>
    </w:p>
    <w:p w14:paraId="5D5786F9" w14:textId="77777777" w:rsidR="00FE40F0" w:rsidRPr="008D78F8" w:rsidRDefault="00FE40F0" w:rsidP="008D78F8">
      <w:pPr>
        <w:pStyle w:val="Heading2"/>
        <w:spacing w:line="360" w:lineRule="auto"/>
      </w:pPr>
      <w:bookmarkStart w:id="5" w:name="_Toc235922315"/>
      <w:bookmarkStart w:id="6" w:name="_Toc235969206"/>
      <w:r w:rsidRPr="008D78F8">
        <w:t>1. Introduction</w:t>
      </w:r>
      <w:bookmarkEnd w:id="5"/>
      <w:bookmarkEnd w:id="6"/>
    </w:p>
    <w:p w14:paraId="01E1D920" w14:textId="77777777" w:rsidR="001A3131"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The shutting of this main transport centre has derailed the movement of people, delivery of freights, local businesses and confidence of people. The chosen project is Digital </w:t>
      </w:r>
      <w:proofErr w:type="spellStart"/>
      <w:r w:rsidRPr="008D78F8">
        <w:rPr>
          <w:rFonts w:ascii="Times New Roman" w:hAnsi="Times New Roman" w:cs="Times New Roman"/>
          <w:sz w:val="24"/>
          <w:szCs w:val="24"/>
        </w:rPr>
        <w:t>Modernisation</w:t>
      </w:r>
      <w:proofErr w:type="spellEnd"/>
      <w:r w:rsidRPr="008D78F8">
        <w:rPr>
          <w:rFonts w:ascii="Times New Roman" w:hAnsi="Times New Roman" w:cs="Times New Roman"/>
          <w:sz w:val="24"/>
          <w:szCs w:val="24"/>
        </w:rPr>
        <w:t xml:space="preserve"> of Passenger Flow and Logistics Coordination. It will establish a common digital operating layer between the rail, bus and freight operations and the broader physical regeneration will be developed. The project enhances the situational awareness, available disruption information, crowd management and freight coordination without the need to have another full closure.</w:t>
      </w:r>
    </w:p>
    <w:p w14:paraId="50534BDC" w14:textId="77777777" w:rsidR="001A3131"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A digital project is done in strategic reasons. It is a more destabilizing capital </w:t>
      </w:r>
      <w:proofErr w:type="spellStart"/>
      <w:r w:rsidRPr="008D78F8">
        <w:rPr>
          <w:rFonts w:ascii="Times New Roman" w:hAnsi="Times New Roman" w:cs="Times New Roman"/>
          <w:sz w:val="24"/>
          <w:szCs w:val="24"/>
        </w:rPr>
        <w:t>programme</w:t>
      </w:r>
      <w:proofErr w:type="spellEnd"/>
      <w:r w:rsidRPr="008D78F8">
        <w:rPr>
          <w:rFonts w:ascii="Times New Roman" w:hAnsi="Times New Roman" w:cs="Times New Roman"/>
          <w:sz w:val="24"/>
          <w:szCs w:val="24"/>
        </w:rPr>
        <w:t xml:space="preserve"> and requires longer to get the structural flaws straight, which require a complete redevelopment. Interim multimodal facility can restore capacity and may leave discontinuous processes and incomplete temporary resources. Only a sustainability redesign assists in getting long-term net-zero goals but does not cope with the current coordination failures. Digital </w:t>
      </w:r>
      <w:proofErr w:type="spellStart"/>
      <w:r w:rsidRPr="008D78F8">
        <w:rPr>
          <w:rFonts w:ascii="Times New Roman" w:hAnsi="Times New Roman" w:cs="Times New Roman"/>
          <w:sz w:val="24"/>
          <w:szCs w:val="24"/>
        </w:rPr>
        <w:t>modernisation</w:t>
      </w:r>
      <w:proofErr w:type="spellEnd"/>
      <w:r w:rsidRPr="008D78F8">
        <w:rPr>
          <w:rFonts w:ascii="Times New Roman" w:hAnsi="Times New Roman" w:cs="Times New Roman"/>
          <w:sz w:val="24"/>
          <w:szCs w:val="24"/>
        </w:rPr>
        <w:t xml:space="preserve"> offers a more scalable and quicker intervention to enable temporary operations and relocate to the restocked hub. It has its own flaws: technology will not salvage unsafe structures. It is thus an enabling project, rather than a substitute to physical redevelopment.</w:t>
      </w:r>
    </w:p>
    <w:p w14:paraId="26920959" w14:textId="77777777" w:rsidR="001A3131"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A combination delivery model is embraced. Governance, budget, procurement, safety and stage approvals and the iterative development are related to predictive controls and dashboards, interfaces and user testing respectively. The pure waterfall would not be timely as unrestricted agile delivery would enable poor control over the public funding, data protection and operator </w:t>
      </w:r>
      <w:r w:rsidRPr="008D78F8">
        <w:rPr>
          <w:rFonts w:ascii="Times New Roman" w:hAnsi="Times New Roman" w:cs="Times New Roman"/>
          <w:sz w:val="24"/>
          <w:szCs w:val="24"/>
        </w:rPr>
        <w:lastRenderedPageBreak/>
        <w:t xml:space="preserve">dependencies. Research links the appropriate project-management skill and agile to more positive outcomes, and the need to adapt to the situation (Mir and Pinna, 2014; </w:t>
      </w:r>
      <w:proofErr w:type="spellStart"/>
      <w:r w:rsidRPr="008D78F8">
        <w:rPr>
          <w:rFonts w:ascii="Times New Roman" w:hAnsi="Times New Roman" w:cs="Times New Roman"/>
          <w:sz w:val="24"/>
          <w:szCs w:val="24"/>
        </w:rPr>
        <w:t>Serrador</w:t>
      </w:r>
      <w:proofErr w:type="spellEnd"/>
      <w:r w:rsidRPr="008D78F8">
        <w:rPr>
          <w:rFonts w:ascii="Times New Roman" w:hAnsi="Times New Roman" w:cs="Times New Roman"/>
          <w:sz w:val="24"/>
          <w:szCs w:val="24"/>
        </w:rPr>
        <w:t xml:space="preserve"> and Pinto, 2015). APM, PMI and ISO value, accountability, stakeholder engagement and lifecycle control guide the plan (APM, 2019; ISO, 2020; PMI, 2021).</w:t>
      </w:r>
    </w:p>
    <w:p w14:paraId="4B7D5E51" w14:textId="77777777" w:rsidR="00FE40F0" w:rsidRPr="008D78F8" w:rsidRDefault="00FE40F0" w:rsidP="008D78F8">
      <w:pPr>
        <w:pStyle w:val="Heading2"/>
        <w:spacing w:line="360" w:lineRule="auto"/>
      </w:pPr>
      <w:bookmarkStart w:id="7" w:name="_Toc235922316"/>
      <w:bookmarkStart w:id="8" w:name="_Toc235969207"/>
      <w:r w:rsidRPr="008D78F8">
        <w:t>2. Project Description</w:t>
      </w:r>
      <w:bookmarkEnd w:id="7"/>
      <w:bookmarkEnd w:id="8"/>
    </w:p>
    <w:p w14:paraId="2398321A" w14:textId="77777777" w:rsidR="001A3131"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The project defines a common data platform and application programming interface gateway between </w:t>
      </w:r>
      <w:proofErr w:type="spellStart"/>
      <w:r w:rsidRPr="008D78F8">
        <w:rPr>
          <w:rFonts w:ascii="Times New Roman" w:hAnsi="Times New Roman" w:cs="Times New Roman"/>
          <w:sz w:val="24"/>
          <w:szCs w:val="24"/>
        </w:rPr>
        <w:t>authorised</w:t>
      </w:r>
      <w:proofErr w:type="spellEnd"/>
      <w:r w:rsidRPr="008D78F8">
        <w:rPr>
          <w:rFonts w:ascii="Times New Roman" w:hAnsi="Times New Roman" w:cs="Times New Roman"/>
          <w:sz w:val="24"/>
          <w:szCs w:val="24"/>
        </w:rPr>
        <w:t xml:space="preserve"> rail and bus and freight feeds. Indicators of the service conditions, crowd and incidents and freight-slot will be displayed on a control-room dashboard. The sensors will be privacy </w:t>
      </w:r>
      <w:proofErr w:type="spellStart"/>
      <w:r w:rsidRPr="008D78F8">
        <w:rPr>
          <w:rFonts w:ascii="Times New Roman" w:hAnsi="Times New Roman" w:cs="Times New Roman"/>
          <w:sz w:val="24"/>
          <w:szCs w:val="24"/>
        </w:rPr>
        <w:t>minimised</w:t>
      </w:r>
      <w:proofErr w:type="spellEnd"/>
      <w:r w:rsidRPr="008D78F8">
        <w:rPr>
          <w:rFonts w:ascii="Times New Roman" w:hAnsi="Times New Roman" w:cs="Times New Roman"/>
          <w:sz w:val="24"/>
          <w:szCs w:val="24"/>
        </w:rPr>
        <w:t xml:space="preserve"> and they will detect the density as well as movement patterns but not the faces. The dissemination of passenger information will be done in the form of screens, web and mobile media, audio announcement and help point staffed. A freight-booking module will coordinate the delivery windows around the constrained hub.</w:t>
      </w:r>
    </w:p>
    <w:p w14:paraId="20C6DFC5" w14:textId="77777777" w:rsidR="001A3131"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The passenger-flow study aids in accurate movement forecasting and trial of terminal-management plans (</w:t>
      </w:r>
      <w:proofErr w:type="spellStart"/>
      <w:r w:rsidRPr="008D78F8">
        <w:rPr>
          <w:rFonts w:ascii="Times New Roman" w:hAnsi="Times New Roman" w:cs="Times New Roman"/>
          <w:sz w:val="24"/>
          <w:szCs w:val="24"/>
        </w:rPr>
        <w:t>Ahn</w:t>
      </w:r>
      <w:proofErr w:type="spellEnd"/>
      <w:r w:rsidRPr="008D78F8">
        <w:rPr>
          <w:rFonts w:ascii="Times New Roman" w:hAnsi="Times New Roman" w:cs="Times New Roman"/>
          <w:sz w:val="24"/>
          <w:szCs w:val="24"/>
        </w:rPr>
        <w:t xml:space="preserve">, </w:t>
      </w:r>
      <w:proofErr w:type="spellStart"/>
      <w:r w:rsidRPr="008D78F8">
        <w:rPr>
          <w:rFonts w:ascii="Times New Roman" w:hAnsi="Times New Roman" w:cs="Times New Roman"/>
          <w:sz w:val="24"/>
          <w:szCs w:val="24"/>
        </w:rPr>
        <w:t>Kowada</w:t>
      </w:r>
      <w:proofErr w:type="spellEnd"/>
      <w:r w:rsidRPr="008D78F8">
        <w:rPr>
          <w:rFonts w:ascii="Times New Roman" w:hAnsi="Times New Roman" w:cs="Times New Roman"/>
          <w:sz w:val="24"/>
          <w:szCs w:val="24"/>
        </w:rPr>
        <w:t xml:space="preserve"> and </w:t>
      </w:r>
      <w:proofErr w:type="spellStart"/>
      <w:r w:rsidRPr="008D78F8">
        <w:rPr>
          <w:rFonts w:ascii="Times New Roman" w:hAnsi="Times New Roman" w:cs="Times New Roman"/>
          <w:sz w:val="24"/>
          <w:szCs w:val="24"/>
        </w:rPr>
        <w:t>Tsukaguchi</w:t>
      </w:r>
      <w:proofErr w:type="spellEnd"/>
      <w:r w:rsidRPr="008D78F8">
        <w:rPr>
          <w:rFonts w:ascii="Times New Roman" w:hAnsi="Times New Roman" w:cs="Times New Roman"/>
          <w:sz w:val="24"/>
          <w:szCs w:val="24"/>
        </w:rPr>
        <w:t xml:space="preserve">, 2017; </w:t>
      </w:r>
      <w:proofErr w:type="spellStart"/>
      <w:r w:rsidRPr="008D78F8">
        <w:rPr>
          <w:rFonts w:ascii="Times New Roman" w:hAnsi="Times New Roman" w:cs="Times New Roman"/>
          <w:sz w:val="24"/>
          <w:szCs w:val="24"/>
        </w:rPr>
        <w:t>Luangboriboon</w:t>
      </w:r>
      <w:proofErr w:type="spellEnd"/>
      <w:r w:rsidRPr="008D78F8">
        <w:rPr>
          <w:rFonts w:ascii="Times New Roman" w:hAnsi="Times New Roman" w:cs="Times New Roman"/>
          <w:sz w:val="24"/>
          <w:szCs w:val="24"/>
        </w:rPr>
        <w:t xml:space="preserve"> et al., 2025). However, smart-city systems may result in technological lock-in and surveillance and vulnerable infrastructure in case of poor governance (</w:t>
      </w:r>
      <w:proofErr w:type="spellStart"/>
      <w:r w:rsidRPr="008D78F8">
        <w:rPr>
          <w:rFonts w:ascii="Times New Roman" w:hAnsi="Times New Roman" w:cs="Times New Roman"/>
          <w:sz w:val="24"/>
          <w:szCs w:val="24"/>
        </w:rPr>
        <w:t>Kitchin</w:t>
      </w:r>
      <w:proofErr w:type="spellEnd"/>
      <w:r w:rsidRPr="008D78F8">
        <w:rPr>
          <w:rFonts w:ascii="Times New Roman" w:hAnsi="Times New Roman" w:cs="Times New Roman"/>
          <w:sz w:val="24"/>
          <w:szCs w:val="24"/>
        </w:rPr>
        <w:t>, 2014). Acceptance conditions are interoperability, cyber resilience, accessibility and privacy.</w:t>
      </w:r>
    </w:p>
    <w:p w14:paraId="0883579F" w14:textId="77777777" w:rsidR="00FE40F0" w:rsidRPr="008D78F8" w:rsidRDefault="00FE40F0" w:rsidP="008D78F8">
      <w:pPr>
        <w:pStyle w:val="Heading2"/>
        <w:spacing w:line="360" w:lineRule="auto"/>
        <w:jc w:val="both"/>
        <w:rPr>
          <w:rFonts w:cs="Times New Roman"/>
        </w:rPr>
      </w:pPr>
      <w:bookmarkStart w:id="9" w:name="_Toc235922317"/>
      <w:bookmarkStart w:id="10" w:name="_Toc235969208"/>
      <w:r w:rsidRPr="008D78F8">
        <w:rPr>
          <w:rFonts w:cs="Times New Roman"/>
        </w:rPr>
        <w:t>2.1 Aim and SMART Objectives</w:t>
      </w:r>
      <w:bookmarkEnd w:id="9"/>
      <w:bookmarkEnd w:id="10"/>
    </w:p>
    <w:p w14:paraId="31C51414" w14:textId="77777777" w:rsidR="001A3131"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The objective of the project is to develop evidence based multimodal operating model, which enhances safety, reliability, accessibility and logistics coordination and sustains the longer regeneration </w:t>
      </w:r>
      <w:proofErr w:type="spellStart"/>
      <w:r w:rsidRPr="008D78F8">
        <w:rPr>
          <w:rFonts w:ascii="Times New Roman" w:hAnsi="Times New Roman" w:cs="Times New Roman"/>
          <w:sz w:val="24"/>
          <w:szCs w:val="24"/>
        </w:rPr>
        <w:t>programme</w:t>
      </w:r>
      <w:proofErr w:type="spellEnd"/>
      <w:r w:rsidRPr="008D78F8">
        <w:rPr>
          <w:rFonts w:ascii="Times New Roman" w:hAnsi="Times New Roman" w:cs="Times New Roman"/>
          <w:sz w:val="24"/>
          <w:szCs w:val="24"/>
        </w:rPr>
        <w:t>.</w:t>
      </w:r>
    </w:p>
    <w:p w14:paraId="70A00846" w14:textId="77777777" w:rsidR="008D78F8" w:rsidRDefault="008D78F8" w:rsidP="008D78F8">
      <w:pPr>
        <w:spacing w:line="360" w:lineRule="auto"/>
        <w:jc w:val="both"/>
        <w:rPr>
          <w:rFonts w:ascii="Times New Roman" w:hAnsi="Times New Roman" w:cs="Times New Roman"/>
          <w:sz w:val="24"/>
          <w:szCs w:val="24"/>
        </w:rPr>
      </w:pPr>
    </w:p>
    <w:p w14:paraId="466A4A6F" w14:textId="77777777" w:rsidR="008D78F8" w:rsidRDefault="008D78F8" w:rsidP="008D78F8">
      <w:pPr>
        <w:spacing w:line="360" w:lineRule="auto"/>
        <w:jc w:val="both"/>
        <w:rPr>
          <w:rFonts w:ascii="Times New Roman" w:hAnsi="Times New Roman" w:cs="Times New Roman"/>
          <w:sz w:val="24"/>
          <w:szCs w:val="24"/>
        </w:rPr>
      </w:pPr>
    </w:p>
    <w:p w14:paraId="76B65877" w14:textId="77777777" w:rsidR="008D78F8" w:rsidRDefault="008D78F8" w:rsidP="008D78F8">
      <w:pPr>
        <w:spacing w:line="360" w:lineRule="auto"/>
        <w:jc w:val="both"/>
        <w:rPr>
          <w:rFonts w:ascii="Times New Roman" w:hAnsi="Times New Roman" w:cs="Times New Roman"/>
          <w:sz w:val="24"/>
          <w:szCs w:val="24"/>
        </w:rPr>
      </w:pPr>
    </w:p>
    <w:p w14:paraId="4C6CCCC2" w14:textId="77777777" w:rsidR="00681604" w:rsidRDefault="00681604" w:rsidP="008D78F8">
      <w:pPr>
        <w:spacing w:line="360" w:lineRule="auto"/>
        <w:jc w:val="both"/>
        <w:rPr>
          <w:rFonts w:ascii="Times New Roman" w:hAnsi="Times New Roman" w:cs="Times New Roman"/>
          <w:sz w:val="24"/>
          <w:szCs w:val="24"/>
        </w:rPr>
      </w:pPr>
    </w:p>
    <w:p w14:paraId="04F80E2A" w14:textId="77777777" w:rsidR="00681604" w:rsidRDefault="00681604" w:rsidP="008D78F8">
      <w:pPr>
        <w:spacing w:line="360" w:lineRule="auto"/>
        <w:jc w:val="both"/>
        <w:rPr>
          <w:rFonts w:ascii="Times New Roman" w:hAnsi="Times New Roman" w:cs="Times New Roman"/>
          <w:sz w:val="24"/>
          <w:szCs w:val="24"/>
        </w:rPr>
      </w:pPr>
    </w:p>
    <w:p w14:paraId="3B441303" w14:textId="77777777" w:rsidR="00681604" w:rsidRPr="008D78F8" w:rsidRDefault="00681604" w:rsidP="008D78F8">
      <w:pPr>
        <w:spacing w:line="360" w:lineRule="auto"/>
        <w:jc w:val="both"/>
        <w:rPr>
          <w:rFonts w:ascii="Times New Roman" w:hAnsi="Times New Roman" w:cs="Times New Roman"/>
          <w:sz w:val="24"/>
          <w:szCs w:val="24"/>
        </w:rPr>
      </w:pPr>
    </w:p>
    <w:p w14:paraId="3D9A24F2"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b/>
          <w:bCs/>
          <w:sz w:val="24"/>
          <w:szCs w:val="24"/>
        </w:rPr>
        <w:lastRenderedPageBreak/>
        <w:t>Table 1: SMART Objectives and Success Measures</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1"/>
        <w:gridCol w:w="6269"/>
        <w:gridCol w:w="1270"/>
      </w:tblGrid>
      <w:tr w:rsidR="00FE40F0" w:rsidRPr="008D78F8" w14:paraId="0D353435" w14:textId="77777777" w:rsidTr="00FE40F0">
        <w:trPr>
          <w:tblHeader/>
          <w:tblCellSpacing w:w="15" w:type="dxa"/>
        </w:trPr>
        <w:tc>
          <w:tcPr>
            <w:tcW w:w="0" w:type="auto"/>
            <w:vAlign w:val="center"/>
            <w:hideMark/>
          </w:tcPr>
          <w:p w14:paraId="5D881CFF"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Aim</w:t>
            </w:r>
          </w:p>
        </w:tc>
        <w:tc>
          <w:tcPr>
            <w:tcW w:w="0" w:type="auto"/>
            <w:vAlign w:val="center"/>
            <w:hideMark/>
          </w:tcPr>
          <w:p w14:paraId="49CD4E9C"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SMART objective and success measure</w:t>
            </w:r>
          </w:p>
        </w:tc>
        <w:tc>
          <w:tcPr>
            <w:tcW w:w="0" w:type="auto"/>
            <w:vAlign w:val="center"/>
            <w:hideMark/>
          </w:tcPr>
          <w:p w14:paraId="644D86B2"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Owner</w:t>
            </w:r>
          </w:p>
        </w:tc>
      </w:tr>
      <w:tr w:rsidR="00FE40F0" w:rsidRPr="008D78F8" w14:paraId="1F00B58A" w14:textId="77777777" w:rsidTr="00FE40F0">
        <w:trPr>
          <w:tblCellSpacing w:w="15" w:type="dxa"/>
        </w:trPr>
        <w:tc>
          <w:tcPr>
            <w:tcW w:w="0" w:type="auto"/>
            <w:vAlign w:val="center"/>
            <w:hideMark/>
          </w:tcPr>
          <w:p w14:paraId="4D208B0D"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Integrate transport data</w:t>
            </w:r>
          </w:p>
        </w:tc>
        <w:tc>
          <w:tcPr>
            <w:tcW w:w="0" w:type="auto"/>
            <w:vAlign w:val="center"/>
            <w:hideMark/>
          </w:tcPr>
          <w:p w14:paraId="74835B98" w14:textId="77777777" w:rsidR="00FE40F0"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By Month 6, have agreed rail, bus and freight feeds; have no less than 95 percent live-data and 99 percent dashboard availability.</w:t>
            </w:r>
          </w:p>
        </w:tc>
        <w:tc>
          <w:tcPr>
            <w:tcW w:w="0" w:type="auto"/>
            <w:vAlign w:val="center"/>
            <w:hideMark/>
          </w:tcPr>
          <w:p w14:paraId="6E5DC94E"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Data lead</w:t>
            </w:r>
          </w:p>
        </w:tc>
      </w:tr>
      <w:tr w:rsidR="00FE40F0" w:rsidRPr="008D78F8" w14:paraId="227F5A91" w14:textId="77777777" w:rsidTr="00FE40F0">
        <w:trPr>
          <w:tblCellSpacing w:w="15" w:type="dxa"/>
        </w:trPr>
        <w:tc>
          <w:tcPr>
            <w:tcW w:w="0" w:type="auto"/>
            <w:vAlign w:val="center"/>
            <w:hideMark/>
          </w:tcPr>
          <w:p w14:paraId="794140E0"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Improve crowd management</w:t>
            </w:r>
          </w:p>
        </w:tc>
        <w:tc>
          <w:tcPr>
            <w:tcW w:w="0" w:type="auto"/>
            <w:vAlign w:val="center"/>
            <w:hideMark/>
          </w:tcPr>
          <w:p w14:paraId="5762D818" w14:textId="77777777" w:rsidR="00FE40F0"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Install sensors on all pilot hot spots by Month 8; decrease the number of repeat peak crowding instances by 20% by Month 12 compared to Month 12-2.</w:t>
            </w:r>
          </w:p>
        </w:tc>
        <w:tc>
          <w:tcPr>
            <w:tcW w:w="0" w:type="auto"/>
            <w:vAlign w:val="center"/>
            <w:hideMark/>
          </w:tcPr>
          <w:p w14:paraId="0609013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Operations lead</w:t>
            </w:r>
          </w:p>
        </w:tc>
      </w:tr>
      <w:tr w:rsidR="00FE40F0" w:rsidRPr="008D78F8" w14:paraId="24B30D23" w14:textId="77777777" w:rsidTr="00FE40F0">
        <w:trPr>
          <w:tblCellSpacing w:w="15" w:type="dxa"/>
        </w:trPr>
        <w:tc>
          <w:tcPr>
            <w:tcW w:w="0" w:type="auto"/>
            <w:vAlign w:val="center"/>
            <w:hideMark/>
          </w:tcPr>
          <w:p w14:paraId="0AC2352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Improve passenger information</w:t>
            </w:r>
          </w:p>
        </w:tc>
        <w:tc>
          <w:tcPr>
            <w:tcW w:w="0" w:type="auto"/>
            <w:vAlign w:val="center"/>
            <w:hideMark/>
          </w:tcPr>
          <w:p w14:paraId="577D25A1" w14:textId="77777777" w:rsidR="00FE40F0"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Provide disruption and routing information (Make available): By Month 9, provide disruption and routing information; send priority notifications in two minutes and pass WCAG 2.2 AA test.</w:t>
            </w:r>
          </w:p>
        </w:tc>
        <w:tc>
          <w:tcPr>
            <w:tcW w:w="0" w:type="auto"/>
            <w:vAlign w:val="center"/>
            <w:hideMark/>
          </w:tcPr>
          <w:p w14:paraId="771967E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Product owner</w:t>
            </w:r>
          </w:p>
        </w:tc>
      </w:tr>
      <w:tr w:rsidR="00FE40F0" w:rsidRPr="008D78F8" w14:paraId="0F6DFC14" w14:textId="77777777" w:rsidTr="00FE40F0">
        <w:trPr>
          <w:tblCellSpacing w:w="15" w:type="dxa"/>
        </w:trPr>
        <w:tc>
          <w:tcPr>
            <w:tcW w:w="0" w:type="auto"/>
            <w:vAlign w:val="center"/>
            <w:hideMark/>
          </w:tcPr>
          <w:p w14:paraId="040BCEDC"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Improve operational readiness</w:t>
            </w:r>
          </w:p>
        </w:tc>
        <w:tc>
          <w:tcPr>
            <w:tcW w:w="0" w:type="auto"/>
            <w:vAlign w:val="center"/>
            <w:hideMark/>
          </w:tcPr>
          <w:p w14:paraId="540B8AEA" w14:textId="77777777" w:rsidR="00FE40F0"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Educate the necessary personnel by March 12; achieve minimum competence-test pass rate and improve incident response compared to baseline exercises</w:t>
            </w:r>
          </w:p>
        </w:tc>
        <w:tc>
          <w:tcPr>
            <w:tcW w:w="0" w:type="auto"/>
            <w:vAlign w:val="center"/>
            <w:hideMark/>
          </w:tcPr>
          <w:p w14:paraId="59DD074D"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Change lead</w:t>
            </w:r>
          </w:p>
        </w:tc>
      </w:tr>
      <w:tr w:rsidR="00FE40F0" w:rsidRPr="008D78F8" w14:paraId="11970E03" w14:textId="77777777" w:rsidTr="00FE40F0">
        <w:trPr>
          <w:tblCellSpacing w:w="15" w:type="dxa"/>
        </w:trPr>
        <w:tc>
          <w:tcPr>
            <w:tcW w:w="0" w:type="auto"/>
            <w:vAlign w:val="center"/>
            <w:hideMark/>
          </w:tcPr>
          <w:p w14:paraId="096C3C59"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Improve freight efficiency</w:t>
            </w:r>
          </w:p>
        </w:tc>
        <w:tc>
          <w:tcPr>
            <w:tcW w:w="0" w:type="auto"/>
            <w:vAlign w:val="center"/>
            <w:hideMark/>
          </w:tcPr>
          <w:p w14:paraId="1853D4D6" w14:textId="77777777" w:rsidR="001A3131" w:rsidRPr="008D78F8" w:rsidRDefault="001A3131"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Month 12, operate freight time slots, decrease average waiting/idling time by 15% compared to Month 12-2.</w:t>
            </w:r>
            <w:r w:rsidRPr="008D78F8">
              <w:rPr>
                <w:rFonts w:ascii="Times New Roman" w:hAnsi="Times New Roman" w:cs="Times New Roman"/>
                <w:sz w:val="24"/>
                <w:szCs w:val="24"/>
              </w:rPr>
              <w:tab/>
            </w:r>
          </w:p>
          <w:p w14:paraId="6318D98D" w14:textId="77777777" w:rsidR="00FE40F0" w:rsidRPr="008D78F8" w:rsidRDefault="00FE40F0" w:rsidP="008D78F8">
            <w:pPr>
              <w:spacing w:line="360" w:lineRule="auto"/>
              <w:jc w:val="both"/>
              <w:rPr>
                <w:rFonts w:ascii="Times New Roman" w:hAnsi="Times New Roman" w:cs="Times New Roman"/>
                <w:sz w:val="24"/>
                <w:szCs w:val="24"/>
              </w:rPr>
            </w:pPr>
          </w:p>
        </w:tc>
        <w:tc>
          <w:tcPr>
            <w:tcW w:w="0" w:type="auto"/>
            <w:vAlign w:val="center"/>
            <w:hideMark/>
          </w:tcPr>
          <w:p w14:paraId="4B5EDED2"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Freight lead</w:t>
            </w:r>
          </w:p>
        </w:tc>
      </w:tr>
    </w:tbl>
    <w:p w14:paraId="6B0135E5" w14:textId="77777777" w:rsidR="00DA1DD8" w:rsidRPr="008D78F8" w:rsidRDefault="00DA1DD8" w:rsidP="008D78F8">
      <w:pPr>
        <w:spacing w:line="360" w:lineRule="auto"/>
        <w:jc w:val="both"/>
        <w:rPr>
          <w:rFonts w:ascii="Times New Roman" w:hAnsi="Times New Roman" w:cs="Times New Roman"/>
        </w:rPr>
      </w:pPr>
    </w:p>
    <w:p w14:paraId="287D83DC" w14:textId="77777777" w:rsidR="00DA1DD8" w:rsidRPr="008D78F8" w:rsidRDefault="00DA1DD8" w:rsidP="008D78F8">
      <w:pPr>
        <w:spacing w:line="360" w:lineRule="auto"/>
        <w:jc w:val="both"/>
        <w:rPr>
          <w:rFonts w:ascii="Times New Roman" w:hAnsi="Times New Roman" w:cs="Times New Roman"/>
        </w:rPr>
      </w:pPr>
      <w:r w:rsidRPr="008D78F8">
        <w:rPr>
          <w:rFonts w:ascii="Times New Roman" w:hAnsi="Times New Roman" w:cs="Times New Roman"/>
        </w:rPr>
        <w:t>The objectives are a response to the feedback because they tie all the objectives with a deadline, baseline, a numerical goal and a responsible owner. Freight target also is one which correlates delivery with the environmental need of the situation.</w:t>
      </w:r>
    </w:p>
    <w:p w14:paraId="72385786" w14:textId="77777777" w:rsidR="00FE40F0" w:rsidRPr="008D78F8" w:rsidRDefault="00FE40F0" w:rsidP="008D78F8">
      <w:pPr>
        <w:pStyle w:val="Heading2"/>
        <w:spacing w:line="360" w:lineRule="auto"/>
        <w:jc w:val="both"/>
        <w:rPr>
          <w:rFonts w:cs="Times New Roman"/>
        </w:rPr>
      </w:pPr>
      <w:bookmarkStart w:id="11" w:name="_Toc235922318"/>
      <w:bookmarkStart w:id="12" w:name="_Toc235969209"/>
      <w:r w:rsidRPr="008D78F8">
        <w:rPr>
          <w:rFonts w:cs="Times New Roman"/>
        </w:rPr>
        <w:t>2.2 Governance and Success</w:t>
      </w:r>
      <w:bookmarkEnd w:id="11"/>
      <w:bookmarkEnd w:id="12"/>
    </w:p>
    <w:p w14:paraId="7682B041" w14:textId="77777777" w:rsidR="00DA1DD8" w:rsidRPr="008D78F8" w:rsidRDefault="00DA1DD8"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The local authority’s Transport Director is the Senior Responsible Owner. The authority, Network Rail, bus and freight operators, finance, digital services, operations, the Data Protection Officer and accessibility representation make up a project board. Delivery is synchronized by the project manager. Stage gates occur at Months 2, 4, 7, 9 and 12. Good governance should not be the administration reporting only but a relationship of strategic direction, accountability of assurance and delivery (Too and Weaver, 2014).</w:t>
      </w:r>
    </w:p>
    <w:p w14:paraId="0EB0A221" w14:textId="77777777" w:rsidR="00DA1DD8" w:rsidRPr="008D78F8" w:rsidRDefault="00DA1DD8"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lastRenderedPageBreak/>
        <w:t>The success is gauged in terms of outputs, operational results and gains. A failure of a low adoption-installed platform or unavailable services can still be caused by the bad data. The benefits management process is maintained then with the assistance of the mentioned owners and monthly reporting (</w:t>
      </w:r>
      <w:proofErr w:type="spellStart"/>
      <w:r w:rsidRPr="008D78F8">
        <w:rPr>
          <w:rFonts w:ascii="Times New Roman" w:hAnsi="Times New Roman" w:cs="Times New Roman"/>
          <w:sz w:val="24"/>
          <w:szCs w:val="24"/>
        </w:rPr>
        <w:t>Breese</w:t>
      </w:r>
      <w:proofErr w:type="spellEnd"/>
      <w:r w:rsidRPr="008D78F8">
        <w:rPr>
          <w:rFonts w:ascii="Times New Roman" w:hAnsi="Times New Roman" w:cs="Times New Roman"/>
          <w:sz w:val="24"/>
          <w:szCs w:val="24"/>
        </w:rPr>
        <w:t xml:space="preserve"> et al., 2015; Serra and </w:t>
      </w:r>
      <w:proofErr w:type="spellStart"/>
      <w:r w:rsidRPr="008D78F8">
        <w:rPr>
          <w:rFonts w:ascii="Times New Roman" w:hAnsi="Times New Roman" w:cs="Times New Roman"/>
          <w:sz w:val="24"/>
          <w:szCs w:val="24"/>
        </w:rPr>
        <w:t>Kunc</w:t>
      </w:r>
      <w:proofErr w:type="spellEnd"/>
      <w:r w:rsidRPr="008D78F8">
        <w:rPr>
          <w:rFonts w:ascii="Times New Roman" w:hAnsi="Times New Roman" w:cs="Times New Roman"/>
          <w:sz w:val="24"/>
          <w:szCs w:val="24"/>
        </w:rPr>
        <w:t>, 2015).</w:t>
      </w:r>
    </w:p>
    <w:p w14:paraId="294890D9" w14:textId="77777777" w:rsidR="00FE40F0" w:rsidRPr="008D78F8" w:rsidRDefault="00FE40F0" w:rsidP="008D78F8">
      <w:pPr>
        <w:pStyle w:val="Heading2"/>
        <w:spacing w:line="360" w:lineRule="auto"/>
        <w:jc w:val="both"/>
        <w:rPr>
          <w:rFonts w:cs="Times New Roman"/>
        </w:rPr>
      </w:pPr>
      <w:bookmarkStart w:id="13" w:name="_Toc235922319"/>
      <w:bookmarkStart w:id="14" w:name="_Toc235969210"/>
      <w:r w:rsidRPr="008D78F8">
        <w:rPr>
          <w:rFonts w:cs="Times New Roman"/>
        </w:rPr>
        <w:t>3. Scope</w:t>
      </w:r>
      <w:bookmarkEnd w:id="13"/>
      <w:bookmarkEnd w:id="14"/>
    </w:p>
    <w:p w14:paraId="5FE9ABE6"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In-scope deliverables are:</w:t>
      </w:r>
    </w:p>
    <w:p w14:paraId="227472F2" w14:textId="77777777" w:rsidR="00FE40F0" w:rsidRPr="008D78F8" w:rsidRDefault="00FE40F0" w:rsidP="008D78F8">
      <w:pPr>
        <w:numPr>
          <w:ilvl w:val="0"/>
          <w:numId w:val="1"/>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Shared transport-data platform and API gateway. </w:t>
      </w:r>
    </w:p>
    <w:p w14:paraId="686A5FF7" w14:textId="77777777" w:rsidR="00FE40F0" w:rsidRPr="008D78F8" w:rsidRDefault="00FE40F0" w:rsidP="008D78F8">
      <w:pPr>
        <w:numPr>
          <w:ilvl w:val="0"/>
          <w:numId w:val="1"/>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Operational control-room dashboard. </w:t>
      </w:r>
    </w:p>
    <w:p w14:paraId="53F06D75" w14:textId="77777777" w:rsidR="00FE40F0" w:rsidRPr="008D78F8" w:rsidRDefault="00FE40F0" w:rsidP="008D78F8">
      <w:pPr>
        <w:numPr>
          <w:ilvl w:val="0"/>
          <w:numId w:val="1"/>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Data-sharing agreements and data-quality standards. </w:t>
      </w:r>
    </w:p>
    <w:p w14:paraId="49A3FC77" w14:textId="77777777" w:rsidR="00FE40F0" w:rsidRPr="008D78F8" w:rsidRDefault="00FE40F0" w:rsidP="008D78F8">
      <w:pPr>
        <w:numPr>
          <w:ilvl w:val="0"/>
          <w:numId w:val="1"/>
        </w:numPr>
        <w:spacing w:line="360" w:lineRule="auto"/>
        <w:jc w:val="both"/>
        <w:rPr>
          <w:rFonts w:ascii="Times New Roman" w:hAnsi="Times New Roman" w:cs="Times New Roman"/>
          <w:sz w:val="24"/>
          <w:szCs w:val="24"/>
        </w:rPr>
      </w:pPr>
      <w:proofErr w:type="spellStart"/>
      <w:r w:rsidRPr="008D78F8">
        <w:rPr>
          <w:rFonts w:ascii="Times New Roman" w:hAnsi="Times New Roman" w:cs="Times New Roman"/>
          <w:sz w:val="24"/>
          <w:szCs w:val="24"/>
        </w:rPr>
        <w:t>Privacy-minimised</w:t>
      </w:r>
      <w:proofErr w:type="spellEnd"/>
      <w:r w:rsidRPr="008D78F8">
        <w:rPr>
          <w:rFonts w:ascii="Times New Roman" w:hAnsi="Times New Roman" w:cs="Times New Roman"/>
          <w:sz w:val="24"/>
          <w:szCs w:val="24"/>
        </w:rPr>
        <w:t xml:space="preserve"> passenger-flow sensors. </w:t>
      </w:r>
    </w:p>
    <w:p w14:paraId="33194EB4" w14:textId="77777777" w:rsidR="00FE40F0" w:rsidRPr="008D78F8" w:rsidRDefault="00FE40F0" w:rsidP="008D78F8">
      <w:pPr>
        <w:numPr>
          <w:ilvl w:val="0"/>
          <w:numId w:val="1"/>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Predictive crowd alerts. </w:t>
      </w:r>
    </w:p>
    <w:p w14:paraId="6CED1153" w14:textId="77777777" w:rsidR="00FE40F0" w:rsidRPr="008D78F8" w:rsidRDefault="00FE40F0" w:rsidP="008D78F8">
      <w:pPr>
        <w:numPr>
          <w:ilvl w:val="0"/>
          <w:numId w:val="1"/>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Accessible passenger-information channels. </w:t>
      </w:r>
    </w:p>
    <w:p w14:paraId="5DBE975C" w14:textId="77777777" w:rsidR="00FE40F0" w:rsidRPr="008D78F8" w:rsidRDefault="00FE40F0" w:rsidP="008D78F8">
      <w:pPr>
        <w:numPr>
          <w:ilvl w:val="0"/>
          <w:numId w:val="1"/>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Freight time-slot coordination module. </w:t>
      </w:r>
    </w:p>
    <w:p w14:paraId="73C18826" w14:textId="77777777" w:rsidR="00FE40F0" w:rsidRPr="008D78F8" w:rsidRDefault="00FE40F0" w:rsidP="008D78F8">
      <w:pPr>
        <w:numPr>
          <w:ilvl w:val="0"/>
          <w:numId w:val="1"/>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Cybersecurity controls and resilience procedures. </w:t>
      </w:r>
    </w:p>
    <w:p w14:paraId="629110F0" w14:textId="77777777" w:rsidR="00FE40F0" w:rsidRPr="008D78F8" w:rsidRDefault="00FE40F0" w:rsidP="008D78F8">
      <w:pPr>
        <w:numPr>
          <w:ilvl w:val="0"/>
          <w:numId w:val="1"/>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Data Protection Impact Assessment. </w:t>
      </w:r>
    </w:p>
    <w:p w14:paraId="7243C00B" w14:textId="77777777" w:rsidR="00FE40F0" w:rsidRPr="008D78F8" w:rsidRDefault="00FE40F0" w:rsidP="008D78F8">
      <w:pPr>
        <w:numPr>
          <w:ilvl w:val="0"/>
          <w:numId w:val="1"/>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Staff training and standard operating procedures. </w:t>
      </w:r>
    </w:p>
    <w:p w14:paraId="2C2B65AD" w14:textId="77777777" w:rsidR="00FE40F0" w:rsidRPr="008D78F8" w:rsidRDefault="00FE40F0" w:rsidP="008D78F8">
      <w:pPr>
        <w:numPr>
          <w:ilvl w:val="0"/>
          <w:numId w:val="1"/>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Public communication and benefits-reporting arrangements. </w:t>
      </w:r>
    </w:p>
    <w:p w14:paraId="17E8651B" w14:textId="77777777" w:rsidR="00DA1DD8" w:rsidRPr="008D78F8" w:rsidRDefault="00DA1DD8"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Out-of-scope work includes structural reconstruction, track or road engineering, acquisition of vehicles, fare reform, wholesale substitution of operator systems, facial recognition, tracking of individual passengers, commercial use of personal data and expansion citywide beyond approved interfaces. These exceptions introduce scope creep into the bigger regeneration </w:t>
      </w:r>
      <w:proofErr w:type="spellStart"/>
      <w:r w:rsidRPr="008D78F8">
        <w:rPr>
          <w:rFonts w:ascii="Times New Roman" w:hAnsi="Times New Roman" w:cs="Times New Roman"/>
          <w:sz w:val="24"/>
          <w:szCs w:val="24"/>
        </w:rPr>
        <w:t>programme</w:t>
      </w:r>
      <w:proofErr w:type="spellEnd"/>
      <w:r w:rsidRPr="008D78F8">
        <w:rPr>
          <w:rFonts w:ascii="Times New Roman" w:hAnsi="Times New Roman" w:cs="Times New Roman"/>
          <w:sz w:val="24"/>
          <w:szCs w:val="24"/>
        </w:rPr>
        <w:t>.</w:t>
      </w:r>
    </w:p>
    <w:p w14:paraId="497B8CAF" w14:textId="77777777" w:rsidR="00DA1DD8" w:rsidRPr="008D78F8" w:rsidRDefault="00DA1DD8"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The restrictions include the 12 months deadline, and the budget of 8.5 million, procurement, safe installation, compatibility of the legacy systems, data protection and accessibility. Some of the assumptions would include cooperation with operators, acceptable data feeds, adequate connectivity and representative user involvement.</w:t>
      </w:r>
    </w:p>
    <w:p w14:paraId="23D0E12E" w14:textId="77777777" w:rsidR="00DA1DD8" w:rsidRPr="008D78F8" w:rsidRDefault="00DA1DD8"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lastRenderedPageBreak/>
        <w:t xml:space="preserve">The scope baseline is approved at Gate 2. Formal change request is required in cases where the cost changes exceeding by more than 100,000 pound, a key milestone exceeding by a greater number of than ten working days, a vital requirement or a new personal-data processing. The Change Control Board takes into consideration the cost, benefit, schedule and risk. This is a representation of Green Book principles that entail </w:t>
      </w:r>
      <w:proofErr w:type="spellStart"/>
      <w:r w:rsidRPr="008D78F8">
        <w:rPr>
          <w:rFonts w:ascii="Times New Roman" w:hAnsi="Times New Roman" w:cs="Times New Roman"/>
          <w:sz w:val="24"/>
          <w:szCs w:val="24"/>
        </w:rPr>
        <w:t>organised</w:t>
      </w:r>
      <w:proofErr w:type="spellEnd"/>
      <w:r w:rsidRPr="008D78F8">
        <w:rPr>
          <w:rFonts w:ascii="Times New Roman" w:hAnsi="Times New Roman" w:cs="Times New Roman"/>
          <w:sz w:val="24"/>
          <w:szCs w:val="24"/>
        </w:rPr>
        <w:t xml:space="preserve"> deliberation of costs, benefits, risks and alternative ways of </w:t>
      </w:r>
      <w:proofErr w:type="spellStart"/>
      <w:r w:rsidRPr="008D78F8">
        <w:rPr>
          <w:rFonts w:ascii="Times New Roman" w:hAnsi="Times New Roman" w:cs="Times New Roman"/>
          <w:sz w:val="24"/>
          <w:szCs w:val="24"/>
        </w:rPr>
        <w:t>realising</w:t>
      </w:r>
      <w:proofErr w:type="spellEnd"/>
      <w:r w:rsidRPr="008D78F8">
        <w:rPr>
          <w:rFonts w:ascii="Times New Roman" w:hAnsi="Times New Roman" w:cs="Times New Roman"/>
          <w:sz w:val="24"/>
          <w:szCs w:val="24"/>
        </w:rPr>
        <w:t xml:space="preserve"> public goals (HM Treasury, 2026).</w:t>
      </w:r>
    </w:p>
    <w:p w14:paraId="1F5B5FC1" w14:textId="77777777" w:rsidR="00FE40F0" w:rsidRPr="008D78F8" w:rsidRDefault="00FE40F0" w:rsidP="008D78F8">
      <w:pPr>
        <w:pStyle w:val="Heading2"/>
        <w:spacing w:line="360" w:lineRule="auto"/>
        <w:jc w:val="both"/>
        <w:rPr>
          <w:rFonts w:cs="Times New Roman"/>
        </w:rPr>
      </w:pPr>
      <w:bookmarkStart w:id="15" w:name="_Toc235922320"/>
      <w:bookmarkStart w:id="16" w:name="_Toc235969211"/>
      <w:r w:rsidRPr="008D78F8">
        <w:rPr>
          <w:rFonts w:cs="Times New Roman"/>
        </w:rPr>
        <w:t>4. Work Breakdown Structure</w:t>
      </w:r>
      <w:bookmarkEnd w:id="15"/>
      <w:bookmarkEnd w:id="16"/>
    </w:p>
    <w:p w14:paraId="0F7531E1" w14:textId="77777777" w:rsidR="00DA1DD8" w:rsidRPr="008D78F8" w:rsidRDefault="00DA1DD8"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The work breakdown structure breaks down the project into packages which can be estimated, assigned, scheduled and accepted. It connects the scope and the </w:t>
      </w:r>
      <w:proofErr w:type="spellStart"/>
      <w:r w:rsidRPr="008D78F8">
        <w:rPr>
          <w:rFonts w:ascii="Times New Roman" w:hAnsi="Times New Roman" w:cs="Times New Roman"/>
          <w:sz w:val="24"/>
          <w:szCs w:val="24"/>
        </w:rPr>
        <w:t>programme</w:t>
      </w:r>
      <w:proofErr w:type="spellEnd"/>
      <w:r w:rsidRPr="008D78F8">
        <w:rPr>
          <w:rFonts w:ascii="Times New Roman" w:hAnsi="Times New Roman" w:cs="Times New Roman"/>
          <w:sz w:val="24"/>
          <w:szCs w:val="24"/>
        </w:rPr>
        <w:t xml:space="preserve"> schedule, budget and risk register (ISO, 2020; PMI, 2021).</w:t>
      </w:r>
    </w:p>
    <w:p w14:paraId="1E073226"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b/>
          <w:bCs/>
          <w:sz w:val="24"/>
          <w:szCs w:val="24"/>
        </w:rPr>
        <w:t>Table 2: Work Breakdown Structure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3145"/>
        <w:gridCol w:w="5576"/>
      </w:tblGrid>
      <w:tr w:rsidR="00FE40F0" w:rsidRPr="008D78F8" w14:paraId="3D532FB6" w14:textId="77777777" w:rsidTr="00FE40F0">
        <w:trPr>
          <w:tblHeader/>
          <w:tblCellSpacing w:w="15" w:type="dxa"/>
        </w:trPr>
        <w:tc>
          <w:tcPr>
            <w:tcW w:w="0" w:type="auto"/>
            <w:vAlign w:val="center"/>
            <w:hideMark/>
          </w:tcPr>
          <w:p w14:paraId="151B9221"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WBS</w:t>
            </w:r>
          </w:p>
        </w:tc>
        <w:tc>
          <w:tcPr>
            <w:tcW w:w="0" w:type="auto"/>
            <w:vAlign w:val="center"/>
            <w:hideMark/>
          </w:tcPr>
          <w:p w14:paraId="5DC1C9EA"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Work package</w:t>
            </w:r>
          </w:p>
        </w:tc>
        <w:tc>
          <w:tcPr>
            <w:tcW w:w="0" w:type="auto"/>
            <w:vAlign w:val="center"/>
            <w:hideMark/>
          </w:tcPr>
          <w:p w14:paraId="6E6BEC3F"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Principal outputs</w:t>
            </w:r>
          </w:p>
        </w:tc>
      </w:tr>
      <w:tr w:rsidR="00FE40F0" w:rsidRPr="008D78F8" w14:paraId="66BDD163" w14:textId="77777777" w:rsidTr="00FE40F0">
        <w:trPr>
          <w:tblCellSpacing w:w="15" w:type="dxa"/>
        </w:trPr>
        <w:tc>
          <w:tcPr>
            <w:tcW w:w="0" w:type="auto"/>
            <w:vAlign w:val="center"/>
            <w:hideMark/>
          </w:tcPr>
          <w:p w14:paraId="3B5A3880"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1.0</w:t>
            </w:r>
          </w:p>
        </w:tc>
        <w:tc>
          <w:tcPr>
            <w:tcW w:w="0" w:type="auto"/>
            <w:vAlign w:val="center"/>
            <w:hideMark/>
          </w:tcPr>
          <w:p w14:paraId="0F36691C"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Governance and </w:t>
            </w:r>
            <w:proofErr w:type="spellStart"/>
            <w:r w:rsidRPr="008D78F8">
              <w:rPr>
                <w:rFonts w:ascii="Times New Roman" w:hAnsi="Times New Roman" w:cs="Times New Roman"/>
                <w:sz w:val="24"/>
                <w:szCs w:val="24"/>
              </w:rPr>
              <w:t>mobilisation</w:t>
            </w:r>
            <w:proofErr w:type="spellEnd"/>
          </w:p>
        </w:tc>
        <w:tc>
          <w:tcPr>
            <w:tcW w:w="0" w:type="auto"/>
            <w:vAlign w:val="center"/>
            <w:hideMark/>
          </w:tcPr>
          <w:p w14:paraId="356B0C26"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Charter, governance controls, reporting and assurance</w:t>
            </w:r>
          </w:p>
        </w:tc>
      </w:tr>
      <w:tr w:rsidR="00FE40F0" w:rsidRPr="008D78F8" w14:paraId="7817F2CF" w14:textId="77777777" w:rsidTr="00FE40F0">
        <w:trPr>
          <w:tblCellSpacing w:w="15" w:type="dxa"/>
        </w:trPr>
        <w:tc>
          <w:tcPr>
            <w:tcW w:w="0" w:type="auto"/>
            <w:vAlign w:val="center"/>
            <w:hideMark/>
          </w:tcPr>
          <w:p w14:paraId="1B16BD0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1.1</w:t>
            </w:r>
          </w:p>
        </w:tc>
        <w:tc>
          <w:tcPr>
            <w:tcW w:w="0" w:type="auto"/>
            <w:vAlign w:val="center"/>
            <w:hideMark/>
          </w:tcPr>
          <w:p w14:paraId="525E64E6"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Discovery and baselines</w:t>
            </w:r>
          </w:p>
        </w:tc>
        <w:tc>
          <w:tcPr>
            <w:tcW w:w="0" w:type="auto"/>
            <w:vAlign w:val="center"/>
            <w:hideMark/>
          </w:tcPr>
          <w:p w14:paraId="0A519D9B"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Passenger, freight, incident, data and environmental baselines</w:t>
            </w:r>
          </w:p>
        </w:tc>
      </w:tr>
      <w:tr w:rsidR="00FE40F0" w:rsidRPr="008D78F8" w14:paraId="74C97B20" w14:textId="77777777" w:rsidTr="00FE40F0">
        <w:trPr>
          <w:tblCellSpacing w:w="15" w:type="dxa"/>
        </w:trPr>
        <w:tc>
          <w:tcPr>
            <w:tcW w:w="0" w:type="auto"/>
            <w:vAlign w:val="center"/>
            <w:hideMark/>
          </w:tcPr>
          <w:p w14:paraId="49CAF58C"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1.2</w:t>
            </w:r>
          </w:p>
        </w:tc>
        <w:tc>
          <w:tcPr>
            <w:tcW w:w="0" w:type="auto"/>
            <w:vAlign w:val="center"/>
            <w:hideMark/>
          </w:tcPr>
          <w:p w14:paraId="0A3AC990"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Stakeholder, privacy and cyber analysis</w:t>
            </w:r>
          </w:p>
        </w:tc>
        <w:tc>
          <w:tcPr>
            <w:tcW w:w="0" w:type="auto"/>
            <w:vAlign w:val="center"/>
            <w:hideMark/>
          </w:tcPr>
          <w:p w14:paraId="0C535AA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User requirements, DPIA screening and threat model</w:t>
            </w:r>
          </w:p>
        </w:tc>
      </w:tr>
      <w:tr w:rsidR="00FE40F0" w:rsidRPr="008D78F8" w14:paraId="40139D93" w14:textId="77777777" w:rsidTr="00FE40F0">
        <w:trPr>
          <w:tblCellSpacing w:w="15" w:type="dxa"/>
        </w:trPr>
        <w:tc>
          <w:tcPr>
            <w:tcW w:w="0" w:type="auto"/>
            <w:vAlign w:val="center"/>
            <w:hideMark/>
          </w:tcPr>
          <w:p w14:paraId="70857F3F"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2.0</w:t>
            </w:r>
          </w:p>
        </w:tc>
        <w:tc>
          <w:tcPr>
            <w:tcW w:w="0" w:type="auto"/>
            <w:vAlign w:val="center"/>
            <w:hideMark/>
          </w:tcPr>
          <w:p w14:paraId="4C6F810F"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Design and procurement</w:t>
            </w:r>
          </w:p>
        </w:tc>
        <w:tc>
          <w:tcPr>
            <w:tcW w:w="0" w:type="auto"/>
            <w:vAlign w:val="center"/>
            <w:hideMark/>
          </w:tcPr>
          <w:p w14:paraId="6CB6E8F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Architecture, prototypes, standards, specifications and contracts</w:t>
            </w:r>
          </w:p>
        </w:tc>
      </w:tr>
      <w:tr w:rsidR="00FE40F0" w:rsidRPr="008D78F8" w14:paraId="38CDCA2B" w14:textId="77777777" w:rsidTr="00FE40F0">
        <w:trPr>
          <w:tblCellSpacing w:w="15" w:type="dxa"/>
        </w:trPr>
        <w:tc>
          <w:tcPr>
            <w:tcW w:w="0" w:type="auto"/>
            <w:vAlign w:val="center"/>
            <w:hideMark/>
          </w:tcPr>
          <w:p w14:paraId="4B90EE70"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3.0</w:t>
            </w:r>
          </w:p>
        </w:tc>
        <w:tc>
          <w:tcPr>
            <w:tcW w:w="0" w:type="auto"/>
            <w:vAlign w:val="center"/>
            <w:hideMark/>
          </w:tcPr>
          <w:p w14:paraId="121816F5"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Platform and API development</w:t>
            </w:r>
          </w:p>
        </w:tc>
        <w:tc>
          <w:tcPr>
            <w:tcW w:w="0" w:type="auto"/>
            <w:vAlign w:val="center"/>
            <w:hideMark/>
          </w:tcPr>
          <w:p w14:paraId="4135676E"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Shared platform, integrations, data-quality rules and dashboard</w:t>
            </w:r>
          </w:p>
        </w:tc>
      </w:tr>
      <w:tr w:rsidR="00FE40F0" w:rsidRPr="008D78F8" w14:paraId="3D8A5A30" w14:textId="77777777" w:rsidTr="00FE40F0">
        <w:trPr>
          <w:tblCellSpacing w:w="15" w:type="dxa"/>
        </w:trPr>
        <w:tc>
          <w:tcPr>
            <w:tcW w:w="0" w:type="auto"/>
            <w:vAlign w:val="center"/>
            <w:hideMark/>
          </w:tcPr>
          <w:p w14:paraId="49D199FA"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3.1</w:t>
            </w:r>
          </w:p>
        </w:tc>
        <w:tc>
          <w:tcPr>
            <w:tcW w:w="0" w:type="auto"/>
            <w:vAlign w:val="center"/>
            <w:hideMark/>
          </w:tcPr>
          <w:p w14:paraId="090CFB2B"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Sensor deployment</w:t>
            </w:r>
          </w:p>
        </w:tc>
        <w:tc>
          <w:tcPr>
            <w:tcW w:w="0" w:type="auto"/>
            <w:vAlign w:val="center"/>
            <w:hideMark/>
          </w:tcPr>
          <w:p w14:paraId="520C50F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Site surveys, devices, connectivity and calibration</w:t>
            </w:r>
          </w:p>
        </w:tc>
      </w:tr>
      <w:tr w:rsidR="00FE40F0" w:rsidRPr="008D78F8" w14:paraId="01BF3215" w14:textId="77777777" w:rsidTr="00FE40F0">
        <w:trPr>
          <w:tblCellSpacing w:w="15" w:type="dxa"/>
        </w:trPr>
        <w:tc>
          <w:tcPr>
            <w:tcW w:w="0" w:type="auto"/>
            <w:vAlign w:val="center"/>
            <w:hideMark/>
          </w:tcPr>
          <w:p w14:paraId="7FB2AA1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3.2</w:t>
            </w:r>
          </w:p>
        </w:tc>
        <w:tc>
          <w:tcPr>
            <w:tcW w:w="0" w:type="auto"/>
            <w:vAlign w:val="center"/>
            <w:hideMark/>
          </w:tcPr>
          <w:p w14:paraId="04343F9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Passenger and freight services</w:t>
            </w:r>
          </w:p>
        </w:tc>
        <w:tc>
          <w:tcPr>
            <w:tcW w:w="0" w:type="auto"/>
            <w:vAlign w:val="center"/>
            <w:hideMark/>
          </w:tcPr>
          <w:p w14:paraId="6377B09C"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Accessible information and freight time-slot module</w:t>
            </w:r>
          </w:p>
        </w:tc>
      </w:tr>
      <w:tr w:rsidR="00FE40F0" w:rsidRPr="008D78F8" w14:paraId="72482936" w14:textId="77777777" w:rsidTr="00FE40F0">
        <w:trPr>
          <w:tblCellSpacing w:w="15" w:type="dxa"/>
        </w:trPr>
        <w:tc>
          <w:tcPr>
            <w:tcW w:w="0" w:type="auto"/>
            <w:vAlign w:val="center"/>
            <w:hideMark/>
          </w:tcPr>
          <w:p w14:paraId="1EF1083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lastRenderedPageBreak/>
              <w:t>4.0</w:t>
            </w:r>
          </w:p>
        </w:tc>
        <w:tc>
          <w:tcPr>
            <w:tcW w:w="0" w:type="auto"/>
            <w:vAlign w:val="center"/>
            <w:hideMark/>
          </w:tcPr>
          <w:p w14:paraId="1FD46BB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Testing and assurance</w:t>
            </w:r>
          </w:p>
        </w:tc>
        <w:tc>
          <w:tcPr>
            <w:tcW w:w="0" w:type="auto"/>
            <w:vAlign w:val="center"/>
            <w:hideMark/>
          </w:tcPr>
          <w:p w14:paraId="333423A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Functional, integration, cyber, accessibility and operational tests</w:t>
            </w:r>
          </w:p>
        </w:tc>
      </w:tr>
      <w:tr w:rsidR="00FE40F0" w:rsidRPr="008D78F8" w14:paraId="66F6EEAB" w14:textId="77777777" w:rsidTr="00FE40F0">
        <w:trPr>
          <w:tblCellSpacing w:w="15" w:type="dxa"/>
        </w:trPr>
        <w:tc>
          <w:tcPr>
            <w:tcW w:w="0" w:type="auto"/>
            <w:vAlign w:val="center"/>
            <w:hideMark/>
          </w:tcPr>
          <w:p w14:paraId="5561E64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5.0</w:t>
            </w:r>
          </w:p>
        </w:tc>
        <w:tc>
          <w:tcPr>
            <w:tcW w:w="0" w:type="auto"/>
            <w:vAlign w:val="center"/>
            <w:hideMark/>
          </w:tcPr>
          <w:p w14:paraId="27CB9CE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Pilot, training and rollout</w:t>
            </w:r>
          </w:p>
        </w:tc>
        <w:tc>
          <w:tcPr>
            <w:tcW w:w="0" w:type="auto"/>
            <w:vAlign w:val="center"/>
            <w:hideMark/>
          </w:tcPr>
          <w:p w14:paraId="494E96AB"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Pilot, defect correction, procedures, competence testing and rollout</w:t>
            </w:r>
          </w:p>
        </w:tc>
      </w:tr>
      <w:tr w:rsidR="00FE40F0" w:rsidRPr="008D78F8" w14:paraId="619066C7" w14:textId="77777777" w:rsidTr="00FE40F0">
        <w:trPr>
          <w:tblCellSpacing w:w="15" w:type="dxa"/>
        </w:trPr>
        <w:tc>
          <w:tcPr>
            <w:tcW w:w="0" w:type="auto"/>
            <w:vAlign w:val="center"/>
            <w:hideMark/>
          </w:tcPr>
          <w:p w14:paraId="2A2EFA1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6.0</w:t>
            </w:r>
          </w:p>
        </w:tc>
        <w:tc>
          <w:tcPr>
            <w:tcW w:w="0" w:type="auto"/>
            <w:vAlign w:val="center"/>
            <w:hideMark/>
          </w:tcPr>
          <w:p w14:paraId="673C909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Benefits and handover</w:t>
            </w:r>
          </w:p>
        </w:tc>
        <w:tc>
          <w:tcPr>
            <w:tcW w:w="0" w:type="auto"/>
            <w:vAlign w:val="center"/>
            <w:hideMark/>
          </w:tcPr>
          <w:p w14:paraId="19836A4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KPI dashboard, support model, lessons learned and operational acceptance</w:t>
            </w:r>
          </w:p>
        </w:tc>
      </w:tr>
    </w:tbl>
    <w:p w14:paraId="7BC3C358" w14:textId="77777777" w:rsidR="008D78F8" w:rsidRDefault="008D78F8" w:rsidP="008D78F8">
      <w:pPr>
        <w:spacing w:line="360" w:lineRule="auto"/>
        <w:jc w:val="both"/>
        <w:rPr>
          <w:rFonts w:ascii="Times New Roman" w:hAnsi="Times New Roman" w:cs="Times New Roman"/>
          <w:sz w:val="24"/>
          <w:szCs w:val="24"/>
        </w:rPr>
      </w:pPr>
    </w:p>
    <w:p w14:paraId="202A0C1E" w14:textId="77777777" w:rsidR="00FE40F0"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Each work package has one accountable owner and defined acceptance evidence. Schedule or budget variance can therefore be traced to a specific project component.</w:t>
      </w:r>
    </w:p>
    <w:p w14:paraId="081FAC33" w14:textId="77777777" w:rsidR="008D78F8" w:rsidRDefault="008D78F8" w:rsidP="008D78F8">
      <w:pPr>
        <w:spacing w:line="360" w:lineRule="auto"/>
        <w:jc w:val="both"/>
        <w:rPr>
          <w:rFonts w:ascii="Times New Roman" w:hAnsi="Times New Roman" w:cs="Times New Roman"/>
          <w:sz w:val="24"/>
          <w:szCs w:val="24"/>
        </w:rPr>
      </w:pPr>
    </w:p>
    <w:p w14:paraId="421DD713" w14:textId="77777777" w:rsidR="008D78F8" w:rsidRDefault="008D78F8" w:rsidP="008D78F8">
      <w:pPr>
        <w:spacing w:line="360" w:lineRule="auto"/>
        <w:jc w:val="both"/>
        <w:rPr>
          <w:rFonts w:ascii="Times New Roman" w:hAnsi="Times New Roman" w:cs="Times New Roman"/>
          <w:sz w:val="24"/>
          <w:szCs w:val="24"/>
        </w:rPr>
      </w:pPr>
    </w:p>
    <w:p w14:paraId="0DD0D6BC" w14:textId="77777777" w:rsidR="008D78F8" w:rsidRDefault="008D78F8" w:rsidP="008D78F8">
      <w:pPr>
        <w:spacing w:line="360" w:lineRule="auto"/>
        <w:jc w:val="both"/>
        <w:rPr>
          <w:rFonts w:ascii="Times New Roman" w:hAnsi="Times New Roman" w:cs="Times New Roman"/>
          <w:sz w:val="24"/>
          <w:szCs w:val="24"/>
        </w:rPr>
      </w:pPr>
    </w:p>
    <w:p w14:paraId="1FCAB42E" w14:textId="77777777" w:rsidR="008D78F8" w:rsidRDefault="008D78F8" w:rsidP="008D78F8">
      <w:pPr>
        <w:spacing w:line="360" w:lineRule="auto"/>
        <w:jc w:val="both"/>
        <w:rPr>
          <w:rFonts w:ascii="Times New Roman" w:hAnsi="Times New Roman" w:cs="Times New Roman"/>
          <w:sz w:val="24"/>
          <w:szCs w:val="24"/>
        </w:rPr>
      </w:pPr>
    </w:p>
    <w:p w14:paraId="3E6EFFEF" w14:textId="77777777" w:rsidR="008D78F8" w:rsidRDefault="008D78F8" w:rsidP="008D78F8">
      <w:pPr>
        <w:spacing w:line="360" w:lineRule="auto"/>
        <w:jc w:val="both"/>
        <w:rPr>
          <w:rFonts w:ascii="Times New Roman" w:hAnsi="Times New Roman" w:cs="Times New Roman"/>
          <w:sz w:val="24"/>
          <w:szCs w:val="24"/>
        </w:rPr>
      </w:pPr>
    </w:p>
    <w:p w14:paraId="435D48A5" w14:textId="77777777" w:rsidR="008D78F8" w:rsidRDefault="008D78F8" w:rsidP="008D78F8">
      <w:pPr>
        <w:spacing w:line="360" w:lineRule="auto"/>
        <w:jc w:val="both"/>
        <w:rPr>
          <w:rFonts w:ascii="Times New Roman" w:hAnsi="Times New Roman" w:cs="Times New Roman"/>
          <w:sz w:val="24"/>
          <w:szCs w:val="24"/>
        </w:rPr>
      </w:pPr>
    </w:p>
    <w:p w14:paraId="6CB8AD18" w14:textId="77777777" w:rsidR="008D78F8" w:rsidRDefault="008D78F8" w:rsidP="008D78F8">
      <w:pPr>
        <w:spacing w:line="360" w:lineRule="auto"/>
        <w:jc w:val="both"/>
        <w:rPr>
          <w:rFonts w:ascii="Times New Roman" w:hAnsi="Times New Roman" w:cs="Times New Roman"/>
          <w:sz w:val="24"/>
          <w:szCs w:val="24"/>
        </w:rPr>
      </w:pPr>
    </w:p>
    <w:p w14:paraId="03D552AE" w14:textId="77777777" w:rsidR="008D78F8" w:rsidRDefault="008D78F8" w:rsidP="008D78F8">
      <w:pPr>
        <w:spacing w:line="360" w:lineRule="auto"/>
        <w:jc w:val="both"/>
        <w:rPr>
          <w:rFonts w:ascii="Times New Roman" w:hAnsi="Times New Roman" w:cs="Times New Roman"/>
          <w:sz w:val="24"/>
          <w:szCs w:val="24"/>
        </w:rPr>
      </w:pPr>
    </w:p>
    <w:p w14:paraId="29D19256" w14:textId="77777777" w:rsidR="008D78F8" w:rsidRDefault="008D78F8" w:rsidP="008D78F8">
      <w:pPr>
        <w:spacing w:line="360" w:lineRule="auto"/>
        <w:jc w:val="both"/>
        <w:rPr>
          <w:rFonts w:ascii="Times New Roman" w:hAnsi="Times New Roman" w:cs="Times New Roman"/>
          <w:sz w:val="24"/>
          <w:szCs w:val="24"/>
        </w:rPr>
      </w:pPr>
    </w:p>
    <w:p w14:paraId="67E7BEC3" w14:textId="77777777" w:rsidR="008D78F8" w:rsidRDefault="008D78F8" w:rsidP="008D78F8">
      <w:pPr>
        <w:spacing w:line="360" w:lineRule="auto"/>
        <w:jc w:val="both"/>
        <w:rPr>
          <w:rFonts w:ascii="Times New Roman" w:hAnsi="Times New Roman" w:cs="Times New Roman"/>
          <w:sz w:val="24"/>
          <w:szCs w:val="24"/>
        </w:rPr>
      </w:pPr>
    </w:p>
    <w:p w14:paraId="408E30A8" w14:textId="77777777" w:rsidR="008D78F8" w:rsidRPr="008D78F8" w:rsidRDefault="008D78F8" w:rsidP="008D78F8">
      <w:pPr>
        <w:spacing w:line="360" w:lineRule="auto"/>
        <w:jc w:val="both"/>
        <w:rPr>
          <w:rFonts w:ascii="Times New Roman" w:hAnsi="Times New Roman" w:cs="Times New Roman"/>
          <w:sz w:val="24"/>
          <w:szCs w:val="24"/>
        </w:rPr>
      </w:pPr>
    </w:p>
    <w:p w14:paraId="29ED7380" w14:textId="77777777" w:rsidR="00FE40F0" w:rsidRPr="008D78F8" w:rsidRDefault="00FE40F0" w:rsidP="008D78F8">
      <w:pPr>
        <w:pStyle w:val="Heading2"/>
        <w:spacing w:line="360" w:lineRule="auto"/>
        <w:jc w:val="both"/>
        <w:rPr>
          <w:rFonts w:cs="Times New Roman"/>
        </w:rPr>
      </w:pPr>
      <w:bookmarkStart w:id="17" w:name="_Toc235922321"/>
      <w:bookmarkStart w:id="18" w:name="_Toc235969212"/>
      <w:r w:rsidRPr="008D78F8">
        <w:rPr>
          <w:rFonts w:cs="Times New Roman"/>
        </w:rPr>
        <w:t>5. Quad Chart</w:t>
      </w:r>
      <w:bookmarkEnd w:id="17"/>
      <w:bookmarkEnd w:id="18"/>
    </w:p>
    <w:p w14:paraId="1574C082"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Figure 1 provides a concise summary of the project’s strategic need, objectives, principal deliverables and governance arrangements.</w:t>
      </w:r>
    </w:p>
    <w:p w14:paraId="3B09E7E2" w14:textId="77777777" w:rsidR="00FE40F0" w:rsidRPr="008D78F8" w:rsidRDefault="00FE40F0" w:rsidP="008D78F8">
      <w:pPr>
        <w:spacing w:line="360" w:lineRule="auto"/>
        <w:jc w:val="both"/>
        <w:rPr>
          <w:rFonts w:ascii="Times New Roman" w:hAnsi="Times New Roman" w:cs="Times New Roman"/>
          <w:i/>
          <w:iCs/>
          <w:sz w:val="24"/>
          <w:szCs w:val="24"/>
        </w:rPr>
      </w:pPr>
      <w:r w:rsidRPr="008D78F8">
        <w:rPr>
          <w:rFonts w:ascii="Times New Roman" w:hAnsi="Times New Roman" w:cs="Times New Roman"/>
          <w:i/>
          <w:iCs/>
          <w:noProof/>
          <w:sz w:val="24"/>
          <w:szCs w:val="24"/>
        </w:rPr>
        <w:lastRenderedPageBreak/>
        <w:drawing>
          <wp:inline distT="0" distB="0" distL="0" distR="0" wp14:anchorId="1E4EC979" wp14:editId="4F93E718">
            <wp:extent cx="5943600" cy="3953411"/>
            <wp:effectExtent l="0" t="0" r="0" b="9525"/>
            <wp:docPr id="1" name="Picture 1" descr="C:\Users\msi\Downloads\Figure_1_Project_Quad_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si\Downloads\Figure_1_Project_Quad_Chart.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953411"/>
                    </a:xfrm>
                    <a:prstGeom prst="rect">
                      <a:avLst/>
                    </a:prstGeom>
                    <a:noFill/>
                    <a:ln>
                      <a:noFill/>
                    </a:ln>
                  </pic:spPr>
                </pic:pic>
              </a:graphicData>
            </a:graphic>
          </wp:inline>
        </w:drawing>
      </w:r>
    </w:p>
    <w:p w14:paraId="0611ACD6" w14:textId="77777777" w:rsidR="00FE40F0" w:rsidRPr="008D78F8" w:rsidRDefault="00FE40F0" w:rsidP="008D78F8">
      <w:pPr>
        <w:spacing w:line="360" w:lineRule="auto"/>
        <w:jc w:val="both"/>
        <w:rPr>
          <w:rFonts w:ascii="Times New Roman" w:hAnsi="Times New Roman" w:cs="Times New Roman"/>
          <w:b/>
          <w:i/>
          <w:iCs/>
          <w:sz w:val="24"/>
          <w:szCs w:val="24"/>
        </w:rPr>
      </w:pPr>
    </w:p>
    <w:p w14:paraId="6F203826"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The concise quad chart responds directly to the feedback on readability and exposes the central trade-off. Rapid digital benefits are achievable, but structural regeneration remains essential.</w:t>
      </w:r>
    </w:p>
    <w:p w14:paraId="421702AA" w14:textId="77777777" w:rsidR="00DA1DD8" w:rsidRDefault="00DA1DD8" w:rsidP="008D78F8">
      <w:pPr>
        <w:spacing w:line="360" w:lineRule="auto"/>
        <w:jc w:val="both"/>
        <w:rPr>
          <w:rFonts w:ascii="Times New Roman" w:hAnsi="Times New Roman" w:cs="Times New Roman"/>
          <w:sz w:val="24"/>
          <w:szCs w:val="24"/>
        </w:rPr>
      </w:pPr>
    </w:p>
    <w:p w14:paraId="07CE0D27" w14:textId="77777777" w:rsidR="008D78F8" w:rsidRDefault="008D78F8" w:rsidP="008D78F8">
      <w:pPr>
        <w:spacing w:line="360" w:lineRule="auto"/>
        <w:jc w:val="both"/>
        <w:rPr>
          <w:rFonts w:ascii="Times New Roman" w:hAnsi="Times New Roman" w:cs="Times New Roman"/>
          <w:sz w:val="24"/>
          <w:szCs w:val="24"/>
        </w:rPr>
      </w:pPr>
    </w:p>
    <w:p w14:paraId="06DB3909" w14:textId="77777777" w:rsidR="008D78F8" w:rsidRDefault="008D78F8" w:rsidP="008D78F8">
      <w:pPr>
        <w:spacing w:line="360" w:lineRule="auto"/>
        <w:jc w:val="both"/>
        <w:rPr>
          <w:rFonts w:ascii="Times New Roman" w:hAnsi="Times New Roman" w:cs="Times New Roman"/>
          <w:sz w:val="24"/>
          <w:szCs w:val="24"/>
        </w:rPr>
      </w:pPr>
    </w:p>
    <w:p w14:paraId="2327B3A9" w14:textId="77777777" w:rsidR="008D78F8" w:rsidRDefault="008D78F8" w:rsidP="008D78F8">
      <w:pPr>
        <w:spacing w:line="360" w:lineRule="auto"/>
        <w:jc w:val="both"/>
        <w:rPr>
          <w:rFonts w:ascii="Times New Roman" w:hAnsi="Times New Roman" w:cs="Times New Roman"/>
          <w:sz w:val="24"/>
          <w:szCs w:val="24"/>
        </w:rPr>
      </w:pPr>
    </w:p>
    <w:p w14:paraId="4524265F" w14:textId="77777777" w:rsidR="008D78F8" w:rsidRDefault="008D78F8" w:rsidP="008D78F8">
      <w:pPr>
        <w:spacing w:line="360" w:lineRule="auto"/>
        <w:jc w:val="both"/>
        <w:rPr>
          <w:rFonts w:ascii="Times New Roman" w:hAnsi="Times New Roman" w:cs="Times New Roman"/>
          <w:sz w:val="24"/>
          <w:szCs w:val="24"/>
        </w:rPr>
      </w:pPr>
    </w:p>
    <w:p w14:paraId="16E0EB66" w14:textId="77777777" w:rsidR="008D78F8" w:rsidRPr="008D78F8" w:rsidRDefault="008D78F8" w:rsidP="008D78F8">
      <w:pPr>
        <w:spacing w:line="360" w:lineRule="auto"/>
        <w:jc w:val="both"/>
        <w:rPr>
          <w:rFonts w:ascii="Times New Roman" w:hAnsi="Times New Roman" w:cs="Times New Roman"/>
          <w:sz w:val="24"/>
          <w:szCs w:val="24"/>
        </w:rPr>
      </w:pPr>
    </w:p>
    <w:p w14:paraId="4DB35636" w14:textId="77777777" w:rsidR="00FE40F0" w:rsidRPr="008D78F8" w:rsidRDefault="00FE40F0" w:rsidP="008D78F8">
      <w:pPr>
        <w:pStyle w:val="Heading2"/>
      </w:pPr>
      <w:bookmarkStart w:id="19" w:name="_Toc235922322"/>
      <w:bookmarkStart w:id="20" w:name="_Toc235969213"/>
      <w:r w:rsidRPr="008D78F8">
        <w:t>6. Gantt Chart</w:t>
      </w:r>
      <w:bookmarkEnd w:id="19"/>
      <w:bookmarkEnd w:id="20"/>
    </w:p>
    <w:p w14:paraId="73FF2B42"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Figure 2 presents the principal activities, overlaps and dependencies across the 12-month project period.</w:t>
      </w:r>
    </w:p>
    <w:p w14:paraId="1F2B746C"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noProof/>
          <w:sz w:val="24"/>
          <w:szCs w:val="24"/>
        </w:rPr>
        <w:lastRenderedPageBreak/>
        <w:drawing>
          <wp:inline distT="0" distB="0" distL="0" distR="0" wp14:anchorId="78157023" wp14:editId="697BE88C">
            <wp:extent cx="5943600" cy="3377946"/>
            <wp:effectExtent l="0" t="0" r="0" b="0"/>
            <wp:docPr id="2" name="Picture 2" descr="C:\Users\msi\Downloads\Figure_2_Twelve_Month_Gantt_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si\Downloads\Figure_2_Twelve_Month_Gantt_Chart.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77946"/>
                    </a:xfrm>
                    <a:prstGeom prst="rect">
                      <a:avLst/>
                    </a:prstGeom>
                    <a:noFill/>
                    <a:ln>
                      <a:noFill/>
                    </a:ln>
                  </pic:spPr>
                </pic:pic>
              </a:graphicData>
            </a:graphic>
          </wp:inline>
        </w:drawing>
      </w:r>
    </w:p>
    <w:p w14:paraId="611E06DC" w14:textId="77777777" w:rsidR="00DA1DD8" w:rsidRPr="008D78F8" w:rsidRDefault="00DA1DD8"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The critical path will cover requirements approval, procurement, API integration, end-to-end testing, pilot acceptance and operational readiness. A pilot launch is better than a big-bang launch since any technical failure can be localized and feedback included before it is used on a larger scale. Even though a single launch can seem to be quicker, it is a focus of cyber, operational and reputational risks. The evidence of continued exposure to optimism bias, schedule slippage and cost increase is found in a literature on large-scale projects, and justifies stage-gate go-ahead decisions (</w:t>
      </w:r>
      <w:proofErr w:type="spellStart"/>
      <w:r w:rsidRPr="008D78F8">
        <w:rPr>
          <w:rFonts w:ascii="Times New Roman" w:hAnsi="Times New Roman" w:cs="Times New Roman"/>
          <w:sz w:val="24"/>
          <w:szCs w:val="24"/>
        </w:rPr>
        <w:t>Flyvbjerg</w:t>
      </w:r>
      <w:proofErr w:type="spellEnd"/>
      <w:r w:rsidRPr="008D78F8">
        <w:rPr>
          <w:rFonts w:ascii="Times New Roman" w:hAnsi="Times New Roman" w:cs="Times New Roman"/>
          <w:sz w:val="24"/>
          <w:szCs w:val="24"/>
        </w:rPr>
        <w:t>, 2014).</w:t>
      </w:r>
    </w:p>
    <w:p w14:paraId="57FA0587" w14:textId="77777777" w:rsidR="00FE40F0" w:rsidRPr="008D78F8" w:rsidRDefault="00FE40F0" w:rsidP="008D78F8">
      <w:pPr>
        <w:pStyle w:val="Heading2"/>
      </w:pPr>
      <w:bookmarkStart w:id="21" w:name="_Toc235922323"/>
      <w:bookmarkStart w:id="22" w:name="_Toc235969214"/>
      <w:r w:rsidRPr="008D78F8">
        <w:t>7. Stakeholder Involvement</w:t>
      </w:r>
      <w:bookmarkEnd w:id="21"/>
      <w:bookmarkEnd w:id="22"/>
    </w:p>
    <w:p w14:paraId="2DB3038E" w14:textId="77777777" w:rsidR="00DA1DD8" w:rsidRDefault="00DA1DD8" w:rsidP="008D78F8">
      <w:pPr>
        <w:spacing w:line="360" w:lineRule="auto"/>
        <w:jc w:val="both"/>
        <w:rPr>
          <w:rFonts w:ascii="Times New Roman" w:hAnsi="Times New Roman" w:cs="Times New Roman"/>
          <w:bCs/>
          <w:sz w:val="24"/>
          <w:szCs w:val="24"/>
        </w:rPr>
      </w:pPr>
      <w:r w:rsidRPr="008D78F8">
        <w:rPr>
          <w:rFonts w:ascii="Times New Roman" w:hAnsi="Times New Roman" w:cs="Times New Roman"/>
          <w:bCs/>
          <w:sz w:val="24"/>
          <w:szCs w:val="24"/>
        </w:rPr>
        <w:t xml:space="preserve">The stakeholders are ranked in terms of power, interest, legitimacy and urgency. Power would fail to capture sufficiently the disabled passengers and frontline users as they may lack much formal power, but whose needs will determine the legitimacy and acceptance of the projects (Bryson, 2004; Mitchell, </w:t>
      </w:r>
      <w:proofErr w:type="spellStart"/>
      <w:r w:rsidRPr="008D78F8">
        <w:rPr>
          <w:rFonts w:ascii="Times New Roman" w:hAnsi="Times New Roman" w:cs="Times New Roman"/>
          <w:bCs/>
          <w:sz w:val="24"/>
          <w:szCs w:val="24"/>
        </w:rPr>
        <w:t>Agle</w:t>
      </w:r>
      <w:proofErr w:type="spellEnd"/>
      <w:r w:rsidRPr="008D78F8">
        <w:rPr>
          <w:rFonts w:ascii="Times New Roman" w:hAnsi="Times New Roman" w:cs="Times New Roman"/>
          <w:bCs/>
          <w:sz w:val="24"/>
          <w:szCs w:val="24"/>
        </w:rPr>
        <w:t xml:space="preserve"> and Wood, 1997).</w:t>
      </w:r>
    </w:p>
    <w:p w14:paraId="479C2D8F" w14:textId="77777777" w:rsidR="008D78F8" w:rsidRPr="008D78F8" w:rsidRDefault="008D78F8" w:rsidP="008D78F8">
      <w:pPr>
        <w:spacing w:line="360" w:lineRule="auto"/>
        <w:jc w:val="both"/>
        <w:rPr>
          <w:rFonts w:ascii="Times New Roman" w:hAnsi="Times New Roman" w:cs="Times New Roman"/>
          <w:bCs/>
          <w:sz w:val="24"/>
          <w:szCs w:val="24"/>
        </w:rPr>
      </w:pPr>
    </w:p>
    <w:p w14:paraId="4D8CB205"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b/>
          <w:bCs/>
          <w:sz w:val="24"/>
          <w:szCs w:val="24"/>
        </w:rPr>
        <w:t>Table 3: Stakeholder Power–Interest Matrix</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18"/>
        <w:gridCol w:w="3435"/>
        <w:gridCol w:w="4997"/>
      </w:tblGrid>
      <w:tr w:rsidR="00FE40F0" w:rsidRPr="008D78F8" w14:paraId="6796587B" w14:textId="77777777" w:rsidTr="00FE40F0">
        <w:trPr>
          <w:tblHeader/>
          <w:tblCellSpacing w:w="15" w:type="dxa"/>
        </w:trPr>
        <w:tc>
          <w:tcPr>
            <w:tcW w:w="0" w:type="auto"/>
            <w:vAlign w:val="center"/>
            <w:hideMark/>
          </w:tcPr>
          <w:p w14:paraId="29965950" w14:textId="77777777" w:rsidR="00FE40F0" w:rsidRPr="008D78F8" w:rsidRDefault="00FE40F0" w:rsidP="008D78F8">
            <w:pPr>
              <w:spacing w:line="360" w:lineRule="auto"/>
              <w:jc w:val="both"/>
              <w:rPr>
                <w:rFonts w:ascii="Times New Roman" w:hAnsi="Times New Roman" w:cs="Times New Roman"/>
                <w:sz w:val="24"/>
                <w:szCs w:val="24"/>
              </w:rPr>
            </w:pPr>
          </w:p>
        </w:tc>
        <w:tc>
          <w:tcPr>
            <w:tcW w:w="0" w:type="auto"/>
            <w:vAlign w:val="center"/>
            <w:hideMark/>
          </w:tcPr>
          <w:p w14:paraId="07ED1055"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Low interest</w:t>
            </w:r>
          </w:p>
        </w:tc>
        <w:tc>
          <w:tcPr>
            <w:tcW w:w="0" w:type="auto"/>
            <w:vAlign w:val="center"/>
            <w:hideMark/>
          </w:tcPr>
          <w:p w14:paraId="2C983E2F"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High interest</w:t>
            </w:r>
          </w:p>
        </w:tc>
      </w:tr>
      <w:tr w:rsidR="00FE40F0" w:rsidRPr="008D78F8" w14:paraId="1AD6C8F7" w14:textId="77777777" w:rsidTr="00FE40F0">
        <w:trPr>
          <w:tblCellSpacing w:w="15" w:type="dxa"/>
        </w:trPr>
        <w:tc>
          <w:tcPr>
            <w:tcW w:w="0" w:type="auto"/>
            <w:vAlign w:val="center"/>
            <w:hideMark/>
          </w:tcPr>
          <w:p w14:paraId="0DCD447F"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High power</w:t>
            </w:r>
          </w:p>
        </w:tc>
        <w:tc>
          <w:tcPr>
            <w:tcW w:w="0" w:type="auto"/>
            <w:vAlign w:val="center"/>
            <w:hideMark/>
          </w:tcPr>
          <w:p w14:paraId="16C97F80"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b/>
                <w:bCs/>
                <w:sz w:val="24"/>
                <w:szCs w:val="24"/>
              </w:rPr>
              <w:t>Keep satisfied:</w:t>
            </w:r>
            <w:r w:rsidRPr="008D78F8">
              <w:rPr>
                <w:rFonts w:ascii="Times New Roman" w:hAnsi="Times New Roman" w:cs="Times New Roman"/>
                <w:sz w:val="24"/>
                <w:szCs w:val="24"/>
              </w:rPr>
              <w:t xml:space="preserve"> funders, regulators and emergency-planning bodies</w:t>
            </w:r>
          </w:p>
        </w:tc>
        <w:tc>
          <w:tcPr>
            <w:tcW w:w="0" w:type="auto"/>
            <w:vAlign w:val="center"/>
            <w:hideMark/>
          </w:tcPr>
          <w:p w14:paraId="4B2D104A"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b/>
                <w:bCs/>
                <w:sz w:val="24"/>
                <w:szCs w:val="24"/>
              </w:rPr>
              <w:t>Manage closely:</w:t>
            </w:r>
            <w:r w:rsidRPr="008D78F8">
              <w:rPr>
                <w:rFonts w:ascii="Times New Roman" w:hAnsi="Times New Roman" w:cs="Times New Roman"/>
                <w:sz w:val="24"/>
                <w:szCs w:val="24"/>
              </w:rPr>
              <w:t xml:space="preserve"> local authority, project board, Network Rail, operators and DPO</w:t>
            </w:r>
          </w:p>
        </w:tc>
      </w:tr>
      <w:tr w:rsidR="00FE40F0" w:rsidRPr="008D78F8" w14:paraId="15EE9F53" w14:textId="77777777" w:rsidTr="00FE40F0">
        <w:trPr>
          <w:tblCellSpacing w:w="15" w:type="dxa"/>
        </w:trPr>
        <w:tc>
          <w:tcPr>
            <w:tcW w:w="0" w:type="auto"/>
            <w:vAlign w:val="center"/>
            <w:hideMark/>
          </w:tcPr>
          <w:p w14:paraId="3CE87CA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Low power</w:t>
            </w:r>
          </w:p>
        </w:tc>
        <w:tc>
          <w:tcPr>
            <w:tcW w:w="0" w:type="auto"/>
            <w:vAlign w:val="center"/>
            <w:hideMark/>
          </w:tcPr>
          <w:p w14:paraId="3E02F31A"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b/>
                <w:bCs/>
                <w:sz w:val="24"/>
                <w:szCs w:val="24"/>
              </w:rPr>
              <w:t>Monitor:</w:t>
            </w:r>
            <w:r w:rsidRPr="008D78F8">
              <w:rPr>
                <w:rFonts w:ascii="Times New Roman" w:hAnsi="Times New Roman" w:cs="Times New Roman"/>
                <w:sz w:val="24"/>
                <w:szCs w:val="24"/>
              </w:rPr>
              <w:t xml:space="preserve"> occasional users and wider public</w:t>
            </w:r>
          </w:p>
        </w:tc>
        <w:tc>
          <w:tcPr>
            <w:tcW w:w="0" w:type="auto"/>
            <w:vAlign w:val="center"/>
            <w:hideMark/>
          </w:tcPr>
          <w:p w14:paraId="1234FD85"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b/>
                <w:bCs/>
                <w:sz w:val="24"/>
                <w:szCs w:val="24"/>
              </w:rPr>
              <w:t>Keep informed and involve:</w:t>
            </w:r>
            <w:r w:rsidRPr="008D78F8">
              <w:rPr>
                <w:rFonts w:ascii="Times New Roman" w:hAnsi="Times New Roman" w:cs="Times New Roman"/>
                <w:sz w:val="24"/>
                <w:szCs w:val="24"/>
              </w:rPr>
              <w:t xml:space="preserve"> commuters, disabled passengers, businesses, freight firms and frontline staff</w:t>
            </w:r>
          </w:p>
        </w:tc>
      </w:tr>
    </w:tbl>
    <w:p w14:paraId="7E62FBFB"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b/>
          <w:bCs/>
          <w:sz w:val="24"/>
          <w:szCs w:val="24"/>
        </w:rPr>
        <w:t>Table 4: Stakeholder Engagement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48"/>
        <w:gridCol w:w="4388"/>
        <w:gridCol w:w="2414"/>
      </w:tblGrid>
      <w:tr w:rsidR="00FE40F0" w:rsidRPr="008D78F8" w14:paraId="25D38D32" w14:textId="77777777" w:rsidTr="00FE40F0">
        <w:trPr>
          <w:tblHeader/>
          <w:tblCellSpacing w:w="15" w:type="dxa"/>
        </w:trPr>
        <w:tc>
          <w:tcPr>
            <w:tcW w:w="0" w:type="auto"/>
            <w:vAlign w:val="center"/>
            <w:hideMark/>
          </w:tcPr>
          <w:p w14:paraId="3669BB4E"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Stakeholder</w:t>
            </w:r>
          </w:p>
        </w:tc>
        <w:tc>
          <w:tcPr>
            <w:tcW w:w="0" w:type="auto"/>
            <w:vAlign w:val="center"/>
            <w:hideMark/>
          </w:tcPr>
          <w:p w14:paraId="11436133"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Involvement</w:t>
            </w:r>
          </w:p>
        </w:tc>
        <w:tc>
          <w:tcPr>
            <w:tcW w:w="0" w:type="auto"/>
            <w:vAlign w:val="center"/>
            <w:hideMark/>
          </w:tcPr>
          <w:p w14:paraId="60F4AE67"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Frequency</w:t>
            </w:r>
          </w:p>
        </w:tc>
      </w:tr>
      <w:tr w:rsidR="00FE40F0" w:rsidRPr="008D78F8" w14:paraId="244F3C37" w14:textId="77777777" w:rsidTr="00FE40F0">
        <w:trPr>
          <w:tblCellSpacing w:w="15" w:type="dxa"/>
        </w:trPr>
        <w:tc>
          <w:tcPr>
            <w:tcW w:w="0" w:type="auto"/>
            <w:vAlign w:val="center"/>
            <w:hideMark/>
          </w:tcPr>
          <w:p w14:paraId="3FDC8098"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SRO and project board</w:t>
            </w:r>
          </w:p>
        </w:tc>
        <w:tc>
          <w:tcPr>
            <w:tcW w:w="0" w:type="auto"/>
            <w:vAlign w:val="center"/>
            <w:hideMark/>
          </w:tcPr>
          <w:p w14:paraId="093E215C"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Gate, budget, change and risk decisions</w:t>
            </w:r>
          </w:p>
        </w:tc>
        <w:tc>
          <w:tcPr>
            <w:tcW w:w="0" w:type="auto"/>
            <w:vAlign w:val="center"/>
            <w:hideMark/>
          </w:tcPr>
          <w:p w14:paraId="2F928D9B"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Monthly and at gates</w:t>
            </w:r>
          </w:p>
        </w:tc>
      </w:tr>
      <w:tr w:rsidR="00FE40F0" w:rsidRPr="008D78F8" w14:paraId="1ADE7355" w14:textId="77777777" w:rsidTr="00FE40F0">
        <w:trPr>
          <w:tblCellSpacing w:w="15" w:type="dxa"/>
        </w:trPr>
        <w:tc>
          <w:tcPr>
            <w:tcW w:w="0" w:type="auto"/>
            <w:vAlign w:val="center"/>
            <w:hideMark/>
          </w:tcPr>
          <w:p w14:paraId="0EC5D9B5"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Rail, bus and freight operators</w:t>
            </w:r>
          </w:p>
        </w:tc>
        <w:tc>
          <w:tcPr>
            <w:tcW w:w="0" w:type="auto"/>
            <w:vAlign w:val="center"/>
            <w:hideMark/>
          </w:tcPr>
          <w:p w14:paraId="573DB26B"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Requirements, integration, testing and procedure approval</w:t>
            </w:r>
          </w:p>
        </w:tc>
        <w:tc>
          <w:tcPr>
            <w:tcW w:w="0" w:type="auto"/>
            <w:vAlign w:val="center"/>
            <w:hideMark/>
          </w:tcPr>
          <w:p w14:paraId="74F29F8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Fortnightly</w:t>
            </w:r>
          </w:p>
        </w:tc>
      </w:tr>
      <w:tr w:rsidR="00FE40F0" w:rsidRPr="008D78F8" w14:paraId="1A81CB38" w14:textId="77777777" w:rsidTr="00FE40F0">
        <w:trPr>
          <w:tblCellSpacing w:w="15" w:type="dxa"/>
        </w:trPr>
        <w:tc>
          <w:tcPr>
            <w:tcW w:w="0" w:type="auto"/>
            <w:vAlign w:val="center"/>
            <w:hideMark/>
          </w:tcPr>
          <w:p w14:paraId="62FB386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DPO and cyber specialists</w:t>
            </w:r>
          </w:p>
        </w:tc>
        <w:tc>
          <w:tcPr>
            <w:tcW w:w="0" w:type="auto"/>
            <w:vAlign w:val="center"/>
            <w:hideMark/>
          </w:tcPr>
          <w:p w14:paraId="5AAFADEB"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DPIA, architecture review, testing and incident planning</w:t>
            </w:r>
          </w:p>
        </w:tc>
        <w:tc>
          <w:tcPr>
            <w:tcW w:w="0" w:type="auto"/>
            <w:vAlign w:val="center"/>
            <w:hideMark/>
          </w:tcPr>
          <w:p w14:paraId="20AFFCCB"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At design and assurance stages</w:t>
            </w:r>
          </w:p>
        </w:tc>
      </w:tr>
      <w:tr w:rsidR="00FE40F0" w:rsidRPr="008D78F8" w14:paraId="59FC502E" w14:textId="77777777" w:rsidTr="00FE40F0">
        <w:trPr>
          <w:tblCellSpacing w:w="15" w:type="dxa"/>
        </w:trPr>
        <w:tc>
          <w:tcPr>
            <w:tcW w:w="0" w:type="auto"/>
            <w:vAlign w:val="center"/>
            <w:hideMark/>
          </w:tcPr>
          <w:p w14:paraId="005DE429"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Disabled passengers</w:t>
            </w:r>
          </w:p>
        </w:tc>
        <w:tc>
          <w:tcPr>
            <w:tcW w:w="0" w:type="auto"/>
            <w:vAlign w:val="center"/>
            <w:hideMark/>
          </w:tcPr>
          <w:p w14:paraId="2D06B0F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Paid co-design, prototype evaluation and acceptance testing</w:t>
            </w:r>
          </w:p>
        </w:tc>
        <w:tc>
          <w:tcPr>
            <w:tcW w:w="0" w:type="auto"/>
            <w:vAlign w:val="center"/>
            <w:hideMark/>
          </w:tcPr>
          <w:p w14:paraId="74BEE24B"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Months 1–3 and 7–9</w:t>
            </w:r>
          </w:p>
        </w:tc>
      </w:tr>
      <w:tr w:rsidR="00FE40F0" w:rsidRPr="008D78F8" w14:paraId="0B755DDF" w14:textId="77777777" w:rsidTr="00FE40F0">
        <w:trPr>
          <w:tblCellSpacing w:w="15" w:type="dxa"/>
        </w:trPr>
        <w:tc>
          <w:tcPr>
            <w:tcW w:w="0" w:type="auto"/>
            <w:vAlign w:val="center"/>
            <w:hideMark/>
          </w:tcPr>
          <w:p w14:paraId="3F9CD4FF"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Frontline and control-room staff</w:t>
            </w:r>
          </w:p>
        </w:tc>
        <w:tc>
          <w:tcPr>
            <w:tcW w:w="0" w:type="auto"/>
            <w:vAlign w:val="center"/>
            <w:hideMark/>
          </w:tcPr>
          <w:p w14:paraId="7EA3FDC5"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Process mapping, simulations, pilot and training</w:t>
            </w:r>
          </w:p>
        </w:tc>
        <w:tc>
          <w:tcPr>
            <w:tcW w:w="0" w:type="auto"/>
            <w:vAlign w:val="center"/>
            <w:hideMark/>
          </w:tcPr>
          <w:p w14:paraId="744B652D"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Monthly; weekly during pilot</w:t>
            </w:r>
          </w:p>
        </w:tc>
      </w:tr>
      <w:tr w:rsidR="00FE40F0" w:rsidRPr="008D78F8" w14:paraId="123BE0EF" w14:textId="77777777" w:rsidTr="00FE40F0">
        <w:trPr>
          <w:tblCellSpacing w:w="15" w:type="dxa"/>
        </w:trPr>
        <w:tc>
          <w:tcPr>
            <w:tcW w:w="0" w:type="auto"/>
            <w:vAlign w:val="center"/>
            <w:hideMark/>
          </w:tcPr>
          <w:p w14:paraId="309EE47E"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Businesses and freight firms</w:t>
            </w:r>
          </w:p>
        </w:tc>
        <w:tc>
          <w:tcPr>
            <w:tcW w:w="0" w:type="auto"/>
            <w:vAlign w:val="center"/>
            <w:hideMark/>
          </w:tcPr>
          <w:p w14:paraId="5AB07D4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Access planning, communications and operational feedback</w:t>
            </w:r>
          </w:p>
        </w:tc>
        <w:tc>
          <w:tcPr>
            <w:tcW w:w="0" w:type="auto"/>
            <w:vAlign w:val="center"/>
            <w:hideMark/>
          </w:tcPr>
          <w:p w14:paraId="3FC20B6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Monthly</w:t>
            </w:r>
          </w:p>
        </w:tc>
      </w:tr>
      <w:tr w:rsidR="00FE40F0" w:rsidRPr="008D78F8" w14:paraId="6975B8BC" w14:textId="77777777" w:rsidTr="00FE40F0">
        <w:trPr>
          <w:tblCellSpacing w:w="15" w:type="dxa"/>
        </w:trPr>
        <w:tc>
          <w:tcPr>
            <w:tcW w:w="0" w:type="auto"/>
            <w:vAlign w:val="center"/>
            <w:hideMark/>
          </w:tcPr>
          <w:p w14:paraId="1E30EFFE"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General passengers</w:t>
            </w:r>
          </w:p>
        </w:tc>
        <w:tc>
          <w:tcPr>
            <w:tcW w:w="0" w:type="auto"/>
            <w:vAlign w:val="center"/>
            <w:hideMark/>
          </w:tcPr>
          <w:p w14:paraId="56739B78"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Surveys, usability testing and public updates</w:t>
            </w:r>
          </w:p>
        </w:tc>
        <w:tc>
          <w:tcPr>
            <w:tcW w:w="0" w:type="auto"/>
            <w:vAlign w:val="center"/>
            <w:hideMark/>
          </w:tcPr>
          <w:p w14:paraId="2C202D4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Discovery, pilot and rollout</w:t>
            </w:r>
          </w:p>
        </w:tc>
      </w:tr>
    </w:tbl>
    <w:p w14:paraId="643CEA1F" w14:textId="77777777" w:rsidR="00DA1DD8" w:rsidRPr="008D78F8" w:rsidRDefault="00DA1DD8" w:rsidP="008D78F8">
      <w:pPr>
        <w:spacing w:line="360" w:lineRule="auto"/>
        <w:jc w:val="both"/>
        <w:rPr>
          <w:rFonts w:ascii="Times New Roman" w:hAnsi="Times New Roman" w:cs="Times New Roman"/>
          <w:sz w:val="24"/>
          <w:szCs w:val="24"/>
        </w:rPr>
      </w:pPr>
    </w:p>
    <w:p w14:paraId="0FEEA1B3" w14:textId="77777777" w:rsidR="00DA1DD8" w:rsidRPr="008D78F8" w:rsidRDefault="00DA1DD8"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Robotization is supported by human resources. The use of only apps would leave passengers without access to smartphones, consistent connectivity, or a level of digital trust. Inclusive </w:t>
      </w:r>
      <w:r w:rsidRPr="008D78F8">
        <w:rPr>
          <w:rFonts w:ascii="Times New Roman" w:hAnsi="Times New Roman" w:cs="Times New Roman"/>
          <w:sz w:val="24"/>
          <w:szCs w:val="24"/>
        </w:rPr>
        <w:lastRenderedPageBreak/>
        <w:t>transport infrastructure is a key focus in Department for Transport guidance and digital-accessibility requirements outlined in WCAG 2.2 are testable (DfT, 2021; W3C, 2023).</w:t>
      </w:r>
    </w:p>
    <w:p w14:paraId="50BDFBDC" w14:textId="77777777" w:rsidR="00FE40F0" w:rsidRPr="008D78F8" w:rsidRDefault="00FE40F0" w:rsidP="008D78F8">
      <w:pPr>
        <w:pStyle w:val="Heading2"/>
        <w:spacing w:line="360" w:lineRule="auto"/>
      </w:pPr>
      <w:bookmarkStart w:id="23" w:name="_Toc235922324"/>
      <w:bookmarkStart w:id="24" w:name="_Toc235969215"/>
      <w:r w:rsidRPr="008D78F8">
        <w:t>8. Allocation of Resources</w:t>
      </w:r>
      <w:bookmarkEnd w:id="23"/>
      <w:bookmarkEnd w:id="24"/>
    </w:p>
    <w:p w14:paraId="23740ABA"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The core project team includes:</w:t>
      </w:r>
    </w:p>
    <w:p w14:paraId="35CC5950"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Project manager and PMO planner. </w:t>
      </w:r>
    </w:p>
    <w:p w14:paraId="7B8B206F"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Product owner and solution architect. </w:t>
      </w:r>
    </w:p>
    <w:p w14:paraId="23684261"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Business analysts. </w:t>
      </w:r>
    </w:p>
    <w:p w14:paraId="71C7470C"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Data and integration engineers. </w:t>
      </w:r>
    </w:p>
    <w:p w14:paraId="04FD7FF7"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Software developers. </w:t>
      </w:r>
    </w:p>
    <w:p w14:paraId="0C22C9BA"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IoT and sensor engineers. </w:t>
      </w:r>
    </w:p>
    <w:p w14:paraId="2DA19161"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Cybersecurity specialists. </w:t>
      </w:r>
    </w:p>
    <w:p w14:paraId="2A53018B"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Data Protection Officer support. </w:t>
      </w:r>
    </w:p>
    <w:p w14:paraId="4D6EFA07"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Accessibility and user-experience specialists. </w:t>
      </w:r>
    </w:p>
    <w:p w14:paraId="357AB1CA"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Testing and assurance staff. </w:t>
      </w:r>
    </w:p>
    <w:p w14:paraId="3F0364A8"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Commercial and procurement personnel. </w:t>
      </w:r>
    </w:p>
    <w:p w14:paraId="00394572"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Finance support. </w:t>
      </w:r>
    </w:p>
    <w:p w14:paraId="3029D3AC" w14:textId="77777777" w:rsidR="00FE40F0" w:rsidRPr="008D78F8" w:rsidRDefault="00FE40F0" w:rsidP="008D78F8">
      <w:pPr>
        <w:numPr>
          <w:ilvl w:val="0"/>
          <w:numId w:val="2"/>
        </w:num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Operations, change and training leads. </w:t>
      </w:r>
    </w:p>
    <w:p w14:paraId="4FAA3C3C"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Operator subject-matter experts are seconded part-time. Resource demand peaks during development, integration and testing at approximately 18–22 full-time-equivalent staff.</w:t>
      </w:r>
    </w:p>
    <w:p w14:paraId="50D5AE5A" w14:textId="77777777" w:rsidR="008D78F8" w:rsidRDefault="008D78F8" w:rsidP="008D78F8">
      <w:pPr>
        <w:spacing w:line="360" w:lineRule="auto"/>
        <w:jc w:val="both"/>
        <w:rPr>
          <w:rFonts w:ascii="Times New Roman" w:hAnsi="Times New Roman" w:cs="Times New Roman"/>
          <w:b/>
          <w:bCs/>
          <w:sz w:val="24"/>
          <w:szCs w:val="24"/>
        </w:rPr>
      </w:pPr>
    </w:p>
    <w:p w14:paraId="308E8365" w14:textId="77777777" w:rsidR="008D78F8" w:rsidRDefault="008D78F8" w:rsidP="008D78F8">
      <w:pPr>
        <w:spacing w:line="360" w:lineRule="auto"/>
        <w:jc w:val="both"/>
        <w:rPr>
          <w:rFonts w:ascii="Times New Roman" w:hAnsi="Times New Roman" w:cs="Times New Roman"/>
          <w:b/>
          <w:bCs/>
          <w:sz w:val="24"/>
          <w:szCs w:val="24"/>
        </w:rPr>
      </w:pPr>
    </w:p>
    <w:p w14:paraId="66538538" w14:textId="77777777" w:rsidR="008D78F8" w:rsidRDefault="008D78F8" w:rsidP="008D78F8">
      <w:pPr>
        <w:spacing w:line="360" w:lineRule="auto"/>
        <w:jc w:val="both"/>
        <w:rPr>
          <w:rFonts w:ascii="Times New Roman" w:hAnsi="Times New Roman" w:cs="Times New Roman"/>
          <w:b/>
          <w:bCs/>
          <w:sz w:val="24"/>
          <w:szCs w:val="24"/>
        </w:rPr>
      </w:pPr>
    </w:p>
    <w:p w14:paraId="2D2A92C8"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b/>
          <w:bCs/>
          <w:sz w:val="24"/>
          <w:szCs w:val="24"/>
        </w:rPr>
        <w:t>Table 5: Indicative Budget Allocation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468"/>
        <w:gridCol w:w="996"/>
      </w:tblGrid>
      <w:tr w:rsidR="00FE40F0" w:rsidRPr="008D78F8" w14:paraId="4DEAC940" w14:textId="77777777" w:rsidTr="00FE40F0">
        <w:trPr>
          <w:tblHeader/>
          <w:tblCellSpacing w:w="15" w:type="dxa"/>
        </w:trPr>
        <w:tc>
          <w:tcPr>
            <w:tcW w:w="0" w:type="auto"/>
            <w:vAlign w:val="center"/>
            <w:hideMark/>
          </w:tcPr>
          <w:p w14:paraId="554DC98A"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lastRenderedPageBreak/>
              <w:t>Budget area</w:t>
            </w:r>
          </w:p>
        </w:tc>
        <w:tc>
          <w:tcPr>
            <w:tcW w:w="0" w:type="auto"/>
            <w:vAlign w:val="center"/>
            <w:hideMark/>
          </w:tcPr>
          <w:p w14:paraId="24398688"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 million</w:t>
            </w:r>
          </w:p>
        </w:tc>
      </w:tr>
      <w:tr w:rsidR="00FE40F0" w:rsidRPr="008D78F8" w14:paraId="14A03B41" w14:textId="77777777" w:rsidTr="00FE40F0">
        <w:trPr>
          <w:tblCellSpacing w:w="15" w:type="dxa"/>
        </w:trPr>
        <w:tc>
          <w:tcPr>
            <w:tcW w:w="0" w:type="auto"/>
            <w:vAlign w:val="center"/>
            <w:hideMark/>
          </w:tcPr>
          <w:p w14:paraId="43377EC8"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Governance, PMO and assurance</w:t>
            </w:r>
          </w:p>
        </w:tc>
        <w:tc>
          <w:tcPr>
            <w:tcW w:w="0" w:type="auto"/>
            <w:vAlign w:val="center"/>
            <w:hideMark/>
          </w:tcPr>
          <w:p w14:paraId="4307930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0.65</w:t>
            </w:r>
          </w:p>
        </w:tc>
      </w:tr>
      <w:tr w:rsidR="00FE40F0" w:rsidRPr="008D78F8" w14:paraId="3B657D72" w14:textId="77777777" w:rsidTr="00FE40F0">
        <w:trPr>
          <w:tblCellSpacing w:w="15" w:type="dxa"/>
        </w:trPr>
        <w:tc>
          <w:tcPr>
            <w:tcW w:w="0" w:type="auto"/>
            <w:vAlign w:val="center"/>
            <w:hideMark/>
          </w:tcPr>
          <w:p w14:paraId="620DD992"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Discovery, co-design, accessibility and DPIA</w:t>
            </w:r>
          </w:p>
        </w:tc>
        <w:tc>
          <w:tcPr>
            <w:tcW w:w="0" w:type="auto"/>
            <w:vAlign w:val="center"/>
            <w:hideMark/>
          </w:tcPr>
          <w:p w14:paraId="48608F4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0.55</w:t>
            </w:r>
          </w:p>
        </w:tc>
      </w:tr>
      <w:tr w:rsidR="00FE40F0" w:rsidRPr="008D78F8" w14:paraId="60A69170" w14:textId="77777777" w:rsidTr="00FE40F0">
        <w:trPr>
          <w:tblCellSpacing w:w="15" w:type="dxa"/>
        </w:trPr>
        <w:tc>
          <w:tcPr>
            <w:tcW w:w="0" w:type="auto"/>
            <w:vAlign w:val="center"/>
            <w:hideMark/>
          </w:tcPr>
          <w:p w14:paraId="3F8A5269"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Data platform, APIs and dashboard</w:t>
            </w:r>
          </w:p>
        </w:tc>
        <w:tc>
          <w:tcPr>
            <w:tcW w:w="0" w:type="auto"/>
            <w:vAlign w:val="center"/>
            <w:hideMark/>
          </w:tcPr>
          <w:p w14:paraId="38885160"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1.70</w:t>
            </w:r>
          </w:p>
        </w:tc>
      </w:tr>
      <w:tr w:rsidR="00FE40F0" w:rsidRPr="008D78F8" w14:paraId="3745028E" w14:textId="77777777" w:rsidTr="00FE40F0">
        <w:trPr>
          <w:tblCellSpacing w:w="15" w:type="dxa"/>
        </w:trPr>
        <w:tc>
          <w:tcPr>
            <w:tcW w:w="0" w:type="auto"/>
            <w:vAlign w:val="center"/>
            <w:hideMark/>
          </w:tcPr>
          <w:p w14:paraId="71264D0D"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Sensors, connectivity and installation</w:t>
            </w:r>
          </w:p>
        </w:tc>
        <w:tc>
          <w:tcPr>
            <w:tcW w:w="0" w:type="auto"/>
            <w:vAlign w:val="center"/>
            <w:hideMark/>
          </w:tcPr>
          <w:p w14:paraId="6566E3FB"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1.35</w:t>
            </w:r>
          </w:p>
        </w:tc>
      </w:tr>
      <w:tr w:rsidR="00FE40F0" w:rsidRPr="008D78F8" w14:paraId="431A695A" w14:textId="77777777" w:rsidTr="00FE40F0">
        <w:trPr>
          <w:tblCellSpacing w:w="15" w:type="dxa"/>
        </w:trPr>
        <w:tc>
          <w:tcPr>
            <w:tcW w:w="0" w:type="auto"/>
            <w:vAlign w:val="center"/>
            <w:hideMark/>
          </w:tcPr>
          <w:p w14:paraId="6D7FCA6A"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Passenger information and freight module</w:t>
            </w:r>
          </w:p>
        </w:tc>
        <w:tc>
          <w:tcPr>
            <w:tcW w:w="0" w:type="auto"/>
            <w:vAlign w:val="center"/>
            <w:hideMark/>
          </w:tcPr>
          <w:p w14:paraId="5A8533A0"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1.15</w:t>
            </w:r>
          </w:p>
        </w:tc>
      </w:tr>
      <w:tr w:rsidR="00FE40F0" w:rsidRPr="008D78F8" w14:paraId="4393215B" w14:textId="77777777" w:rsidTr="00FE40F0">
        <w:trPr>
          <w:tblCellSpacing w:w="15" w:type="dxa"/>
        </w:trPr>
        <w:tc>
          <w:tcPr>
            <w:tcW w:w="0" w:type="auto"/>
            <w:vAlign w:val="center"/>
            <w:hideMark/>
          </w:tcPr>
          <w:p w14:paraId="67486E92"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Cybersecurity, testing and resilience</w:t>
            </w:r>
          </w:p>
        </w:tc>
        <w:tc>
          <w:tcPr>
            <w:tcW w:w="0" w:type="auto"/>
            <w:vAlign w:val="center"/>
            <w:hideMark/>
          </w:tcPr>
          <w:p w14:paraId="60C6BED0"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0.70</w:t>
            </w:r>
          </w:p>
        </w:tc>
      </w:tr>
      <w:tr w:rsidR="00FE40F0" w:rsidRPr="008D78F8" w14:paraId="0931B807" w14:textId="77777777" w:rsidTr="00FE40F0">
        <w:trPr>
          <w:tblCellSpacing w:w="15" w:type="dxa"/>
        </w:trPr>
        <w:tc>
          <w:tcPr>
            <w:tcW w:w="0" w:type="auto"/>
            <w:vAlign w:val="center"/>
            <w:hideMark/>
          </w:tcPr>
          <w:p w14:paraId="7E737A32"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Integration and operational readiness</w:t>
            </w:r>
          </w:p>
        </w:tc>
        <w:tc>
          <w:tcPr>
            <w:tcW w:w="0" w:type="auto"/>
            <w:vAlign w:val="center"/>
            <w:hideMark/>
          </w:tcPr>
          <w:p w14:paraId="2F23BDB6"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0.65</w:t>
            </w:r>
          </w:p>
        </w:tc>
      </w:tr>
      <w:tr w:rsidR="00FE40F0" w:rsidRPr="008D78F8" w14:paraId="1DB5C290" w14:textId="77777777" w:rsidTr="00FE40F0">
        <w:trPr>
          <w:tblCellSpacing w:w="15" w:type="dxa"/>
        </w:trPr>
        <w:tc>
          <w:tcPr>
            <w:tcW w:w="0" w:type="auto"/>
            <w:vAlign w:val="center"/>
            <w:hideMark/>
          </w:tcPr>
          <w:p w14:paraId="536D8DE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Training, change and communications</w:t>
            </w:r>
          </w:p>
        </w:tc>
        <w:tc>
          <w:tcPr>
            <w:tcW w:w="0" w:type="auto"/>
            <w:vAlign w:val="center"/>
            <w:hideMark/>
          </w:tcPr>
          <w:p w14:paraId="2CE9BAF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0.55</w:t>
            </w:r>
          </w:p>
        </w:tc>
      </w:tr>
      <w:tr w:rsidR="00FE40F0" w:rsidRPr="008D78F8" w14:paraId="7FEE1543" w14:textId="77777777" w:rsidTr="00FE40F0">
        <w:trPr>
          <w:tblCellSpacing w:w="15" w:type="dxa"/>
        </w:trPr>
        <w:tc>
          <w:tcPr>
            <w:tcW w:w="0" w:type="auto"/>
            <w:vAlign w:val="center"/>
            <w:hideMark/>
          </w:tcPr>
          <w:p w14:paraId="60F5D05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Controlled contingency</w:t>
            </w:r>
          </w:p>
        </w:tc>
        <w:tc>
          <w:tcPr>
            <w:tcW w:w="0" w:type="auto"/>
            <w:vAlign w:val="center"/>
            <w:hideMark/>
          </w:tcPr>
          <w:p w14:paraId="5145DAF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1.20</w:t>
            </w:r>
          </w:p>
        </w:tc>
      </w:tr>
      <w:tr w:rsidR="00FE40F0" w:rsidRPr="008D78F8" w14:paraId="79FB68EF" w14:textId="77777777" w:rsidTr="00FE40F0">
        <w:trPr>
          <w:tblCellSpacing w:w="15" w:type="dxa"/>
        </w:trPr>
        <w:tc>
          <w:tcPr>
            <w:tcW w:w="0" w:type="auto"/>
            <w:vAlign w:val="center"/>
            <w:hideMark/>
          </w:tcPr>
          <w:p w14:paraId="6BB29BE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b/>
                <w:bCs/>
                <w:sz w:val="24"/>
                <w:szCs w:val="24"/>
              </w:rPr>
              <w:t>Total</w:t>
            </w:r>
          </w:p>
        </w:tc>
        <w:tc>
          <w:tcPr>
            <w:tcW w:w="0" w:type="auto"/>
            <w:vAlign w:val="center"/>
            <w:hideMark/>
          </w:tcPr>
          <w:p w14:paraId="3E13003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b/>
                <w:bCs/>
                <w:sz w:val="24"/>
                <w:szCs w:val="24"/>
              </w:rPr>
              <w:t>8.50</w:t>
            </w:r>
          </w:p>
        </w:tc>
      </w:tr>
    </w:tbl>
    <w:p w14:paraId="3CF592CF"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Open interfaces are preferred to a closed proprietary platform. A single-vendor solution may simplify initial accountability but could increase technological lock-in and future integration costs. Department for Transport policy </w:t>
      </w:r>
      <w:proofErr w:type="spellStart"/>
      <w:r w:rsidRPr="008D78F8">
        <w:rPr>
          <w:rFonts w:ascii="Times New Roman" w:hAnsi="Times New Roman" w:cs="Times New Roman"/>
          <w:sz w:val="24"/>
          <w:szCs w:val="24"/>
        </w:rPr>
        <w:t>emphasises</w:t>
      </w:r>
      <w:proofErr w:type="spellEnd"/>
      <w:r w:rsidRPr="008D78F8">
        <w:rPr>
          <w:rFonts w:ascii="Times New Roman" w:hAnsi="Times New Roman" w:cs="Times New Roman"/>
          <w:sz w:val="24"/>
          <w:szCs w:val="24"/>
        </w:rPr>
        <w:t xml:space="preserve"> accessible and high-quality transport data. TfL’s unified API also illustrates how a common interface can protect applications from changes in underlying source systems (DfT, 2023; TfL, n.d.). Supplier payments are therefore linked to accepted deliverables, documented interfaces and service-level performance. </w:t>
      </w:r>
    </w:p>
    <w:p w14:paraId="340DDDF3" w14:textId="77777777" w:rsidR="00FE40F0" w:rsidRPr="008D78F8" w:rsidRDefault="00FE40F0" w:rsidP="008D78F8">
      <w:pPr>
        <w:pStyle w:val="Heading2"/>
        <w:spacing w:line="360" w:lineRule="auto"/>
      </w:pPr>
      <w:bookmarkStart w:id="25" w:name="_Toc235922325"/>
      <w:bookmarkStart w:id="26" w:name="_Toc235969216"/>
      <w:r w:rsidRPr="008D78F8">
        <w:t>9. Risk Analysis</w:t>
      </w:r>
      <w:bookmarkEnd w:id="25"/>
      <w:bookmarkEnd w:id="26"/>
    </w:p>
    <w:p w14:paraId="13088973" w14:textId="77777777" w:rsidR="00DA1DD8" w:rsidRPr="008D78F8" w:rsidRDefault="00DA1DD8" w:rsidP="008D78F8">
      <w:pPr>
        <w:spacing w:line="360" w:lineRule="auto"/>
        <w:jc w:val="both"/>
        <w:rPr>
          <w:rFonts w:ascii="Times New Roman" w:hAnsi="Times New Roman" w:cs="Times New Roman"/>
          <w:bCs/>
          <w:sz w:val="24"/>
          <w:szCs w:val="24"/>
        </w:rPr>
      </w:pPr>
      <w:r w:rsidRPr="008D78F8">
        <w:rPr>
          <w:rFonts w:ascii="Times New Roman" w:hAnsi="Times New Roman" w:cs="Times New Roman"/>
          <w:bCs/>
          <w:sz w:val="24"/>
          <w:szCs w:val="24"/>
        </w:rPr>
        <w:t>Risk management is based on ISO 31000 and addresses the risk identification, analysis, treatment, monitoring and communication (ISO, 2018). The likelihood and the effects are found on the scale of one to five. The scores of 1525 are considered red, 814 amber and green. Opportunities are also considered as the uncertainty can also bring about positive outcomes that could be threatening as well as positive (</w:t>
      </w:r>
      <w:proofErr w:type="spellStart"/>
      <w:r w:rsidRPr="008D78F8">
        <w:rPr>
          <w:rFonts w:ascii="Times New Roman" w:hAnsi="Times New Roman" w:cs="Times New Roman"/>
          <w:bCs/>
          <w:sz w:val="24"/>
          <w:szCs w:val="24"/>
        </w:rPr>
        <w:t>Hillson</w:t>
      </w:r>
      <w:proofErr w:type="spellEnd"/>
      <w:r w:rsidRPr="008D78F8">
        <w:rPr>
          <w:rFonts w:ascii="Times New Roman" w:hAnsi="Times New Roman" w:cs="Times New Roman"/>
          <w:bCs/>
          <w:sz w:val="24"/>
          <w:szCs w:val="24"/>
        </w:rPr>
        <w:t>, 2002; Ward and Chapman, 2003).</w:t>
      </w:r>
    </w:p>
    <w:p w14:paraId="498DAFE8"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noProof/>
          <w:sz w:val="24"/>
          <w:szCs w:val="24"/>
        </w:rPr>
        <w:lastRenderedPageBreak/>
        <w:drawing>
          <wp:inline distT="0" distB="0" distL="0" distR="0" wp14:anchorId="51952A09" wp14:editId="627A79AD">
            <wp:extent cx="5943600" cy="4900232"/>
            <wp:effectExtent l="0" t="0" r="0" b="0"/>
            <wp:docPr id="3" name="Picture 3" descr="C:\Users\msi\Downloads\Figure_3_Project_Risk_Heat_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si\Downloads\Figure_3_Project_Risk_Heat_Map.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4900232"/>
                    </a:xfrm>
                    <a:prstGeom prst="rect">
                      <a:avLst/>
                    </a:prstGeom>
                    <a:noFill/>
                    <a:ln>
                      <a:noFill/>
                    </a:ln>
                  </pic:spPr>
                </pic:pic>
              </a:graphicData>
            </a:graphic>
          </wp:inline>
        </w:drawing>
      </w:r>
    </w:p>
    <w:p w14:paraId="5BA23AC9"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b/>
          <w:bCs/>
          <w:sz w:val="24"/>
          <w:szCs w:val="24"/>
        </w:rPr>
        <w:t>Table 6: Priority Risk Register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02"/>
        <w:gridCol w:w="654"/>
        <w:gridCol w:w="5170"/>
        <w:gridCol w:w="1524"/>
      </w:tblGrid>
      <w:tr w:rsidR="00FE40F0" w:rsidRPr="008D78F8" w14:paraId="0C2FE9A3" w14:textId="77777777" w:rsidTr="00FE40F0">
        <w:trPr>
          <w:tblHeader/>
          <w:tblCellSpacing w:w="15" w:type="dxa"/>
        </w:trPr>
        <w:tc>
          <w:tcPr>
            <w:tcW w:w="0" w:type="auto"/>
            <w:vAlign w:val="center"/>
            <w:hideMark/>
          </w:tcPr>
          <w:p w14:paraId="79B6133F"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Risk</w:t>
            </w:r>
          </w:p>
        </w:tc>
        <w:tc>
          <w:tcPr>
            <w:tcW w:w="0" w:type="auto"/>
            <w:vAlign w:val="center"/>
            <w:hideMark/>
          </w:tcPr>
          <w:p w14:paraId="590D5D1C"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Score</w:t>
            </w:r>
          </w:p>
        </w:tc>
        <w:tc>
          <w:tcPr>
            <w:tcW w:w="0" w:type="auto"/>
            <w:vAlign w:val="center"/>
            <w:hideMark/>
          </w:tcPr>
          <w:p w14:paraId="70B9D35C"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Response and contingency</w:t>
            </w:r>
          </w:p>
        </w:tc>
        <w:tc>
          <w:tcPr>
            <w:tcW w:w="0" w:type="auto"/>
            <w:vAlign w:val="center"/>
            <w:hideMark/>
          </w:tcPr>
          <w:p w14:paraId="23EE689C" w14:textId="77777777" w:rsidR="00FE40F0" w:rsidRPr="008D78F8" w:rsidRDefault="00FE40F0" w:rsidP="008D78F8">
            <w:pPr>
              <w:spacing w:line="360" w:lineRule="auto"/>
              <w:jc w:val="both"/>
              <w:rPr>
                <w:rFonts w:ascii="Times New Roman" w:hAnsi="Times New Roman" w:cs="Times New Roman"/>
                <w:b/>
                <w:bCs/>
                <w:sz w:val="24"/>
                <w:szCs w:val="24"/>
              </w:rPr>
            </w:pPr>
            <w:r w:rsidRPr="008D78F8">
              <w:rPr>
                <w:rFonts w:ascii="Times New Roman" w:hAnsi="Times New Roman" w:cs="Times New Roman"/>
                <w:b/>
                <w:bCs/>
                <w:sz w:val="24"/>
                <w:szCs w:val="24"/>
              </w:rPr>
              <w:t>Owner</w:t>
            </w:r>
          </w:p>
        </w:tc>
      </w:tr>
      <w:tr w:rsidR="00FE40F0" w:rsidRPr="008D78F8" w14:paraId="7B11B757" w14:textId="77777777" w:rsidTr="00FE40F0">
        <w:trPr>
          <w:tblCellSpacing w:w="15" w:type="dxa"/>
        </w:trPr>
        <w:tc>
          <w:tcPr>
            <w:tcW w:w="0" w:type="auto"/>
            <w:vAlign w:val="center"/>
            <w:hideMark/>
          </w:tcPr>
          <w:p w14:paraId="2522D83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API or legacy integration failure</w:t>
            </w:r>
          </w:p>
        </w:tc>
        <w:tc>
          <w:tcPr>
            <w:tcW w:w="0" w:type="auto"/>
            <w:vAlign w:val="center"/>
            <w:hideMark/>
          </w:tcPr>
          <w:p w14:paraId="44CCE90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16</w:t>
            </w:r>
          </w:p>
        </w:tc>
        <w:tc>
          <w:tcPr>
            <w:tcW w:w="0" w:type="auto"/>
            <w:vAlign w:val="center"/>
            <w:hideMark/>
          </w:tcPr>
          <w:p w14:paraId="04149CD8"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Conduct early proof of concept and establish data contracts; use staged manual exchange if required.</w:t>
            </w:r>
          </w:p>
        </w:tc>
        <w:tc>
          <w:tcPr>
            <w:tcW w:w="0" w:type="auto"/>
            <w:vAlign w:val="center"/>
            <w:hideMark/>
          </w:tcPr>
          <w:p w14:paraId="25D1C22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Solution architect</w:t>
            </w:r>
          </w:p>
        </w:tc>
      </w:tr>
      <w:tr w:rsidR="00FE40F0" w:rsidRPr="008D78F8" w14:paraId="2C79F79F" w14:textId="77777777" w:rsidTr="00FE40F0">
        <w:trPr>
          <w:tblCellSpacing w:w="15" w:type="dxa"/>
        </w:trPr>
        <w:tc>
          <w:tcPr>
            <w:tcW w:w="0" w:type="auto"/>
            <w:vAlign w:val="center"/>
            <w:hideMark/>
          </w:tcPr>
          <w:p w14:paraId="71B383C2"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Cyberattack or service outage</w:t>
            </w:r>
          </w:p>
        </w:tc>
        <w:tc>
          <w:tcPr>
            <w:tcW w:w="0" w:type="auto"/>
            <w:vAlign w:val="center"/>
            <w:hideMark/>
          </w:tcPr>
          <w:p w14:paraId="0ED28CC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15</w:t>
            </w:r>
          </w:p>
        </w:tc>
        <w:tc>
          <w:tcPr>
            <w:tcW w:w="0" w:type="auto"/>
            <w:vAlign w:val="center"/>
            <w:hideMark/>
          </w:tcPr>
          <w:p w14:paraId="3E6EBBE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Apply least privilege, monitoring, penetration testing and backups; activate manual control-room procedures.</w:t>
            </w:r>
          </w:p>
        </w:tc>
        <w:tc>
          <w:tcPr>
            <w:tcW w:w="0" w:type="auto"/>
            <w:vAlign w:val="center"/>
            <w:hideMark/>
          </w:tcPr>
          <w:p w14:paraId="392A729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Cyber lead</w:t>
            </w:r>
          </w:p>
        </w:tc>
      </w:tr>
      <w:tr w:rsidR="00FE40F0" w:rsidRPr="008D78F8" w14:paraId="1E2D79D1" w14:textId="77777777" w:rsidTr="00FE40F0">
        <w:trPr>
          <w:tblCellSpacing w:w="15" w:type="dxa"/>
        </w:trPr>
        <w:tc>
          <w:tcPr>
            <w:tcW w:w="0" w:type="auto"/>
            <w:vAlign w:val="center"/>
            <w:hideMark/>
          </w:tcPr>
          <w:p w14:paraId="5E1D6B85"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lastRenderedPageBreak/>
              <w:t>Privacy breach</w:t>
            </w:r>
          </w:p>
        </w:tc>
        <w:tc>
          <w:tcPr>
            <w:tcW w:w="0" w:type="auto"/>
            <w:vAlign w:val="center"/>
            <w:hideMark/>
          </w:tcPr>
          <w:p w14:paraId="29B2C89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15</w:t>
            </w:r>
          </w:p>
        </w:tc>
        <w:tc>
          <w:tcPr>
            <w:tcW w:w="0" w:type="auto"/>
            <w:vAlign w:val="center"/>
            <w:hideMark/>
          </w:tcPr>
          <w:p w14:paraId="4AC58186"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Complete DPIA, </w:t>
            </w:r>
            <w:proofErr w:type="spellStart"/>
            <w:r w:rsidRPr="008D78F8">
              <w:rPr>
                <w:rFonts w:ascii="Times New Roman" w:hAnsi="Times New Roman" w:cs="Times New Roman"/>
                <w:sz w:val="24"/>
                <w:szCs w:val="24"/>
              </w:rPr>
              <w:t>minimise</w:t>
            </w:r>
            <w:proofErr w:type="spellEnd"/>
            <w:r w:rsidRPr="008D78F8">
              <w:rPr>
                <w:rFonts w:ascii="Times New Roman" w:hAnsi="Times New Roman" w:cs="Times New Roman"/>
                <w:sz w:val="24"/>
                <w:szCs w:val="24"/>
              </w:rPr>
              <w:t xml:space="preserve"> and aggregate data, apply retention limits and suspend affected analytics when necessary.</w:t>
            </w:r>
          </w:p>
        </w:tc>
        <w:tc>
          <w:tcPr>
            <w:tcW w:w="0" w:type="auto"/>
            <w:vAlign w:val="center"/>
            <w:hideMark/>
          </w:tcPr>
          <w:p w14:paraId="1606CE85"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DPO</w:t>
            </w:r>
          </w:p>
        </w:tc>
      </w:tr>
      <w:tr w:rsidR="00FE40F0" w:rsidRPr="008D78F8" w14:paraId="4B2FFE69" w14:textId="77777777" w:rsidTr="00FE40F0">
        <w:trPr>
          <w:tblCellSpacing w:w="15" w:type="dxa"/>
        </w:trPr>
        <w:tc>
          <w:tcPr>
            <w:tcW w:w="0" w:type="auto"/>
            <w:vAlign w:val="center"/>
            <w:hideMark/>
          </w:tcPr>
          <w:p w14:paraId="51A714ED"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Digital exclusion</w:t>
            </w:r>
          </w:p>
        </w:tc>
        <w:tc>
          <w:tcPr>
            <w:tcW w:w="0" w:type="auto"/>
            <w:vAlign w:val="center"/>
            <w:hideMark/>
          </w:tcPr>
          <w:p w14:paraId="11DAA550"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15</w:t>
            </w:r>
          </w:p>
        </w:tc>
        <w:tc>
          <w:tcPr>
            <w:tcW w:w="0" w:type="auto"/>
            <w:vAlign w:val="center"/>
            <w:hideMark/>
          </w:tcPr>
          <w:p w14:paraId="0C04A00B"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Use co-design, WCAG testing, audio, screens and help points; provide staffed support.</w:t>
            </w:r>
          </w:p>
        </w:tc>
        <w:tc>
          <w:tcPr>
            <w:tcW w:w="0" w:type="auto"/>
            <w:vAlign w:val="center"/>
            <w:hideMark/>
          </w:tcPr>
          <w:p w14:paraId="287C7F65"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Accessibility lead</w:t>
            </w:r>
          </w:p>
        </w:tc>
      </w:tr>
      <w:tr w:rsidR="00FE40F0" w:rsidRPr="008D78F8" w14:paraId="45F18144" w14:textId="77777777" w:rsidTr="00FE40F0">
        <w:trPr>
          <w:tblCellSpacing w:w="15" w:type="dxa"/>
        </w:trPr>
        <w:tc>
          <w:tcPr>
            <w:tcW w:w="0" w:type="auto"/>
            <w:vAlign w:val="center"/>
            <w:hideMark/>
          </w:tcPr>
          <w:p w14:paraId="0B3FEF3E"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Supplier delay</w:t>
            </w:r>
          </w:p>
        </w:tc>
        <w:tc>
          <w:tcPr>
            <w:tcW w:w="0" w:type="auto"/>
            <w:vAlign w:val="center"/>
            <w:hideMark/>
          </w:tcPr>
          <w:p w14:paraId="2EC9E2FC"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12</w:t>
            </w:r>
          </w:p>
        </w:tc>
        <w:tc>
          <w:tcPr>
            <w:tcW w:w="0" w:type="auto"/>
            <w:vAlign w:val="center"/>
            <w:hideMark/>
          </w:tcPr>
          <w:p w14:paraId="12159FA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Conduct early market engagement and use milestone-based contracts; </w:t>
            </w:r>
            <w:proofErr w:type="spellStart"/>
            <w:r w:rsidRPr="008D78F8">
              <w:rPr>
                <w:rFonts w:ascii="Times New Roman" w:hAnsi="Times New Roman" w:cs="Times New Roman"/>
                <w:sz w:val="24"/>
                <w:szCs w:val="24"/>
              </w:rPr>
              <w:t>resequence</w:t>
            </w:r>
            <w:proofErr w:type="spellEnd"/>
            <w:r w:rsidRPr="008D78F8">
              <w:rPr>
                <w:rFonts w:ascii="Times New Roman" w:hAnsi="Times New Roman" w:cs="Times New Roman"/>
                <w:sz w:val="24"/>
                <w:szCs w:val="24"/>
              </w:rPr>
              <w:t xml:space="preserve"> independent work.</w:t>
            </w:r>
          </w:p>
        </w:tc>
        <w:tc>
          <w:tcPr>
            <w:tcW w:w="0" w:type="auto"/>
            <w:vAlign w:val="center"/>
            <w:hideMark/>
          </w:tcPr>
          <w:p w14:paraId="6299EBA2"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Commercial lead</w:t>
            </w:r>
          </w:p>
        </w:tc>
      </w:tr>
      <w:tr w:rsidR="00FE40F0" w:rsidRPr="008D78F8" w14:paraId="2366A4E8" w14:textId="77777777" w:rsidTr="00FE40F0">
        <w:trPr>
          <w:tblCellSpacing w:w="15" w:type="dxa"/>
        </w:trPr>
        <w:tc>
          <w:tcPr>
            <w:tcW w:w="0" w:type="auto"/>
            <w:vAlign w:val="center"/>
            <w:hideMark/>
          </w:tcPr>
          <w:p w14:paraId="5CF8D84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Cost or scope growth</w:t>
            </w:r>
          </w:p>
        </w:tc>
        <w:tc>
          <w:tcPr>
            <w:tcW w:w="0" w:type="auto"/>
            <w:vAlign w:val="center"/>
            <w:hideMark/>
          </w:tcPr>
          <w:p w14:paraId="518D2B8D"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12</w:t>
            </w:r>
          </w:p>
        </w:tc>
        <w:tc>
          <w:tcPr>
            <w:tcW w:w="0" w:type="auto"/>
            <w:vAlign w:val="center"/>
            <w:hideMark/>
          </w:tcPr>
          <w:p w14:paraId="2FCC965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Apply WBS cost codes, forecasting and change control; defer lower-priority requirements.</w:t>
            </w:r>
          </w:p>
        </w:tc>
        <w:tc>
          <w:tcPr>
            <w:tcW w:w="0" w:type="auto"/>
            <w:vAlign w:val="center"/>
            <w:hideMark/>
          </w:tcPr>
          <w:p w14:paraId="56AF6FF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Project manager</w:t>
            </w:r>
          </w:p>
        </w:tc>
      </w:tr>
      <w:tr w:rsidR="00FE40F0" w:rsidRPr="008D78F8" w14:paraId="5833FA90" w14:textId="77777777" w:rsidTr="00FE40F0">
        <w:trPr>
          <w:tblCellSpacing w:w="15" w:type="dxa"/>
        </w:trPr>
        <w:tc>
          <w:tcPr>
            <w:tcW w:w="0" w:type="auto"/>
            <w:vAlign w:val="center"/>
            <w:hideMark/>
          </w:tcPr>
          <w:p w14:paraId="33D113C6"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False crowd alerts</w:t>
            </w:r>
          </w:p>
        </w:tc>
        <w:tc>
          <w:tcPr>
            <w:tcW w:w="0" w:type="auto"/>
            <w:vAlign w:val="center"/>
            <w:hideMark/>
          </w:tcPr>
          <w:p w14:paraId="76F0754F"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12</w:t>
            </w:r>
          </w:p>
        </w:tc>
        <w:tc>
          <w:tcPr>
            <w:tcW w:w="0" w:type="auto"/>
            <w:vAlign w:val="center"/>
            <w:hideMark/>
          </w:tcPr>
          <w:p w14:paraId="01D14480"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Calibrate sensors, require human validation and conduct simulations; revert to manual assessment.</w:t>
            </w:r>
          </w:p>
        </w:tc>
        <w:tc>
          <w:tcPr>
            <w:tcW w:w="0" w:type="auto"/>
            <w:vAlign w:val="center"/>
            <w:hideMark/>
          </w:tcPr>
          <w:p w14:paraId="543D8C16"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Operations lead</w:t>
            </w:r>
          </w:p>
        </w:tc>
      </w:tr>
      <w:tr w:rsidR="00FE40F0" w:rsidRPr="008D78F8" w14:paraId="0EC2FF8E" w14:textId="77777777" w:rsidTr="00FE40F0">
        <w:trPr>
          <w:tblCellSpacing w:w="15" w:type="dxa"/>
        </w:trPr>
        <w:tc>
          <w:tcPr>
            <w:tcW w:w="0" w:type="auto"/>
            <w:vAlign w:val="center"/>
            <w:hideMark/>
          </w:tcPr>
          <w:p w14:paraId="5D205D99"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Insufficient staff readiness</w:t>
            </w:r>
          </w:p>
        </w:tc>
        <w:tc>
          <w:tcPr>
            <w:tcW w:w="0" w:type="auto"/>
            <w:vAlign w:val="center"/>
            <w:hideMark/>
          </w:tcPr>
          <w:p w14:paraId="3DB3970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12</w:t>
            </w:r>
          </w:p>
        </w:tc>
        <w:tc>
          <w:tcPr>
            <w:tcW w:w="0" w:type="auto"/>
            <w:vAlign w:val="center"/>
            <w:hideMark/>
          </w:tcPr>
          <w:p w14:paraId="2DB5458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Involve staff, appoint champions and conduct competence testing; extend supervised operation.</w:t>
            </w:r>
          </w:p>
        </w:tc>
        <w:tc>
          <w:tcPr>
            <w:tcW w:w="0" w:type="auto"/>
            <w:vAlign w:val="center"/>
            <w:hideMark/>
          </w:tcPr>
          <w:p w14:paraId="1E39140D"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Change lead</w:t>
            </w:r>
          </w:p>
        </w:tc>
      </w:tr>
      <w:tr w:rsidR="00FE40F0" w:rsidRPr="008D78F8" w14:paraId="674EB68E" w14:textId="77777777" w:rsidTr="00FE40F0">
        <w:trPr>
          <w:tblCellSpacing w:w="15" w:type="dxa"/>
        </w:trPr>
        <w:tc>
          <w:tcPr>
            <w:tcW w:w="0" w:type="auto"/>
            <w:vAlign w:val="center"/>
            <w:hideMark/>
          </w:tcPr>
          <w:p w14:paraId="69D2B357"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Data-feed interruption</w:t>
            </w:r>
          </w:p>
        </w:tc>
        <w:tc>
          <w:tcPr>
            <w:tcW w:w="0" w:type="auto"/>
            <w:vAlign w:val="center"/>
            <w:hideMark/>
          </w:tcPr>
          <w:p w14:paraId="5336F8C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12</w:t>
            </w:r>
          </w:p>
        </w:tc>
        <w:tc>
          <w:tcPr>
            <w:tcW w:w="0" w:type="auto"/>
            <w:vAlign w:val="center"/>
            <w:hideMark/>
          </w:tcPr>
          <w:p w14:paraId="7EF1F062"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Use service-level agreements, quality checks and redundancy; clearly identify stale data.</w:t>
            </w:r>
          </w:p>
        </w:tc>
        <w:tc>
          <w:tcPr>
            <w:tcW w:w="0" w:type="auto"/>
            <w:vAlign w:val="center"/>
            <w:hideMark/>
          </w:tcPr>
          <w:p w14:paraId="229FCB80"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Data lead</w:t>
            </w:r>
          </w:p>
        </w:tc>
      </w:tr>
      <w:tr w:rsidR="00FE40F0" w:rsidRPr="008D78F8" w14:paraId="1655D982" w14:textId="77777777" w:rsidTr="00FE40F0">
        <w:trPr>
          <w:tblCellSpacing w:w="15" w:type="dxa"/>
        </w:trPr>
        <w:tc>
          <w:tcPr>
            <w:tcW w:w="0" w:type="auto"/>
            <w:vAlign w:val="center"/>
            <w:hideMark/>
          </w:tcPr>
          <w:p w14:paraId="51BE433F"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Benefits are not </w:t>
            </w:r>
            <w:proofErr w:type="spellStart"/>
            <w:r w:rsidRPr="008D78F8">
              <w:rPr>
                <w:rFonts w:ascii="Times New Roman" w:hAnsi="Times New Roman" w:cs="Times New Roman"/>
                <w:sz w:val="24"/>
                <w:szCs w:val="24"/>
              </w:rPr>
              <w:t>realised</w:t>
            </w:r>
            <w:proofErr w:type="spellEnd"/>
          </w:p>
        </w:tc>
        <w:tc>
          <w:tcPr>
            <w:tcW w:w="0" w:type="auto"/>
            <w:vAlign w:val="center"/>
            <w:hideMark/>
          </w:tcPr>
          <w:p w14:paraId="0B26A3AD"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12</w:t>
            </w:r>
          </w:p>
        </w:tc>
        <w:tc>
          <w:tcPr>
            <w:tcW w:w="0" w:type="auto"/>
            <w:vAlign w:val="center"/>
            <w:hideMark/>
          </w:tcPr>
          <w:p w14:paraId="6461EAE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Maintain baselines, benefit owners and monthly reviews; redesign processes or extend the pilot.</w:t>
            </w:r>
          </w:p>
        </w:tc>
        <w:tc>
          <w:tcPr>
            <w:tcW w:w="0" w:type="auto"/>
            <w:vAlign w:val="center"/>
            <w:hideMark/>
          </w:tcPr>
          <w:p w14:paraId="1B7C9B1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SRO</w:t>
            </w:r>
          </w:p>
        </w:tc>
      </w:tr>
    </w:tbl>
    <w:p w14:paraId="76860D24" w14:textId="77777777" w:rsidR="00DA1DD8" w:rsidRPr="008D78F8" w:rsidRDefault="00DA1DD8" w:rsidP="008D78F8">
      <w:pPr>
        <w:spacing w:line="360" w:lineRule="auto"/>
        <w:jc w:val="both"/>
        <w:rPr>
          <w:rFonts w:ascii="Times New Roman" w:hAnsi="Times New Roman" w:cs="Times New Roman"/>
        </w:rPr>
      </w:pPr>
    </w:p>
    <w:p w14:paraId="0FB311C5" w14:textId="77777777" w:rsidR="00DA1DD8" w:rsidRPr="008D78F8" w:rsidRDefault="00DA1DD8" w:rsidP="008D78F8">
      <w:pPr>
        <w:spacing w:line="360" w:lineRule="auto"/>
        <w:jc w:val="both"/>
        <w:rPr>
          <w:rFonts w:ascii="Times New Roman" w:hAnsi="Times New Roman" w:cs="Times New Roman"/>
        </w:rPr>
      </w:pPr>
      <w:r w:rsidRPr="008D78F8">
        <w:rPr>
          <w:rFonts w:ascii="Times New Roman" w:hAnsi="Times New Roman" w:cs="Times New Roman"/>
        </w:rPr>
        <w:t xml:space="preserve">Person tracking is also not used and </w:t>
      </w:r>
      <w:proofErr w:type="spellStart"/>
      <w:r w:rsidRPr="008D78F8">
        <w:rPr>
          <w:rFonts w:ascii="Times New Roman" w:hAnsi="Times New Roman" w:cs="Times New Roman"/>
        </w:rPr>
        <w:t>privacy-minimised</w:t>
      </w:r>
      <w:proofErr w:type="spellEnd"/>
      <w:r w:rsidRPr="008D78F8">
        <w:rPr>
          <w:rFonts w:ascii="Times New Roman" w:hAnsi="Times New Roman" w:cs="Times New Roman"/>
        </w:rPr>
        <w:t xml:space="preserve"> sensing is adopted instead because person identification is unnecessary as the density management would do, but would leave the company vulnerable to legal, ethical and reputational damage. ICO defines DPIA as an identification and </w:t>
      </w:r>
      <w:proofErr w:type="spellStart"/>
      <w:r w:rsidRPr="008D78F8">
        <w:rPr>
          <w:rFonts w:ascii="Times New Roman" w:hAnsi="Times New Roman" w:cs="Times New Roman"/>
        </w:rPr>
        <w:t>minimisation</w:t>
      </w:r>
      <w:proofErr w:type="spellEnd"/>
      <w:r w:rsidRPr="008D78F8">
        <w:rPr>
          <w:rFonts w:ascii="Times New Roman" w:hAnsi="Times New Roman" w:cs="Times New Roman"/>
        </w:rPr>
        <w:t xml:space="preserve"> of data-protection-risks. The cyber controls are based on NCSC Connected Places principles of secure design, supply chains, monitoring, incident management and recovery. Human judgment is still used with predictive tools, which will aid in being responsible and inclusive in the application of transport AI (ICO, n.d.; NCSC, 2021; DfT, 2025). </w:t>
      </w:r>
    </w:p>
    <w:p w14:paraId="63BD776C" w14:textId="77777777" w:rsidR="00DA1DD8" w:rsidRPr="008D78F8" w:rsidRDefault="00DA1DD8" w:rsidP="008D78F8">
      <w:pPr>
        <w:spacing w:line="360" w:lineRule="auto"/>
        <w:jc w:val="both"/>
        <w:rPr>
          <w:rFonts w:ascii="Times New Roman" w:hAnsi="Times New Roman" w:cs="Times New Roman"/>
        </w:rPr>
      </w:pPr>
      <w:r w:rsidRPr="008D78F8">
        <w:rPr>
          <w:rFonts w:ascii="Times New Roman" w:hAnsi="Times New Roman" w:cs="Times New Roman"/>
        </w:rPr>
        <w:lastRenderedPageBreak/>
        <w:t>The risk register is again reviewed after one month, weekly during integration and the pilot, and on the approval of a change or a critical incident. The possibility to reuse the platform in the re-built hub, to publish proper non-personal data, to improve the emergency coordination and to target the future capital investment based on the evidence are such opportunities.</w:t>
      </w:r>
    </w:p>
    <w:p w14:paraId="769B67A9" w14:textId="77777777" w:rsidR="00FE40F0" w:rsidRPr="008D78F8" w:rsidRDefault="00FE40F0" w:rsidP="008D78F8">
      <w:pPr>
        <w:pStyle w:val="Heading2"/>
        <w:spacing w:line="360" w:lineRule="auto"/>
        <w:jc w:val="both"/>
        <w:rPr>
          <w:rFonts w:cs="Times New Roman"/>
        </w:rPr>
      </w:pPr>
      <w:bookmarkStart w:id="27" w:name="_Toc235922326"/>
      <w:bookmarkStart w:id="28" w:name="_Toc235969217"/>
      <w:r w:rsidRPr="008D78F8">
        <w:rPr>
          <w:rFonts w:cs="Times New Roman"/>
        </w:rPr>
        <w:t>10. Conclusion</w:t>
      </w:r>
      <w:bookmarkEnd w:id="27"/>
      <w:bookmarkEnd w:id="28"/>
    </w:p>
    <w:p w14:paraId="42E4C125" w14:textId="77777777" w:rsidR="00DA1DD8" w:rsidRPr="008D78F8" w:rsidRDefault="00DA1DD8"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The project is a reasonable reaction to the temporary disruption as it can provide multimodal benefits in 12 months, and supplement temporary transport solutions and develop reusable potential in the future hub. Structural redevelopment is not substituted with digital </w:t>
      </w:r>
      <w:proofErr w:type="spellStart"/>
      <w:r w:rsidRPr="008D78F8">
        <w:rPr>
          <w:rFonts w:ascii="Times New Roman" w:hAnsi="Times New Roman" w:cs="Times New Roman"/>
          <w:sz w:val="24"/>
          <w:szCs w:val="24"/>
        </w:rPr>
        <w:t>modernisation</w:t>
      </w:r>
      <w:proofErr w:type="spellEnd"/>
      <w:r w:rsidRPr="008D78F8">
        <w:rPr>
          <w:rFonts w:ascii="Times New Roman" w:hAnsi="Times New Roman" w:cs="Times New Roman"/>
          <w:sz w:val="24"/>
          <w:szCs w:val="24"/>
        </w:rPr>
        <w:t>.</w:t>
      </w:r>
    </w:p>
    <w:p w14:paraId="5CD280EE" w14:textId="77777777" w:rsidR="00DA1DD8" w:rsidRPr="008D78F8" w:rsidRDefault="00DA1DD8"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The plan answers the tutor feedback in the form of the explicit SMART objectives, practical project-management tools and critical justification of strategic choices. The WBS, quad chart, Gantt chart, stakeholder matrix, resource plan and risk heat map are not a collection of diagrams that are independent of each other.</w:t>
      </w:r>
    </w:p>
    <w:p w14:paraId="12A91829" w14:textId="77777777" w:rsidR="00DA1DD8" w:rsidRPr="008D78F8" w:rsidRDefault="00DA1DD8"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Delivery success entails the disciplined scope management, open interfaces, co-design accessibility, privacy, and cyber resilience, manual fallback, and responsible ownership of benefits. Through these controls, the 8.5 million pound project will be in a position to improve passenger safety, communication, accessibility and freight coordination in aid of the entire regeneration </w:t>
      </w:r>
      <w:proofErr w:type="spellStart"/>
      <w:r w:rsidRPr="008D78F8">
        <w:rPr>
          <w:rFonts w:ascii="Times New Roman" w:hAnsi="Times New Roman" w:cs="Times New Roman"/>
          <w:sz w:val="24"/>
          <w:szCs w:val="24"/>
        </w:rPr>
        <w:t>programme</w:t>
      </w:r>
      <w:proofErr w:type="spellEnd"/>
      <w:r w:rsidRPr="008D78F8">
        <w:rPr>
          <w:rFonts w:ascii="Times New Roman" w:hAnsi="Times New Roman" w:cs="Times New Roman"/>
          <w:sz w:val="24"/>
          <w:szCs w:val="24"/>
        </w:rPr>
        <w:t xml:space="preserve">. </w:t>
      </w:r>
    </w:p>
    <w:p w14:paraId="7C108D5F" w14:textId="77777777" w:rsidR="00FE40F0" w:rsidRPr="008D78F8" w:rsidRDefault="00DA1DD8"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br w:type="page"/>
      </w:r>
    </w:p>
    <w:p w14:paraId="220C635C" w14:textId="77777777" w:rsidR="00FE40F0" w:rsidRPr="008D78F8" w:rsidRDefault="00FE40F0" w:rsidP="008D78F8">
      <w:pPr>
        <w:pStyle w:val="Heading1"/>
        <w:spacing w:line="360" w:lineRule="auto"/>
        <w:jc w:val="both"/>
        <w:rPr>
          <w:rFonts w:cs="Times New Roman"/>
        </w:rPr>
      </w:pPr>
      <w:bookmarkStart w:id="29" w:name="_Toc235922327"/>
      <w:bookmarkStart w:id="30" w:name="_Toc235969218"/>
      <w:r w:rsidRPr="008D78F8">
        <w:rPr>
          <w:rFonts w:cs="Times New Roman"/>
        </w:rPr>
        <w:lastRenderedPageBreak/>
        <w:t>References</w:t>
      </w:r>
      <w:bookmarkEnd w:id="29"/>
      <w:bookmarkEnd w:id="30"/>
    </w:p>
    <w:p w14:paraId="504C7ED6" w14:textId="77777777" w:rsidR="00FE40F0" w:rsidRPr="008D78F8" w:rsidRDefault="00FE40F0" w:rsidP="008D78F8">
      <w:pPr>
        <w:spacing w:line="360" w:lineRule="auto"/>
        <w:jc w:val="both"/>
        <w:rPr>
          <w:rFonts w:ascii="Times New Roman" w:hAnsi="Times New Roman" w:cs="Times New Roman"/>
          <w:sz w:val="24"/>
          <w:szCs w:val="24"/>
        </w:rPr>
      </w:pPr>
      <w:proofErr w:type="spellStart"/>
      <w:r w:rsidRPr="008D78F8">
        <w:rPr>
          <w:rFonts w:ascii="Times New Roman" w:hAnsi="Times New Roman" w:cs="Times New Roman"/>
          <w:sz w:val="24"/>
          <w:szCs w:val="24"/>
        </w:rPr>
        <w:t>Ahn</w:t>
      </w:r>
      <w:proofErr w:type="spellEnd"/>
      <w:r w:rsidRPr="008D78F8">
        <w:rPr>
          <w:rFonts w:ascii="Times New Roman" w:hAnsi="Times New Roman" w:cs="Times New Roman"/>
          <w:sz w:val="24"/>
          <w:szCs w:val="24"/>
        </w:rPr>
        <w:t xml:space="preserve">, Y., </w:t>
      </w:r>
      <w:proofErr w:type="spellStart"/>
      <w:r w:rsidRPr="008D78F8">
        <w:rPr>
          <w:rFonts w:ascii="Times New Roman" w:hAnsi="Times New Roman" w:cs="Times New Roman"/>
          <w:sz w:val="24"/>
          <w:szCs w:val="24"/>
        </w:rPr>
        <w:t>Kowada</w:t>
      </w:r>
      <w:proofErr w:type="spellEnd"/>
      <w:r w:rsidRPr="008D78F8">
        <w:rPr>
          <w:rFonts w:ascii="Times New Roman" w:hAnsi="Times New Roman" w:cs="Times New Roman"/>
          <w:sz w:val="24"/>
          <w:szCs w:val="24"/>
        </w:rPr>
        <w:t xml:space="preserve">, T. and </w:t>
      </w:r>
      <w:proofErr w:type="spellStart"/>
      <w:r w:rsidRPr="008D78F8">
        <w:rPr>
          <w:rFonts w:ascii="Times New Roman" w:hAnsi="Times New Roman" w:cs="Times New Roman"/>
          <w:sz w:val="24"/>
          <w:szCs w:val="24"/>
        </w:rPr>
        <w:t>Tsukaguchi</w:t>
      </w:r>
      <w:proofErr w:type="spellEnd"/>
      <w:r w:rsidRPr="008D78F8">
        <w:rPr>
          <w:rFonts w:ascii="Times New Roman" w:hAnsi="Times New Roman" w:cs="Times New Roman"/>
          <w:sz w:val="24"/>
          <w:szCs w:val="24"/>
        </w:rPr>
        <w:t xml:space="preserve">, H. (2017) ‘Estimation of passenger flow for planning and management of railway stations’, </w:t>
      </w:r>
      <w:r w:rsidRPr="008D78F8">
        <w:rPr>
          <w:rFonts w:ascii="Times New Roman" w:hAnsi="Times New Roman" w:cs="Times New Roman"/>
          <w:i/>
          <w:iCs/>
          <w:sz w:val="24"/>
          <w:szCs w:val="24"/>
        </w:rPr>
        <w:t xml:space="preserve">Transportation Research </w:t>
      </w:r>
      <w:proofErr w:type="spellStart"/>
      <w:r w:rsidRPr="008D78F8">
        <w:rPr>
          <w:rFonts w:ascii="Times New Roman" w:hAnsi="Times New Roman" w:cs="Times New Roman"/>
          <w:i/>
          <w:iCs/>
          <w:sz w:val="24"/>
          <w:szCs w:val="24"/>
        </w:rPr>
        <w:t>Procedia</w:t>
      </w:r>
      <w:proofErr w:type="spellEnd"/>
      <w:r w:rsidRPr="008D78F8">
        <w:rPr>
          <w:rFonts w:ascii="Times New Roman" w:hAnsi="Times New Roman" w:cs="Times New Roman"/>
          <w:sz w:val="24"/>
          <w:szCs w:val="24"/>
        </w:rPr>
        <w:t xml:space="preserve">, 25, pp. 315–330. Available at: </w:t>
      </w:r>
      <w:hyperlink r:id="rId12" w:tgtFrame="_new" w:history="1">
        <w:r w:rsidRPr="008D78F8">
          <w:rPr>
            <w:rStyle w:val="Hyperlink"/>
            <w:rFonts w:ascii="Times New Roman" w:hAnsi="Times New Roman" w:cs="Times New Roman"/>
            <w:sz w:val="24"/>
            <w:szCs w:val="24"/>
          </w:rPr>
          <w:t>https://doi.org/10.1016/j.trpro.2017.05.408</w:t>
        </w:r>
      </w:hyperlink>
      <w:r w:rsidRPr="008D78F8">
        <w:rPr>
          <w:rFonts w:ascii="Times New Roman" w:hAnsi="Times New Roman" w:cs="Times New Roman"/>
          <w:sz w:val="24"/>
          <w:szCs w:val="24"/>
        </w:rPr>
        <w:t xml:space="preserve"> [Accessed 25 July 2026].</w:t>
      </w:r>
    </w:p>
    <w:p w14:paraId="21AABD59"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Association for Project Management (2019) </w:t>
      </w:r>
      <w:r w:rsidRPr="008D78F8">
        <w:rPr>
          <w:rFonts w:ascii="Times New Roman" w:hAnsi="Times New Roman" w:cs="Times New Roman"/>
          <w:i/>
          <w:iCs/>
          <w:sz w:val="24"/>
          <w:szCs w:val="24"/>
        </w:rPr>
        <w:t>APM Body of Knowledge</w:t>
      </w:r>
      <w:r w:rsidRPr="008D78F8">
        <w:rPr>
          <w:rFonts w:ascii="Times New Roman" w:hAnsi="Times New Roman" w:cs="Times New Roman"/>
          <w:sz w:val="24"/>
          <w:szCs w:val="24"/>
        </w:rPr>
        <w:t xml:space="preserve">. 7th </w:t>
      </w:r>
      <w:proofErr w:type="spellStart"/>
      <w:r w:rsidRPr="008D78F8">
        <w:rPr>
          <w:rFonts w:ascii="Times New Roman" w:hAnsi="Times New Roman" w:cs="Times New Roman"/>
          <w:sz w:val="24"/>
          <w:szCs w:val="24"/>
        </w:rPr>
        <w:t>edn</w:t>
      </w:r>
      <w:proofErr w:type="spellEnd"/>
      <w:r w:rsidRPr="008D78F8">
        <w:rPr>
          <w:rFonts w:ascii="Times New Roman" w:hAnsi="Times New Roman" w:cs="Times New Roman"/>
          <w:sz w:val="24"/>
          <w:szCs w:val="24"/>
        </w:rPr>
        <w:t xml:space="preserve">. Princes </w:t>
      </w:r>
      <w:proofErr w:type="spellStart"/>
      <w:r w:rsidRPr="008D78F8">
        <w:rPr>
          <w:rFonts w:ascii="Times New Roman" w:hAnsi="Times New Roman" w:cs="Times New Roman"/>
          <w:sz w:val="24"/>
          <w:szCs w:val="24"/>
        </w:rPr>
        <w:t>Risborough</w:t>
      </w:r>
      <w:proofErr w:type="spellEnd"/>
      <w:r w:rsidRPr="008D78F8">
        <w:rPr>
          <w:rFonts w:ascii="Times New Roman" w:hAnsi="Times New Roman" w:cs="Times New Roman"/>
          <w:sz w:val="24"/>
          <w:szCs w:val="24"/>
        </w:rPr>
        <w:t xml:space="preserve">: Association for Project Management. Available at: </w:t>
      </w:r>
      <w:hyperlink r:id="rId13" w:tgtFrame="_new" w:history="1">
        <w:r w:rsidRPr="008D78F8">
          <w:rPr>
            <w:rStyle w:val="Hyperlink"/>
            <w:rFonts w:ascii="Times New Roman" w:hAnsi="Times New Roman" w:cs="Times New Roman"/>
            <w:sz w:val="24"/>
            <w:szCs w:val="24"/>
          </w:rPr>
          <w:t>https://www.apm.org.uk/book-shop/apm-body-of-knowledge-7th-edition-member-download-only/</w:t>
        </w:r>
      </w:hyperlink>
      <w:r w:rsidRPr="008D78F8">
        <w:rPr>
          <w:rFonts w:ascii="Times New Roman" w:hAnsi="Times New Roman" w:cs="Times New Roman"/>
          <w:sz w:val="24"/>
          <w:szCs w:val="24"/>
        </w:rPr>
        <w:t xml:space="preserve"> [Accessed 25 July 2026].</w:t>
      </w:r>
    </w:p>
    <w:p w14:paraId="2E2EBE7F" w14:textId="77777777" w:rsidR="00FE40F0" w:rsidRPr="008D78F8" w:rsidRDefault="00FE40F0" w:rsidP="008D78F8">
      <w:pPr>
        <w:spacing w:line="360" w:lineRule="auto"/>
        <w:jc w:val="both"/>
        <w:rPr>
          <w:rFonts w:ascii="Times New Roman" w:hAnsi="Times New Roman" w:cs="Times New Roman"/>
          <w:sz w:val="24"/>
          <w:szCs w:val="24"/>
        </w:rPr>
      </w:pPr>
      <w:proofErr w:type="spellStart"/>
      <w:r w:rsidRPr="008D78F8">
        <w:rPr>
          <w:rFonts w:ascii="Times New Roman" w:hAnsi="Times New Roman" w:cs="Times New Roman"/>
          <w:sz w:val="24"/>
          <w:szCs w:val="24"/>
        </w:rPr>
        <w:t>Breese</w:t>
      </w:r>
      <w:proofErr w:type="spellEnd"/>
      <w:r w:rsidRPr="008D78F8">
        <w:rPr>
          <w:rFonts w:ascii="Times New Roman" w:hAnsi="Times New Roman" w:cs="Times New Roman"/>
          <w:sz w:val="24"/>
          <w:szCs w:val="24"/>
        </w:rPr>
        <w:t xml:space="preserve">, R., Jenner, S., Serra, C.E.M. and Thorp, J. (2015) ‘Benefits management: Lost or found in translation’, </w:t>
      </w:r>
      <w:r w:rsidRPr="008D78F8">
        <w:rPr>
          <w:rFonts w:ascii="Times New Roman" w:hAnsi="Times New Roman" w:cs="Times New Roman"/>
          <w:i/>
          <w:iCs/>
          <w:sz w:val="24"/>
          <w:szCs w:val="24"/>
        </w:rPr>
        <w:t>International Journal of Project Management</w:t>
      </w:r>
      <w:r w:rsidRPr="008D78F8">
        <w:rPr>
          <w:rFonts w:ascii="Times New Roman" w:hAnsi="Times New Roman" w:cs="Times New Roman"/>
          <w:sz w:val="24"/>
          <w:szCs w:val="24"/>
        </w:rPr>
        <w:t>, 33(7), pp. 1438–1451. Available at: https://doi.org/10.1016/j.ijproman.2015.06.004 [Accessed 25 July 2026].</w:t>
      </w:r>
    </w:p>
    <w:p w14:paraId="524EECB2"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Bryson, J.M. (2004) ‘What to do when stakeholders matter: Stakeholder identification and analysis techniques’, </w:t>
      </w:r>
      <w:r w:rsidRPr="008D78F8">
        <w:rPr>
          <w:rFonts w:ascii="Times New Roman" w:hAnsi="Times New Roman" w:cs="Times New Roman"/>
          <w:i/>
          <w:iCs/>
          <w:sz w:val="24"/>
          <w:szCs w:val="24"/>
        </w:rPr>
        <w:t>Public Management Review</w:t>
      </w:r>
      <w:r w:rsidRPr="008D78F8">
        <w:rPr>
          <w:rFonts w:ascii="Times New Roman" w:hAnsi="Times New Roman" w:cs="Times New Roman"/>
          <w:sz w:val="24"/>
          <w:szCs w:val="24"/>
        </w:rPr>
        <w:t xml:space="preserve">, 6(1), pp. 21–53. Available at: </w:t>
      </w:r>
      <w:hyperlink r:id="rId14" w:tgtFrame="_new" w:history="1">
        <w:r w:rsidRPr="008D78F8">
          <w:rPr>
            <w:rStyle w:val="Hyperlink"/>
            <w:rFonts w:ascii="Times New Roman" w:hAnsi="Times New Roman" w:cs="Times New Roman"/>
            <w:sz w:val="24"/>
            <w:szCs w:val="24"/>
          </w:rPr>
          <w:t>https://doi.org/10.1080/14719030410001675722</w:t>
        </w:r>
      </w:hyperlink>
      <w:r w:rsidRPr="008D78F8">
        <w:rPr>
          <w:rFonts w:ascii="Times New Roman" w:hAnsi="Times New Roman" w:cs="Times New Roman"/>
          <w:sz w:val="24"/>
          <w:szCs w:val="24"/>
        </w:rPr>
        <w:t xml:space="preserve"> [Accessed 25 July 2026].</w:t>
      </w:r>
    </w:p>
    <w:p w14:paraId="38DB4B58"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Department for Transport (2021) </w:t>
      </w:r>
      <w:r w:rsidRPr="008D78F8">
        <w:rPr>
          <w:rFonts w:ascii="Times New Roman" w:hAnsi="Times New Roman" w:cs="Times New Roman"/>
          <w:i/>
          <w:iCs/>
          <w:sz w:val="24"/>
          <w:szCs w:val="24"/>
        </w:rPr>
        <w:t>Inclusive Mobility: A Guide to Best Practice on Access to Pedestrian and Transport Infrastructure</w:t>
      </w:r>
      <w:r w:rsidRPr="008D78F8">
        <w:rPr>
          <w:rFonts w:ascii="Times New Roman" w:hAnsi="Times New Roman" w:cs="Times New Roman"/>
          <w:sz w:val="24"/>
          <w:szCs w:val="24"/>
        </w:rPr>
        <w:t xml:space="preserve">. Available at: </w:t>
      </w:r>
      <w:hyperlink r:id="rId15" w:tgtFrame="_new" w:history="1">
        <w:r w:rsidRPr="008D78F8">
          <w:rPr>
            <w:rStyle w:val="Hyperlink"/>
            <w:rFonts w:ascii="Times New Roman" w:hAnsi="Times New Roman" w:cs="Times New Roman"/>
            <w:sz w:val="24"/>
            <w:szCs w:val="24"/>
          </w:rPr>
          <w:t>https://www.gov.uk/government/publications/inclusive-mobility-making-transport-accessible-for-passengers-and-pedestrians</w:t>
        </w:r>
      </w:hyperlink>
      <w:r w:rsidRPr="008D78F8">
        <w:rPr>
          <w:rFonts w:ascii="Times New Roman" w:hAnsi="Times New Roman" w:cs="Times New Roman"/>
          <w:sz w:val="24"/>
          <w:szCs w:val="24"/>
        </w:rPr>
        <w:t xml:space="preserve"> [Accessed 25 July 2026].</w:t>
      </w:r>
    </w:p>
    <w:p w14:paraId="4FE65146"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Department for Transport (2023) </w:t>
      </w:r>
      <w:r w:rsidRPr="008D78F8">
        <w:rPr>
          <w:rFonts w:ascii="Times New Roman" w:hAnsi="Times New Roman" w:cs="Times New Roman"/>
          <w:i/>
          <w:iCs/>
          <w:sz w:val="24"/>
          <w:szCs w:val="24"/>
        </w:rPr>
        <w:t>Transport Data Strategy: Innovation Through Data</w:t>
      </w:r>
      <w:r w:rsidRPr="008D78F8">
        <w:rPr>
          <w:rFonts w:ascii="Times New Roman" w:hAnsi="Times New Roman" w:cs="Times New Roman"/>
          <w:sz w:val="24"/>
          <w:szCs w:val="24"/>
        </w:rPr>
        <w:t xml:space="preserve">. Available at: </w:t>
      </w:r>
      <w:hyperlink r:id="rId16" w:tgtFrame="_new" w:history="1">
        <w:r w:rsidRPr="008D78F8">
          <w:rPr>
            <w:rStyle w:val="Hyperlink"/>
            <w:rFonts w:ascii="Times New Roman" w:hAnsi="Times New Roman" w:cs="Times New Roman"/>
            <w:sz w:val="24"/>
            <w:szCs w:val="24"/>
          </w:rPr>
          <w:t>https://www.gov.uk/government/publications/transport-data-strategy-innovation-through-data</w:t>
        </w:r>
      </w:hyperlink>
      <w:r w:rsidRPr="008D78F8">
        <w:rPr>
          <w:rFonts w:ascii="Times New Roman" w:hAnsi="Times New Roman" w:cs="Times New Roman"/>
          <w:sz w:val="24"/>
          <w:szCs w:val="24"/>
        </w:rPr>
        <w:t xml:space="preserve"> [Accessed 25 July 2026].</w:t>
      </w:r>
    </w:p>
    <w:p w14:paraId="51C8D042"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Department for Transport (2025) </w:t>
      </w:r>
      <w:r w:rsidRPr="008D78F8">
        <w:rPr>
          <w:rFonts w:ascii="Times New Roman" w:hAnsi="Times New Roman" w:cs="Times New Roman"/>
          <w:i/>
          <w:iCs/>
          <w:sz w:val="24"/>
          <w:szCs w:val="24"/>
        </w:rPr>
        <w:t>Transport Artificial Intelligence Action Plan</w:t>
      </w:r>
      <w:r w:rsidRPr="008D78F8">
        <w:rPr>
          <w:rFonts w:ascii="Times New Roman" w:hAnsi="Times New Roman" w:cs="Times New Roman"/>
          <w:sz w:val="24"/>
          <w:szCs w:val="24"/>
        </w:rPr>
        <w:t xml:space="preserve">. Available at: </w:t>
      </w:r>
      <w:hyperlink r:id="rId17" w:tgtFrame="_new" w:history="1">
        <w:r w:rsidRPr="008D78F8">
          <w:rPr>
            <w:rStyle w:val="Hyperlink"/>
            <w:rFonts w:ascii="Times New Roman" w:hAnsi="Times New Roman" w:cs="Times New Roman"/>
            <w:sz w:val="24"/>
            <w:szCs w:val="24"/>
          </w:rPr>
          <w:t>https://www.gov.uk/government/publications/transport-artificial-intelligence-action-plan</w:t>
        </w:r>
      </w:hyperlink>
      <w:r w:rsidRPr="008D78F8">
        <w:rPr>
          <w:rFonts w:ascii="Times New Roman" w:hAnsi="Times New Roman" w:cs="Times New Roman"/>
          <w:sz w:val="24"/>
          <w:szCs w:val="24"/>
        </w:rPr>
        <w:t xml:space="preserve"> [Accessed 25 July 2026].</w:t>
      </w:r>
    </w:p>
    <w:p w14:paraId="1FEA480C" w14:textId="77777777" w:rsidR="00FE40F0" w:rsidRPr="008D78F8" w:rsidRDefault="00FE40F0" w:rsidP="008D78F8">
      <w:pPr>
        <w:spacing w:line="360" w:lineRule="auto"/>
        <w:jc w:val="both"/>
        <w:rPr>
          <w:rFonts w:ascii="Times New Roman" w:hAnsi="Times New Roman" w:cs="Times New Roman"/>
          <w:sz w:val="24"/>
          <w:szCs w:val="24"/>
        </w:rPr>
      </w:pPr>
      <w:proofErr w:type="spellStart"/>
      <w:r w:rsidRPr="008D78F8">
        <w:rPr>
          <w:rFonts w:ascii="Times New Roman" w:hAnsi="Times New Roman" w:cs="Times New Roman"/>
          <w:sz w:val="24"/>
          <w:szCs w:val="24"/>
        </w:rPr>
        <w:t>Flyvbjerg</w:t>
      </w:r>
      <w:proofErr w:type="spellEnd"/>
      <w:r w:rsidRPr="008D78F8">
        <w:rPr>
          <w:rFonts w:ascii="Times New Roman" w:hAnsi="Times New Roman" w:cs="Times New Roman"/>
          <w:sz w:val="24"/>
          <w:szCs w:val="24"/>
        </w:rPr>
        <w:t xml:space="preserve">, B. (2014) ‘What you should know about </w:t>
      </w:r>
      <w:proofErr w:type="spellStart"/>
      <w:r w:rsidRPr="008D78F8">
        <w:rPr>
          <w:rFonts w:ascii="Times New Roman" w:hAnsi="Times New Roman" w:cs="Times New Roman"/>
          <w:sz w:val="24"/>
          <w:szCs w:val="24"/>
        </w:rPr>
        <w:t>megaprojects</w:t>
      </w:r>
      <w:proofErr w:type="spellEnd"/>
      <w:r w:rsidRPr="008D78F8">
        <w:rPr>
          <w:rFonts w:ascii="Times New Roman" w:hAnsi="Times New Roman" w:cs="Times New Roman"/>
          <w:sz w:val="24"/>
          <w:szCs w:val="24"/>
        </w:rPr>
        <w:t xml:space="preserve"> and why: An overview’, </w:t>
      </w:r>
      <w:r w:rsidRPr="008D78F8">
        <w:rPr>
          <w:rFonts w:ascii="Times New Roman" w:hAnsi="Times New Roman" w:cs="Times New Roman"/>
          <w:i/>
          <w:iCs/>
          <w:sz w:val="24"/>
          <w:szCs w:val="24"/>
        </w:rPr>
        <w:t>Project Management Journal</w:t>
      </w:r>
      <w:r w:rsidRPr="008D78F8">
        <w:rPr>
          <w:rFonts w:ascii="Times New Roman" w:hAnsi="Times New Roman" w:cs="Times New Roman"/>
          <w:sz w:val="24"/>
          <w:szCs w:val="24"/>
        </w:rPr>
        <w:t xml:space="preserve">, 45(2), pp. 6–19. Available at: </w:t>
      </w:r>
      <w:hyperlink r:id="rId18" w:tgtFrame="_new" w:history="1">
        <w:r w:rsidRPr="008D78F8">
          <w:rPr>
            <w:rStyle w:val="Hyperlink"/>
            <w:rFonts w:ascii="Times New Roman" w:hAnsi="Times New Roman" w:cs="Times New Roman"/>
            <w:sz w:val="24"/>
            <w:szCs w:val="24"/>
          </w:rPr>
          <w:t>https://doi.org/10.1002/pmj.21409</w:t>
        </w:r>
      </w:hyperlink>
      <w:r w:rsidRPr="008D78F8">
        <w:rPr>
          <w:rFonts w:ascii="Times New Roman" w:hAnsi="Times New Roman" w:cs="Times New Roman"/>
          <w:sz w:val="24"/>
          <w:szCs w:val="24"/>
        </w:rPr>
        <w:t xml:space="preserve"> [Accessed 25 July 2026].</w:t>
      </w:r>
    </w:p>
    <w:p w14:paraId="79DAC68D" w14:textId="77777777" w:rsidR="00FE40F0" w:rsidRPr="008D78F8" w:rsidRDefault="00FE40F0" w:rsidP="008D78F8">
      <w:pPr>
        <w:spacing w:line="360" w:lineRule="auto"/>
        <w:jc w:val="both"/>
        <w:rPr>
          <w:rFonts w:ascii="Times New Roman" w:hAnsi="Times New Roman" w:cs="Times New Roman"/>
          <w:sz w:val="24"/>
          <w:szCs w:val="24"/>
        </w:rPr>
      </w:pPr>
      <w:proofErr w:type="spellStart"/>
      <w:r w:rsidRPr="008D78F8">
        <w:rPr>
          <w:rFonts w:ascii="Times New Roman" w:hAnsi="Times New Roman" w:cs="Times New Roman"/>
          <w:sz w:val="24"/>
          <w:szCs w:val="24"/>
        </w:rPr>
        <w:lastRenderedPageBreak/>
        <w:t>Hillson</w:t>
      </w:r>
      <w:proofErr w:type="spellEnd"/>
      <w:r w:rsidRPr="008D78F8">
        <w:rPr>
          <w:rFonts w:ascii="Times New Roman" w:hAnsi="Times New Roman" w:cs="Times New Roman"/>
          <w:sz w:val="24"/>
          <w:szCs w:val="24"/>
        </w:rPr>
        <w:t xml:space="preserve">, D. (2002) ‘Extending the risk process to manage opportunities’, </w:t>
      </w:r>
      <w:r w:rsidRPr="008D78F8">
        <w:rPr>
          <w:rFonts w:ascii="Times New Roman" w:hAnsi="Times New Roman" w:cs="Times New Roman"/>
          <w:i/>
          <w:iCs/>
          <w:sz w:val="24"/>
          <w:szCs w:val="24"/>
        </w:rPr>
        <w:t>International Journal of Project Management</w:t>
      </w:r>
      <w:r w:rsidRPr="008D78F8">
        <w:rPr>
          <w:rFonts w:ascii="Times New Roman" w:hAnsi="Times New Roman" w:cs="Times New Roman"/>
          <w:sz w:val="24"/>
          <w:szCs w:val="24"/>
        </w:rPr>
        <w:t>, 20(3), pp. 235–240. Available at: https://doi.org/10.1016/S0263-7863(01)00074-6 [Accessed 25 July 2026].</w:t>
      </w:r>
    </w:p>
    <w:p w14:paraId="59001964"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HM Treasury (2026) </w:t>
      </w:r>
      <w:r w:rsidRPr="008D78F8">
        <w:rPr>
          <w:rFonts w:ascii="Times New Roman" w:hAnsi="Times New Roman" w:cs="Times New Roman"/>
          <w:i/>
          <w:iCs/>
          <w:sz w:val="24"/>
          <w:szCs w:val="24"/>
        </w:rPr>
        <w:t>The Green Book: Central Government Guidance on Appraisal and Evaluation</w:t>
      </w:r>
      <w:r w:rsidRPr="008D78F8">
        <w:rPr>
          <w:rFonts w:ascii="Times New Roman" w:hAnsi="Times New Roman" w:cs="Times New Roman"/>
          <w:sz w:val="24"/>
          <w:szCs w:val="24"/>
        </w:rPr>
        <w:t xml:space="preserve">. Available at: </w:t>
      </w:r>
      <w:hyperlink r:id="rId19" w:tgtFrame="_new" w:history="1">
        <w:r w:rsidRPr="008D78F8">
          <w:rPr>
            <w:rStyle w:val="Hyperlink"/>
            <w:rFonts w:ascii="Times New Roman" w:hAnsi="Times New Roman" w:cs="Times New Roman"/>
            <w:sz w:val="24"/>
            <w:szCs w:val="24"/>
          </w:rPr>
          <w:t>https://www.gov.uk/government/publications/the-green-book-appraisal-and-evaluation-in-central-government</w:t>
        </w:r>
      </w:hyperlink>
      <w:r w:rsidRPr="008D78F8">
        <w:rPr>
          <w:rFonts w:ascii="Times New Roman" w:hAnsi="Times New Roman" w:cs="Times New Roman"/>
          <w:sz w:val="24"/>
          <w:szCs w:val="24"/>
        </w:rPr>
        <w:t xml:space="preserve"> [Accessed 25 July 2026].</w:t>
      </w:r>
    </w:p>
    <w:p w14:paraId="73DAE91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Information Commissioner’s Office (n.d.) </w:t>
      </w:r>
      <w:r w:rsidRPr="008D78F8">
        <w:rPr>
          <w:rFonts w:ascii="Times New Roman" w:hAnsi="Times New Roman" w:cs="Times New Roman"/>
          <w:i/>
          <w:iCs/>
          <w:sz w:val="24"/>
          <w:szCs w:val="24"/>
        </w:rPr>
        <w:t>Data Protection Impact Assessments</w:t>
      </w:r>
      <w:r w:rsidRPr="008D78F8">
        <w:rPr>
          <w:rFonts w:ascii="Times New Roman" w:hAnsi="Times New Roman" w:cs="Times New Roman"/>
          <w:sz w:val="24"/>
          <w:szCs w:val="24"/>
        </w:rPr>
        <w:t xml:space="preserve">. Available at: </w:t>
      </w:r>
      <w:hyperlink r:id="rId20" w:tgtFrame="_new" w:history="1">
        <w:r w:rsidRPr="008D78F8">
          <w:rPr>
            <w:rStyle w:val="Hyperlink"/>
            <w:rFonts w:ascii="Times New Roman" w:hAnsi="Times New Roman" w:cs="Times New Roman"/>
            <w:sz w:val="24"/>
            <w:szCs w:val="24"/>
          </w:rPr>
          <w:t>https://ico.org.uk/for-organisations/uk-gdpr-guidance-and-resources/accountability-and-governance/data-protection-impact-assessments-dpias/</w:t>
        </w:r>
      </w:hyperlink>
      <w:r w:rsidRPr="008D78F8">
        <w:rPr>
          <w:rFonts w:ascii="Times New Roman" w:hAnsi="Times New Roman" w:cs="Times New Roman"/>
          <w:sz w:val="24"/>
          <w:szCs w:val="24"/>
        </w:rPr>
        <w:t xml:space="preserve"> [Accessed 25 July 2026].</w:t>
      </w:r>
    </w:p>
    <w:p w14:paraId="302C25EA"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International Organization for Standardization (2018) </w:t>
      </w:r>
      <w:r w:rsidRPr="008D78F8">
        <w:rPr>
          <w:rFonts w:ascii="Times New Roman" w:hAnsi="Times New Roman" w:cs="Times New Roman"/>
          <w:i/>
          <w:iCs/>
          <w:sz w:val="24"/>
          <w:szCs w:val="24"/>
        </w:rPr>
        <w:t>ISO 31000:2018 Risk Management—Guidelines</w:t>
      </w:r>
      <w:r w:rsidRPr="008D78F8">
        <w:rPr>
          <w:rFonts w:ascii="Times New Roman" w:hAnsi="Times New Roman" w:cs="Times New Roman"/>
          <w:sz w:val="24"/>
          <w:szCs w:val="24"/>
        </w:rPr>
        <w:t xml:space="preserve">. Available at: </w:t>
      </w:r>
      <w:hyperlink r:id="rId21" w:tgtFrame="_new" w:history="1">
        <w:r w:rsidRPr="008D78F8">
          <w:rPr>
            <w:rStyle w:val="Hyperlink"/>
            <w:rFonts w:ascii="Times New Roman" w:hAnsi="Times New Roman" w:cs="Times New Roman"/>
            <w:sz w:val="24"/>
            <w:szCs w:val="24"/>
          </w:rPr>
          <w:t>https://www.iso.org/standard/65694.html</w:t>
        </w:r>
      </w:hyperlink>
      <w:r w:rsidRPr="008D78F8">
        <w:rPr>
          <w:rFonts w:ascii="Times New Roman" w:hAnsi="Times New Roman" w:cs="Times New Roman"/>
          <w:sz w:val="24"/>
          <w:szCs w:val="24"/>
        </w:rPr>
        <w:t xml:space="preserve"> [Accessed 25 July 2026].</w:t>
      </w:r>
    </w:p>
    <w:p w14:paraId="28B75BB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International Organization for Standardization (2020) </w:t>
      </w:r>
      <w:r w:rsidRPr="008D78F8">
        <w:rPr>
          <w:rFonts w:ascii="Times New Roman" w:hAnsi="Times New Roman" w:cs="Times New Roman"/>
          <w:i/>
          <w:iCs/>
          <w:sz w:val="24"/>
          <w:szCs w:val="24"/>
        </w:rPr>
        <w:t xml:space="preserve">ISO 21502:2020 Project, </w:t>
      </w:r>
      <w:proofErr w:type="spellStart"/>
      <w:r w:rsidRPr="008D78F8">
        <w:rPr>
          <w:rFonts w:ascii="Times New Roman" w:hAnsi="Times New Roman" w:cs="Times New Roman"/>
          <w:i/>
          <w:iCs/>
          <w:sz w:val="24"/>
          <w:szCs w:val="24"/>
        </w:rPr>
        <w:t>Programme</w:t>
      </w:r>
      <w:proofErr w:type="spellEnd"/>
      <w:r w:rsidRPr="008D78F8">
        <w:rPr>
          <w:rFonts w:ascii="Times New Roman" w:hAnsi="Times New Roman" w:cs="Times New Roman"/>
          <w:i/>
          <w:iCs/>
          <w:sz w:val="24"/>
          <w:szCs w:val="24"/>
        </w:rPr>
        <w:t xml:space="preserve"> and Portfolio Management—Guidance on Project Management</w:t>
      </w:r>
      <w:r w:rsidRPr="008D78F8">
        <w:rPr>
          <w:rFonts w:ascii="Times New Roman" w:hAnsi="Times New Roman" w:cs="Times New Roman"/>
          <w:sz w:val="24"/>
          <w:szCs w:val="24"/>
        </w:rPr>
        <w:t xml:space="preserve">. Available at: </w:t>
      </w:r>
      <w:hyperlink r:id="rId22" w:tgtFrame="_new" w:history="1">
        <w:r w:rsidRPr="008D78F8">
          <w:rPr>
            <w:rStyle w:val="Hyperlink"/>
            <w:rFonts w:ascii="Times New Roman" w:hAnsi="Times New Roman" w:cs="Times New Roman"/>
            <w:sz w:val="24"/>
            <w:szCs w:val="24"/>
          </w:rPr>
          <w:t>https://www.iso.org/standard/74947.html</w:t>
        </w:r>
      </w:hyperlink>
      <w:r w:rsidRPr="008D78F8">
        <w:rPr>
          <w:rFonts w:ascii="Times New Roman" w:hAnsi="Times New Roman" w:cs="Times New Roman"/>
          <w:sz w:val="24"/>
          <w:szCs w:val="24"/>
        </w:rPr>
        <w:t xml:space="preserve"> [Accessed 25 July 2026].</w:t>
      </w:r>
    </w:p>
    <w:p w14:paraId="1D45A5C4" w14:textId="77777777" w:rsidR="00FE40F0" w:rsidRPr="008D78F8" w:rsidRDefault="00FE40F0" w:rsidP="008D78F8">
      <w:pPr>
        <w:spacing w:line="360" w:lineRule="auto"/>
        <w:jc w:val="both"/>
        <w:rPr>
          <w:rFonts w:ascii="Times New Roman" w:hAnsi="Times New Roman" w:cs="Times New Roman"/>
          <w:sz w:val="24"/>
          <w:szCs w:val="24"/>
        </w:rPr>
      </w:pPr>
      <w:proofErr w:type="spellStart"/>
      <w:r w:rsidRPr="008D78F8">
        <w:rPr>
          <w:rFonts w:ascii="Times New Roman" w:hAnsi="Times New Roman" w:cs="Times New Roman"/>
          <w:sz w:val="24"/>
          <w:szCs w:val="24"/>
        </w:rPr>
        <w:t>Kitchin</w:t>
      </w:r>
      <w:proofErr w:type="spellEnd"/>
      <w:r w:rsidRPr="008D78F8">
        <w:rPr>
          <w:rFonts w:ascii="Times New Roman" w:hAnsi="Times New Roman" w:cs="Times New Roman"/>
          <w:sz w:val="24"/>
          <w:szCs w:val="24"/>
        </w:rPr>
        <w:t xml:space="preserve">, R. (2014) ‘The real-time city? Big data and smart urbanism’, </w:t>
      </w:r>
      <w:r w:rsidRPr="008D78F8">
        <w:rPr>
          <w:rFonts w:ascii="Times New Roman" w:hAnsi="Times New Roman" w:cs="Times New Roman"/>
          <w:i/>
          <w:iCs/>
          <w:sz w:val="24"/>
          <w:szCs w:val="24"/>
        </w:rPr>
        <w:t>GeoJournal</w:t>
      </w:r>
      <w:r w:rsidRPr="008D78F8">
        <w:rPr>
          <w:rFonts w:ascii="Times New Roman" w:hAnsi="Times New Roman" w:cs="Times New Roman"/>
          <w:sz w:val="24"/>
          <w:szCs w:val="24"/>
        </w:rPr>
        <w:t>, 79(1), pp. 1–14. Available at: https://doi.org/10.1007/s10708-013-9516-8 [Accessed 25 July 2026].</w:t>
      </w:r>
    </w:p>
    <w:p w14:paraId="13F50B79" w14:textId="77777777" w:rsidR="00FE40F0" w:rsidRPr="008D78F8" w:rsidRDefault="00FE40F0" w:rsidP="008D78F8">
      <w:pPr>
        <w:spacing w:line="360" w:lineRule="auto"/>
        <w:jc w:val="both"/>
        <w:rPr>
          <w:rFonts w:ascii="Times New Roman" w:hAnsi="Times New Roman" w:cs="Times New Roman"/>
          <w:sz w:val="24"/>
          <w:szCs w:val="24"/>
        </w:rPr>
      </w:pPr>
      <w:proofErr w:type="spellStart"/>
      <w:r w:rsidRPr="008D78F8">
        <w:rPr>
          <w:rFonts w:ascii="Times New Roman" w:hAnsi="Times New Roman" w:cs="Times New Roman"/>
          <w:sz w:val="24"/>
          <w:szCs w:val="24"/>
        </w:rPr>
        <w:t>Luangboriboon</w:t>
      </w:r>
      <w:proofErr w:type="spellEnd"/>
      <w:r w:rsidRPr="008D78F8">
        <w:rPr>
          <w:rFonts w:ascii="Times New Roman" w:hAnsi="Times New Roman" w:cs="Times New Roman"/>
          <w:sz w:val="24"/>
          <w:szCs w:val="24"/>
        </w:rPr>
        <w:t xml:space="preserve">, N., </w:t>
      </w:r>
      <w:proofErr w:type="spellStart"/>
      <w:r w:rsidRPr="008D78F8">
        <w:rPr>
          <w:rFonts w:ascii="Times New Roman" w:hAnsi="Times New Roman" w:cs="Times New Roman"/>
          <w:sz w:val="24"/>
          <w:szCs w:val="24"/>
        </w:rPr>
        <w:t>Samà</w:t>
      </w:r>
      <w:proofErr w:type="spellEnd"/>
      <w:r w:rsidRPr="008D78F8">
        <w:rPr>
          <w:rFonts w:ascii="Times New Roman" w:hAnsi="Times New Roman" w:cs="Times New Roman"/>
          <w:sz w:val="24"/>
          <w:szCs w:val="24"/>
        </w:rPr>
        <w:t xml:space="preserve">, M., </w:t>
      </w:r>
      <w:proofErr w:type="spellStart"/>
      <w:r w:rsidRPr="008D78F8">
        <w:rPr>
          <w:rFonts w:ascii="Times New Roman" w:hAnsi="Times New Roman" w:cs="Times New Roman"/>
          <w:sz w:val="24"/>
          <w:szCs w:val="24"/>
        </w:rPr>
        <w:t>D’Ariano</w:t>
      </w:r>
      <w:proofErr w:type="spellEnd"/>
      <w:r w:rsidRPr="008D78F8">
        <w:rPr>
          <w:rFonts w:ascii="Times New Roman" w:hAnsi="Times New Roman" w:cs="Times New Roman"/>
          <w:sz w:val="24"/>
          <w:szCs w:val="24"/>
        </w:rPr>
        <w:t xml:space="preserve">, A. and Fujiyama, T. (2025) ‘Assessment of passenger management strategies within major railway terminals’, </w:t>
      </w:r>
      <w:r w:rsidRPr="008D78F8">
        <w:rPr>
          <w:rFonts w:ascii="Times New Roman" w:hAnsi="Times New Roman" w:cs="Times New Roman"/>
          <w:i/>
          <w:iCs/>
          <w:sz w:val="24"/>
          <w:szCs w:val="24"/>
        </w:rPr>
        <w:t>Journal of Rail Transport Planning &amp; Management</w:t>
      </w:r>
      <w:r w:rsidRPr="008D78F8">
        <w:rPr>
          <w:rFonts w:ascii="Times New Roman" w:hAnsi="Times New Roman" w:cs="Times New Roman"/>
          <w:sz w:val="24"/>
          <w:szCs w:val="24"/>
        </w:rPr>
        <w:t>, 36, article 100540. Available at: https://doi.org/10.1016/j.jrtpm.2025.100540 [Accessed 25 July 2026].</w:t>
      </w:r>
    </w:p>
    <w:p w14:paraId="3AC5EE6F"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Mir, F.A. and </w:t>
      </w:r>
      <w:proofErr w:type="spellStart"/>
      <w:r w:rsidRPr="008D78F8">
        <w:rPr>
          <w:rFonts w:ascii="Times New Roman" w:hAnsi="Times New Roman" w:cs="Times New Roman"/>
          <w:sz w:val="24"/>
          <w:szCs w:val="24"/>
        </w:rPr>
        <w:t>Pinnington</w:t>
      </w:r>
      <w:proofErr w:type="spellEnd"/>
      <w:r w:rsidRPr="008D78F8">
        <w:rPr>
          <w:rFonts w:ascii="Times New Roman" w:hAnsi="Times New Roman" w:cs="Times New Roman"/>
          <w:sz w:val="24"/>
          <w:szCs w:val="24"/>
        </w:rPr>
        <w:t xml:space="preserve">, A.H. (2014) ‘Exploring the value of project management: Linking project management performance and project success’, </w:t>
      </w:r>
      <w:r w:rsidRPr="008D78F8">
        <w:rPr>
          <w:rFonts w:ascii="Times New Roman" w:hAnsi="Times New Roman" w:cs="Times New Roman"/>
          <w:i/>
          <w:iCs/>
          <w:sz w:val="24"/>
          <w:szCs w:val="24"/>
        </w:rPr>
        <w:t>International Journal of Project Management</w:t>
      </w:r>
      <w:r w:rsidRPr="008D78F8">
        <w:rPr>
          <w:rFonts w:ascii="Times New Roman" w:hAnsi="Times New Roman" w:cs="Times New Roman"/>
          <w:sz w:val="24"/>
          <w:szCs w:val="24"/>
        </w:rPr>
        <w:t>, 32(2), pp. 202–217. Available at: https://doi.org/10.1016/j.ijproman.2013.05.012 [Accessed 25 July 2026].</w:t>
      </w:r>
    </w:p>
    <w:p w14:paraId="5658EB1E"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Mitchell, R.K., </w:t>
      </w:r>
      <w:proofErr w:type="spellStart"/>
      <w:r w:rsidRPr="008D78F8">
        <w:rPr>
          <w:rFonts w:ascii="Times New Roman" w:hAnsi="Times New Roman" w:cs="Times New Roman"/>
          <w:sz w:val="24"/>
          <w:szCs w:val="24"/>
        </w:rPr>
        <w:t>Agle</w:t>
      </w:r>
      <w:proofErr w:type="spellEnd"/>
      <w:r w:rsidRPr="008D78F8">
        <w:rPr>
          <w:rFonts w:ascii="Times New Roman" w:hAnsi="Times New Roman" w:cs="Times New Roman"/>
          <w:sz w:val="24"/>
          <w:szCs w:val="24"/>
        </w:rPr>
        <w:t xml:space="preserve">, B.R. and Wood, D.J. (1997) ‘Toward a theory of stakeholder identification and salience: Defining the principle of who and what really counts’, </w:t>
      </w:r>
      <w:r w:rsidRPr="008D78F8">
        <w:rPr>
          <w:rFonts w:ascii="Times New Roman" w:hAnsi="Times New Roman" w:cs="Times New Roman"/>
          <w:i/>
          <w:iCs/>
          <w:sz w:val="24"/>
          <w:szCs w:val="24"/>
        </w:rPr>
        <w:t>Academy of Management Review</w:t>
      </w:r>
      <w:r w:rsidRPr="008D78F8">
        <w:rPr>
          <w:rFonts w:ascii="Times New Roman" w:hAnsi="Times New Roman" w:cs="Times New Roman"/>
          <w:sz w:val="24"/>
          <w:szCs w:val="24"/>
        </w:rPr>
        <w:t>, 22(4), pp. 853–886. Available at: https://doi.org/10.5465/amr.1997.9711022105 [Accessed 25 July 2026].</w:t>
      </w:r>
    </w:p>
    <w:p w14:paraId="2C40D316"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lastRenderedPageBreak/>
        <w:t xml:space="preserve">National Cyber Security Centre (2021) </w:t>
      </w:r>
      <w:r w:rsidRPr="008D78F8">
        <w:rPr>
          <w:rFonts w:ascii="Times New Roman" w:hAnsi="Times New Roman" w:cs="Times New Roman"/>
          <w:i/>
          <w:iCs/>
          <w:sz w:val="24"/>
          <w:szCs w:val="24"/>
        </w:rPr>
        <w:t>Connected Places Cyber Security Principles</w:t>
      </w:r>
      <w:r w:rsidRPr="008D78F8">
        <w:rPr>
          <w:rFonts w:ascii="Times New Roman" w:hAnsi="Times New Roman" w:cs="Times New Roman"/>
          <w:sz w:val="24"/>
          <w:szCs w:val="24"/>
        </w:rPr>
        <w:t xml:space="preserve">. Available at: </w:t>
      </w:r>
      <w:hyperlink r:id="rId23" w:tgtFrame="_new" w:history="1">
        <w:r w:rsidRPr="008D78F8">
          <w:rPr>
            <w:rStyle w:val="Hyperlink"/>
            <w:rFonts w:ascii="Times New Roman" w:hAnsi="Times New Roman" w:cs="Times New Roman"/>
            <w:sz w:val="24"/>
            <w:szCs w:val="24"/>
          </w:rPr>
          <w:t>https://www.ncsc.gov.uk/collection/connected-places-security-principles</w:t>
        </w:r>
      </w:hyperlink>
      <w:r w:rsidRPr="008D78F8">
        <w:rPr>
          <w:rFonts w:ascii="Times New Roman" w:hAnsi="Times New Roman" w:cs="Times New Roman"/>
          <w:sz w:val="24"/>
          <w:szCs w:val="24"/>
        </w:rPr>
        <w:t xml:space="preserve"> [Accessed 25 July 2026].</w:t>
      </w:r>
    </w:p>
    <w:p w14:paraId="4DEED021"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Project Management Institute (2021) </w:t>
      </w:r>
      <w:r w:rsidRPr="008D78F8">
        <w:rPr>
          <w:rFonts w:ascii="Times New Roman" w:hAnsi="Times New Roman" w:cs="Times New Roman"/>
          <w:i/>
          <w:iCs/>
          <w:sz w:val="24"/>
          <w:szCs w:val="24"/>
        </w:rPr>
        <w:t>A Guide to the Project Management Body of Knowledge and The Standard for Project Management</w:t>
      </w:r>
      <w:r w:rsidRPr="008D78F8">
        <w:rPr>
          <w:rFonts w:ascii="Times New Roman" w:hAnsi="Times New Roman" w:cs="Times New Roman"/>
          <w:sz w:val="24"/>
          <w:szCs w:val="24"/>
        </w:rPr>
        <w:t xml:space="preserve">. 7th </w:t>
      </w:r>
      <w:proofErr w:type="spellStart"/>
      <w:r w:rsidRPr="008D78F8">
        <w:rPr>
          <w:rFonts w:ascii="Times New Roman" w:hAnsi="Times New Roman" w:cs="Times New Roman"/>
          <w:sz w:val="24"/>
          <w:szCs w:val="24"/>
        </w:rPr>
        <w:t>edn</w:t>
      </w:r>
      <w:proofErr w:type="spellEnd"/>
      <w:r w:rsidRPr="008D78F8">
        <w:rPr>
          <w:rFonts w:ascii="Times New Roman" w:hAnsi="Times New Roman" w:cs="Times New Roman"/>
          <w:sz w:val="24"/>
          <w:szCs w:val="24"/>
        </w:rPr>
        <w:t xml:space="preserve">. Newtown Square, PA: Project Management Institute. Available at: </w:t>
      </w:r>
      <w:hyperlink r:id="rId24" w:tgtFrame="_new" w:history="1">
        <w:r w:rsidRPr="008D78F8">
          <w:rPr>
            <w:rStyle w:val="Hyperlink"/>
            <w:rFonts w:ascii="Times New Roman" w:hAnsi="Times New Roman" w:cs="Times New Roman"/>
            <w:sz w:val="24"/>
            <w:szCs w:val="24"/>
          </w:rPr>
          <w:t>https://www.pmi.org/standards/pmbok</w:t>
        </w:r>
      </w:hyperlink>
      <w:r w:rsidRPr="008D78F8">
        <w:rPr>
          <w:rFonts w:ascii="Times New Roman" w:hAnsi="Times New Roman" w:cs="Times New Roman"/>
          <w:sz w:val="24"/>
          <w:szCs w:val="24"/>
        </w:rPr>
        <w:t xml:space="preserve"> [Accessed 25 July 2026].</w:t>
      </w:r>
    </w:p>
    <w:p w14:paraId="5DB3535C"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Serra, C.E.M. and </w:t>
      </w:r>
      <w:proofErr w:type="spellStart"/>
      <w:r w:rsidRPr="008D78F8">
        <w:rPr>
          <w:rFonts w:ascii="Times New Roman" w:hAnsi="Times New Roman" w:cs="Times New Roman"/>
          <w:sz w:val="24"/>
          <w:szCs w:val="24"/>
        </w:rPr>
        <w:t>Kunc</w:t>
      </w:r>
      <w:proofErr w:type="spellEnd"/>
      <w:r w:rsidRPr="008D78F8">
        <w:rPr>
          <w:rFonts w:ascii="Times New Roman" w:hAnsi="Times New Roman" w:cs="Times New Roman"/>
          <w:sz w:val="24"/>
          <w:szCs w:val="24"/>
        </w:rPr>
        <w:t xml:space="preserve">, M. (2015) ‘Benefits </w:t>
      </w:r>
      <w:proofErr w:type="spellStart"/>
      <w:r w:rsidRPr="008D78F8">
        <w:rPr>
          <w:rFonts w:ascii="Times New Roman" w:hAnsi="Times New Roman" w:cs="Times New Roman"/>
          <w:sz w:val="24"/>
          <w:szCs w:val="24"/>
        </w:rPr>
        <w:t>realisation</w:t>
      </w:r>
      <w:proofErr w:type="spellEnd"/>
      <w:r w:rsidRPr="008D78F8">
        <w:rPr>
          <w:rFonts w:ascii="Times New Roman" w:hAnsi="Times New Roman" w:cs="Times New Roman"/>
          <w:sz w:val="24"/>
          <w:szCs w:val="24"/>
        </w:rPr>
        <w:t xml:space="preserve"> management and its influence on project success and on the execution of business strategies’, </w:t>
      </w:r>
      <w:r w:rsidRPr="008D78F8">
        <w:rPr>
          <w:rFonts w:ascii="Times New Roman" w:hAnsi="Times New Roman" w:cs="Times New Roman"/>
          <w:i/>
          <w:iCs/>
          <w:sz w:val="24"/>
          <w:szCs w:val="24"/>
        </w:rPr>
        <w:t>International Journal of Project Management</w:t>
      </w:r>
      <w:r w:rsidRPr="008D78F8">
        <w:rPr>
          <w:rFonts w:ascii="Times New Roman" w:hAnsi="Times New Roman" w:cs="Times New Roman"/>
          <w:sz w:val="24"/>
          <w:szCs w:val="24"/>
        </w:rPr>
        <w:t xml:space="preserve">, 33(1), pp. 53–66. Available at: </w:t>
      </w:r>
      <w:hyperlink r:id="rId25" w:tgtFrame="_new" w:history="1">
        <w:r w:rsidRPr="008D78F8">
          <w:rPr>
            <w:rStyle w:val="Hyperlink"/>
            <w:rFonts w:ascii="Times New Roman" w:hAnsi="Times New Roman" w:cs="Times New Roman"/>
            <w:sz w:val="24"/>
            <w:szCs w:val="24"/>
          </w:rPr>
          <w:t>https://doi.org/10.1016/j.ijproman.2014.03.011</w:t>
        </w:r>
      </w:hyperlink>
      <w:r w:rsidRPr="008D78F8">
        <w:rPr>
          <w:rFonts w:ascii="Times New Roman" w:hAnsi="Times New Roman" w:cs="Times New Roman"/>
          <w:sz w:val="24"/>
          <w:szCs w:val="24"/>
        </w:rPr>
        <w:t xml:space="preserve"> [Accessed 25 July 2026].</w:t>
      </w:r>
    </w:p>
    <w:p w14:paraId="4391D44D" w14:textId="77777777" w:rsidR="00FE40F0" w:rsidRPr="008D78F8" w:rsidRDefault="00FE40F0" w:rsidP="008D78F8">
      <w:pPr>
        <w:spacing w:line="360" w:lineRule="auto"/>
        <w:jc w:val="both"/>
        <w:rPr>
          <w:rFonts w:ascii="Times New Roman" w:hAnsi="Times New Roman" w:cs="Times New Roman"/>
          <w:sz w:val="24"/>
          <w:szCs w:val="24"/>
        </w:rPr>
      </w:pPr>
      <w:proofErr w:type="spellStart"/>
      <w:r w:rsidRPr="008D78F8">
        <w:rPr>
          <w:rFonts w:ascii="Times New Roman" w:hAnsi="Times New Roman" w:cs="Times New Roman"/>
          <w:sz w:val="24"/>
          <w:szCs w:val="24"/>
        </w:rPr>
        <w:t>Serrador</w:t>
      </w:r>
      <w:proofErr w:type="spellEnd"/>
      <w:r w:rsidRPr="008D78F8">
        <w:rPr>
          <w:rFonts w:ascii="Times New Roman" w:hAnsi="Times New Roman" w:cs="Times New Roman"/>
          <w:sz w:val="24"/>
          <w:szCs w:val="24"/>
        </w:rPr>
        <w:t xml:space="preserve">, P. and Pinto, J.K. (2015) ‘Does Agile work? A quantitative analysis of agile project success’, </w:t>
      </w:r>
      <w:r w:rsidRPr="008D78F8">
        <w:rPr>
          <w:rFonts w:ascii="Times New Roman" w:hAnsi="Times New Roman" w:cs="Times New Roman"/>
          <w:i/>
          <w:iCs/>
          <w:sz w:val="24"/>
          <w:szCs w:val="24"/>
        </w:rPr>
        <w:t>International Journal of Project Management</w:t>
      </w:r>
      <w:r w:rsidRPr="008D78F8">
        <w:rPr>
          <w:rFonts w:ascii="Times New Roman" w:hAnsi="Times New Roman" w:cs="Times New Roman"/>
          <w:sz w:val="24"/>
          <w:szCs w:val="24"/>
        </w:rPr>
        <w:t xml:space="preserve">, 33(5), pp. 1040–1051. Available at: </w:t>
      </w:r>
      <w:hyperlink r:id="rId26" w:tgtFrame="_new" w:history="1">
        <w:r w:rsidRPr="008D78F8">
          <w:rPr>
            <w:rStyle w:val="Hyperlink"/>
            <w:rFonts w:ascii="Times New Roman" w:hAnsi="Times New Roman" w:cs="Times New Roman"/>
            <w:sz w:val="24"/>
            <w:szCs w:val="24"/>
          </w:rPr>
          <w:t>https://doi.org/10.1016/j.ijproman.2015.01.006</w:t>
        </w:r>
      </w:hyperlink>
      <w:r w:rsidRPr="008D78F8">
        <w:rPr>
          <w:rFonts w:ascii="Times New Roman" w:hAnsi="Times New Roman" w:cs="Times New Roman"/>
          <w:sz w:val="24"/>
          <w:szCs w:val="24"/>
        </w:rPr>
        <w:t xml:space="preserve"> [Accessed 25 July 2026].</w:t>
      </w:r>
    </w:p>
    <w:p w14:paraId="4C8A6CAE"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Transport for London (n.d.) </w:t>
      </w:r>
      <w:r w:rsidRPr="008D78F8">
        <w:rPr>
          <w:rFonts w:ascii="Times New Roman" w:hAnsi="Times New Roman" w:cs="Times New Roman"/>
          <w:i/>
          <w:iCs/>
          <w:sz w:val="24"/>
          <w:szCs w:val="24"/>
        </w:rPr>
        <w:t>Unified API</w:t>
      </w:r>
      <w:r w:rsidRPr="008D78F8">
        <w:rPr>
          <w:rFonts w:ascii="Times New Roman" w:hAnsi="Times New Roman" w:cs="Times New Roman"/>
          <w:sz w:val="24"/>
          <w:szCs w:val="24"/>
        </w:rPr>
        <w:t xml:space="preserve">. Available at: </w:t>
      </w:r>
      <w:hyperlink r:id="rId27" w:tgtFrame="_new" w:history="1">
        <w:r w:rsidRPr="008D78F8">
          <w:rPr>
            <w:rStyle w:val="Hyperlink"/>
            <w:rFonts w:ascii="Times New Roman" w:hAnsi="Times New Roman" w:cs="Times New Roman"/>
            <w:sz w:val="24"/>
            <w:szCs w:val="24"/>
          </w:rPr>
          <w:t>https://tfl.gov.uk/info-for/open-data-users/unified-api</w:t>
        </w:r>
      </w:hyperlink>
      <w:r w:rsidRPr="008D78F8">
        <w:rPr>
          <w:rFonts w:ascii="Times New Roman" w:hAnsi="Times New Roman" w:cs="Times New Roman"/>
          <w:sz w:val="24"/>
          <w:szCs w:val="24"/>
        </w:rPr>
        <w:t xml:space="preserve"> [Accessed 25 July 2026].</w:t>
      </w:r>
    </w:p>
    <w:p w14:paraId="75783FD3"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Too, E.G. and Weaver, P. (2014) ‘The management of project management: A conceptual framework for project governance’, </w:t>
      </w:r>
      <w:r w:rsidRPr="008D78F8">
        <w:rPr>
          <w:rFonts w:ascii="Times New Roman" w:hAnsi="Times New Roman" w:cs="Times New Roman"/>
          <w:i/>
          <w:iCs/>
          <w:sz w:val="24"/>
          <w:szCs w:val="24"/>
        </w:rPr>
        <w:t>International Journal of Project Management</w:t>
      </w:r>
      <w:r w:rsidRPr="008D78F8">
        <w:rPr>
          <w:rFonts w:ascii="Times New Roman" w:hAnsi="Times New Roman" w:cs="Times New Roman"/>
          <w:sz w:val="24"/>
          <w:szCs w:val="24"/>
        </w:rPr>
        <w:t xml:space="preserve">, 32(8), pp. 1382–1394. Available at: </w:t>
      </w:r>
      <w:hyperlink r:id="rId28" w:tgtFrame="_new" w:history="1">
        <w:r w:rsidRPr="008D78F8">
          <w:rPr>
            <w:rStyle w:val="Hyperlink"/>
            <w:rFonts w:ascii="Times New Roman" w:hAnsi="Times New Roman" w:cs="Times New Roman"/>
            <w:sz w:val="24"/>
            <w:szCs w:val="24"/>
          </w:rPr>
          <w:t>https://doi.org/10.1016/j.ijproman.2013.07.006</w:t>
        </w:r>
      </w:hyperlink>
      <w:r w:rsidRPr="008D78F8">
        <w:rPr>
          <w:rFonts w:ascii="Times New Roman" w:hAnsi="Times New Roman" w:cs="Times New Roman"/>
          <w:sz w:val="24"/>
          <w:szCs w:val="24"/>
        </w:rPr>
        <w:t xml:space="preserve"> [Accessed 25 July 2026].</w:t>
      </w:r>
    </w:p>
    <w:p w14:paraId="21358215"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Ward, S. and Chapman, C. (2003) ‘Transforming project risk management into project uncertainty management’, </w:t>
      </w:r>
      <w:r w:rsidRPr="008D78F8">
        <w:rPr>
          <w:rFonts w:ascii="Times New Roman" w:hAnsi="Times New Roman" w:cs="Times New Roman"/>
          <w:i/>
          <w:iCs/>
          <w:sz w:val="24"/>
          <w:szCs w:val="24"/>
        </w:rPr>
        <w:t>International Journal of Project Management</w:t>
      </w:r>
      <w:r w:rsidRPr="008D78F8">
        <w:rPr>
          <w:rFonts w:ascii="Times New Roman" w:hAnsi="Times New Roman" w:cs="Times New Roman"/>
          <w:sz w:val="24"/>
          <w:szCs w:val="24"/>
        </w:rPr>
        <w:t>, 21(2), pp. 97–105. Available at: https://doi.org/10.1016/S0263-7863(01)00080-1 [Accessed 25 July 2026].</w:t>
      </w:r>
    </w:p>
    <w:p w14:paraId="1CCC1FD8" w14:textId="77777777" w:rsidR="00FE40F0" w:rsidRPr="008D78F8" w:rsidRDefault="00FE40F0" w:rsidP="008D78F8">
      <w:pPr>
        <w:spacing w:line="360" w:lineRule="auto"/>
        <w:jc w:val="both"/>
        <w:rPr>
          <w:rFonts w:ascii="Times New Roman" w:hAnsi="Times New Roman" w:cs="Times New Roman"/>
          <w:sz w:val="24"/>
          <w:szCs w:val="24"/>
        </w:rPr>
      </w:pPr>
      <w:r w:rsidRPr="008D78F8">
        <w:rPr>
          <w:rFonts w:ascii="Times New Roman" w:hAnsi="Times New Roman" w:cs="Times New Roman"/>
          <w:sz w:val="24"/>
          <w:szCs w:val="24"/>
        </w:rPr>
        <w:t xml:space="preserve">World Wide Web Consortium (2023) </w:t>
      </w:r>
      <w:r w:rsidRPr="008D78F8">
        <w:rPr>
          <w:rFonts w:ascii="Times New Roman" w:hAnsi="Times New Roman" w:cs="Times New Roman"/>
          <w:i/>
          <w:iCs/>
          <w:sz w:val="24"/>
          <w:szCs w:val="24"/>
        </w:rPr>
        <w:t>Web Content Accessibility Guidelines 2.2</w:t>
      </w:r>
      <w:r w:rsidRPr="008D78F8">
        <w:rPr>
          <w:rFonts w:ascii="Times New Roman" w:hAnsi="Times New Roman" w:cs="Times New Roman"/>
          <w:sz w:val="24"/>
          <w:szCs w:val="24"/>
        </w:rPr>
        <w:t xml:space="preserve">. Available at: </w:t>
      </w:r>
      <w:hyperlink r:id="rId29" w:tgtFrame="_new" w:history="1">
        <w:r w:rsidRPr="008D78F8">
          <w:rPr>
            <w:rStyle w:val="Hyperlink"/>
            <w:rFonts w:ascii="Times New Roman" w:hAnsi="Times New Roman" w:cs="Times New Roman"/>
            <w:sz w:val="24"/>
            <w:szCs w:val="24"/>
          </w:rPr>
          <w:t>https://www.w3.org/TR/WCAG22/</w:t>
        </w:r>
      </w:hyperlink>
      <w:r w:rsidRPr="008D78F8">
        <w:rPr>
          <w:rFonts w:ascii="Times New Roman" w:hAnsi="Times New Roman" w:cs="Times New Roman"/>
          <w:sz w:val="24"/>
          <w:szCs w:val="24"/>
        </w:rPr>
        <w:t xml:space="preserve"> [Accessed 25 July 2026].</w:t>
      </w:r>
    </w:p>
    <w:p w14:paraId="5DEE6E7E" w14:textId="77777777" w:rsidR="009054B5" w:rsidRPr="008D78F8" w:rsidRDefault="009054B5" w:rsidP="008D78F8">
      <w:pPr>
        <w:spacing w:line="360" w:lineRule="auto"/>
        <w:jc w:val="both"/>
        <w:rPr>
          <w:rFonts w:ascii="Times New Roman" w:hAnsi="Times New Roman" w:cs="Times New Roman"/>
          <w:sz w:val="24"/>
          <w:szCs w:val="24"/>
        </w:rPr>
      </w:pPr>
    </w:p>
    <w:sectPr w:rsidR="009054B5" w:rsidRPr="008D78F8" w:rsidSect="008D78F8">
      <w:footerReference w:type="default" r:id="rId3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617B2DE" w14:textId="77777777" w:rsidR="001B464D" w:rsidRDefault="001B464D" w:rsidP="008D78F8">
      <w:pPr>
        <w:spacing w:after="0" w:line="240" w:lineRule="auto"/>
      </w:pPr>
      <w:r>
        <w:separator/>
      </w:r>
    </w:p>
  </w:endnote>
  <w:endnote w:type="continuationSeparator" w:id="0">
    <w:p w14:paraId="5E2FF1E8" w14:textId="77777777" w:rsidR="001B464D" w:rsidRDefault="001B464D" w:rsidP="008D7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57366970"/>
      <w:docPartObj>
        <w:docPartGallery w:val="Page Numbers (Bottom of Page)"/>
        <w:docPartUnique/>
      </w:docPartObj>
    </w:sdtPr>
    <w:sdtEndPr>
      <w:rPr>
        <w:noProof/>
      </w:rPr>
    </w:sdtEndPr>
    <w:sdtContent>
      <w:p w14:paraId="61E31CB2" w14:textId="77777777" w:rsidR="008D78F8" w:rsidRDefault="008D78F8">
        <w:pPr>
          <w:pStyle w:val="Footer"/>
          <w:jc w:val="center"/>
        </w:pPr>
        <w:r>
          <w:fldChar w:fldCharType="begin"/>
        </w:r>
        <w:r>
          <w:instrText xml:space="preserve"> PAGE   \* MERGEFORMAT </w:instrText>
        </w:r>
        <w:r>
          <w:fldChar w:fldCharType="separate"/>
        </w:r>
        <w:r w:rsidR="002112AE">
          <w:rPr>
            <w:noProof/>
          </w:rPr>
          <w:t>3</w:t>
        </w:r>
        <w:r>
          <w:rPr>
            <w:noProof/>
          </w:rPr>
          <w:fldChar w:fldCharType="end"/>
        </w:r>
      </w:p>
    </w:sdtContent>
  </w:sdt>
  <w:p w14:paraId="60D0B4C0" w14:textId="77777777" w:rsidR="008D78F8" w:rsidRDefault="008D7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A1A4B10" w14:textId="77777777" w:rsidR="001B464D" w:rsidRDefault="001B464D" w:rsidP="008D78F8">
      <w:pPr>
        <w:spacing w:after="0" w:line="240" w:lineRule="auto"/>
      </w:pPr>
      <w:r>
        <w:separator/>
      </w:r>
    </w:p>
  </w:footnote>
  <w:footnote w:type="continuationSeparator" w:id="0">
    <w:p w14:paraId="430D1BCF" w14:textId="77777777" w:rsidR="001B464D" w:rsidRDefault="001B464D" w:rsidP="008D78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FE42854"/>
    <w:multiLevelType w:val="multilevel"/>
    <w:tmpl w:val="9CC48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0B56F7"/>
    <w:multiLevelType w:val="multilevel"/>
    <w:tmpl w:val="03E60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5807058">
    <w:abstractNumId w:val="1"/>
  </w:num>
  <w:num w:numId="2" w16cid:durableId="191334483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40F0"/>
    <w:rsid w:val="000439F8"/>
    <w:rsid w:val="001A3131"/>
    <w:rsid w:val="001B464D"/>
    <w:rsid w:val="002112AE"/>
    <w:rsid w:val="003C3FAC"/>
    <w:rsid w:val="00407508"/>
    <w:rsid w:val="00581478"/>
    <w:rsid w:val="00681604"/>
    <w:rsid w:val="00726ED3"/>
    <w:rsid w:val="00873455"/>
    <w:rsid w:val="008D78F8"/>
    <w:rsid w:val="008F3677"/>
    <w:rsid w:val="009054B5"/>
    <w:rsid w:val="009150DB"/>
    <w:rsid w:val="00A212D2"/>
    <w:rsid w:val="00D33F9A"/>
    <w:rsid w:val="00DA1DD8"/>
    <w:rsid w:val="00DF6317"/>
    <w:rsid w:val="00F17A83"/>
    <w:rsid w:val="00F669FF"/>
    <w:rsid w:val="00F95A1C"/>
    <w:rsid w:val="00FC6A8E"/>
    <w:rsid w:val="00FE40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12E16"/>
  <w15:chartTrackingRefBased/>
  <w15:docId w15:val="{71CC731C-116E-4A27-B721-9CF8F8A5D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6317"/>
    <w:pPr>
      <w:keepNext/>
      <w:keepLines/>
      <w:spacing w:before="240" w:after="0" w:line="256" w:lineRule="auto"/>
      <w:outlineLvl w:val="0"/>
    </w:pPr>
    <w:rPr>
      <w:rFonts w:ascii="Times New Roman" w:eastAsiaTheme="majorEastAsia" w:hAnsi="Times New Roman" w:cstheme="majorBidi"/>
      <w:b/>
      <w:sz w:val="36"/>
      <w:szCs w:val="32"/>
    </w:rPr>
  </w:style>
  <w:style w:type="paragraph" w:styleId="Heading2">
    <w:name w:val="heading 2"/>
    <w:basedOn w:val="Normal"/>
    <w:next w:val="Normal"/>
    <w:link w:val="Heading2Char"/>
    <w:uiPriority w:val="9"/>
    <w:unhideWhenUsed/>
    <w:qFormat/>
    <w:rsid w:val="00DF6317"/>
    <w:pPr>
      <w:keepNext/>
      <w:keepLines/>
      <w:spacing w:before="40" w:after="0" w:line="256" w:lineRule="auto"/>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semiHidden/>
    <w:unhideWhenUsed/>
    <w:qFormat/>
    <w:rsid w:val="00407508"/>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317"/>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DF631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407508"/>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FE40F0"/>
    <w:rPr>
      <w:color w:val="0563C1" w:themeColor="hyperlink"/>
      <w:u w:val="single"/>
    </w:rPr>
  </w:style>
  <w:style w:type="paragraph" w:styleId="Header">
    <w:name w:val="header"/>
    <w:basedOn w:val="Normal"/>
    <w:link w:val="HeaderChar"/>
    <w:uiPriority w:val="99"/>
    <w:unhideWhenUsed/>
    <w:rsid w:val="008D78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78F8"/>
  </w:style>
  <w:style w:type="paragraph" w:styleId="Footer">
    <w:name w:val="footer"/>
    <w:basedOn w:val="Normal"/>
    <w:link w:val="FooterChar"/>
    <w:uiPriority w:val="99"/>
    <w:unhideWhenUsed/>
    <w:rsid w:val="008D78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78F8"/>
  </w:style>
  <w:style w:type="paragraph" w:styleId="TOCHeading">
    <w:name w:val="TOC Heading"/>
    <w:basedOn w:val="Heading1"/>
    <w:next w:val="Normal"/>
    <w:uiPriority w:val="39"/>
    <w:unhideWhenUsed/>
    <w:qFormat/>
    <w:rsid w:val="008D78F8"/>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D78F8"/>
    <w:pPr>
      <w:spacing w:after="100"/>
    </w:pPr>
  </w:style>
  <w:style w:type="paragraph" w:styleId="TOC2">
    <w:name w:val="toc 2"/>
    <w:basedOn w:val="Normal"/>
    <w:next w:val="Normal"/>
    <w:autoRedefine/>
    <w:uiPriority w:val="39"/>
    <w:unhideWhenUsed/>
    <w:rsid w:val="008D78F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0053666">
      <w:bodyDiv w:val="1"/>
      <w:marLeft w:val="0"/>
      <w:marRight w:val="0"/>
      <w:marTop w:val="0"/>
      <w:marBottom w:val="0"/>
      <w:divBdr>
        <w:top w:val="none" w:sz="0" w:space="0" w:color="auto"/>
        <w:left w:val="none" w:sz="0" w:space="0" w:color="auto"/>
        <w:bottom w:val="none" w:sz="0" w:space="0" w:color="auto"/>
        <w:right w:val="none" w:sz="0" w:space="0" w:color="auto"/>
      </w:divBdr>
      <w:divsChild>
        <w:div w:id="396126913">
          <w:marLeft w:val="0"/>
          <w:marRight w:val="0"/>
          <w:marTop w:val="0"/>
          <w:marBottom w:val="0"/>
          <w:divBdr>
            <w:top w:val="none" w:sz="0" w:space="0" w:color="auto"/>
            <w:left w:val="none" w:sz="0" w:space="0" w:color="auto"/>
            <w:bottom w:val="none" w:sz="0" w:space="0" w:color="auto"/>
            <w:right w:val="none" w:sz="0" w:space="0" w:color="auto"/>
          </w:divBdr>
          <w:divsChild>
            <w:div w:id="788813590">
              <w:marLeft w:val="0"/>
              <w:marRight w:val="0"/>
              <w:marTop w:val="0"/>
              <w:marBottom w:val="0"/>
              <w:divBdr>
                <w:top w:val="none" w:sz="0" w:space="0" w:color="auto"/>
                <w:left w:val="none" w:sz="0" w:space="0" w:color="auto"/>
                <w:bottom w:val="none" w:sz="0" w:space="0" w:color="auto"/>
                <w:right w:val="none" w:sz="0" w:space="0" w:color="auto"/>
              </w:divBdr>
              <w:divsChild>
                <w:div w:id="1714697057">
                  <w:marLeft w:val="0"/>
                  <w:marRight w:val="0"/>
                  <w:marTop w:val="0"/>
                  <w:marBottom w:val="0"/>
                  <w:divBdr>
                    <w:top w:val="none" w:sz="0" w:space="0" w:color="auto"/>
                    <w:left w:val="none" w:sz="0" w:space="0" w:color="auto"/>
                    <w:bottom w:val="none" w:sz="0" w:space="0" w:color="auto"/>
                    <w:right w:val="none" w:sz="0" w:space="0" w:color="auto"/>
                  </w:divBdr>
                  <w:divsChild>
                    <w:div w:id="1999452610">
                      <w:marLeft w:val="0"/>
                      <w:marRight w:val="0"/>
                      <w:marTop w:val="0"/>
                      <w:marBottom w:val="0"/>
                      <w:divBdr>
                        <w:top w:val="none" w:sz="0" w:space="0" w:color="auto"/>
                        <w:left w:val="none" w:sz="0" w:space="0" w:color="auto"/>
                        <w:bottom w:val="none" w:sz="0" w:space="0" w:color="auto"/>
                        <w:right w:val="none" w:sz="0" w:space="0" w:color="auto"/>
                      </w:divBdr>
                      <w:divsChild>
                        <w:div w:id="1216350682">
                          <w:marLeft w:val="0"/>
                          <w:marRight w:val="0"/>
                          <w:marTop w:val="0"/>
                          <w:marBottom w:val="0"/>
                          <w:divBdr>
                            <w:top w:val="none" w:sz="0" w:space="0" w:color="auto"/>
                            <w:left w:val="none" w:sz="0" w:space="0" w:color="auto"/>
                            <w:bottom w:val="none" w:sz="0" w:space="0" w:color="auto"/>
                            <w:right w:val="none" w:sz="0" w:space="0" w:color="auto"/>
                          </w:divBdr>
                          <w:divsChild>
                            <w:div w:id="813569728">
                              <w:marLeft w:val="0"/>
                              <w:marRight w:val="0"/>
                              <w:marTop w:val="0"/>
                              <w:marBottom w:val="0"/>
                              <w:divBdr>
                                <w:top w:val="none" w:sz="0" w:space="0" w:color="auto"/>
                                <w:left w:val="none" w:sz="0" w:space="0" w:color="auto"/>
                                <w:bottom w:val="none" w:sz="0" w:space="0" w:color="auto"/>
                                <w:right w:val="none" w:sz="0" w:space="0" w:color="auto"/>
                              </w:divBdr>
                              <w:divsChild>
                                <w:div w:id="46226269">
                                  <w:marLeft w:val="0"/>
                                  <w:marRight w:val="0"/>
                                  <w:marTop w:val="0"/>
                                  <w:marBottom w:val="0"/>
                                  <w:divBdr>
                                    <w:top w:val="none" w:sz="0" w:space="0" w:color="auto"/>
                                    <w:left w:val="none" w:sz="0" w:space="0" w:color="auto"/>
                                    <w:bottom w:val="none" w:sz="0" w:space="0" w:color="auto"/>
                                    <w:right w:val="none" w:sz="0" w:space="0" w:color="auto"/>
                                  </w:divBdr>
                                  <w:divsChild>
                                    <w:div w:id="1529830690">
                                      <w:marLeft w:val="0"/>
                                      <w:marRight w:val="0"/>
                                      <w:marTop w:val="0"/>
                                      <w:marBottom w:val="0"/>
                                      <w:divBdr>
                                        <w:top w:val="none" w:sz="0" w:space="0" w:color="auto"/>
                                        <w:left w:val="none" w:sz="0" w:space="0" w:color="auto"/>
                                        <w:bottom w:val="none" w:sz="0" w:space="0" w:color="auto"/>
                                        <w:right w:val="none" w:sz="0" w:space="0" w:color="auto"/>
                                      </w:divBdr>
                                      <w:divsChild>
                                        <w:div w:id="1282759766">
                                          <w:marLeft w:val="0"/>
                                          <w:marRight w:val="0"/>
                                          <w:marTop w:val="0"/>
                                          <w:marBottom w:val="0"/>
                                          <w:divBdr>
                                            <w:top w:val="none" w:sz="0" w:space="0" w:color="auto"/>
                                            <w:left w:val="none" w:sz="0" w:space="0" w:color="auto"/>
                                            <w:bottom w:val="none" w:sz="0" w:space="0" w:color="auto"/>
                                            <w:right w:val="none" w:sz="0" w:space="0" w:color="auto"/>
                                          </w:divBdr>
                                          <w:divsChild>
                                            <w:div w:id="403770054">
                                              <w:marLeft w:val="0"/>
                                              <w:marRight w:val="0"/>
                                              <w:marTop w:val="0"/>
                                              <w:marBottom w:val="0"/>
                                              <w:divBdr>
                                                <w:top w:val="none" w:sz="0" w:space="0" w:color="auto"/>
                                                <w:left w:val="none" w:sz="0" w:space="0" w:color="auto"/>
                                                <w:bottom w:val="none" w:sz="0" w:space="0" w:color="auto"/>
                                                <w:right w:val="none" w:sz="0" w:space="0" w:color="auto"/>
                                              </w:divBdr>
                                            </w:div>
                                          </w:divsChild>
                                        </w:div>
                                        <w:div w:id="670137386">
                                          <w:marLeft w:val="0"/>
                                          <w:marRight w:val="0"/>
                                          <w:marTop w:val="0"/>
                                          <w:marBottom w:val="0"/>
                                          <w:divBdr>
                                            <w:top w:val="none" w:sz="0" w:space="0" w:color="auto"/>
                                            <w:left w:val="none" w:sz="0" w:space="0" w:color="auto"/>
                                            <w:bottom w:val="none" w:sz="0" w:space="0" w:color="auto"/>
                                            <w:right w:val="none" w:sz="0" w:space="0" w:color="auto"/>
                                          </w:divBdr>
                                          <w:divsChild>
                                            <w:div w:id="374354725">
                                              <w:marLeft w:val="0"/>
                                              <w:marRight w:val="0"/>
                                              <w:marTop w:val="0"/>
                                              <w:marBottom w:val="0"/>
                                              <w:divBdr>
                                                <w:top w:val="none" w:sz="0" w:space="0" w:color="auto"/>
                                                <w:left w:val="none" w:sz="0" w:space="0" w:color="auto"/>
                                                <w:bottom w:val="none" w:sz="0" w:space="0" w:color="auto"/>
                                                <w:right w:val="none" w:sz="0" w:space="0" w:color="auto"/>
                                              </w:divBdr>
                                            </w:div>
                                          </w:divsChild>
                                        </w:div>
                                        <w:div w:id="1081563770">
                                          <w:marLeft w:val="0"/>
                                          <w:marRight w:val="0"/>
                                          <w:marTop w:val="0"/>
                                          <w:marBottom w:val="0"/>
                                          <w:divBdr>
                                            <w:top w:val="none" w:sz="0" w:space="0" w:color="auto"/>
                                            <w:left w:val="none" w:sz="0" w:space="0" w:color="auto"/>
                                            <w:bottom w:val="none" w:sz="0" w:space="0" w:color="auto"/>
                                            <w:right w:val="none" w:sz="0" w:space="0" w:color="auto"/>
                                          </w:divBdr>
                                          <w:divsChild>
                                            <w:div w:id="1437090659">
                                              <w:marLeft w:val="0"/>
                                              <w:marRight w:val="0"/>
                                              <w:marTop w:val="0"/>
                                              <w:marBottom w:val="0"/>
                                              <w:divBdr>
                                                <w:top w:val="none" w:sz="0" w:space="0" w:color="auto"/>
                                                <w:left w:val="none" w:sz="0" w:space="0" w:color="auto"/>
                                                <w:bottom w:val="none" w:sz="0" w:space="0" w:color="auto"/>
                                                <w:right w:val="none" w:sz="0" w:space="0" w:color="auto"/>
                                              </w:divBdr>
                                            </w:div>
                                          </w:divsChild>
                                        </w:div>
                                        <w:div w:id="1280146273">
                                          <w:marLeft w:val="0"/>
                                          <w:marRight w:val="0"/>
                                          <w:marTop w:val="0"/>
                                          <w:marBottom w:val="0"/>
                                          <w:divBdr>
                                            <w:top w:val="none" w:sz="0" w:space="0" w:color="auto"/>
                                            <w:left w:val="none" w:sz="0" w:space="0" w:color="auto"/>
                                            <w:bottom w:val="none" w:sz="0" w:space="0" w:color="auto"/>
                                            <w:right w:val="none" w:sz="0" w:space="0" w:color="auto"/>
                                          </w:divBdr>
                                          <w:divsChild>
                                            <w:div w:id="1244946020">
                                              <w:marLeft w:val="0"/>
                                              <w:marRight w:val="0"/>
                                              <w:marTop w:val="0"/>
                                              <w:marBottom w:val="0"/>
                                              <w:divBdr>
                                                <w:top w:val="none" w:sz="0" w:space="0" w:color="auto"/>
                                                <w:left w:val="none" w:sz="0" w:space="0" w:color="auto"/>
                                                <w:bottom w:val="none" w:sz="0" w:space="0" w:color="auto"/>
                                                <w:right w:val="none" w:sz="0" w:space="0" w:color="auto"/>
                                              </w:divBdr>
                                            </w:div>
                                          </w:divsChild>
                                        </w:div>
                                        <w:div w:id="1755471358">
                                          <w:marLeft w:val="0"/>
                                          <w:marRight w:val="0"/>
                                          <w:marTop w:val="0"/>
                                          <w:marBottom w:val="0"/>
                                          <w:divBdr>
                                            <w:top w:val="none" w:sz="0" w:space="0" w:color="auto"/>
                                            <w:left w:val="none" w:sz="0" w:space="0" w:color="auto"/>
                                            <w:bottom w:val="none" w:sz="0" w:space="0" w:color="auto"/>
                                            <w:right w:val="none" w:sz="0" w:space="0" w:color="auto"/>
                                          </w:divBdr>
                                          <w:divsChild>
                                            <w:div w:id="97726747">
                                              <w:marLeft w:val="0"/>
                                              <w:marRight w:val="0"/>
                                              <w:marTop w:val="0"/>
                                              <w:marBottom w:val="0"/>
                                              <w:divBdr>
                                                <w:top w:val="none" w:sz="0" w:space="0" w:color="auto"/>
                                                <w:left w:val="none" w:sz="0" w:space="0" w:color="auto"/>
                                                <w:bottom w:val="none" w:sz="0" w:space="0" w:color="auto"/>
                                                <w:right w:val="none" w:sz="0" w:space="0" w:color="auto"/>
                                              </w:divBdr>
                                            </w:div>
                                          </w:divsChild>
                                        </w:div>
                                        <w:div w:id="892541098">
                                          <w:marLeft w:val="0"/>
                                          <w:marRight w:val="0"/>
                                          <w:marTop w:val="0"/>
                                          <w:marBottom w:val="0"/>
                                          <w:divBdr>
                                            <w:top w:val="none" w:sz="0" w:space="0" w:color="auto"/>
                                            <w:left w:val="none" w:sz="0" w:space="0" w:color="auto"/>
                                            <w:bottom w:val="none" w:sz="0" w:space="0" w:color="auto"/>
                                            <w:right w:val="none" w:sz="0" w:space="0" w:color="auto"/>
                                          </w:divBdr>
                                          <w:divsChild>
                                            <w:div w:id="278029210">
                                              <w:marLeft w:val="0"/>
                                              <w:marRight w:val="0"/>
                                              <w:marTop w:val="0"/>
                                              <w:marBottom w:val="0"/>
                                              <w:divBdr>
                                                <w:top w:val="none" w:sz="0" w:space="0" w:color="auto"/>
                                                <w:left w:val="none" w:sz="0" w:space="0" w:color="auto"/>
                                                <w:bottom w:val="none" w:sz="0" w:space="0" w:color="auto"/>
                                                <w:right w:val="none" w:sz="0" w:space="0" w:color="auto"/>
                                              </w:divBdr>
                                            </w:div>
                                          </w:divsChild>
                                        </w:div>
                                        <w:div w:id="1775322344">
                                          <w:marLeft w:val="0"/>
                                          <w:marRight w:val="0"/>
                                          <w:marTop w:val="0"/>
                                          <w:marBottom w:val="0"/>
                                          <w:divBdr>
                                            <w:top w:val="none" w:sz="0" w:space="0" w:color="auto"/>
                                            <w:left w:val="none" w:sz="0" w:space="0" w:color="auto"/>
                                            <w:bottom w:val="none" w:sz="0" w:space="0" w:color="auto"/>
                                            <w:right w:val="none" w:sz="0" w:space="0" w:color="auto"/>
                                          </w:divBdr>
                                          <w:divsChild>
                                            <w:div w:id="1306398550">
                                              <w:marLeft w:val="0"/>
                                              <w:marRight w:val="0"/>
                                              <w:marTop w:val="0"/>
                                              <w:marBottom w:val="0"/>
                                              <w:divBdr>
                                                <w:top w:val="none" w:sz="0" w:space="0" w:color="auto"/>
                                                <w:left w:val="none" w:sz="0" w:space="0" w:color="auto"/>
                                                <w:bottom w:val="none" w:sz="0" w:space="0" w:color="auto"/>
                                                <w:right w:val="none" w:sz="0" w:space="0" w:color="auto"/>
                                              </w:divBdr>
                                            </w:div>
                                          </w:divsChild>
                                        </w:div>
                                        <w:div w:id="917251458">
                                          <w:marLeft w:val="0"/>
                                          <w:marRight w:val="0"/>
                                          <w:marTop w:val="0"/>
                                          <w:marBottom w:val="0"/>
                                          <w:divBdr>
                                            <w:top w:val="none" w:sz="0" w:space="0" w:color="auto"/>
                                            <w:left w:val="none" w:sz="0" w:space="0" w:color="auto"/>
                                            <w:bottom w:val="none" w:sz="0" w:space="0" w:color="auto"/>
                                            <w:right w:val="none" w:sz="0" w:space="0" w:color="auto"/>
                                          </w:divBdr>
                                          <w:divsChild>
                                            <w:div w:id="1750345902">
                                              <w:marLeft w:val="0"/>
                                              <w:marRight w:val="0"/>
                                              <w:marTop w:val="0"/>
                                              <w:marBottom w:val="0"/>
                                              <w:divBdr>
                                                <w:top w:val="none" w:sz="0" w:space="0" w:color="auto"/>
                                                <w:left w:val="none" w:sz="0" w:space="0" w:color="auto"/>
                                                <w:bottom w:val="none" w:sz="0" w:space="0" w:color="auto"/>
                                                <w:right w:val="none" w:sz="0" w:space="0" w:color="auto"/>
                                              </w:divBdr>
                                            </w:div>
                                          </w:divsChild>
                                        </w:div>
                                        <w:div w:id="180123292">
                                          <w:marLeft w:val="0"/>
                                          <w:marRight w:val="0"/>
                                          <w:marTop w:val="0"/>
                                          <w:marBottom w:val="0"/>
                                          <w:divBdr>
                                            <w:top w:val="none" w:sz="0" w:space="0" w:color="auto"/>
                                            <w:left w:val="none" w:sz="0" w:space="0" w:color="auto"/>
                                            <w:bottom w:val="none" w:sz="0" w:space="0" w:color="auto"/>
                                            <w:right w:val="none" w:sz="0" w:space="0" w:color="auto"/>
                                          </w:divBdr>
                                          <w:divsChild>
                                            <w:div w:id="8049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37523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m.org.uk/book-shop/apm-body-of-knowledge-7th-edition-member-download-only/?utm_source=chatgpt.com" TargetMode="External"/><Relationship Id="rId18" Type="http://schemas.openxmlformats.org/officeDocument/2006/relationships/hyperlink" Target="https://doi.org/10.1002/pmj.21409" TargetMode="External"/><Relationship Id="rId26" Type="http://schemas.openxmlformats.org/officeDocument/2006/relationships/hyperlink" Target="https://doi.org/10.1016/j.ijproman.2015.01.006" TargetMode="External"/><Relationship Id="rId3" Type="http://schemas.openxmlformats.org/officeDocument/2006/relationships/styles" Target="styles.xml"/><Relationship Id="rId21" Type="http://schemas.openxmlformats.org/officeDocument/2006/relationships/hyperlink" Target="https://www.iso.org/standard/65694.html?utm_source=chatgpt.com" TargetMode="External"/><Relationship Id="rId7" Type="http://schemas.openxmlformats.org/officeDocument/2006/relationships/endnotes" Target="endnotes.xml"/><Relationship Id="rId12" Type="http://schemas.openxmlformats.org/officeDocument/2006/relationships/hyperlink" Target="https://doi.org/10.1016/j.trpro.2017.05.408" TargetMode="External"/><Relationship Id="rId17" Type="http://schemas.openxmlformats.org/officeDocument/2006/relationships/hyperlink" Target="https://www.gov.uk/government/publications/transport-artificial-intelligence-action-plan?utm_source=chatgpt.com" TargetMode="External"/><Relationship Id="rId25" Type="http://schemas.openxmlformats.org/officeDocument/2006/relationships/hyperlink" Target="https://doi.org/10.1016/j.ijproman.2014.03.011" TargetMode="External"/><Relationship Id="rId2" Type="http://schemas.openxmlformats.org/officeDocument/2006/relationships/numbering" Target="numbering.xml"/><Relationship Id="rId16" Type="http://schemas.openxmlformats.org/officeDocument/2006/relationships/hyperlink" Target="https://www.gov.uk/government/publications/transport-data-strategy-innovation-through-data?utm_source=chatgpt.com" TargetMode="External"/><Relationship Id="rId20" Type="http://schemas.openxmlformats.org/officeDocument/2006/relationships/hyperlink" Target="https://ico.org.uk/for-organisations/uk-gdpr-guidance-and-resources/accountability-and-governance/data-protection-impact-assessments-dpias/?utm_source=chatgpt.com" TargetMode="External"/><Relationship Id="rId29" Type="http://schemas.openxmlformats.org/officeDocument/2006/relationships/hyperlink" Target="https://www.w3.org/TR/WCAG22/?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mi.org/standards/pmbok?utm_source=chatgpt.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publications/inclusive-mobility-making-transport-accessible-for-passengers-and-pedestrians?utm_source=chatgpt.com" TargetMode="External"/><Relationship Id="rId23" Type="http://schemas.openxmlformats.org/officeDocument/2006/relationships/hyperlink" Target="https://www.ncsc.gov.uk/collection/connected-places-security-principles?utm_source=chatgpt.com" TargetMode="External"/><Relationship Id="rId28" Type="http://schemas.openxmlformats.org/officeDocument/2006/relationships/hyperlink" Target="https://doi.org/10.1016/j.ijproman.2013.07.006" TargetMode="External"/><Relationship Id="rId10" Type="http://schemas.openxmlformats.org/officeDocument/2006/relationships/image" Target="media/image3.png"/><Relationship Id="rId19" Type="http://schemas.openxmlformats.org/officeDocument/2006/relationships/hyperlink" Target="https://www.gov.uk/government/publications/the-green-book-appraisal-and-evaluation-in-central-government?utm_source=chatgpt.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14719030410001675722" TargetMode="External"/><Relationship Id="rId22" Type="http://schemas.openxmlformats.org/officeDocument/2006/relationships/hyperlink" Target="https://www.iso.org/standard/74947.html?utm_source=chatgpt.com" TargetMode="External"/><Relationship Id="rId27" Type="http://schemas.openxmlformats.org/officeDocument/2006/relationships/hyperlink" Target="https://tfl.gov.uk/info-for/open-data-users/unified-api?utm_source=chatgpt.com"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3C78BD-5A94-4128-8851-A6B261BBDA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21</Pages>
  <Words>4543</Words>
  <Characters>25896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Megija Hauberte (2529722)</cp:lastModifiedBy>
  <cp:revision>3</cp:revision>
  <dcterms:created xsi:type="dcterms:W3CDTF">2026-07-25T10:55:00Z</dcterms:created>
  <dcterms:modified xsi:type="dcterms:W3CDTF">2026-07-26T15:24:00Z</dcterms:modified>
</cp:coreProperties>
</file>