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5A5D" w:rsidRDefault="002A5A5D" w:rsidP="003908D8">
      <w:pPr>
        <w:rPr>
          <w:b/>
        </w:rPr>
      </w:pPr>
      <w:r>
        <w:rPr>
          <w:b/>
        </w:rPr>
        <w:t>David Cunningham 1501145- Assignment 2 AHHI6007</w:t>
      </w:r>
    </w:p>
    <w:p w:rsidR="002A5A5D" w:rsidRDefault="002A5A5D" w:rsidP="003908D8">
      <w:pPr>
        <w:rPr>
          <w:b/>
        </w:rPr>
      </w:pPr>
    </w:p>
    <w:p w:rsidR="003908D8" w:rsidRPr="002A5A5D" w:rsidRDefault="003908D8" w:rsidP="003908D8">
      <w:pPr>
        <w:rPr>
          <w:b/>
        </w:rPr>
      </w:pPr>
      <w:r w:rsidRPr="002A5A5D">
        <w:rPr>
          <w:b/>
        </w:rPr>
        <w:t xml:space="preserve">The life of a conscientious objector in Britain during the First World War was one dominated by institutional abuse and harsh treatment. Is this an accurate portrayal of their experiences or were the authorities more tolerant of those who refused to fight? </w:t>
      </w:r>
    </w:p>
    <w:p w:rsidR="002A5A5D" w:rsidRDefault="002A5A5D" w:rsidP="003908D8"/>
    <w:p w:rsidR="007701C7" w:rsidRDefault="002A5A5D" w:rsidP="002A5A5D">
      <w:pPr>
        <w:spacing w:line="480" w:lineRule="auto"/>
      </w:pPr>
      <w:r>
        <w:t>The discussion of the treatment of British conscientious objectors cannot be had without understanding that the people who refused to perform military service did so for a plethora of reasons and beliefs. The propaganda of the period portrayed conscientious objectors as weak and cowardly, but this was far from the</w:t>
      </w:r>
      <w:r w:rsidR="00487FD0">
        <w:t xml:space="preserve"> truth, with religious and moral principles at the fore of their reasonings for abstention</w:t>
      </w:r>
      <w:r w:rsidR="00487FD0">
        <w:rPr>
          <w:rStyle w:val="FootnoteReference"/>
        </w:rPr>
        <w:footnoteReference w:id="1"/>
      </w:r>
      <w:r>
        <w:t>.</w:t>
      </w:r>
      <w:r w:rsidR="00487FD0">
        <w:t xml:space="preserve"> </w:t>
      </w:r>
      <w:r w:rsidR="00B71A35">
        <w:t>The Military Service Act of 1916, instigated after voluntary service schemes saw limited success, meant that men who had previously been able to avoid</w:t>
      </w:r>
      <w:r w:rsidR="00FA19DC">
        <w:t xml:space="preserve"> signing up could no longer avoid the eye of the authorities</w:t>
      </w:r>
      <w:r w:rsidR="00FA19DC">
        <w:rPr>
          <w:rStyle w:val="FootnoteReference"/>
        </w:rPr>
        <w:footnoteReference w:id="2"/>
      </w:r>
      <w:r w:rsidR="00B71A35">
        <w:t>. This saw</w:t>
      </w:r>
      <w:r w:rsidR="00FA19DC">
        <w:t xml:space="preserve"> the plight of the conscientious objector flung into public viewing</w:t>
      </w:r>
      <w:r w:rsidR="00196213">
        <w:t>, ridicule</w:t>
      </w:r>
      <w:r w:rsidR="00FA19DC">
        <w:t xml:space="preserve"> and debate.</w:t>
      </w:r>
      <w:r w:rsidR="00B71A35">
        <w:t xml:space="preserve"> </w:t>
      </w:r>
      <w:r w:rsidR="00FA19DC">
        <w:t>T</w:t>
      </w:r>
      <w:r w:rsidR="00487FD0">
        <w:t>he objectors</w:t>
      </w:r>
      <w:r w:rsidR="00196213">
        <w:t>, for the purposes of this essay, will</w:t>
      </w:r>
      <w:r w:rsidR="00487FD0">
        <w:t xml:space="preserve"> b</w:t>
      </w:r>
      <w:r w:rsidR="0063435C">
        <w:t>e split into three categories; n</w:t>
      </w:r>
      <w:r w:rsidR="00487FD0">
        <w:t>on-combatants</w:t>
      </w:r>
      <w:r w:rsidR="00B71A35">
        <w:t>,</w:t>
      </w:r>
      <w:r w:rsidR="00487FD0">
        <w:t xml:space="preserve"> who accepted joining the military but only on the agreement </w:t>
      </w:r>
      <w:r w:rsidR="0063435C">
        <w:t>that they would not bear arms, a</w:t>
      </w:r>
      <w:r w:rsidR="00487FD0">
        <w:t>lternativists</w:t>
      </w:r>
      <w:r w:rsidR="00B71A35">
        <w:t>,</w:t>
      </w:r>
      <w:r w:rsidR="00487FD0">
        <w:t xml:space="preserve"> who </w:t>
      </w:r>
      <w:r w:rsidR="00B71A35">
        <w:t>were given work outs</w:t>
      </w:r>
      <w:r w:rsidR="0063435C">
        <w:t>ide the military, and finally, a</w:t>
      </w:r>
      <w:r w:rsidR="00B71A35">
        <w:t>bsolutists, who opposed any work that would aid the war effort</w:t>
      </w:r>
      <w:r w:rsidR="00B71A35">
        <w:rPr>
          <w:rStyle w:val="FootnoteReference"/>
        </w:rPr>
        <w:footnoteReference w:id="3"/>
      </w:r>
      <w:r w:rsidR="00B71A35">
        <w:t>. The treatment that these groups received was very much affected by just how opposed to war, and involvement in the war effort, that they were.</w:t>
      </w:r>
      <w:r w:rsidR="00196213">
        <w:t xml:space="preserve"> Areas to be discussed include the use of tribunals to determine whether exemption from military service was warranted, experiences of conscientious objectors with court martial and imprisonment, and the introduction of work centres in Britain. It will ultimately be argued that the </w:t>
      </w:r>
      <w:r w:rsidR="004D0A51">
        <w:t xml:space="preserve">experiences of conscientious objectors were without doubt not pleasant and the majority of these men did experience public ridicule, or harsh treatment. However, attempts were </w:t>
      </w:r>
      <w:r w:rsidR="004D0A51">
        <w:lastRenderedPageBreak/>
        <w:t>made by the authorities to make the lives of obj</w:t>
      </w:r>
      <w:r w:rsidR="00A322E7">
        <w:t xml:space="preserve">ectors more tolerable and make clear </w:t>
      </w:r>
      <w:r w:rsidR="004D0A51">
        <w:t xml:space="preserve">that to brand the authorities as </w:t>
      </w:r>
      <w:r w:rsidR="00A322E7">
        <w:t xml:space="preserve">a </w:t>
      </w:r>
      <w:r w:rsidR="004D0A51">
        <w:t>wholly unsympathetic</w:t>
      </w:r>
      <w:r w:rsidR="00A322E7">
        <w:t xml:space="preserve"> entity</w:t>
      </w:r>
      <w:r w:rsidR="004D0A51">
        <w:t xml:space="preserve"> would be </w:t>
      </w:r>
      <w:r w:rsidR="007701C7">
        <w:t>a short-sighted conclusion</w:t>
      </w:r>
      <w:r w:rsidR="004D0A51">
        <w:t xml:space="preserve">.  </w:t>
      </w:r>
    </w:p>
    <w:p w:rsidR="007701C7" w:rsidRDefault="007701C7" w:rsidP="002A5A5D">
      <w:pPr>
        <w:spacing w:line="480" w:lineRule="auto"/>
      </w:pPr>
    </w:p>
    <w:p w:rsidR="00874E32" w:rsidRDefault="005F7224" w:rsidP="002A5A5D">
      <w:pPr>
        <w:spacing w:line="480" w:lineRule="auto"/>
      </w:pPr>
      <w:r>
        <w:t xml:space="preserve">The introduction of </w:t>
      </w:r>
      <w:r w:rsidR="00D5623E">
        <w:t>conscription in 1916 thrust those members of British society who wished not to participate into the foreground as they had to appeal against their enlistment into the nation’s armed forces. This decision ultimately lay with local tribunals set up to oversee whether someone’s convictions were ‘conscience or cowardice’ and ascertain whether there was proof to their reasonings</w:t>
      </w:r>
      <w:r w:rsidR="00D5623E">
        <w:rPr>
          <w:rStyle w:val="FootnoteReference"/>
        </w:rPr>
        <w:footnoteReference w:id="4"/>
      </w:r>
      <w:r w:rsidR="00D5623E">
        <w:t>.</w:t>
      </w:r>
      <w:r w:rsidR="009A7713">
        <w:t xml:space="preserve"> In the first six </w:t>
      </w:r>
      <w:r w:rsidR="008979E2">
        <w:t>months of the introduction of the tribunal system some 750,000 cases for exemption were heard, although only a small proportion of this, some estimated 16,000 cases were legitimately accepted as conscientious objectors and given alternative wartime work</w:t>
      </w:r>
      <w:r w:rsidR="008979E2">
        <w:rPr>
          <w:rStyle w:val="FootnoteReference"/>
        </w:rPr>
        <w:footnoteReference w:id="5"/>
      </w:r>
      <w:r w:rsidR="008979E2">
        <w:t xml:space="preserve">. </w:t>
      </w:r>
      <w:r w:rsidR="00010680">
        <w:t>Several glaring issues with the tribunal system can be seen, most notably there was a lack of a government sanctioned definition for conscientious objection</w:t>
      </w:r>
      <w:r w:rsidR="00010680">
        <w:rPr>
          <w:rStyle w:val="FootnoteReference"/>
        </w:rPr>
        <w:footnoteReference w:id="6"/>
      </w:r>
      <w:r w:rsidR="00010680">
        <w:t>. This meant that the myriad of locally staffed tribunals were dealing their judgements based entirely off their own personal opinions of the legitimacy of objection claims because they had no definition to look towards</w:t>
      </w:r>
      <w:r w:rsidR="0058061B">
        <w:rPr>
          <w:rStyle w:val="FootnoteReference"/>
        </w:rPr>
        <w:footnoteReference w:id="7"/>
      </w:r>
      <w:r w:rsidR="00010680">
        <w:t xml:space="preserve">. The tribunals were also staffed primarily with </w:t>
      </w:r>
      <w:r w:rsidR="0011634B">
        <w:t xml:space="preserve">conformist </w:t>
      </w:r>
      <w:r w:rsidR="00690C5A">
        <w:t>middle-class</w:t>
      </w:r>
      <w:r w:rsidR="009A7713">
        <w:t xml:space="preserve"> individuals with clear anti-objection sentiments who used the tribunals to express their own personal views on the matter</w:t>
      </w:r>
      <w:r w:rsidR="009A7713">
        <w:rPr>
          <w:rStyle w:val="FootnoteReference"/>
        </w:rPr>
        <w:footnoteReference w:id="8"/>
      </w:r>
      <w:r w:rsidR="009A7713">
        <w:t xml:space="preserve">. This created a very unfair system with many objectors having lost their plea before they’d even begun the process. An anonymous interviewee of the Imperial War Museum explained that upon the asking of his age, to which he replied as eighteen, the tribunal chairman concluded that he was not old </w:t>
      </w:r>
      <w:r w:rsidR="00280DA5">
        <w:t xml:space="preserve">enough to have a </w:t>
      </w:r>
      <w:r w:rsidR="00280DA5">
        <w:lastRenderedPageBreak/>
        <w:t xml:space="preserve">conscience so </w:t>
      </w:r>
      <w:r w:rsidR="009A7713">
        <w:t>dismissed his case</w:t>
      </w:r>
      <w:r w:rsidR="00280DA5">
        <w:t xml:space="preserve"> and ordered him to prison</w:t>
      </w:r>
      <w:r w:rsidR="009A7713">
        <w:rPr>
          <w:rStyle w:val="FootnoteReference"/>
        </w:rPr>
        <w:footnoteReference w:id="9"/>
      </w:r>
      <w:r w:rsidR="009A7713">
        <w:t xml:space="preserve">. </w:t>
      </w:r>
      <w:r w:rsidR="00690C5A">
        <w:t xml:space="preserve">Another case which shows the injustice of </w:t>
      </w:r>
      <w:r w:rsidR="00280DA5">
        <w:t xml:space="preserve">the tribunal system is that </w:t>
      </w:r>
      <w:r w:rsidR="00690C5A">
        <w:t>of Stephen Hobhouse, a Quaker. In 1916, Hobhouse was granted exemption at a tribunal but only on the condition that he enrolled in the Friends Ambulance Unit. Hobhouse, a clear absolutist, refused to accept these terms and was later arrested for failing to report to his assigned barracks. This ultimately led to his court marshal and a sentence to hard labour imprisonment</w:t>
      </w:r>
      <w:r w:rsidR="00690C5A">
        <w:rPr>
          <w:rStyle w:val="FootnoteReference"/>
        </w:rPr>
        <w:footnoteReference w:id="10"/>
      </w:r>
      <w:r w:rsidR="00690C5A">
        <w:t xml:space="preserve">. </w:t>
      </w:r>
      <w:r w:rsidR="00883BCF">
        <w:t>The short-sightedness of such a decision can be seen as Hobhouse, who had previously held a solid position in the civil service, had renounced his wealth to embark on a ‘life of poverty and social work in London’s East End’</w:t>
      </w:r>
      <w:r w:rsidR="00874E32">
        <w:rPr>
          <w:rStyle w:val="FootnoteReference"/>
        </w:rPr>
        <w:footnoteReference w:id="11"/>
      </w:r>
      <w:r w:rsidR="00883BCF">
        <w:rPr>
          <w:rStyle w:val="FootnoteReference"/>
        </w:rPr>
        <w:footnoteReference w:id="12"/>
      </w:r>
      <w:r w:rsidR="00883BCF">
        <w:t>. This clearly shows that he was not shirking his duties to avoid war</w:t>
      </w:r>
      <w:r w:rsidR="006B27AC">
        <w:t>time work, nor that his religious convictions were a falsehood</w:t>
      </w:r>
      <w:r w:rsidR="006B27AC">
        <w:rPr>
          <w:rStyle w:val="FootnoteReference"/>
        </w:rPr>
        <w:footnoteReference w:id="13"/>
      </w:r>
      <w:r w:rsidR="006B27AC">
        <w:t>.</w:t>
      </w:r>
      <w:r w:rsidR="00280DA5">
        <w:t xml:space="preserve"> Despite cases of unjust rulings and apparent cruelty towards conscientious objectors, it is argued by Rae that the statistics show that the tribunal system did not generally act to deprive objectors of their rights under British law. He states that the tribunals granted some form of exemption for over eighty percent of those who went before them for judgement, and that this figure alone is not consistent with the widely accepted view that the vast majority of local tribunals were places of ‘prejudice and intolerance’ against the conscientious objectors</w:t>
      </w:r>
      <w:r w:rsidR="00280DA5">
        <w:rPr>
          <w:rStyle w:val="FootnoteReference"/>
        </w:rPr>
        <w:footnoteReference w:id="14"/>
      </w:r>
      <w:r w:rsidR="00280DA5">
        <w:t xml:space="preserve">. </w:t>
      </w:r>
      <w:r w:rsidR="00874E32">
        <w:t xml:space="preserve">It cannot be overlooked that the tribunal system would have been an unfair system for the objectors. Decisions made by these tribunals ultimately saw some conscientious objectors up for court marshal and imprisonment. However, the statistics presented by Rae show that a large proportion of these objectors were given alternative work to complete for the duration of the war. The injustice of the tribunal system is more attributed to the </w:t>
      </w:r>
      <w:r w:rsidR="00874E32">
        <w:lastRenderedPageBreak/>
        <w:t xml:space="preserve">type of objector you were and how willing you were to support the war effort through alternative work. </w:t>
      </w:r>
    </w:p>
    <w:p w:rsidR="00874E32" w:rsidRDefault="00874E32" w:rsidP="002A5A5D">
      <w:pPr>
        <w:spacing w:line="480" w:lineRule="auto"/>
      </w:pPr>
    </w:p>
    <w:p w:rsidR="0077020D" w:rsidRDefault="00874E32" w:rsidP="002A5A5D">
      <w:pPr>
        <w:spacing w:line="480" w:lineRule="auto"/>
      </w:pPr>
      <w:r>
        <w:t>For the conscientious objectors who were willing to accept other wartime work other than soldiery, their experience of the war was far more pleasant than that of their absolutist comrades</w:t>
      </w:r>
      <w:r w:rsidR="001523C8">
        <w:rPr>
          <w:rStyle w:val="FootnoteReference"/>
        </w:rPr>
        <w:footnoteReference w:id="15"/>
      </w:r>
      <w:r>
        <w:t xml:space="preserve">. </w:t>
      </w:r>
      <w:r w:rsidR="0058061B">
        <w:t>Many were given other ‘essential’ war work in areas such as agriculture, forestry, and other unskilled manual work</w:t>
      </w:r>
      <w:r w:rsidR="001523C8">
        <w:t xml:space="preserve"> in the specially created Non-Combatant Corps</w:t>
      </w:r>
      <w:r w:rsidR="0058061B">
        <w:rPr>
          <w:rStyle w:val="FootnoteReference"/>
        </w:rPr>
        <w:footnoteReference w:id="16"/>
      </w:r>
      <w:r w:rsidR="0058061B">
        <w:t>.</w:t>
      </w:r>
      <w:r w:rsidR="006B27AC">
        <w:t xml:space="preserve"> </w:t>
      </w:r>
      <w:r w:rsidR="001523C8">
        <w:t xml:space="preserve"> A good proportion of </w:t>
      </w:r>
      <w:r w:rsidR="00B530A5">
        <w:t xml:space="preserve">objectors also served </w:t>
      </w:r>
      <w:r w:rsidR="001523C8">
        <w:t>in the Royal Army Medical Corps</w:t>
      </w:r>
      <w:r w:rsidR="006515E9">
        <w:t xml:space="preserve"> where they became stretcher-</w:t>
      </w:r>
      <w:r w:rsidR="001523C8">
        <w:t xml:space="preserve">bearers and other roles that did not require the handling of a weapon. </w:t>
      </w:r>
      <w:r w:rsidR="006515E9">
        <w:t>These men, despite objecting to regular military duty, did, on some occasions, earn the respect and admiration of the soldiers they were stationed with. Charlie Wakeley of the 1</w:t>
      </w:r>
      <w:r w:rsidR="006515E9" w:rsidRPr="006515E9">
        <w:rPr>
          <w:vertAlign w:val="superscript"/>
        </w:rPr>
        <w:t>st</w:t>
      </w:r>
      <w:r w:rsidR="006515E9">
        <w:t xml:space="preserve"> Worcestershire Regiment was one of these such people</w:t>
      </w:r>
      <w:r w:rsidR="0077020D">
        <w:t>:</w:t>
      </w:r>
    </w:p>
    <w:p w:rsidR="0077020D" w:rsidRDefault="00690C5A" w:rsidP="0077020D">
      <w:pPr>
        <w:spacing w:line="240" w:lineRule="auto"/>
        <w:ind w:left="1417"/>
      </w:pPr>
      <w:r>
        <w:t xml:space="preserve"> </w:t>
      </w:r>
      <w:r w:rsidR="0077020D">
        <w:t xml:space="preserve">A good many people had got in their minds that conscientious objectors was cowards and all that. But whoever got that about was very wrong, they was, because I saw conscientious objectors and I always told people that should all have been given the Victoria Cross…As soon as anyone was down and out, a big call would go up, ‘stretcher-bearers!’ and these chaps would </w:t>
      </w:r>
      <w:proofErr w:type="spellStart"/>
      <w:r w:rsidR="0077020D">
        <w:t>used</w:t>
      </w:r>
      <w:proofErr w:type="spellEnd"/>
      <w:r w:rsidR="0077020D">
        <w:t xml:space="preserve"> to go out and fetch them back in…They was probably more braver than us people!</w:t>
      </w:r>
      <w:r w:rsidR="0077020D">
        <w:rPr>
          <w:rStyle w:val="FootnoteReference"/>
        </w:rPr>
        <w:footnoteReference w:id="17"/>
      </w:r>
    </w:p>
    <w:p w:rsidR="0077020D" w:rsidRDefault="0077020D" w:rsidP="0077020D">
      <w:pPr>
        <w:spacing w:line="240" w:lineRule="auto"/>
        <w:ind w:left="1417"/>
      </w:pPr>
    </w:p>
    <w:p w:rsidR="003312A2" w:rsidRDefault="00010680" w:rsidP="0077020D">
      <w:pPr>
        <w:spacing w:line="480" w:lineRule="auto"/>
      </w:pPr>
      <w:r>
        <w:t xml:space="preserve"> </w:t>
      </w:r>
      <w:r w:rsidR="0077020D">
        <w:t xml:space="preserve">Members of the Non-Combatant Corps, despite legally avoiding military service, still suffered from discrimination, which in a </w:t>
      </w:r>
      <w:r w:rsidR="00C129FA">
        <w:t>time of nationalistic pride and support, was hardly surprising.  Pay for these men was often an issue and the levels of esteem were very low after the Corps was nicknamed the ‘No Courage Corps’</w:t>
      </w:r>
      <w:r w:rsidR="00C129FA">
        <w:rPr>
          <w:rStyle w:val="FootnoteReference"/>
        </w:rPr>
        <w:footnoteReference w:id="18"/>
      </w:r>
      <w:r w:rsidR="00C129FA">
        <w:t xml:space="preserve">. Compared to the regular serving soldiers, the wartime careers of such men can be seen as rather undistinguished due to the low and menial nature of the majority of their </w:t>
      </w:r>
      <w:r w:rsidR="00C129FA">
        <w:lastRenderedPageBreak/>
        <w:t>tasks</w:t>
      </w:r>
      <w:r w:rsidR="00C129FA">
        <w:rPr>
          <w:rStyle w:val="FootnoteReference"/>
        </w:rPr>
        <w:footnoteReference w:id="19"/>
      </w:r>
      <w:r w:rsidR="00C129FA">
        <w:t>.</w:t>
      </w:r>
      <w:r w:rsidR="008A6870">
        <w:t xml:space="preserve"> Many objectors died serving on the frontlines</w:t>
      </w:r>
      <w:r w:rsidR="003312A2">
        <w:t xml:space="preserve"> showing incredible courage in work as a stretcher-bearer running under a hail of enemy fire to rescue wounded men. Despite their deaths these men that were given alternative work managed to garner some form of respect from serving soldiers for doing these tasks despite that wholly agreeing with the idea of war. </w:t>
      </w:r>
    </w:p>
    <w:p w:rsidR="003312A2" w:rsidRDefault="003312A2" w:rsidP="0077020D">
      <w:pPr>
        <w:spacing w:line="480" w:lineRule="auto"/>
      </w:pPr>
    </w:p>
    <w:p w:rsidR="00415FF9" w:rsidRDefault="003312A2" w:rsidP="0077020D">
      <w:pPr>
        <w:spacing w:line="480" w:lineRule="auto"/>
      </w:pPr>
      <w:r>
        <w:t>Punishment for conscientious objectors who either refused the alternative work offered to them, like Stephen Hobhouse, or were not granted the title by the tribunals, saw harsh punishment at the hands of the authorities. At first these men were subject to court marshal and imprisonment in military prisons, with some third of the sixteen thousand objectors victim to this, however objectors were soon transferred to civil prisons for lengthy periods, the entire duration of the war for some absolutist objectors</w:t>
      </w:r>
      <w:r>
        <w:rPr>
          <w:rStyle w:val="FootnoteReference"/>
        </w:rPr>
        <w:footnoteReference w:id="20"/>
      </w:r>
      <w:r>
        <w:t>. The prison sentence for those refused objection rights began at one hundred and twelve days of hard manual labour, beginning with a month of solitary confinement. This harsh punishment was slackened if objectors could display good conduct, although, once released, the objectors were swept up again as deserters and the process of court marshal and imprisonment began again</w:t>
      </w:r>
      <w:r>
        <w:rPr>
          <w:rStyle w:val="FootnoteReference"/>
        </w:rPr>
        <w:footnoteReference w:id="21"/>
      </w:r>
      <w:r>
        <w:t>. The most famous and brutal case of discrimination and imprisonment of objectors is the events of the ‘Richmond Sixteen’. Made up of sixteen men, all of whom displayed absolutist objection beliefs for numerous reasons including Quakerism, Methodism and Socialism, they refused the tribunal order to report to the Non-Combatant Corps and were arrested and tried before a</w:t>
      </w:r>
      <w:r w:rsidR="00772185">
        <w:t xml:space="preserve"> civilian</w:t>
      </w:r>
      <w:r>
        <w:t xml:space="preserve"> magistrates’ court</w:t>
      </w:r>
      <w:r>
        <w:rPr>
          <w:rStyle w:val="FootnoteReference"/>
        </w:rPr>
        <w:footnoteReference w:id="22"/>
      </w:r>
      <w:r w:rsidR="00772185">
        <w:t xml:space="preserve">. </w:t>
      </w:r>
      <w:r w:rsidR="00696622">
        <w:t xml:space="preserve">Imprisoned at Richmond Castle, these men were later shipped over to France, where they could be accused of disobeying of orders and subsequently shot, something </w:t>
      </w:r>
      <w:r w:rsidR="00696622">
        <w:lastRenderedPageBreak/>
        <w:t>which could not be achieved if they stayed in Britain</w:t>
      </w:r>
      <w:r w:rsidR="00696622">
        <w:rPr>
          <w:rStyle w:val="FootnoteReference"/>
        </w:rPr>
        <w:footnoteReference w:id="23"/>
      </w:r>
      <w:r w:rsidR="008726A4">
        <w:t xml:space="preserve">. Kitchener wanted to use these men as an example to all those men who were thinking about objecting to show them that punishment for this was very real, however, Kitchener died </w:t>
      </w:r>
      <w:r w:rsidR="00430939">
        <w:t xml:space="preserve">at sea </w:t>
      </w:r>
      <w:r w:rsidR="008726A4">
        <w:t>before the sentence of death could be carried out on the Richmond Sixteen</w:t>
      </w:r>
      <w:r w:rsidR="008726A4">
        <w:rPr>
          <w:rStyle w:val="FootnoteReference"/>
        </w:rPr>
        <w:footnoteReference w:id="24"/>
      </w:r>
      <w:r w:rsidR="008726A4">
        <w:t>. The verdict was altered by Asquith after Kitchener’s death to ten years hard labour</w:t>
      </w:r>
      <w:r w:rsidR="00430939">
        <w:t>, still a brutal sentence for the sixteen</w:t>
      </w:r>
      <w:r w:rsidR="008726A4">
        <w:t>. The conditions of the prisons which objectors were sent were pretty abysmal with many, including the Richmond Sixteen suffering severe psychological stresses as well as physical ailments conducive with years of hard imprisonment</w:t>
      </w:r>
      <w:r w:rsidR="008726A4">
        <w:rPr>
          <w:rStyle w:val="FootnoteReference"/>
        </w:rPr>
        <w:footnoteReference w:id="25"/>
      </w:r>
      <w:r w:rsidR="008726A4">
        <w:t>.</w:t>
      </w:r>
    </w:p>
    <w:p w:rsidR="00415FF9" w:rsidRDefault="00415FF9" w:rsidP="0077020D">
      <w:pPr>
        <w:spacing w:line="480" w:lineRule="auto"/>
      </w:pPr>
    </w:p>
    <w:p w:rsidR="00F92599" w:rsidRDefault="00415FF9" w:rsidP="0077020D">
      <w:pPr>
        <w:spacing w:line="480" w:lineRule="auto"/>
      </w:pPr>
      <w:r>
        <w:t>Although conditions were terrible in many prisons, two prisons in Britain were transformed into ‘work centres’ for conscientious objectors. These centres, one in Dartmoor called Princetown, and one in Wakefield, saw improved conditions and treatment for objectors over the regular military and civilian prisons</w:t>
      </w:r>
      <w:r>
        <w:rPr>
          <w:rStyle w:val="FootnoteReference"/>
        </w:rPr>
        <w:footnoteReference w:id="26"/>
      </w:r>
      <w:r>
        <w:t>.</w:t>
      </w:r>
      <w:r w:rsidR="006C551D">
        <w:t xml:space="preserve"> By no means could the time spent there be described as a pleasant experience, but compared to previous treatment of objectors, this was some attempt to ensure better treatment for these men. The men ‘imprisoned’ in the work centres could not officially be classed as prisoners, so no uniforms were worn, there was little security and they were allowed to wander the surrounding area of Princetown</w:t>
      </w:r>
      <w:r w:rsidR="006C551D">
        <w:rPr>
          <w:rStyle w:val="FootnoteReference"/>
        </w:rPr>
        <w:footnoteReference w:id="27"/>
      </w:r>
      <w:r w:rsidR="006C551D">
        <w:t>. Access to libraries, a gymnasium and other comfortable amenities were allowed, and the number of guards was very minimal to the number of inmates</w:t>
      </w:r>
      <w:r w:rsidR="006C551D">
        <w:rPr>
          <w:rStyle w:val="FootnoteReference"/>
        </w:rPr>
        <w:footnoteReference w:id="28"/>
      </w:r>
      <w:r w:rsidR="00E8510C">
        <w:t xml:space="preserve">. The introduction of these work centres shows some form of acceptance, by the authorities, that conscientious objection was a very apparent issue and that trial by court marshal and long prison sentences was </w:t>
      </w:r>
      <w:r w:rsidR="00E8510C">
        <w:lastRenderedPageBreak/>
        <w:t xml:space="preserve">not acceptable for these men. The work centres were not ideal but served as a step towards the acceptance of objection in later years, notably the Second World War. </w:t>
      </w:r>
    </w:p>
    <w:p w:rsidR="00F92599" w:rsidRDefault="00F92599" w:rsidP="0077020D">
      <w:pPr>
        <w:spacing w:line="480" w:lineRule="auto"/>
      </w:pPr>
    </w:p>
    <w:p w:rsidR="007701C7" w:rsidRDefault="00F92599" w:rsidP="0077020D">
      <w:pPr>
        <w:spacing w:line="480" w:lineRule="auto"/>
      </w:pPr>
      <w:r>
        <w:t xml:space="preserve">In conclusion, the experiences of conscientious objectors throughout the First World War was one of injustice and mistreatment. The tribunal system proved unjust on a multitude of occasions leading to many men being sentenced to court marshal and prison where there was no cause for such action. The introduction of conscription meant that objectors could no longer avoid the authorities and the poorly thought out tribunal system, without a legal definition for objection, shows the pressure the authorities were under after an influx of objectors thrust into the limelight. The experiences of Stephen Hobhouse are a perfect example of this in reality, alongside the mistreatment of men such as the Richmond Sixteen, who were made an example of by Lord Kitchener. The hard line approach the authorities took against these men could perhaps be seen as an attempt to quell a possible landslide of opportunistic men who could see conscientious objection as an easy way out of serving in the armed forces and returning home to their families. </w:t>
      </w:r>
      <w:r w:rsidR="00336610">
        <w:t xml:space="preserve">However, not all objectors were met with the public disdain that many received. If willingness was shown to work in alternative roles, such as stretcher-bearing in the Medical Corps, then respect was earnt from the regular soldiers serving alongside them. The bravery of these men cannot be overlooked, which would have been a foreign viewpoint at the time with anti-conscientious objector propaganda throughout Britain influencing public opinion of these men. The statistics presented by Rae in </w:t>
      </w:r>
      <w:r w:rsidR="00336610">
        <w:rPr>
          <w:i/>
        </w:rPr>
        <w:t>Conscience and Politics</w:t>
      </w:r>
      <w:r w:rsidR="00336610">
        <w:t xml:space="preserve"> show that the tribunal system was not as harsh as originally perceived and the introduction of the work centres, at Dartmoor and Wakefield, show that change towards the treatment of objectors was possible. Although conditions were not perfect, they were a marked improvement over the previous system that was in place, allowing the inmates some security for the duration of the war. To view the authorities treatment of conscientious objectors as wholly discriminatory is a short sighted conclusion. Wartime for these men was tough, but there were ways, introduced by the authorities, </w:t>
      </w:r>
      <w:r w:rsidR="00336610">
        <w:lastRenderedPageBreak/>
        <w:t xml:space="preserve">that allowed a more comfortable war, or the ability to serve one’s country in other roles and earn some respect from soldiers on the frontlines. The suffering of some objectors during the war paved the way towards an improvement in societal acceptance of the thoughts behind objection and ultimately amended the experiences of future conscientious objectors in other conflicts such as the Second World War.    </w:t>
      </w:r>
      <w:r>
        <w:t xml:space="preserve"> </w:t>
      </w:r>
      <w:r w:rsidR="006C551D">
        <w:t xml:space="preserve"> </w:t>
      </w:r>
      <w:r w:rsidR="00415FF9">
        <w:t xml:space="preserve"> </w:t>
      </w:r>
      <w:r w:rsidR="008726A4">
        <w:t xml:space="preserve"> </w:t>
      </w:r>
    </w:p>
    <w:p w:rsidR="002A5A5D" w:rsidRDefault="00196213" w:rsidP="002A5A5D">
      <w:pPr>
        <w:spacing w:line="480" w:lineRule="auto"/>
      </w:pPr>
      <w:r>
        <w:t xml:space="preserve"> </w:t>
      </w:r>
      <w:r w:rsidR="00B71A35">
        <w:t xml:space="preserve">  </w:t>
      </w:r>
      <w:r w:rsidR="002A5A5D">
        <w:t xml:space="preserve"> </w:t>
      </w: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487FD0" w:rsidRDefault="00487FD0" w:rsidP="002A5A5D">
      <w:pPr>
        <w:spacing w:line="480" w:lineRule="auto"/>
      </w:pPr>
    </w:p>
    <w:p w:rsidR="00336610" w:rsidRDefault="00336610" w:rsidP="002A5A5D">
      <w:pPr>
        <w:spacing w:line="480" w:lineRule="auto"/>
      </w:pPr>
    </w:p>
    <w:p w:rsidR="00336610" w:rsidRDefault="00336610" w:rsidP="002A5A5D">
      <w:pPr>
        <w:spacing w:line="480" w:lineRule="auto"/>
      </w:pPr>
    </w:p>
    <w:p w:rsidR="00336610" w:rsidRDefault="00336610" w:rsidP="002A5A5D">
      <w:pPr>
        <w:spacing w:line="480" w:lineRule="auto"/>
      </w:pPr>
    </w:p>
    <w:p w:rsidR="00336610" w:rsidRDefault="00336610" w:rsidP="002A5A5D">
      <w:pPr>
        <w:spacing w:line="480" w:lineRule="auto"/>
      </w:pPr>
    </w:p>
    <w:p w:rsidR="00336610" w:rsidRDefault="00336610" w:rsidP="002A5A5D">
      <w:pPr>
        <w:spacing w:line="480" w:lineRule="auto"/>
      </w:pPr>
    </w:p>
    <w:p w:rsidR="00487FD0" w:rsidRDefault="00487FD0" w:rsidP="002A5A5D">
      <w:pPr>
        <w:spacing w:line="480" w:lineRule="auto"/>
        <w:rPr>
          <w:b/>
        </w:rPr>
      </w:pPr>
      <w:r>
        <w:rPr>
          <w:b/>
        </w:rPr>
        <w:lastRenderedPageBreak/>
        <w:t>Bibliography –</w:t>
      </w:r>
    </w:p>
    <w:p w:rsidR="00336610" w:rsidRDefault="00336610" w:rsidP="00336610">
      <w:pPr>
        <w:pStyle w:val="ListParagraph"/>
        <w:numPr>
          <w:ilvl w:val="0"/>
          <w:numId w:val="3"/>
        </w:numPr>
        <w:spacing w:line="240" w:lineRule="auto"/>
      </w:pPr>
      <w:r>
        <w:t xml:space="preserve">BBC York and North Yorkshire, </w:t>
      </w:r>
      <w:r w:rsidRPr="00336610">
        <w:rPr>
          <w:i/>
        </w:rPr>
        <w:t xml:space="preserve">Conscientious Objectors in Prison, </w:t>
      </w:r>
      <w:r>
        <w:t>4</w:t>
      </w:r>
      <w:r w:rsidRPr="00336610">
        <w:rPr>
          <w:vertAlign w:val="superscript"/>
        </w:rPr>
        <w:t>th</w:t>
      </w:r>
      <w:r>
        <w:t xml:space="preserve"> November 2009, [online] Available. </w:t>
      </w:r>
      <w:hyperlink r:id="rId8" w:history="1">
        <w:r w:rsidRPr="00046BA2">
          <w:rPr>
            <w:rStyle w:val="Hyperlink"/>
          </w:rPr>
          <w:t>http://news.bbc.co.uk/local/york/hi/people_and_places/religion_and_ethics/newsid_8342000/8342995.stm</w:t>
        </w:r>
      </w:hyperlink>
      <w:r>
        <w:t xml:space="preserve"> (Accessed 11th January 2018)</w:t>
      </w:r>
    </w:p>
    <w:p w:rsidR="00336610" w:rsidRDefault="00336610" w:rsidP="00336610">
      <w:pPr>
        <w:pStyle w:val="ListParagraph"/>
        <w:numPr>
          <w:ilvl w:val="0"/>
          <w:numId w:val="3"/>
        </w:numPr>
        <w:spacing w:line="240" w:lineRule="auto"/>
      </w:pPr>
      <w:r>
        <w:t xml:space="preserve">Bibbings, L. </w:t>
      </w:r>
      <w:r w:rsidRPr="00336610">
        <w:rPr>
          <w:i/>
        </w:rPr>
        <w:t xml:space="preserve">Telling Tales about Men: Conceptions of Conscientious Objectors to Military Service During the First World War, </w:t>
      </w:r>
      <w:r>
        <w:t>(Manchester: Manchester University Press, 2009)</w:t>
      </w:r>
    </w:p>
    <w:p w:rsidR="00336610" w:rsidRDefault="00336610" w:rsidP="00336610">
      <w:pPr>
        <w:pStyle w:val="ListParagraph"/>
        <w:numPr>
          <w:ilvl w:val="0"/>
          <w:numId w:val="3"/>
        </w:numPr>
        <w:spacing w:line="240" w:lineRule="auto"/>
      </w:pPr>
      <w:r>
        <w:t xml:space="preserve">Brock, P. </w:t>
      </w:r>
      <w:r w:rsidRPr="00336610">
        <w:rPr>
          <w:i/>
        </w:rPr>
        <w:t xml:space="preserve">Against the Draft: Essays on Conscientious Objection from the Radical Reformation to the Second World War, </w:t>
      </w:r>
      <w:r>
        <w:t>(Toronto: University of Toronto Press, 2006)</w:t>
      </w:r>
    </w:p>
    <w:p w:rsidR="00336610" w:rsidRDefault="00336610" w:rsidP="00336610">
      <w:pPr>
        <w:pStyle w:val="ListParagraph"/>
        <w:numPr>
          <w:ilvl w:val="0"/>
          <w:numId w:val="3"/>
        </w:numPr>
        <w:spacing w:line="240" w:lineRule="auto"/>
      </w:pPr>
      <w:r>
        <w:t xml:space="preserve">Brock, P. </w:t>
      </w:r>
      <w:r w:rsidRPr="00336610">
        <w:rPr>
          <w:i/>
        </w:rPr>
        <w:t xml:space="preserve">These Strange Criminals: An Anthology of Prison Memoirs by Conscientious Objectors from the Great War to the Cold War, </w:t>
      </w:r>
      <w:r>
        <w:t>(Toronto: University of Toronto Press, 2004)</w:t>
      </w:r>
    </w:p>
    <w:p w:rsidR="00336610" w:rsidRDefault="00336610" w:rsidP="00336610">
      <w:pPr>
        <w:pStyle w:val="ListParagraph"/>
        <w:numPr>
          <w:ilvl w:val="0"/>
          <w:numId w:val="3"/>
        </w:numPr>
        <w:spacing w:line="240" w:lineRule="auto"/>
      </w:pPr>
      <w:r>
        <w:t xml:space="preserve">Brooks, M. Imperial War Museums, </w:t>
      </w:r>
      <w:r w:rsidRPr="00336610">
        <w:rPr>
          <w:i/>
        </w:rPr>
        <w:t xml:space="preserve">Conscientious Objectors in their own words, </w:t>
      </w:r>
      <w:r>
        <w:t xml:space="preserve">[online] Available. </w:t>
      </w:r>
      <w:hyperlink r:id="rId9" w:history="1">
        <w:r w:rsidRPr="00CD7FA5">
          <w:rPr>
            <w:rStyle w:val="Hyperlink"/>
          </w:rPr>
          <w:t>http://www.iwm.org.uk/history/conscientious-objectors-in-their-own-words</w:t>
        </w:r>
      </w:hyperlink>
      <w:r>
        <w:t xml:space="preserve"> (Accessed 8th January 2018)</w:t>
      </w:r>
    </w:p>
    <w:p w:rsidR="00336610" w:rsidRDefault="00336610" w:rsidP="00336610">
      <w:pPr>
        <w:pStyle w:val="ListParagraph"/>
        <w:numPr>
          <w:ilvl w:val="0"/>
          <w:numId w:val="3"/>
        </w:numPr>
        <w:spacing w:line="240" w:lineRule="auto"/>
      </w:pPr>
      <w:r>
        <w:t xml:space="preserve">Cook, C. </w:t>
      </w:r>
      <w:r w:rsidRPr="00336610">
        <w:rPr>
          <w:i/>
        </w:rPr>
        <w:t xml:space="preserve">A Short History of the Liberal Party 1900-2001. </w:t>
      </w:r>
      <w:r>
        <w:t>(Hampshire: Palgrave, 2001)</w:t>
      </w:r>
    </w:p>
    <w:p w:rsidR="00336610" w:rsidRDefault="00336610" w:rsidP="00336610">
      <w:pPr>
        <w:pStyle w:val="ListParagraph"/>
        <w:numPr>
          <w:ilvl w:val="0"/>
          <w:numId w:val="3"/>
        </w:numPr>
        <w:spacing w:line="240" w:lineRule="auto"/>
      </w:pPr>
      <w:r>
        <w:t xml:space="preserve">Hancock, J. Owlcation, </w:t>
      </w:r>
      <w:r w:rsidRPr="00336610">
        <w:rPr>
          <w:i/>
        </w:rPr>
        <w:t xml:space="preserve">Conscientious Objectors during WW1, </w:t>
      </w:r>
      <w:r>
        <w:t>November 19</w:t>
      </w:r>
      <w:r w:rsidRPr="00336610">
        <w:rPr>
          <w:vertAlign w:val="superscript"/>
        </w:rPr>
        <w:t>th</w:t>
      </w:r>
      <w:r>
        <w:t xml:space="preserve"> 2016, [online] Available. </w:t>
      </w:r>
      <w:hyperlink r:id="rId10" w:history="1">
        <w:r w:rsidRPr="00795C89">
          <w:rPr>
            <w:rStyle w:val="Hyperlink"/>
          </w:rPr>
          <w:t>https://owlcation.com/humanities/Conscientious-Objectors-During-World-War-1</w:t>
        </w:r>
      </w:hyperlink>
    </w:p>
    <w:p w:rsidR="00336610" w:rsidRPr="00487FD0" w:rsidRDefault="00336610" w:rsidP="00336610">
      <w:pPr>
        <w:pStyle w:val="ListParagraph"/>
        <w:numPr>
          <w:ilvl w:val="0"/>
          <w:numId w:val="3"/>
        </w:numPr>
        <w:spacing w:line="240" w:lineRule="auto"/>
      </w:pPr>
      <w:r>
        <w:t xml:space="preserve">James, T. </w:t>
      </w:r>
      <w:r w:rsidRPr="00336610">
        <w:rPr>
          <w:i/>
        </w:rPr>
        <w:t xml:space="preserve">About Dartmoor Prison, </w:t>
      </w:r>
      <w:r>
        <w:t xml:space="preserve">(Redruth: Orchard Publications, 2001) </w:t>
      </w:r>
    </w:p>
    <w:p w:rsidR="00336610" w:rsidRDefault="00336610" w:rsidP="00336610">
      <w:pPr>
        <w:pStyle w:val="ListParagraph"/>
        <w:numPr>
          <w:ilvl w:val="0"/>
          <w:numId w:val="3"/>
        </w:numPr>
        <w:spacing w:line="240" w:lineRule="auto"/>
      </w:pPr>
      <w:r>
        <w:t xml:space="preserve">Kramer, A. </w:t>
      </w:r>
      <w:r w:rsidRPr="00336610">
        <w:rPr>
          <w:i/>
        </w:rPr>
        <w:t xml:space="preserve">Conscientious Objectors of the Second World War: Refusing to Fight, </w:t>
      </w:r>
      <w:r>
        <w:t xml:space="preserve">(Barnsley: Pen and Sword Publishing, 2013) </w:t>
      </w:r>
    </w:p>
    <w:p w:rsidR="00336610" w:rsidRDefault="00336610" w:rsidP="00336610">
      <w:pPr>
        <w:pStyle w:val="ListParagraph"/>
        <w:numPr>
          <w:ilvl w:val="0"/>
          <w:numId w:val="3"/>
        </w:numPr>
        <w:spacing w:line="240" w:lineRule="auto"/>
      </w:pPr>
      <w:r>
        <w:t xml:space="preserve">Messinger, G. S. </w:t>
      </w:r>
      <w:r w:rsidRPr="00336610">
        <w:rPr>
          <w:i/>
        </w:rPr>
        <w:t xml:space="preserve">British Propaganda and the State in the First World War, </w:t>
      </w:r>
      <w:r>
        <w:t>(Manchester University Press: Manchester and New York, 1992)</w:t>
      </w:r>
    </w:p>
    <w:p w:rsidR="00336610" w:rsidRDefault="00336610" w:rsidP="00336610">
      <w:pPr>
        <w:pStyle w:val="ListParagraph"/>
        <w:numPr>
          <w:ilvl w:val="0"/>
          <w:numId w:val="3"/>
        </w:numPr>
        <w:spacing w:line="240" w:lineRule="auto"/>
      </w:pPr>
      <w:r>
        <w:t xml:space="preserve">Rae, J. </w:t>
      </w:r>
      <w:r w:rsidRPr="00336610">
        <w:rPr>
          <w:i/>
        </w:rPr>
        <w:t xml:space="preserve">Conscience and Politics: The British Government and the Conscientious Objector to Military Service 1916-1919, </w:t>
      </w:r>
      <w:r>
        <w:t>(Oxford: Oxford University Press, 1970)</w:t>
      </w:r>
    </w:p>
    <w:p w:rsidR="00336610" w:rsidRDefault="00336610" w:rsidP="00336610">
      <w:pPr>
        <w:pStyle w:val="ListParagraph"/>
        <w:numPr>
          <w:ilvl w:val="0"/>
          <w:numId w:val="3"/>
        </w:numPr>
        <w:spacing w:line="240" w:lineRule="auto"/>
      </w:pPr>
      <w:r>
        <w:t xml:space="preserve">Richards, A. The Telegraph, </w:t>
      </w:r>
      <w:r w:rsidRPr="00336610">
        <w:rPr>
          <w:i/>
        </w:rPr>
        <w:t xml:space="preserve">The Conscientious Objectors paid a high price, </w:t>
      </w:r>
      <w:r>
        <w:t>3</w:t>
      </w:r>
      <w:r w:rsidRPr="00336610">
        <w:rPr>
          <w:vertAlign w:val="superscript"/>
        </w:rPr>
        <w:t>rd</w:t>
      </w:r>
      <w:r>
        <w:t xml:space="preserve"> May 2014. [online] Accessed. </w:t>
      </w:r>
      <w:hyperlink r:id="rId11" w:history="1">
        <w:r w:rsidRPr="00CD7FA5">
          <w:rPr>
            <w:rStyle w:val="Hyperlink"/>
          </w:rPr>
          <w:t>http://www.telegraph.co.uk/history/world-war-one/inside-first-world-war/part-nine/10803538/conscientious-objectors-first-world-war.html</w:t>
        </w:r>
      </w:hyperlink>
      <w:r>
        <w:t xml:space="preserve"> (Accessed 7th January 2018)</w:t>
      </w:r>
    </w:p>
    <w:p w:rsidR="00336610" w:rsidRDefault="00336610" w:rsidP="00336610">
      <w:pPr>
        <w:pStyle w:val="ListParagraph"/>
        <w:numPr>
          <w:ilvl w:val="0"/>
          <w:numId w:val="3"/>
        </w:numPr>
        <w:spacing w:line="240" w:lineRule="auto"/>
      </w:pPr>
      <w:r>
        <w:t xml:space="preserve">Snape, M. </w:t>
      </w:r>
      <w:r w:rsidRPr="00336610">
        <w:rPr>
          <w:i/>
        </w:rPr>
        <w:t xml:space="preserve">God and the British Soldier: Religion and the British Army in the First and Second World Wars, </w:t>
      </w:r>
      <w:r>
        <w:t>(Oxon: Routledge, 2005)</w:t>
      </w:r>
    </w:p>
    <w:p w:rsidR="00487FD0" w:rsidRDefault="00487FD0" w:rsidP="00336610">
      <w:pPr>
        <w:pStyle w:val="ListParagraph"/>
        <w:numPr>
          <w:ilvl w:val="0"/>
          <w:numId w:val="3"/>
        </w:numPr>
        <w:spacing w:line="240" w:lineRule="auto"/>
      </w:pPr>
      <w:r>
        <w:t xml:space="preserve">Tomlinson, C. English Heritage Richmond Castle, </w:t>
      </w:r>
      <w:r w:rsidRPr="00336610">
        <w:rPr>
          <w:i/>
        </w:rPr>
        <w:t xml:space="preserve">First World War Attitudes to Conscientious Objectors, </w:t>
      </w:r>
      <w:r>
        <w:t xml:space="preserve">[online] Available. </w:t>
      </w:r>
      <w:hyperlink r:id="rId12" w:history="1">
        <w:r w:rsidRPr="00795C89">
          <w:rPr>
            <w:rStyle w:val="Hyperlink"/>
          </w:rPr>
          <w:t>http://www.english-heritage.org.uk/visit/places/richmond-castle/richmond-graffiti/attitudes-to-cos/</w:t>
        </w:r>
      </w:hyperlink>
      <w:r>
        <w:t xml:space="preserve"> (Accessed 7</w:t>
      </w:r>
      <w:r w:rsidRPr="00336610">
        <w:rPr>
          <w:vertAlign w:val="superscript"/>
        </w:rPr>
        <w:t>th</w:t>
      </w:r>
      <w:r>
        <w:t xml:space="preserve"> January 2018)</w:t>
      </w:r>
    </w:p>
    <w:p w:rsidR="00336610" w:rsidRDefault="00336610" w:rsidP="00336610">
      <w:pPr>
        <w:pStyle w:val="ListParagraph"/>
        <w:numPr>
          <w:ilvl w:val="0"/>
          <w:numId w:val="3"/>
        </w:numPr>
        <w:spacing w:line="240" w:lineRule="auto"/>
      </w:pPr>
      <w:r>
        <w:t>Ze</w:t>
      </w:r>
      <w:bookmarkStart w:id="5" w:name="_GoBack"/>
      <w:bookmarkEnd w:id="5"/>
      <w:r>
        <w:t xml:space="preserve">dner, L. </w:t>
      </w:r>
      <w:r w:rsidRPr="00336610">
        <w:rPr>
          <w:i/>
        </w:rPr>
        <w:t>The Criminological Foundations of Penal Policy: Essays in Honour of Roger Hood</w:t>
      </w:r>
      <w:r>
        <w:t>, (Oxford: Oxford University Press, 2003)</w:t>
      </w:r>
    </w:p>
    <w:p w:rsidR="00B71A35" w:rsidRDefault="00B71A35" w:rsidP="002A5A5D">
      <w:pPr>
        <w:spacing w:line="480" w:lineRule="auto"/>
      </w:pPr>
    </w:p>
    <w:p w:rsidR="00FA19DC" w:rsidRDefault="00FA19DC" w:rsidP="002A5A5D">
      <w:pPr>
        <w:spacing w:line="480" w:lineRule="auto"/>
      </w:pPr>
    </w:p>
    <w:p w:rsidR="00D5623E" w:rsidRDefault="00D5623E" w:rsidP="002A5A5D">
      <w:pPr>
        <w:spacing w:line="480" w:lineRule="auto"/>
      </w:pPr>
    </w:p>
    <w:p w:rsidR="009A7713" w:rsidRDefault="009A7713" w:rsidP="002A5A5D">
      <w:pPr>
        <w:spacing w:line="480" w:lineRule="auto"/>
      </w:pPr>
    </w:p>
    <w:p w:rsidR="009A7713" w:rsidRDefault="009A7713" w:rsidP="002A5A5D">
      <w:pPr>
        <w:spacing w:line="480" w:lineRule="auto"/>
      </w:pPr>
    </w:p>
    <w:p w:rsidR="00690C5A" w:rsidRDefault="00690C5A" w:rsidP="002A5A5D">
      <w:pPr>
        <w:spacing w:line="480" w:lineRule="auto"/>
      </w:pPr>
    </w:p>
    <w:p w:rsidR="00883BCF" w:rsidRDefault="00883BCF" w:rsidP="002A5A5D">
      <w:pPr>
        <w:spacing w:line="480" w:lineRule="auto"/>
      </w:pPr>
    </w:p>
    <w:p w:rsidR="0058061B" w:rsidRDefault="0058061B" w:rsidP="002A5A5D">
      <w:pPr>
        <w:spacing w:line="480" w:lineRule="auto"/>
      </w:pPr>
    </w:p>
    <w:p w:rsidR="0058061B" w:rsidRDefault="0058061B" w:rsidP="002A5A5D">
      <w:pPr>
        <w:spacing w:line="480" w:lineRule="auto"/>
      </w:pPr>
    </w:p>
    <w:p w:rsidR="001523C8" w:rsidRDefault="001523C8" w:rsidP="002A5A5D">
      <w:pPr>
        <w:spacing w:line="480" w:lineRule="auto"/>
      </w:pPr>
    </w:p>
    <w:p w:rsidR="00C129FA" w:rsidRDefault="00C129FA" w:rsidP="002A5A5D">
      <w:pPr>
        <w:spacing w:line="480" w:lineRule="auto"/>
      </w:pPr>
    </w:p>
    <w:p w:rsidR="003312A2" w:rsidRDefault="003312A2" w:rsidP="002A5A5D">
      <w:pPr>
        <w:spacing w:line="480" w:lineRule="auto"/>
      </w:pPr>
    </w:p>
    <w:p w:rsidR="00696622" w:rsidRDefault="00696622" w:rsidP="002A5A5D">
      <w:pPr>
        <w:spacing w:line="480" w:lineRule="auto"/>
      </w:pPr>
    </w:p>
    <w:p w:rsidR="00415FF9" w:rsidRDefault="00415FF9" w:rsidP="002A5A5D">
      <w:pPr>
        <w:spacing w:line="480" w:lineRule="auto"/>
      </w:pPr>
    </w:p>
    <w:p w:rsidR="00E50A85" w:rsidRDefault="00E50A85"/>
    <w:sectPr w:rsidR="00E50A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4920" w:rsidRDefault="00634920" w:rsidP="00487FD0">
      <w:pPr>
        <w:spacing w:after="0" w:line="240" w:lineRule="auto"/>
      </w:pPr>
      <w:r>
        <w:separator/>
      </w:r>
    </w:p>
  </w:endnote>
  <w:endnote w:type="continuationSeparator" w:id="0">
    <w:p w:rsidR="00634920" w:rsidRDefault="00634920" w:rsidP="00487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4920" w:rsidRDefault="00634920" w:rsidP="00487FD0">
      <w:pPr>
        <w:spacing w:after="0" w:line="240" w:lineRule="auto"/>
      </w:pPr>
      <w:r>
        <w:separator/>
      </w:r>
    </w:p>
  </w:footnote>
  <w:footnote w:type="continuationSeparator" w:id="0">
    <w:p w:rsidR="00634920" w:rsidRDefault="00634920" w:rsidP="00487FD0">
      <w:pPr>
        <w:spacing w:after="0" w:line="240" w:lineRule="auto"/>
      </w:pPr>
      <w:r>
        <w:continuationSeparator/>
      </w:r>
    </w:p>
  </w:footnote>
  <w:footnote w:id="1">
    <w:p w:rsidR="00487FD0" w:rsidRPr="00487FD0" w:rsidRDefault="00487FD0">
      <w:pPr>
        <w:pStyle w:val="FootnoteText"/>
      </w:pPr>
      <w:r>
        <w:rPr>
          <w:rStyle w:val="FootnoteReference"/>
        </w:rPr>
        <w:footnoteRef/>
      </w:r>
      <w:r>
        <w:t xml:space="preserve"> </w:t>
      </w:r>
      <w:bookmarkStart w:id="0" w:name="_Hlk503532266"/>
      <w:r>
        <w:t xml:space="preserve">C. Tomlinson, English Heritage Richmond Castle, </w:t>
      </w:r>
      <w:r>
        <w:rPr>
          <w:i/>
        </w:rPr>
        <w:t xml:space="preserve">First World War Attitudes to Conscientious Objectors, </w:t>
      </w:r>
      <w:r>
        <w:t xml:space="preserve">[online] Available. </w:t>
      </w:r>
      <w:hyperlink r:id="rId1" w:history="1">
        <w:r w:rsidRPr="00795C89">
          <w:rPr>
            <w:rStyle w:val="Hyperlink"/>
          </w:rPr>
          <w:t>http://www.english-heritage.org.uk/visit/places/richmond-castle/richmond-graffiti/attitudes-to-cos/</w:t>
        </w:r>
      </w:hyperlink>
      <w:bookmarkEnd w:id="0"/>
      <w:r>
        <w:t xml:space="preserve"> </w:t>
      </w:r>
    </w:p>
  </w:footnote>
  <w:footnote w:id="2">
    <w:p w:rsidR="00FA19DC" w:rsidRPr="00FA19DC" w:rsidRDefault="00FA19DC">
      <w:pPr>
        <w:pStyle w:val="FootnoteText"/>
      </w:pPr>
      <w:r>
        <w:rPr>
          <w:rStyle w:val="FootnoteReference"/>
        </w:rPr>
        <w:footnoteRef/>
      </w:r>
      <w:r>
        <w:t xml:space="preserve"> C. Cook, </w:t>
      </w:r>
      <w:r>
        <w:rPr>
          <w:i/>
        </w:rPr>
        <w:t xml:space="preserve">A Short History of the Liberal Party 1900-2001. </w:t>
      </w:r>
      <w:r>
        <w:t>(Hampshire: Palgrave, 2001) pg. 67</w:t>
      </w:r>
    </w:p>
  </w:footnote>
  <w:footnote w:id="3">
    <w:p w:rsidR="00B71A35" w:rsidRPr="00B71A35" w:rsidRDefault="00B71A35">
      <w:pPr>
        <w:pStyle w:val="FootnoteText"/>
      </w:pPr>
      <w:r>
        <w:rPr>
          <w:rStyle w:val="FootnoteReference"/>
        </w:rPr>
        <w:footnoteRef/>
      </w:r>
      <w:r>
        <w:t xml:space="preserve"> J. Hancock, Owlcation, </w:t>
      </w:r>
      <w:r>
        <w:rPr>
          <w:i/>
        </w:rPr>
        <w:t xml:space="preserve">Conscientious Objectors during WW1, </w:t>
      </w:r>
      <w:r>
        <w:t>November 19</w:t>
      </w:r>
      <w:r w:rsidRPr="00B71A35">
        <w:rPr>
          <w:vertAlign w:val="superscript"/>
        </w:rPr>
        <w:t>th</w:t>
      </w:r>
      <w:r>
        <w:t xml:space="preserve"> 2016, [online] Available. </w:t>
      </w:r>
      <w:hyperlink r:id="rId2" w:history="1">
        <w:r w:rsidRPr="00795C89">
          <w:rPr>
            <w:rStyle w:val="Hyperlink"/>
          </w:rPr>
          <w:t>https://owlcation.com/humanities/Conscientious-Objectors-During-World-War-1</w:t>
        </w:r>
      </w:hyperlink>
      <w:r>
        <w:t xml:space="preserve"> </w:t>
      </w:r>
    </w:p>
  </w:footnote>
  <w:footnote w:id="4">
    <w:p w:rsidR="00D5623E" w:rsidRPr="00D5623E" w:rsidRDefault="00D5623E">
      <w:pPr>
        <w:pStyle w:val="FootnoteText"/>
      </w:pPr>
      <w:r>
        <w:rPr>
          <w:rStyle w:val="FootnoteReference"/>
        </w:rPr>
        <w:footnoteRef/>
      </w:r>
      <w:r>
        <w:t xml:space="preserve"> A. Richards, The Telegraph, </w:t>
      </w:r>
      <w:r>
        <w:rPr>
          <w:i/>
        </w:rPr>
        <w:t xml:space="preserve">The Conscientious Objectors paid a high price, </w:t>
      </w:r>
      <w:r>
        <w:t>3</w:t>
      </w:r>
      <w:r w:rsidRPr="00D5623E">
        <w:rPr>
          <w:vertAlign w:val="superscript"/>
        </w:rPr>
        <w:t>rd</w:t>
      </w:r>
      <w:r>
        <w:t xml:space="preserve"> May 2014. [online] Accessed. </w:t>
      </w:r>
      <w:hyperlink r:id="rId3" w:history="1">
        <w:r w:rsidRPr="00CD7FA5">
          <w:rPr>
            <w:rStyle w:val="Hyperlink"/>
          </w:rPr>
          <w:t>http://www.telegraph.co.uk/history/world-war-one/inside-first-world-war/part-nine/10803538/conscientious-objectors-first-world-war.html</w:t>
        </w:r>
      </w:hyperlink>
      <w:r>
        <w:t xml:space="preserve"> </w:t>
      </w:r>
    </w:p>
  </w:footnote>
  <w:footnote w:id="5">
    <w:p w:rsidR="008979E2" w:rsidRPr="008979E2" w:rsidRDefault="008979E2">
      <w:pPr>
        <w:pStyle w:val="FootnoteText"/>
        <w:rPr>
          <w:i/>
        </w:rPr>
      </w:pPr>
      <w:r>
        <w:rPr>
          <w:rStyle w:val="FootnoteReference"/>
        </w:rPr>
        <w:footnoteRef/>
      </w:r>
      <w:r>
        <w:t xml:space="preserve"> </w:t>
      </w:r>
      <w:r>
        <w:rPr>
          <w:i/>
        </w:rPr>
        <w:t xml:space="preserve">Ibid. </w:t>
      </w:r>
    </w:p>
  </w:footnote>
  <w:footnote w:id="6">
    <w:p w:rsidR="00010680" w:rsidRPr="00010680" w:rsidRDefault="00010680">
      <w:pPr>
        <w:pStyle w:val="FootnoteText"/>
      </w:pPr>
      <w:r>
        <w:rPr>
          <w:rStyle w:val="FootnoteReference"/>
        </w:rPr>
        <w:footnoteRef/>
      </w:r>
      <w:r>
        <w:t xml:space="preserve"> </w:t>
      </w:r>
      <w:bookmarkStart w:id="1" w:name="_Hlk503461357"/>
      <w:r>
        <w:t xml:space="preserve">T. Wilson, </w:t>
      </w:r>
      <w:r>
        <w:rPr>
          <w:i/>
        </w:rPr>
        <w:t xml:space="preserve">The Myriad Faces of War: Britain and the Great War 1914-1918, </w:t>
      </w:r>
      <w:r>
        <w:t>(Cambridge: Polity Press, 1988)</w:t>
      </w:r>
      <w:bookmarkEnd w:id="1"/>
      <w:r>
        <w:t xml:space="preserve"> pg. 398</w:t>
      </w:r>
    </w:p>
  </w:footnote>
  <w:footnote w:id="7">
    <w:p w:rsidR="0058061B" w:rsidRPr="0058061B" w:rsidRDefault="0058061B">
      <w:pPr>
        <w:pStyle w:val="FootnoteText"/>
        <w:rPr>
          <w:i/>
        </w:rPr>
      </w:pPr>
      <w:r>
        <w:rPr>
          <w:rStyle w:val="FootnoteReference"/>
        </w:rPr>
        <w:footnoteRef/>
      </w:r>
      <w:r>
        <w:t xml:space="preserve"> L. Bibbings, </w:t>
      </w:r>
      <w:r>
        <w:rPr>
          <w:i/>
        </w:rPr>
        <w:t xml:space="preserve">Telling Tales about Men: Conceptions of Conscientious Objectors to Military Service During the First World War, </w:t>
      </w:r>
      <w:r>
        <w:t xml:space="preserve">(Manchester: Manchester University Press, 2009) pg. 46 </w:t>
      </w:r>
    </w:p>
  </w:footnote>
  <w:footnote w:id="8">
    <w:p w:rsidR="009A7713" w:rsidRPr="009A7713" w:rsidRDefault="009A7713">
      <w:pPr>
        <w:pStyle w:val="FootnoteText"/>
        <w:rPr>
          <w:i/>
        </w:rPr>
      </w:pPr>
      <w:r>
        <w:rPr>
          <w:rStyle w:val="FootnoteReference"/>
        </w:rPr>
        <w:footnoteRef/>
      </w:r>
      <w:r>
        <w:t xml:space="preserve"> G. S. Messinger, </w:t>
      </w:r>
      <w:r>
        <w:rPr>
          <w:i/>
        </w:rPr>
        <w:t xml:space="preserve">British Propaganda and the State in the First World War, </w:t>
      </w:r>
      <w:r>
        <w:t xml:space="preserve">(Manchester University Press: Manchester and New York, 1992) pg. 94 </w:t>
      </w:r>
    </w:p>
  </w:footnote>
  <w:footnote w:id="9">
    <w:p w:rsidR="009A7713" w:rsidRPr="009A7713" w:rsidRDefault="009A7713">
      <w:pPr>
        <w:pStyle w:val="FootnoteText"/>
      </w:pPr>
      <w:r>
        <w:rPr>
          <w:rStyle w:val="FootnoteReference"/>
        </w:rPr>
        <w:footnoteRef/>
      </w:r>
      <w:r>
        <w:t xml:space="preserve"> </w:t>
      </w:r>
      <w:bookmarkStart w:id="2" w:name="_Hlk503530766"/>
      <w:r>
        <w:t xml:space="preserve">M. Brooks, Imperial War Museums, </w:t>
      </w:r>
      <w:r>
        <w:rPr>
          <w:i/>
        </w:rPr>
        <w:t xml:space="preserve">Conscientious Objectors in their own words, </w:t>
      </w:r>
      <w:r>
        <w:t xml:space="preserve">[online] Available. </w:t>
      </w:r>
      <w:hyperlink r:id="rId4" w:history="1">
        <w:r w:rsidRPr="00CD7FA5">
          <w:rPr>
            <w:rStyle w:val="Hyperlink"/>
          </w:rPr>
          <w:t>http://www.iwm.org.uk/history/conscientious-objectors-in-their-own-words</w:t>
        </w:r>
      </w:hyperlink>
      <w:bookmarkEnd w:id="2"/>
      <w:r>
        <w:t xml:space="preserve"> </w:t>
      </w:r>
    </w:p>
  </w:footnote>
  <w:footnote w:id="10">
    <w:p w:rsidR="00690C5A" w:rsidRPr="00690C5A" w:rsidRDefault="00690C5A">
      <w:pPr>
        <w:pStyle w:val="FootnoteText"/>
        <w:rPr>
          <w:i/>
        </w:rPr>
      </w:pPr>
      <w:r>
        <w:rPr>
          <w:rStyle w:val="FootnoteReference"/>
        </w:rPr>
        <w:footnoteRef/>
      </w:r>
      <w:r>
        <w:t xml:space="preserve"> L. Zedner, </w:t>
      </w:r>
      <w:r w:rsidRPr="00883BCF">
        <w:rPr>
          <w:i/>
        </w:rPr>
        <w:t>The Criminological Foundations of Penal Policy: Essays in Honour of Roger Hood</w:t>
      </w:r>
      <w:r>
        <w:t xml:space="preserve">, (Oxford: Oxford University Press, 2003) pg. 248 </w:t>
      </w:r>
    </w:p>
  </w:footnote>
  <w:footnote w:id="11">
    <w:p w:rsidR="00874E32" w:rsidRPr="00874E32" w:rsidRDefault="00874E32">
      <w:pPr>
        <w:pStyle w:val="FootnoteText"/>
      </w:pPr>
      <w:r>
        <w:rPr>
          <w:rStyle w:val="FootnoteReference"/>
        </w:rPr>
        <w:footnoteRef/>
      </w:r>
      <w:r>
        <w:t xml:space="preserve"> </w:t>
      </w:r>
      <w:bookmarkStart w:id="3" w:name="_Hlk503529405"/>
      <w:r>
        <w:t xml:space="preserve">P. Brock, </w:t>
      </w:r>
      <w:r>
        <w:rPr>
          <w:i/>
        </w:rPr>
        <w:t xml:space="preserve">These Strange Criminals: An Anthology of Prison Memoirs by Conscientious Objectors from the Great War to the Cold War, </w:t>
      </w:r>
      <w:r>
        <w:t>(Toronto: University of Toronto Press</w:t>
      </w:r>
      <w:r w:rsidR="0058061B">
        <w:t>, 2004) pg. 14</w:t>
      </w:r>
      <w:bookmarkEnd w:id="3"/>
    </w:p>
  </w:footnote>
  <w:footnote w:id="12">
    <w:p w:rsidR="00883BCF" w:rsidRPr="00883BCF" w:rsidRDefault="00883BCF">
      <w:pPr>
        <w:pStyle w:val="FootnoteText"/>
        <w:rPr>
          <w:i/>
        </w:rPr>
      </w:pPr>
      <w:r>
        <w:rPr>
          <w:rStyle w:val="FootnoteReference"/>
        </w:rPr>
        <w:footnoteRef/>
      </w:r>
      <w:r>
        <w:t xml:space="preserve"> J. Rae, </w:t>
      </w:r>
      <w:r>
        <w:rPr>
          <w:i/>
        </w:rPr>
        <w:t xml:space="preserve">Conscience and Politics: The British Government and the Conscientious Objector to Military Service 1916-1919, </w:t>
      </w:r>
      <w:r>
        <w:t>(Oxford: Oxford University Press, 1970) pg. 208</w:t>
      </w:r>
      <w:r>
        <w:rPr>
          <w:i/>
        </w:rPr>
        <w:t xml:space="preserve"> </w:t>
      </w:r>
    </w:p>
  </w:footnote>
  <w:footnote w:id="13">
    <w:p w:rsidR="006B27AC" w:rsidRDefault="006B27AC">
      <w:pPr>
        <w:pStyle w:val="FootnoteText"/>
      </w:pPr>
      <w:r>
        <w:rPr>
          <w:rStyle w:val="FootnoteReference"/>
        </w:rPr>
        <w:footnoteRef/>
      </w:r>
      <w:r>
        <w:t xml:space="preserve"> T. Wilson, </w:t>
      </w:r>
      <w:r>
        <w:rPr>
          <w:i/>
        </w:rPr>
        <w:t xml:space="preserve">The Myriad Faces of War: Britain and the Great War 1914-1918, </w:t>
      </w:r>
      <w:r>
        <w:t>(Cambridge: Polity Press, 1988) pg. 398</w:t>
      </w:r>
    </w:p>
  </w:footnote>
  <w:footnote w:id="14">
    <w:p w:rsidR="00280DA5" w:rsidRPr="00280DA5" w:rsidRDefault="00280DA5">
      <w:pPr>
        <w:pStyle w:val="FootnoteText"/>
        <w:rPr>
          <w:i/>
        </w:rPr>
      </w:pPr>
      <w:r>
        <w:rPr>
          <w:rStyle w:val="FootnoteReference"/>
        </w:rPr>
        <w:footnoteRef/>
      </w:r>
      <w:r>
        <w:t xml:space="preserve"> </w:t>
      </w:r>
      <w:r>
        <w:t xml:space="preserve">J. Rae, </w:t>
      </w:r>
      <w:r>
        <w:rPr>
          <w:i/>
        </w:rPr>
        <w:t xml:space="preserve">Conscience and Politics: The British Government and the Conscientious Objector to Military Service 1916-1919, </w:t>
      </w:r>
      <w:r>
        <w:t>(Oxford: Oxford University Press, 1970) pg.</w:t>
      </w:r>
      <w:r w:rsidR="00874E32">
        <w:t xml:space="preserve"> 131</w:t>
      </w:r>
    </w:p>
  </w:footnote>
  <w:footnote w:id="15">
    <w:p w:rsidR="001523C8" w:rsidRPr="001523C8" w:rsidRDefault="001523C8">
      <w:pPr>
        <w:pStyle w:val="FootnoteText"/>
      </w:pPr>
      <w:r>
        <w:rPr>
          <w:rStyle w:val="FootnoteReference"/>
        </w:rPr>
        <w:footnoteRef/>
      </w:r>
      <w:r>
        <w:t xml:space="preserve"> </w:t>
      </w:r>
      <w:bookmarkStart w:id="4" w:name="_Hlk503528139"/>
      <w:r>
        <w:t xml:space="preserve">M. Snape, </w:t>
      </w:r>
      <w:r>
        <w:rPr>
          <w:i/>
        </w:rPr>
        <w:t xml:space="preserve">God and the British Soldier: Religion and the British Army in the First and Second World Wars, </w:t>
      </w:r>
      <w:r>
        <w:t>(Oxon: Routledge, 2005)</w:t>
      </w:r>
      <w:bookmarkEnd w:id="4"/>
      <w:r>
        <w:t xml:space="preserve"> pg. 192</w:t>
      </w:r>
    </w:p>
  </w:footnote>
  <w:footnote w:id="16">
    <w:p w:rsidR="0058061B" w:rsidRPr="009A7713" w:rsidRDefault="0058061B" w:rsidP="0058061B">
      <w:pPr>
        <w:pStyle w:val="FootnoteText"/>
      </w:pPr>
      <w:r>
        <w:rPr>
          <w:rStyle w:val="FootnoteReference"/>
        </w:rPr>
        <w:footnoteRef/>
      </w:r>
      <w:r>
        <w:t xml:space="preserve"> </w:t>
      </w:r>
      <w:r>
        <w:t xml:space="preserve">M. Brooks, Imperial War Museums, </w:t>
      </w:r>
      <w:r>
        <w:rPr>
          <w:i/>
        </w:rPr>
        <w:t xml:space="preserve">Conscientious Objectors in their own words, </w:t>
      </w:r>
      <w:r>
        <w:t xml:space="preserve">[online] Available. </w:t>
      </w:r>
      <w:hyperlink r:id="rId5" w:history="1">
        <w:r w:rsidRPr="00CD7FA5">
          <w:rPr>
            <w:rStyle w:val="Hyperlink"/>
          </w:rPr>
          <w:t>http://www.iwm.org.uk/history/conscientious-objectors-in-their-own-words</w:t>
        </w:r>
      </w:hyperlink>
      <w:r>
        <w:t xml:space="preserve"> </w:t>
      </w:r>
    </w:p>
    <w:p w:rsidR="0058061B" w:rsidRDefault="0058061B">
      <w:pPr>
        <w:pStyle w:val="FootnoteText"/>
      </w:pPr>
    </w:p>
  </w:footnote>
  <w:footnote w:id="17">
    <w:p w:rsidR="0077020D" w:rsidRDefault="0077020D">
      <w:pPr>
        <w:pStyle w:val="FootnoteText"/>
      </w:pPr>
      <w:r>
        <w:rPr>
          <w:rStyle w:val="FootnoteReference"/>
        </w:rPr>
        <w:footnoteRef/>
      </w:r>
      <w:r>
        <w:t xml:space="preserve"> C. Wakeley in M. Snape, </w:t>
      </w:r>
      <w:r>
        <w:rPr>
          <w:i/>
        </w:rPr>
        <w:t xml:space="preserve">God and the British Soldier: Religion and the British Army in the First and Second World Wars, </w:t>
      </w:r>
      <w:r>
        <w:t>(Oxon: Routledge, 2005) pg.</w:t>
      </w:r>
      <w:r>
        <w:t xml:space="preserve"> 192-193</w:t>
      </w:r>
    </w:p>
  </w:footnote>
  <w:footnote w:id="18">
    <w:p w:rsidR="00C129FA" w:rsidRDefault="00C129FA">
      <w:pPr>
        <w:pStyle w:val="FootnoteText"/>
      </w:pPr>
      <w:r>
        <w:rPr>
          <w:rStyle w:val="FootnoteReference"/>
        </w:rPr>
        <w:footnoteRef/>
      </w:r>
      <w:r>
        <w:t xml:space="preserve"> </w:t>
      </w:r>
      <w:r>
        <w:t xml:space="preserve">J. Rae, </w:t>
      </w:r>
      <w:r>
        <w:rPr>
          <w:i/>
        </w:rPr>
        <w:t xml:space="preserve">Conscience and Politics: The British Government and the Conscientious Objector to Military Service 1916-1919, </w:t>
      </w:r>
      <w:r>
        <w:t>(Oxford: Oxford University Press, 1970) pg.</w:t>
      </w:r>
      <w:r>
        <w:t xml:space="preserve"> 194</w:t>
      </w:r>
    </w:p>
  </w:footnote>
  <w:footnote w:id="19">
    <w:p w:rsidR="00C129FA" w:rsidRPr="00C129FA" w:rsidRDefault="00C129FA">
      <w:pPr>
        <w:pStyle w:val="FootnoteText"/>
      </w:pPr>
      <w:r>
        <w:rPr>
          <w:rStyle w:val="FootnoteReference"/>
        </w:rPr>
        <w:footnoteRef/>
      </w:r>
      <w:r>
        <w:t xml:space="preserve"> </w:t>
      </w:r>
      <w:r>
        <w:t xml:space="preserve">P. Brock, </w:t>
      </w:r>
      <w:r>
        <w:rPr>
          <w:i/>
        </w:rPr>
        <w:t xml:space="preserve">Against the Draft: Essays on Conscientious Objection from the Radical Reformation to the Second World War, </w:t>
      </w:r>
      <w:r>
        <w:t>(Toronto: University of Toronto Press, 2006) pg. 59</w:t>
      </w:r>
    </w:p>
  </w:footnote>
  <w:footnote w:id="20">
    <w:p w:rsidR="003312A2" w:rsidRDefault="003312A2">
      <w:pPr>
        <w:pStyle w:val="FootnoteText"/>
      </w:pPr>
      <w:r>
        <w:rPr>
          <w:rStyle w:val="FootnoteReference"/>
        </w:rPr>
        <w:footnoteRef/>
      </w:r>
      <w:r>
        <w:t xml:space="preserve"> </w:t>
      </w:r>
      <w:r>
        <w:t xml:space="preserve">M. Brooks, Imperial War Museums, </w:t>
      </w:r>
      <w:r>
        <w:rPr>
          <w:i/>
        </w:rPr>
        <w:t xml:space="preserve">Conscientious Objectors in their own words, </w:t>
      </w:r>
      <w:r>
        <w:t xml:space="preserve">[online] Available. </w:t>
      </w:r>
      <w:hyperlink r:id="rId6" w:history="1">
        <w:r w:rsidRPr="00CD7FA5">
          <w:rPr>
            <w:rStyle w:val="Hyperlink"/>
          </w:rPr>
          <w:t>http://www.iwm.org.uk/history/conscientious-objectors-in-their-own-words</w:t>
        </w:r>
      </w:hyperlink>
    </w:p>
  </w:footnote>
  <w:footnote w:id="21">
    <w:p w:rsidR="003312A2" w:rsidRPr="003312A2" w:rsidRDefault="003312A2">
      <w:pPr>
        <w:pStyle w:val="FootnoteText"/>
        <w:rPr>
          <w:i/>
        </w:rPr>
      </w:pPr>
      <w:r>
        <w:rPr>
          <w:rStyle w:val="FootnoteReference"/>
        </w:rPr>
        <w:footnoteRef/>
      </w:r>
      <w:r>
        <w:t xml:space="preserve"> </w:t>
      </w:r>
      <w:r>
        <w:rPr>
          <w:i/>
        </w:rPr>
        <w:t xml:space="preserve">Ibid. </w:t>
      </w:r>
    </w:p>
  </w:footnote>
  <w:footnote w:id="22">
    <w:p w:rsidR="003312A2" w:rsidRPr="003312A2" w:rsidRDefault="003312A2">
      <w:pPr>
        <w:pStyle w:val="FootnoteText"/>
      </w:pPr>
      <w:r>
        <w:rPr>
          <w:rStyle w:val="FootnoteReference"/>
        </w:rPr>
        <w:footnoteRef/>
      </w:r>
      <w:r>
        <w:t xml:space="preserve"> A. Kramer, </w:t>
      </w:r>
      <w:r>
        <w:rPr>
          <w:i/>
        </w:rPr>
        <w:t xml:space="preserve">Conscientious Objectors of the Second World War: Refusing to Fight, </w:t>
      </w:r>
      <w:r>
        <w:t>(Barnsley: Pen and Sword Publishing, 2013) pg. 72</w:t>
      </w:r>
    </w:p>
  </w:footnote>
  <w:footnote w:id="23">
    <w:p w:rsidR="00696622" w:rsidRPr="00696622" w:rsidRDefault="00696622">
      <w:pPr>
        <w:pStyle w:val="FootnoteText"/>
      </w:pPr>
      <w:r>
        <w:rPr>
          <w:rStyle w:val="FootnoteReference"/>
        </w:rPr>
        <w:footnoteRef/>
      </w:r>
      <w:r>
        <w:t xml:space="preserve"> BBC York and North Yorkshire, </w:t>
      </w:r>
      <w:r>
        <w:rPr>
          <w:i/>
        </w:rPr>
        <w:t xml:space="preserve">Conscientious Objectors in Prison, </w:t>
      </w:r>
      <w:r>
        <w:t>4</w:t>
      </w:r>
      <w:r w:rsidRPr="00696622">
        <w:rPr>
          <w:vertAlign w:val="superscript"/>
        </w:rPr>
        <w:t>th</w:t>
      </w:r>
      <w:r>
        <w:t xml:space="preserve"> November 2009, [online] Available. </w:t>
      </w:r>
      <w:hyperlink r:id="rId7" w:history="1">
        <w:r w:rsidRPr="00046BA2">
          <w:rPr>
            <w:rStyle w:val="Hyperlink"/>
          </w:rPr>
          <w:t>http://news.bbc.co.uk/local/york/hi/people_and_places/religion_and_ethics/newsid_8342000/8342995.stm</w:t>
        </w:r>
      </w:hyperlink>
      <w:r>
        <w:t xml:space="preserve"> </w:t>
      </w:r>
    </w:p>
  </w:footnote>
  <w:footnote w:id="24">
    <w:p w:rsidR="008726A4" w:rsidRDefault="008726A4">
      <w:pPr>
        <w:pStyle w:val="FootnoteText"/>
      </w:pPr>
      <w:r>
        <w:rPr>
          <w:rStyle w:val="FootnoteReference"/>
        </w:rPr>
        <w:footnoteRef/>
      </w:r>
      <w:r>
        <w:t xml:space="preserve"> </w:t>
      </w:r>
      <w:r>
        <w:t xml:space="preserve">A. Kramer, </w:t>
      </w:r>
      <w:r>
        <w:rPr>
          <w:i/>
        </w:rPr>
        <w:t xml:space="preserve">Conscientious Objectors of the Second World War: Refusing to Fight, </w:t>
      </w:r>
      <w:r>
        <w:t>(Barnsley: Pen an</w:t>
      </w:r>
      <w:r>
        <w:t>d Sword Publishing, 2013) pg. 73</w:t>
      </w:r>
    </w:p>
  </w:footnote>
  <w:footnote w:id="25">
    <w:p w:rsidR="008726A4" w:rsidRDefault="008726A4">
      <w:pPr>
        <w:pStyle w:val="FootnoteText"/>
      </w:pPr>
      <w:r>
        <w:rPr>
          <w:rStyle w:val="FootnoteReference"/>
        </w:rPr>
        <w:footnoteRef/>
      </w:r>
      <w:r>
        <w:t xml:space="preserve"> </w:t>
      </w:r>
      <w:r>
        <w:t xml:space="preserve">C. Tomlinson, English Heritage Richmond Castle, </w:t>
      </w:r>
      <w:r>
        <w:rPr>
          <w:i/>
        </w:rPr>
        <w:t xml:space="preserve">First World War Attitudes to Conscientious Objectors, </w:t>
      </w:r>
      <w:r>
        <w:t xml:space="preserve">[online] Available. </w:t>
      </w:r>
      <w:hyperlink r:id="rId8" w:history="1">
        <w:r w:rsidRPr="00795C89">
          <w:rPr>
            <w:rStyle w:val="Hyperlink"/>
          </w:rPr>
          <w:t>http://www.english-heritage.org.uk/visit/places/richmond-castle/richmond-graffiti/attitudes-to-cos/</w:t>
        </w:r>
      </w:hyperlink>
      <w:r>
        <w:rPr>
          <w:rStyle w:val="Hyperlink"/>
        </w:rPr>
        <w:t xml:space="preserve"> </w:t>
      </w:r>
    </w:p>
  </w:footnote>
  <w:footnote w:id="26">
    <w:p w:rsidR="00415FF9" w:rsidRPr="00415FF9" w:rsidRDefault="00415FF9">
      <w:pPr>
        <w:pStyle w:val="FootnoteText"/>
      </w:pPr>
      <w:r>
        <w:rPr>
          <w:rStyle w:val="FootnoteReference"/>
        </w:rPr>
        <w:footnoteRef/>
      </w:r>
      <w:r>
        <w:t xml:space="preserve"> T. James, </w:t>
      </w:r>
      <w:r>
        <w:rPr>
          <w:i/>
        </w:rPr>
        <w:t xml:space="preserve">About Dartmoor Prison, </w:t>
      </w:r>
      <w:r>
        <w:t>(Redruth: Orchard Publications, 2001) pg. 24</w:t>
      </w:r>
    </w:p>
  </w:footnote>
  <w:footnote w:id="27">
    <w:p w:rsidR="006C551D" w:rsidRPr="006C551D" w:rsidRDefault="006C551D">
      <w:pPr>
        <w:pStyle w:val="FootnoteText"/>
      </w:pPr>
      <w:r>
        <w:rPr>
          <w:rStyle w:val="FootnoteReference"/>
        </w:rPr>
        <w:footnoteRef/>
      </w:r>
      <w:r>
        <w:t xml:space="preserve"> </w:t>
      </w:r>
      <w:r>
        <w:rPr>
          <w:i/>
        </w:rPr>
        <w:t xml:space="preserve">Ibid. </w:t>
      </w:r>
      <w:r>
        <w:t>pg. 25</w:t>
      </w:r>
    </w:p>
  </w:footnote>
  <w:footnote w:id="28">
    <w:p w:rsidR="006C551D" w:rsidRPr="006C551D" w:rsidRDefault="006C551D">
      <w:pPr>
        <w:pStyle w:val="FootnoteText"/>
      </w:pPr>
      <w:r>
        <w:rPr>
          <w:rStyle w:val="FootnoteReference"/>
        </w:rPr>
        <w:footnoteRef/>
      </w:r>
      <w:r>
        <w:t xml:space="preserve"> </w:t>
      </w:r>
      <w:r>
        <w:rPr>
          <w:i/>
        </w:rPr>
        <w:t xml:space="preserve">Ibid. </w:t>
      </w:r>
      <w:r>
        <w:t>pg. 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628C3"/>
    <w:multiLevelType w:val="hybridMultilevel"/>
    <w:tmpl w:val="DF428A92"/>
    <w:lvl w:ilvl="0" w:tplc="3FFE68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3B6B22"/>
    <w:multiLevelType w:val="hybridMultilevel"/>
    <w:tmpl w:val="8B0E3D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08D8"/>
    <w:rsid w:val="00010680"/>
    <w:rsid w:val="000970EF"/>
    <w:rsid w:val="001050C2"/>
    <w:rsid w:val="0011634B"/>
    <w:rsid w:val="001523C8"/>
    <w:rsid w:val="00196213"/>
    <w:rsid w:val="002641DC"/>
    <w:rsid w:val="00275E62"/>
    <w:rsid w:val="00280DA5"/>
    <w:rsid w:val="00283F6B"/>
    <w:rsid w:val="002A5A5D"/>
    <w:rsid w:val="002B0691"/>
    <w:rsid w:val="003312A2"/>
    <w:rsid w:val="00336610"/>
    <w:rsid w:val="003908D8"/>
    <w:rsid w:val="00415FF9"/>
    <w:rsid w:val="00430939"/>
    <w:rsid w:val="00487FD0"/>
    <w:rsid w:val="004D0A51"/>
    <w:rsid w:val="0058061B"/>
    <w:rsid w:val="005F7224"/>
    <w:rsid w:val="0063435C"/>
    <w:rsid w:val="00634920"/>
    <w:rsid w:val="00646A10"/>
    <w:rsid w:val="006515E9"/>
    <w:rsid w:val="00667A69"/>
    <w:rsid w:val="00684A9A"/>
    <w:rsid w:val="00690C5A"/>
    <w:rsid w:val="00696622"/>
    <w:rsid w:val="006B27AC"/>
    <w:rsid w:val="006C551D"/>
    <w:rsid w:val="00765F48"/>
    <w:rsid w:val="007701C7"/>
    <w:rsid w:val="0077020D"/>
    <w:rsid w:val="00772185"/>
    <w:rsid w:val="007C31D1"/>
    <w:rsid w:val="008726A4"/>
    <w:rsid w:val="00874E32"/>
    <w:rsid w:val="00883BCF"/>
    <w:rsid w:val="008979E2"/>
    <w:rsid w:val="008A6870"/>
    <w:rsid w:val="008D5DFE"/>
    <w:rsid w:val="009A7713"/>
    <w:rsid w:val="00A322E7"/>
    <w:rsid w:val="00B15780"/>
    <w:rsid w:val="00B530A5"/>
    <w:rsid w:val="00B71A35"/>
    <w:rsid w:val="00C129FA"/>
    <w:rsid w:val="00C1743D"/>
    <w:rsid w:val="00C47A6B"/>
    <w:rsid w:val="00D15BEB"/>
    <w:rsid w:val="00D5623E"/>
    <w:rsid w:val="00D94D70"/>
    <w:rsid w:val="00DE7682"/>
    <w:rsid w:val="00E50A85"/>
    <w:rsid w:val="00E8510C"/>
    <w:rsid w:val="00F267CD"/>
    <w:rsid w:val="00F92599"/>
    <w:rsid w:val="00FA1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6F013"/>
  <w15:chartTrackingRefBased/>
  <w15:docId w15:val="{B9D0D759-1EBC-427D-81BB-6FD65F4D9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87F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7FD0"/>
    <w:rPr>
      <w:sz w:val="20"/>
      <w:szCs w:val="20"/>
    </w:rPr>
  </w:style>
  <w:style w:type="character" w:styleId="FootnoteReference">
    <w:name w:val="footnote reference"/>
    <w:basedOn w:val="DefaultParagraphFont"/>
    <w:uiPriority w:val="99"/>
    <w:semiHidden/>
    <w:unhideWhenUsed/>
    <w:rsid w:val="00487FD0"/>
    <w:rPr>
      <w:vertAlign w:val="superscript"/>
    </w:rPr>
  </w:style>
  <w:style w:type="character" w:styleId="Hyperlink">
    <w:name w:val="Hyperlink"/>
    <w:basedOn w:val="DefaultParagraphFont"/>
    <w:uiPriority w:val="99"/>
    <w:unhideWhenUsed/>
    <w:rsid w:val="00487FD0"/>
    <w:rPr>
      <w:color w:val="0563C1" w:themeColor="hyperlink"/>
      <w:u w:val="single"/>
    </w:rPr>
  </w:style>
  <w:style w:type="character" w:styleId="UnresolvedMention">
    <w:name w:val="Unresolved Mention"/>
    <w:basedOn w:val="DefaultParagraphFont"/>
    <w:uiPriority w:val="99"/>
    <w:semiHidden/>
    <w:unhideWhenUsed/>
    <w:rsid w:val="00487FD0"/>
    <w:rPr>
      <w:color w:val="808080"/>
      <w:shd w:val="clear" w:color="auto" w:fill="E6E6E6"/>
    </w:rPr>
  </w:style>
  <w:style w:type="paragraph" w:styleId="ListParagraph">
    <w:name w:val="List Paragraph"/>
    <w:basedOn w:val="Normal"/>
    <w:uiPriority w:val="34"/>
    <w:qFormat/>
    <w:rsid w:val="006966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0746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local/york/hi/people_and_places/religion_and_ethics/newsid_8342000/8342995.s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nglish-heritage.org.uk/visit/places/richmond-castle/richmond-graffiti/attitudes-to-co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elegraph.co.uk/history/world-war-one/inside-first-world-war/part-nine/10803538/conscientious-objectors-first-world-war.html" TargetMode="External"/><Relationship Id="rId5" Type="http://schemas.openxmlformats.org/officeDocument/2006/relationships/webSettings" Target="webSettings.xml"/><Relationship Id="rId10" Type="http://schemas.openxmlformats.org/officeDocument/2006/relationships/hyperlink" Target="https://owlcation.com/humanities/Conscientious-Objectors-During-World-War-1" TargetMode="External"/><Relationship Id="rId4" Type="http://schemas.openxmlformats.org/officeDocument/2006/relationships/settings" Target="settings.xml"/><Relationship Id="rId9" Type="http://schemas.openxmlformats.org/officeDocument/2006/relationships/hyperlink" Target="http://www.iwm.org.uk/history/conscientious-objectors-in-their-own-words"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english-heritage.org.uk/visit/places/richmond-castle/richmond-graffiti/attitudes-to-cos/" TargetMode="External"/><Relationship Id="rId3" Type="http://schemas.openxmlformats.org/officeDocument/2006/relationships/hyperlink" Target="http://www.telegraph.co.uk/history/world-war-one/inside-first-world-war/part-nine/10803538/conscientious-objectors-first-world-war.html" TargetMode="External"/><Relationship Id="rId7" Type="http://schemas.openxmlformats.org/officeDocument/2006/relationships/hyperlink" Target="http://news.bbc.co.uk/local/york/hi/people_and_places/religion_and_ethics/newsid_8342000/8342995.stm" TargetMode="External"/><Relationship Id="rId2" Type="http://schemas.openxmlformats.org/officeDocument/2006/relationships/hyperlink" Target="https://owlcation.com/humanities/Conscientious-Objectors-During-World-War-1" TargetMode="External"/><Relationship Id="rId1" Type="http://schemas.openxmlformats.org/officeDocument/2006/relationships/hyperlink" Target="http://www.english-heritage.org.uk/visit/places/richmond-castle/richmond-graffiti/attitudes-to-cos/" TargetMode="External"/><Relationship Id="rId6" Type="http://schemas.openxmlformats.org/officeDocument/2006/relationships/hyperlink" Target="http://www.iwm.org.uk/history/conscientious-objectors-in-their-own-words" TargetMode="External"/><Relationship Id="rId5" Type="http://schemas.openxmlformats.org/officeDocument/2006/relationships/hyperlink" Target="http://www.iwm.org.uk/history/conscientious-objectors-in-their-own-words" TargetMode="External"/><Relationship Id="rId4" Type="http://schemas.openxmlformats.org/officeDocument/2006/relationships/hyperlink" Target="http://www.iwm.org.uk/history/conscientious-objectors-in-their-own-w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67E9F9-3E9D-41A0-9A4A-DE397CA0D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2581</Words>
  <Characters>14174</Characters>
  <Application>Microsoft Office Word</Application>
  <DocSecurity>0</DocSecurity>
  <Lines>221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Cunningham</dc:creator>
  <cp:keywords/>
  <dc:description/>
  <cp:lastModifiedBy>David Cunningham</cp:lastModifiedBy>
  <cp:revision>2</cp:revision>
  <dcterms:created xsi:type="dcterms:W3CDTF">2018-01-12T16:07:00Z</dcterms:created>
  <dcterms:modified xsi:type="dcterms:W3CDTF">2018-01-12T16:07:00Z</dcterms:modified>
</cp:coreProperties>
</file>