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9141943" wp14:paraId="2C078E63" wp14:textId="0290B042">
      <w:pPr>
        <w:pStyle w:val="Normal"/>
        <w:ind w:left="720"/>
        <w:rPr>
          <w:rFonts w:ascii="Arial" w:hAnsi="Arial" w:eastAsia="Arial" w:cs="Arial"/>
          <w:b w:val="1"/>
          <w:bCs w:val="1"/>
          <w:noProof w:val="0"/>
          <w:sz w:val="24"/>
          <w:szCs w:val="24"/>
          <w:lang w:val="en-US"/>
        </w:rPr>
      </w:pPr>
      <w:r w:rsidRPr="59141943" w:rsidR="05AA05AA">
        <w:rPr>
          <w:rFonts w:ascii="Arial" w:hAnsi="Arial" w:eastAsia="Arial" w:cs="Arial"/>
          <w:b w:val="1"/>
          <w:bCs w:val="1"/>
          <w:noProof w:val="0"/>
          <w:sz w:val="24"/>
          <w:szCs w:val="24"/>
          <w:lang w:val="en-US"/>
        </w:rPr>
        <w:t xml:space="preserve">Discuss the significance of </w:t>
      </w:r>
      <w:r w:rsidRPr="59141943" w:rsidR="05AA05AA">
        <w:rPr>
          <w:rFonts w:ascii="Arial" w:hAnsi="Arial" w:eastAsia="Arial" w:cs="Arial"/>
          <w:b w:val="1"/>
          <w:bCs w:val="1"/>
          <w:noProof w:val="0"/>
          <w:sz w:val="24"/>
          <w:szCs w:val="24"/>
          <w:lang w:val="en-US"/>
        </w:rPr>
        <w:t>development of</w:t>
      </w:r>
      <w:r w:rsidRPr="59141943" w:rsidR="05AA05AA">
        <w:rPr>
          <w:rFonts w:ascii="Arial" w:hAnsi="Arial" w:eastAsia="Arial" w:cs="Arial"/>
          <w:b w:val="1"/>
          <w:bCs w:val="1"/>
          <w:noProof w:val="0"/>
          <w:sz w:val="24"/>
          <w:szCs w:val="24"/>
          <w:lang w:val="en-US"/>
        </w:rPr>
        <w:t xml:space="preserve"> effective study skills in higher education.</w:t>
      </w:r>
    </w:p>
    <w:p w:rsidR="59141943" w:rsidP="59141943" w:rsidRDefault="59141943" w14:paraId="609D756C" w14:textId="079C915E">
      <w:pPr>
        <w:pStyle w:val="Normal"/>
        <w:ind w:left="720"/>
        <w:rPr>
          <w:rFonts w:ascii="Arial" w:hAnsi="Arial" w:eastAsia="Arial" w:cs="Arial"/>
          <w:b w:val="1"/>
          <w:bCs w:val="1"/>
          <w:noProof w:val="0"/>
          <w:sz w:val="24"/>
          <w:szCs w:val="24"/>
          <w:lang w:val="en-US"/>
        </w:rPr>
      </w:pPr>
    </w:p>
    <w:p w:rsidR="59141943" w:rsidP="59141943" w:rsidRDefault="59141943" w14:paraId="138E0104" w14:textId="45C822A1">
      <w:pPr>
        <w:pStyle w:val="Normal"/>
        <w:ind w:left="720"/>
        <w:rPr>
          <w:rFonts w:ascii="Arial" w:hAnsi="Arial" w:eastAsia="Arial" w:cs="Arial"/>
          <w:noProof w:val="0"/>
          <w:sz w:val="24"/>
          <w:szCs w:val="24"/>
          <w:lang w:val="en-US"/>
        </w:rPr>
      </w:pPr>
    </w:p>
    <w:p w:rsidR="59141943" w:rsidP="59141943" w:rsidRDefault="59141943" w14:paraId="2524A434" w14:textId="45F3E5EA">
      <w:pPr>
        <w:pStyle w:val="Normal"/>
        <w:ind w:left="720"/>
        <w:rPr>
          <w:rFonts w:ascii="Arial" w:hAnsi="Arial" w:eastAsia="Arial" w:cs="Arial"/>
          <w:noProof w:val="0"/>
          <w:sz w:val="24"/>
          <w:szCs w:val="24"/>
          <w:lang w:val="en-US"/>
        </w:rPr>
      </w:pPr>
    </w:p>
    <w:p w:rsidR="59141943" w:rsidP="59141943" w:rsidRDefault="59141943" w14:paraId="404FA863" w14:textId="24A79E77">
      <w:pPr>
        <w:pStyle w:val="Normal"/>
        <w:ind w:left="720"/>
        <w:rPr>
          <w:rFonts w:ascii="Arial" w:hAnsi="Arial" w:eastAsia="Arial" w:cs="Arial"/>
          <w:noProof w:val="0"/>
          <w:sz w:val="24"/>
          <w:szCs w:val="24"/>
          <w:lang w:val="en-US"/>
        </w:rPr>
      </w:pPr>
    </w:p>
    <w:p w:rsidR="59141943" w:rsidP="59141943" w:rsidRDefault="59141943" w14:paraId="06C74479" w14:textId="2CF30BEF">
      <w:pPr>
        <w:pStyle w:val="Normal"/>
        <w:ind w:left="720"/>
        <w:rPr>
          <w:rFonts w:ascii="Arial" w:hAnsi="Arial" w:eastAsia="Arial" w:cs="Arial"/>
          <w:noProof w:val="0"/>
          <w:sz w:val="24"/>
          <w:szCs w:val="24"/>
          <w:lang w:val="en-US"/>
        </w:rPr>
      </w:pPr>
    </w:p>
    <w:p w:rsidR="59141943" w:rsidP="59141943" w:rsidRDefault="59141943" w14:paraId="04951B72" w14:textId="565F11B0">
      <w:pPr>
        <w:pStyle w:val="Normal"/>
        <w:ind w:left="720"/>
        <w:rPr>
          <w:rFonts w:ascii="Arial" w:hAnsi="Arial" w:eastAsia="Arial" w:cs="Arial"/>
          <w:noProof w:val="0"/>
          <w:sz w:val="24"/>
          <w:szCs w:val="24"/>
          <w:lang w:val="en-US"/>
        </w:rPr>
      </w:pPr>
    </w:p>
    <w:p w:rsidR="59141943" w:rsidP="59141943" w:rsidRDefault="59141943" w14:paraId="254B81EA" w14:textId="6E219E71">
      <w:pPr>
        <w:pStyle w:val="Normal"/>
        <w:ind w:left="720"/>
        <w:rPr>
          <w:rFonts w:ascii="Arial" w:hAnsi="Arial" w:eastAsia="Arial" w:cs="Arial"/>
          <w:noProof w:val="0"/>
          <w:sz w:val="24"/>
          <w:szCs w:val="24"/>
          <w:lang w:val="en-US"/>
        </w:rPr>
      </w:pPr>
    </w:p>
    <w:p w:rsidR="59141943" w:rsidP="59141943" w:rsidRDefault="59141943" w14:paraId="06884AD8" w14:textId="0AA706ED">
      <w:pPr>
        <w:pStyle w:val="Normal"/>
        <w:ind w:left="720"/>
        <w:rPr>
          <w:rFonts w:ascii="Arial" w:hAnsi="Arial" w:eastAsia="Arial" w:cs="Arial"/>
          <w:noProof w:val="0"/>
          <w:sz w:val="24"/>
          <w:szCs w:val="24"/>
          <w:lang w:val="en-US"/>
        </w:rPr>
      </w:pPr>
    </w:p>
    <w:p w:rsidR="59141943" w:rsidP="59141943" w:rsidRDefault="59141943" w14:paraId="3E1ADC89" w14:textId="24C84B39">
      <w:pPr>
        <w:pStyle w:val="Normal"/>
        <w:ind w:left="720"/>
        <w:rPr>
          <w:rFonts w:ascii="Arial" w:hAnsi="Arial" w:eastAsia="Arial" w:cs="Arial"/>
          <w:noProof w:val="0"/>
          <w:sz w:val="24"/>
          <w:szCs w:val="24"/>
          <w:lang w:val="en-US"/>
        </w:rPr>
      </w:pPr>
    </w:p>
    <w:p w:rsidR="59141943" w:rsidP="59141943" w:rsidRDefault="59141943" w14:paraId="001B4030" w14:textId="585FA1BA">
      <w:pPr>
        <w:pStyle w:val="Normal"/>
        <w:ind w:left="720"/>
        <w:rPr>
          <w:rFonts w:ascii="Arial" w:hAnsi="Arial" w:eastAsia="Arial" w:cs="Arial"/>
          <w:noProof w:val="0"/>
          <w:sz w:val="24"/>
          <w:szCs w:val="24"/>
          <w:lang w:val="en-US"/>
        </w:rPr>
      </w:pPr>
    </w:p>
    <w:p w:rsidR="59141943" w:rsidP="59141943" w:rsidRDefault="59141943" w14:paraId="06AA4C82" w14:textId="4BE2AE18">
      <w:pPr>
        <w:pStyle w:val="Normal"/>
        <w:ind w:left="720"/>
        <w:rPr>
          <w:rFonts w:ascii="Arial" w:hAnsi="Arial" w:eastAsia="Arial" w:cs="Arial"/>
          <w:noProof w:val="0"/>
          <w:sz w:val="24"/>
          <w:szCs w:val="24"/>
          <w:lang w:val="en-US"/>
        </w:rPr>
      </w:pPr>
    </w:p>
    <w:p w:rsidR="59141943" w:rsidP="59141943" w:rsidRDefault="59141943" w14:paraId="78BDD682" w14:textId="6B2A4247">
      <w:pPr>
        <w:pStyle w:val="Normal"/>
        <w:ind w:left="720"/>
        <w:rPr>
          <w:rFonts w:ascii="Arial" w:hAnsi="Arial" w:eastAsia="Arial" w:cs="Arial"/>
          <w:noProof w:val="0"/>
          <w:sz w:val="24"/>
          <w:szCs w:val="24"/>
          <w:lang w:val="en-US"/>
        </w:rPr>
      </w:pPr>
    </w:p>
    <w:p w:rsidR="59141943" w:rsidP="59141943" w:rsidRDefault="59141943" w14:paraId="27B3E844" w14:textId="3E1D958B">
      <w:pPr>
        <w:pStyle w:val="Normal"/>
        <w:ind w:left="720"/>
        <w:rPr>
          <w:rFonts w:ascii="Arial" w:hAnsi="Arial" w:eastAsia="Arial" w:cs="Arial"/>
          <w:noProof w:val="0"/>
          <w:sz w:val="24"/>
          <w:szCs w:val="24"/>
          <w:lang w:val="en-US"/>
        </w:rPr>
      </w:pPr>
    </w:p>
    <w:p w:rsidR="59141943" w:rsidP="59141943" w:rsidRDefault="59141943" w14:paraId="18DA0C54" w14:textId="694A0769">
      <w:pPr>
        <w:pStyle w:val="Normal"/>
        <w:ind w:left="720"/>
        <w:rPr>
          <w:rFonts w:ascii="Arial" w:hAnsi="Arial" w:eastAsia="Arial" w:cs="Arial"/>
          <w:noProof w:val="0"/>
          <w:sz w:val="24"/>
          <w:szCs w:val="24"/>
          <w:lang w:val="en-US"/>
        </w:rPr>
      </w:pPr>
    </w:p>
    <w:p w:rsidR="59141943" w:rsidP="59141943" w:rsidRDefault="59141943" w14:paraId="645C8922" w14:textId="346CB5DE">
      <w:pPr>
        <w:pStyle w:val="Normal"/>
        <w:ind w:left="720"/>
        <w:rPr>
          <w:rFonts w:ascii="Arial" w:hAnsi="Arial" w:eastAsia="Arial" w:cs="Arial"/>
          <w:noProof w:val="0"/>
          <w:sz w:val="24"/>
          <w:szCs w:val="24"/>
          <w:lang w:val="en-US"/>
        </w:rPr>
      </w:pPr>
    </w:p>
    <w:p w:rsidR="59141943" w:rsidP="59141943" w:rsidRDefault="59141943" w14:paraId="35E662A5" w14:textId="1991AC0B">
      <w:pPr>
        <w:pStyle w:val="Normal"/>
        <w:ind w:left="720"/>
        <w:rPr>
          <w:rFonts w:ascii="Arial" w:hAnsi="Arial" w:eastAsia="Arial" w:cs="Arial"/>
          <w:noProof w:val="0"/>
          <w:sz w:val="24"/>
          <w:szCs w:val="24"/>
          <w:lang w:val="en-US"/>
        </w:rPr>
      </w:pPr>
    </w:p>
    <w:p w:rsidR="59141943" w:rsidP="59141943" w:rsidRDefault="59141943" w14:paraId="7A883D0A" w14:textId="323F5142">
      <w:pPr>
        <w:pStyle w:val="Normal"/>
        <w:ind w:left="720"/>
        <w:rPr>
          <w:rFonts w:ascii="Arial" w:hAnsi="Arial" w:eastAsia="Arial" w:cs="Arial"/>
          <w:noProof w:val="0"/>
          <w:sz w:val="24"/>
          <w:szCs w:val="24"/>
          <w:lang w:val="en-US"/>
        </w:rPr>
      </w:pPr>
    </w:p>
    <w:p w:rsidR="59141943" w:rsidP="59141943" w:rsidRDefault="59141943" w14:paraId="39846CB9" w14:textId="5215301B">
      <w:pPr>
        <w:pStyle w:val="Normal"/>
        <w:ind w:left="720"/>
        <w:rPr>
          <w:rFonts w:ascii="Arial" w:hAnsi="Arial" w:eastAsia="Arial" w:cs="Arial"/>
          <w:noProof w:val="0"/>
          <w:sz w:val="24"/>
          <w:szCs w:val="24"/>
          <w:lang w:val="en-US"/>
        </w:rPr>
      </w:pPr>
    </w:p>
    <w:p w:rsidR="59141943" w:rsidP="59141943" w:rsidRDefault="59141943" w14:paraId="511D611D" w14:textId="101DFC37">
      <w:pPr>
        <w:pStyle w:val="Normal"/>
        <w:ind w:left="720"/>
        <w:rPr>
          <w:rFonts w:ascii="Arial" w:hAnsi="Arial" w:eastAsia="Arial" w:cs="Arial"/>
          <w:noProof w:val="0"/>
          <w:sz w:val="24"/>
          <w:szCs w:val="24"/>
          <w:lang w:val="en-US"/>
        </w:rPr>
      </w:pPr>
    </w:p>
    <w:p w:rsidR="59141943" w:rsidP="59141943" w:rsidRDefault="59141943" w14:paraId="4AE4CF02" w14:textId="24C1426E">
      <w:pPr>
        <w:pStyle w:val="Normal"/>
        <w:ind w:left="720"/>
        <w:rPr>
          <w:rFonts w:ascii="Arial" w:hAnsi="Arial" w:eastAsia="Arial" w:cs="Arial"/>
          <w:noProof w:val="0"/>
          <w:sz w:val="24"/>
          <w:szCs w:val="24"/>
          <w:lang w:val="en-US"/>
        </w:rPr>
      </w:pPr>
    </w:p>
    <w:p w:rsidR="05AA05AA" w:rsidP="59141943" w:rsidRDefault="05AA05AA" w14:paraId="1461F2CD" w14:textId="50B7A117">
      <w:pPr>
        <w:pStyle w:val="Normal"/>
        <w:ind w:left="0"/>
        <w:rPr>
          <w:rFonts w:ascii="Arial" w:hAnsi="Arial" w:eastAsia="Arial" w:cs="Arial"/>
          <w:noProof w:val="0"/>
          <w:sz w:val="24"/>
          <w:szCs w:val="24"/>
          <w:lang w:val="en-US"/>
        </w:rPr>
      </w:pPr>
      <w:r w:rsidRPr="59141943" w:rsidR="05AA05AA">
        <w:rPr>
          <w:rFonts w:ascii="Arial" w:hAnsi="Arial" w:eastAsia="Arial" w:cs="Arial"/>
          <w:noProof w:val="0"/>
          <w:sz w:val="24"/>
          <w:szCs w:val="24"/>
          <w:lang w:val="en-US"/>
        </w:rPr>
        <w:t xml:space="preserve">Module: Study skills </w:t>
      </w:r>
    </w:p>
    <w:p w:rsidR="05AA05AA" w:rsidP="59141943" w:rsidRDefault="05AA05AA" w14:paraId="0BFC725D" w14:textId="2DCAC7AD">
      <w:pPr>
        <w:pStyle w:val="Normal"/>
        <w:ind w:left="0"/>
        <w:rPr>
          <w:rFonts w:ascii="Arial" w:hAnsi="Arial" w:eastAsia="Arial" w:cs="Arial"/>
          <w:noProof w:val="0"/>
          <w:sz w:val="24"/>
          <w:szCs w:val="24"/>
          <w:lang w:val="en-US"/>
        </w:rPr>
      </w:pPr>
      <w:r w:rsidRPr="59141943" w:rsidR="05AA05AA">
        <w:rPr>
          <w:rFonts w:ascii="Arial" w:hAnsi="Arial" w:eastAsia="Arial" w:cs="Arial"/>
          <w:noProof w:val="0"/>
          <w:sz w:val="24"/>
          <w:szCs w:val="24"/>
          <w:lang w:val="en-US"/>
        </w:rPr>
        <w:t>Lecturer</w:t>
      </w:r>
      <w:r w:rsidRPr="59141943" w:rsidR="05AA05AA">
        <w:rPr>
          <w:rFonts w:ascii="Arial" w:hAnsi="Arial" w:eastAsia="Arial" w:cs="Arial"/>
          <w:noProof w:val="0"/>
          <w:sz w:val="24"/>
          <w:szCs w:val="24"/>
          <w:lang w:val="en-US"/>
        </w:rPr>
        <w:t>: Sadie France</w:t>
      </w:r>
    </w:p>
    <w:p w:rsidR="05AA05AA" w:rsidP="59141943" w:rsidRDefault="05AA05AA" w14:paraId="54BE3991" w14:textId="31B32EE8">
      <w:pPr>
        <w:pStyle w:val="Normal"/>
        <w:ind w:left="0"/>
        <w:rPr>
          <w:rFonts w:ascii="Arial" w:hAnsi="Arial" w:eastAsia="Arial" w:cs="Arial"/>
          <w:noProof w:val="0"/>
          <w:sz w:val="24"/>
          <w:szCs w:val="24"/>
          <w:lang w:val="en-US"/>
        </w:rPr>
      </w:pPr>
      <w:r w:rsidRPr="59141943" w:rsidR="05AA05AA">
        <w:rPr>
          <w:rFonts w:ascii="Arial" w:hAnsi="Arial" w:eastAsia="Arial" w:cs="Arial"/>
          <w:noProof w:val="0"/>
          <w:sz w:val="24"/>
          <w:szCs w:val="24"/>
          <w:lang w:val="en-US"/>
        </w:rPr>
        <w:t>Name: Olivia John</w:t>
      </w:r>
    </w:p>
    <w:p w:rsidR="59141943" w:rsidP="59141943" w:rsidRDefault="59141943" w14:paraId="51C28CCB" w14:textId="31C25BD9">
      <w:pPr>
        <w:pStyle w:val="Normal"/>
        <w:ind w:left="0"/>
        <w:rPr>
          <w:rFonts w:ascii="Arial" w:hAnsi="Arial" w:eastAsia="Arial" w:cs="Arial"/>
          <w:noProof w:val="0"/>
          <w:sz w:val="24"/>
          <w:szCs w:val="24"/>
          <w:lang w:val="en-US"/>
        </w:rPr>
      </w:pPr>
    </w:p>
    <w:p w:rsidR="59141943" w:rsidP="59141943" w:rsidRDefault="59141943" w14:paraId="72EA4667" w14:textId="0A516C3E">
      <w:pPr>
        <w:pStyle w:val="Normal"/>
        <w:ind w:left="0"/>
        <w:rPr>
          <w:rFonts w:ascii="Arial" w:hAnsi="Arial" w:eastAsia="Arial" w:cs="Arial"/>
          <w:noProof w:val="0"/>
          <w:sz w:val="24"/>
          <w:szCs w:val="24"/>
          <w:lang w:val="en-US"/>
        </w:rPr>
      </w:pPr>
    </w:p>
    <w:p w:rsidR="59141943" w:rsidP="59141943" w:rsidRDefault="59141943" w14:paraId="65CF7933" w14:textId="471D110F">
      <w:pPr>
        <w:pStyle w:val="Normal"/>
        <w:ind w:left="0"/>
        <w:rPr>
          <w:rFonts w:ascii="Arial" w:hAnsi="Arial" w:eastAsia="Arial" w:cs="Arial"/>
          <w:noProof w:val="0"/>
          <w:sz w:val="24"/>
          <w:szCs w:val="24"/>
          <w:lang w:val="en-US"/>
        </w:rPr>
      </w:pPr>
    </w:p>
    <w:p w:rsidR="05AA05AA" w:rsidP="59141943" w:rsidRDefault="05AA05AA" w14:paraId="37549186" w14:textId="5BB1D0A6">
      <w:pPr>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Introduction</w:t>
      </w:r>
    </w:p>
    <w:p w:rsidR="05AA05AA" w:rsidP="59141943" w:rsidRDefault="05AA05AA" w14:paraId="3082EB17" w14:textId="66F9A345">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In higher education, the acquisition of effective study skills is paramount for students to succeed academically and prepare for future endeavors. This report explores the significance of developing effective study skills in higher education, examining the benefits they offer to students in terms of academic achievement, personal development, and professional success. By analyzing relevant literature and research findings, this report aims to provide insights into the importance of cultivating study skills and strategies that enhance learning outcomes and empower students to navigate the challenges of higher education </w:t>
      </w:r>
      <w:r w:rsidRPr="59141943" w:rsidR="4794E50F">
        <w:rPr>
          <w:rFonts w:ascii="Arial" w:hAnsi="Arial" w:eastAsia="Arial" w:cs="Arial"/>
          <w:b w:val="0"/>
          <w:bCs w:val="0"/>
          <w:i w:val="0"/>
          <w:iCs w:val="0"/>
          <w:caps w:val="0"/>
          <w:smallCaps w:val="0"/>
          <w:noProof w:val="0"/>
          <w:color w:val="0D0D0D" w:themeColor="text1" w:themeTint="F2" w:themeShade="FF"/>
          <w:sz w:val="24"/>
          <w:szCs w:val="24"/>
          <w:lang w:val="en-US"/>
        </w:rPr>
        <w:t xml:space="preserve">successfully. </w:t>
      </w:r>
    </w:p>
    <w:p w:rsidR="05AA05AA" w:rsidP="59141943" w:rsidRDefault="05AA05AA" w14:paraId="0A3F90BE" w14:textId="37315831">
      <w:pPr>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Importance of Study Skills in Higher Education</w:t>
      </w:r>
    </w:p>
    <w:p w:rsidR="05AA05AA" w:rsidP="59141943" w:rsidRDefault="05AA05AA" w14:paraId="5536F1A7" w14:textId="6B11BFA0">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Effective study skills serve as the foundation for academic success in higher education. They encompass a range of cognitive, metacognitive, and behavioral strategies that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facilitate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learning, comprehension, and retention of course materials (Weinstein &amp; Acee, 2017). These skills include time management, active reading, note-taking, critical thinking, problem-solving, and exam preparation techniques (Cottrell, 2013).</w:t>
      </w:r>
      <w:r w:rsidRPr="59141943" w:rsidR="41B54135">
        <w:rPr>
          <w:rFonts w:ascii="Arial" w:hAnsi="Arial" w:eastAsia="Arial" w:cs="Arial"/>
          <w:b w:val="0"/>
          <w:bCs w:val="0"/>
          <w:i w:val="0"/>
          <w:iCs w:val="0"/>
          <w:caps w:val="0"/>
          <w:smallCaps w:val="0"/>
          <w:noProof w:val="0"/>
          <w:color w:val="0D0D0D" w:themeColor="text1" w:themeTint="F2" w:themeShade="FF"/>
          <w:sz w:val="24"/>
          <w:szCs w:val="24"/>
          <w:lang w:val="en-US"/>
        </w:rPr>
        <w:t xml:space="preserve"> Effective study skills serve as the cornerstone of lifelong learning. In higher education, students are not merely acquiring knowledge for the sake of passing exams but are developing critical thinking abilities and intellectual curiosity that will </w:t>
      </w:r>
      <w:r w:rsidRPr="59141943" w:rsidR="41B54135">
        <w:rPr>
          <w:rFonts w:ascii="Arial" w:hAnsi="Arial" w:eastAsia="Arial" w:cs="Arial"/>
          <w:b w:val="0"/>
          <w:bCs w:val="0"/>
          <w:i w:val="0"/>
          <w:iCs w:val="0"/>
          <w:caps w:val="0"/>
          <w:smallCaps w:val="0"/>
          <w:noProof w:val="0"/>
          <w:color w:val="0D0D0D" w:themeColor="text1" w:themeTint="F2" w:themeShade="FF"/>
          <w:sz w:val="24"/>
          <w:szCs w:val="24"/>
          <w:lang w:val="en-US"/>
        </w:rPr>
        <w:t>benefit</w:t>
      </w:r>
      <w:r w:rsidRPr="59141943" w:rsidR="41B54135">
        <w:rPr>
          <w:rFonts w:ascii="Arial" w:hAnsi="Arial" w:eastAsia="Arial" w:cs="Arial"/>
          <w:b w:val="0"/>
          <w:bCs w:val="0"/>
          <w:i w:val="0"/>
          <w:iCs w:val="0"/>
          <w:caps w:val="0"/>
          <w:smallCaps w:val="0"/>
          <w:noProof w:val="0"/>
          <w:color w:val="0D0D0D" w:themeColor="text1" w:themeTint="F2" w:themeShade="FF"/>
          <w:sz w:val="24"/>
          <w:szCs w:val="24"/>
          <w:lang w:val="en-US"/>
        </w:rPr>
        <w:t xml:space="preserve"> them throughout their lives (Biggs &amp; Tang, 2011). By mastering study skills such as active reading, critical analysis, and information synthesis, students cultivate habits of inquiry and exploration that extend beyond the boundaries of their academic coursework. These skills empower individuals to seek out new knowledge, engage with diverse perspectives, and adapt to the demands of a rapidly changing world. </w:t>
      </w:r>
    </w:p>
    <w:p w:rsidR="41B54135" w:rsidP="59141943" w:rsidRDefault="41B54135" w14:paraId="341AEB6C" w14:textId="279489B8">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1B54135">
        <w:rPr>
          <w:rFonts w:ascii="Arial" w:hAnsi="Arial" w:eastAsia="Arial" w:cs="Arial"/>
          <w:b w:val="0"/>
          <w:bCs w:val="0"/>
          <w:i w:val="0"/>
          <w:iCs w:val="0"/>
          <w:caps w:val="0"/>
          <w:smallCaps w:val="0"/>
          <w:noProof w:val="0"/>
          <w:color w:val="0D0D0D" w:themeColor="text1" w:themeTint="F2" w:themeShade="FF"/>
          <w:sz w:val="24"/>
          <w:szCs w:val="24"/>
          <w:lang w:val="en-US"/>
        </w:rPr>
        <w:t xml:space="preserve">Effective study skills serve as the cornerstone of lifelong learning. In higher education, students are not merely acquiring knowledge for the sake of passing exams but are developing critical thinking abilities and intellectual curiosity that will </w:t>
      </w:r>
      <w:r w:rsidRPr="59141943" w:rsidR="41B54135">
        <w:rPr>
          <w:rFonts w:ascii="Arial" w:hAnsi="Arial" w:eastAsia="Arial" w:cs="Arial"/>
          <w:b w:val="0"/>
          <w:bCs w:val="0"/>
          <w:i w:val="0"/>
          <w:iCs w:val="0"/>
          <w:caps w:val="0"/>
          <w:smallCaps w:val="0"/>
          <w:noProof w:val="0"/>
          <w:color w:val="0D0D0D" w:themeColor="text1" w:themeTint="F2" w:themeShade="FF"/>
          <w:sz w:val="24"/>
          <w:szCs w:val="24"/>
          <w:lang w:val="en-US"/>
        </w:rPr>
        <w:t>benefit</w:t>
      </w:r>
      <w:r w:rsidRPr="59141943" w:rsidR="41B54135">
        <w:rPr>
          <w:rFonts w:ascii="Arial" w:hAnsi="Arial" w:eastAsia="Arial" w:cs="Arial"/>
          <w:b w:val="0"/>
          <w:bCs w:val="0"/>
          <w:i w:val="0"/>
          <w:iCs w:val="0"/>
          <w:caps w:val="0"/>
          <w:smallCaps w:val="0"/>
          <w:noProof w:val="0"/>
          <w:color w:val="0D0D0D" w:themeColor="text1" w:themeTint="F2" w:themeShade="FF"/>
          <w:sz w:val="24"/>
          <w:szCs w:val="24"/>
          <w:lang w:val="en-US"/>
        </w:rPr>
        <w:t xml:space="preserve"> them throughout their lives (Biggs &amp; Tang, 2011). By mastering study skills such as active reading, critical analysis, and information synthesis, students cultivate habits of inquiry and exploration that extend beyond the boundaries of their academic coursework. These skills empower individuals to seek out new knowledge, engage with diverse perspectives, and adapt to the demands of a rapidly changing world.</w:t>
      </w:r>
    </w:p>
    <w:p w:rsidR="05AA05AA" w:rsidP="59141943" w:rsidRDefault="05AA05AA" w14:paraId="481E2116" w14:textId="14DE1B9B">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Academic Achievement</w:t>
      </w:r>
    </w:p>
    <w:p w:rsidR="05AA05AA" w:rsidP="59141943" w:rsidRDefault="05AA05AA" w14:paraId="670E73D7" w14:textId="1319CF5F">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Developing effective study skills enables students to manage their time efficiently, organize study materials, and set realistic goals for their academic endeavors (Zimmerman &amp; Schunk, 2014). By mastering these skills, students can enhance their productivity, reduce procrastination, and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optimize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their learning experiences (Tuckman &amp; Kennedy, 2011).</w:t>
      </w:r>
    </w:p>
    <w:p w:rsidR="05AA05AA" w:rsidP="59141943" w:rsidRDefault="05AA05AA" w14:paraId="2FA2728E" w14:textId="25DE24DE">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Effective study skills empower students to engage with course content actively, analyze complex concepts, and apply critical thinking skills to solve problems and make informed decisions (Hattie, 2009). Through regular practice and reinforcement of study skills, students can improve their understanding of course materials and achieve higher grades in assessments and examinations (Dembo &amp; Seli, 2017).</w:t>
      </w:r>
    </w:p>
    <w:p w:rsidR="05AA05AA" w:rsidP="59141943" w:rsidRDefault="05AA05AA" w14:paraId="6A31D65B" w14:textId="395469C1">
      <w:pPr>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 xml:space="preserve"> Personal Development</w:t>
      </w:r>
    </w:p>
    <w:p w:rsidR="05AA05AA" w:rsidP="59141943" w:rsidRDefault="05AA05AA" w14:paraId="6CE42483" w14:textId="0AA66E8B">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Beyond academic achievement, the development of effective study skills fosters personal growth and self-regulation among students (Entwistle &amp; McCune, 2017). By taking ownership of their learning processes and adopting strategies that promote self-reflection and metacognition, students develop greater self-efficacy, resilience, and confidence in their abilities (Winne &amp; Hadwin, 2008).</w:t>
      </w:r>
    </w:p>
    <w:p w:rsidR="05AA05AA" w:rsidP="59141943" w:rsidRDefault="05AA05AA" w14:paraId="7A923CFE" w14:textId="5CBC3E3A">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Effective study skills also contribute to the cultivation of lifelong learning habits and intellectual curiosity, encouraging students to pursue continuous self-improvement and intellectual exploration beyond the confines of formal education (Biggs &amp; Tang, 2011). These skills empower students to adapt to new challenges,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acquire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new knowledge, and thrive in an ever-changing academic and professional landscape (Barkley et al., 2014).</w:t>
      </w:r>
    </w:p>
    <w:p w:rsidR="05AA05AA" w:rsidP="59141943" w:rsidRDefault="05AA05AA" w14:paraId="17437A2F" w14:textId="2AB2D533">
      <w:pPr>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Professional Success</w:t>
      </w:r>
    </w:p>
    <w:p w:rsidR="05AA05AA" w:rsidP="59141943" w:rsidRDefault="05AA05AA" w14:paraId="01D60A07" w14:textId="6E7E1BA3">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The acquisition of effective study skills in higher education lays the groundwork for future professional success and career advancement (Kreber &amp; Cranton, 2000). Employers value individuals who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demonstrate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strong analytical, problem-solving, and communication skills, all of which are cultivated through effective study practices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Wintre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&amp; Yaffe, 2000).</w:t>
      </w:r>
    </w:p>
    <w:p w:rsidR="05AA05AA" w:rsidP="59141943" w:rsidRDefault="05AA05AA" w14:paraId="4BF51F68" w14:textId="512B2C00">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By honing their study skills, students develop transferable skills that are highly sought after in the workplace, such as time management, organization, critical thinking, and teamwork (Yorke, 2006). These skills enhance students' employability and equip them with the tools they need to succeed in diverse professional contexts (Boud &amp;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Falchikov</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2007).</w:t>
      </w:r>
    </w:p>
    <w:p w:rsidR="05AA05AA" w:rsidP="59141943" w:rsidRDefault="05AA05AA" w14:paraId="19CF9AE8" w14:textId="5D41E995">
      <w:pPr>
        <w:pStyle w:val="Normal"/>
        <w:shd w:val="clear" w:color="auto" w:fill="FFFFFF" w:themeFill="background1"/>
        <w:spacing w:before="0" w:beforeAutospacing="off" w:after="0" w:afterAutospacing="off"/>
        <w:ind w:left="0"/>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Strategies for Developing Effective Study Skills</w:t>
      </w:r>
    </w:p>
    <w:p w:rsidR="05AA05AA" w:rsidP="59141943" w:rsidRDefault="05AA05AA" w14:paraId="1D998A92" w14:textId="3C38304F">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To develop effective study skills, students can employ various strategies and techniques tailored to their individual learning preferences and academic goals (McGuire, 2015). These strategies may include:</w:t>
      </w:r>
    </w:p>
    <w:p w:rsidR="05AA05AA" w:rsidP="59141943" w:rsidRDefault="05AA05AA" w14:paraId="538FAB1B" w14:textId="7C585D38">
      <w:pPr>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Time Management</w:t>
      </w:r>
    </w:p>
    <w:p w:rsidR="05AA05AA" w:rsidP="59141943" w:rsidRDefault="05AA05AA" w14:paraId="28058B86" w14:textId="197DE331">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Utilizing tools such as planners, calendars, and digital apps to schedule study sessions, prioritize tasks, and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allocate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time effectively (Ellis &amp; Knaus, 2013).</w:t>
      </w:r>
    </w:p>
    <w:p w:rsidR="05AA05AA" w:rsidP="59141943" w:rsidRDefault="05AA05AA" w14:paraId="6D62A4F0" w14:textId="3FCAF49E">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Breaking down large tasks into smaller, manageable chunks and setting deadlines to track progress and stay on track (Covey, 2013).</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 xml:space="preserve"> Effective time management allows students to strike a balance between their academic responsibilities and personal commitments, such as work, extracurricular activities, and social engagements (McGuire, 2015). By creating a realistic study schedule that </w:t>
      </w:r>
      <w:r w:rsidRPr="59141943" w:rsidR="634070E5">
        <w:rPr>
          <w:rFonts w:ascii="Arial" w:hAnsi="Arial" w:eastAsia="Arial" w:cs="Arial"/>
          <w:b w:val="0"/>
          <w:bCs w:val="0"/>
          <w:i w:val="0"/>
          <w:iCs w:val="0"/>
          <w:caps w:val="0"/>
          <w:smallCaps w:val="0"/>
          <w:noProof w:val="0"/>
          <w:color w:val="0D0D0D" w:themeColor="text1" w:themeTint="F2" w:themeShade="FF"/>
          <w:sz w:val="24"/>
          <w:szCs w:val="24"/>
          <w:lang w:val="en-US"/>
        </w:rPr>
        <w:t>considers</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 xml:space="preserve"> their other obligations and commitments, students can ensure that they devote adequate time to both their academic pursuits and personal interests (Ellis &amp; Knaus, 2013). Time management enables students to prioritize their tasks and make informed decisions about how to </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allocate</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 xml:space="preserve"> their time based on their individual priorities and goals (Covey, 2013). By </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maintaining</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 xml:space="preserve"> a healthy balance between academic and personal life, students can reduce stress, prevent burnout, and </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maintain</w:t>
      </w:r>
      <w:r w:rsidRPr="59141943" w:rsidR="04A72012">
        <w:rPr>
          <w:rFonts w:ascii="Arial" w:hAnsi="Arial" w:eastAsia="Arial" w:cs="Arial"/>
          <w:b w:val="0"/>
          <w:bCs w:val="0"/>
          <w:i w:val="0"/>
          <w:iCs w:val="0"/>
          <w:caps w:val="0"/>
          <w:smallCaps w:val="0"/>
          <w:noProof w:val="0"/>
          <w:color w:val="0D0D0D" w:themeColor="text1" w:themeTint="F2" w:themeShade="FF"/>
          <w:sz w:val="24"/>
          <w:szCs w:val="24"/>
          <w:lang w:val="en-US"/>
        </w:rPr>
        <w:t xml:space="preserve"> overall well-being (Macan et al., 1990).</w:t>
      </w:r>
    </w:p>
    <w:p w:rsidR="05AA05AA" w:rsidP="59141943" w:rsidRDefault="05AA05AA" w14:paraId="1A846F8C" w14:textId="25B3940E">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Active Reading and Note-Taking</w:t>
      </w:r>
    </w:p>
    <w:p w:rsidR="05AA05AA" w:rsidP="59141943" w:rsidRDefault="05AA05AA" w14:paraId="61C3AF1B" w14:textId="136C3106">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Engaging actively with course materials by annotating texts, asking questions, and summarizing key points to enhance comprehension and retention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McKeachie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et al., 2013).</w:t>
      </w:r>
    </w:p>
    <w:p w:rsidR="05AA05AA" w:rsidP="59141943" w:rsidRDefault="05AA05AA" w14:paraId="36C2990D" w14:textId="0D374617">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Adopting note-taking strategies such as the Cornell method, concept mapping, or outlining to organize information and create study aids for review (Pauk &amp; Owens, 2013).</w:t>
      </w:r>
      <w:r w:rsidRPr="59141943" w:rsidR="0C90E7D4">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 xml:space="preserve">Note-taking is an essential </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component</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 xml:space="preserve"> of effective study skills, allowing students to capture key information, organize their thoughts, and create study aids for review (Pauk &amp; Owens, 2013). By developing effective note-taking strategies such as the Cornell method, concept mapping, or outlining, students can condense complex information into concise and organized formats (</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McKeachie</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 xml:space="preserve"> et al., 2013). Note-taking promotes active engagement with course materials, as students must synthesize information, prioritize key points, and </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determine</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 xml:space="preserve"> the most effective way to </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represent</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 xml:space="preserve"> the content (Weinstein &amp; Acee, 2017). Moreover, by reviewing and revising their notes regularly, students reinforce their understanding of the material, </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identify</w:t>
      </w:r>
      <w:r w:rsidRPr="59141943" w:rsidR="2A133036">
        <w:rPr>
          <w:rFonts w:ascii="Arial" w:hAnsi="Arial" w:eastAsia="Arial" w:cs="Arial"/>
          <w:b w:val="0"/>
          <w:bCs w:val="0"/>
          <w:i w:val="0"/>
          <w:iCs w:val="0"/>
          <w:caps w:val="0"/>
          <w:smallCaps w:val="0"/>
          <w:noProof w:val="0"/>
          <w:color w:val="0D0D0D" w:themeColor="text1" w:themeTint="F2" w:themeShade="FF"/>
          <w:sz w:val="24"/>
          <w:szCs w:val="24"/>
          <w:lang w:val="en-US"/>
        </w:rPr>
        <w:t xml:space="preserve"> areas of confusion, and prepare themselves for assessments and examinations (Pauk &amp; Owens, 2013).</w:t>
      </w:r>
    </w:p>
    <w:p w:rsidR="05AA05AA" w:rsidP="59141943" w:rsidRDefault="05AA05AA" w14:paraId="1FBE80BD" w14:textId="7C812345">
      <w:pPr>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 xml:space="preserve"> Critical Thinking and Problem-Solving</w:t>
      </w:r>
    </w:p>
    <w:p w:rsidR="05AA05AA" w:rsidP="59141943" w:rsidRDefault="05AA05AA" w14:paraId="3D98B6CB" w14:textId="60A9026E">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Practicing critical thinking skills through activities such as analyzing arguments, evaluating evidence, and synthesizing information from multiple sources (</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Facione</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2015</w:t>
      </w:r>
      <w:r w:rsidRPr="59141943" w:rsidR="0335BDFE">
        <w:rPr>
          <w:rFonts w:ascii="Arial" w:hAnsi="Arial" w:eastAsia="Arial" w:cs="Arial"/>
          <w:b w:val="0"/>
          <w:bCs w:val="0"/>
          <w:i w:val="0"/>
          <w:iCs w:val="0"/>
          <w:caps w:val="0"/>
          <w:smallCaps w:val="0"/>
          <w:noProof w:val="0"/>
          <w:color w:val="0D0D0D" w:themeColor="text1" w:themeTint="F2" w:themeShade="FF"/>
          <w:sz w:val="24"/>
          <w:szCs w:val="24"/>
          <w:lang w:val="en-US"/>
        </w:rPr>
        <w:t>). Engaging</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in problem-solving activities, case studies, and simulations to apply theoretical knowledge to real-world scenarios and develop practical skills (Mayer &amp; Wittrock, 2006).</w:t>
      </w:r>
      <w:r w:rsidRPr="59141943" w:rsidR="58427408">
        <w:rPr>
          <w:rFonts w:ascii="Arial" w:hAnsi="Arial" w:eastAsia="Arial" w:cs="Arial"/>
          <w:b w:val="0"/>
          <w:bCs w:val="0"/>
          <w:i w:val="0"/>
          <w:iCs w:val="0"/>
          <w:caps w:val="0"/>
          <w:smallCaps w:val="0"/>
          <w:noProof w:val="0"/>
          <w:color w:val="0D0D0D" w:themeColor="text1" w:themeTint="F2" w:themeShade="FF"/>
          <w:sz w:val="24"/>
          <w:szCs w:val="24"/>
          <w:lang w:val="en-US"/>
        </w:rPr>
        <w:t xml:space="preserve"> Critical thinking and problem-solving are essential skills for success in both academic and professional contexts (Halpern, 2014). Employers value individuals who can think critically, analyze complex problems, and develop innovative solutions (</w:t>
      </w:r>
      <w:r w:rsidRPr="59141943" w:rsidR="58427408">
        <w:rPr>
          <w:rFonts w:ascii="Arial" w:hAnsi="Arial" w:eastAsia="Arial" w:cs="Arial"/>
          <w:b w:val="0"/>
          <w:bCs w:val="0"/>
          <w:i w:val="0"/>
          <w:iCs w:val="0"/>
          <w:caps w:val="0"/>
          <w:smallCaps w:val="0"/>
          <w:noProof w:val="0"/>
          <w:color w:val="0D0D0D" w:themeColor="text1" w:themeTint="F2" w:themeShade="FF"/>
          <w:sz w:val="24"/>
          <w:szCs w:val="24"/>
          <w:lang w:val="en-US"/>
        </w:rPr>
        <w:t>Facione</w:t>
      </w:r>
      <w:r w:rsidRPr="59141943" w:rsidR="58427408">
        <w:rPr>
          <w:rFonts w:ascii="Arial" w:hAnsi="Arial" w:eastAsia="Arial" w:cs="Arial"/>
          <w:b w:val="0"/>
          <w:bCs w:val="0"/>
          <w:i w:val="0"/>
          <w:iCs w:val="0"/>
          <w:caps w:val="0"/>
          <w:smallCaps w:val="0"/>
          <w:noProof w:val="0"/>
          <w:color w:val="0D0D0D" w:themeColor="text1" w:themeTint="F2" w:themeShade="FF"/>
          <w:sz w:val="24"/>
          <w:szCs w:val="24"/>
          <w:lang w:val="en-US"/>
        </w:rPr>
        <w:t>, 2015). By honing their critical thinking and problem-solving skills in higher education, students prepare themselves for success in diverse career paths and professional roles (McGuire, 2015). Moreover, these skills are transferable across disciplines and are essential for lifelong learning and intellectual growth (Halpern, 2014). By developing strong critical thinking and problem-solving abilities, students equip themselves with the tools they need to thrive in a complex and rapidly changing world.</w:t>
      </w:r>
    </w:p>
    <w:p w:rsidR="05AA05AA" w:rsidP="59141943" w:rsidRDefault="05AA05AA" w14:paraId="5E2265CA" w14:textId="33AD2580">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Exam Preparation</w:t>
      </w:r>
    </w:p>
    <w:p w:rsidR="05AA05AA" w:rsidP="59141943" w:rsidRDefault="05AA05AA" w14:paraId="7FEA4145" w14:textId="724BC72A">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Implementing strategies such as spaced repetition, retrieval practice, and self-testing to reinforce learning and enhance memory retention (Roediger &amp; Butler, 2011).</w:t>
      </w:r>
    </w:p>
    <w:p w:rsidR="05AA05AA" w:rsidP="59141943" w:rsidRDefault="05AA05AA" w14:paraId="1FB93CD2" w14:textId="43E5797C">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Developing exam strategies such as time allocation, question analysis, and exam technique to approach assessments confidently and effectively (McMillan &amp; Hearn, 2008).</w:t>
      </w:r>
      <w:r w:rsidRPr="59141943" w:rsidR="6CB0A99C">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59141943" w:rsidR="6CB0A99C">
        <w:rPr>
          <w:rFonts w:ascii="Arial" w:hAnsi="Arial" w:eastAsia="Arial" w:cs="Arial"/>
          <w:b w:val="0"/>
          <w:bCs w:val="0"/>
          <w:i w:val="0"/>
          <w:iCs w:val="0"/>
          <w:caps w:val="0"/>
          <w:smallCaps w:val="0"/>
          <w:noProof w:val="0"/>
          <w:color w:val="0D0D0D" w:themeColor="text1" w:themeTint="F2" w:themeShade="FF"/>
          <w:sz w:val="24"/>
          <w:szCs w:val="24"/>
          <w:lang w:val="en-US"/>
        </w:rPr>
        <w:t>Exam preparation plays a crucial role in building students' confidence and reducing test anxiety, enabling them to approach assessments with a positive mindset and perform to the best of their abilities (McMillan &amp; Hearn, 2008). Through thorough preparation and practice, students gain a sense of mastery and control over the material, boosting their self-efficacy and belief in their ability to succeed (Bandura, 1997). Exam preparation helps students identify areas of strength and weakness, allowing them to focus their efforts on areas that require further review and reinforcement (McMillan &amp; Hearn, 2008). Moreover, by developing effective coping strategies for managing test anxiety, such as deep breathing, positive self-talk, and visualization techniques, students can alleviate stress and perform more confidently during examinations (McMillan &amp; Hearn, 2008).</w:t>
      </w:r>
    </w:p>
    <w:p w:rsidR="6CB0A99C" w:rsidP="59141943" w:rsidRDefault="6CB0A99C" w14:paraId="2D602082" w14:textId="0CF952F6">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6CB0A99C">
        <w:rPr>
          <w:rFonts w:ascii="Arial" w:hAnsi="Arial" w:eastAsia="Arial" w:cs="Arial"/>
          <w:b w:val="0"/>
          <w:bCs w:val="0"/>
          <w:i w:val="0"/>
          <w:iCs w:val="0"/>
          <w:caps w:val="0"/>
          <w:smallCaps w:val="0"/>
          <w:noProof w:val="0"/>
          <w:color w:val="0D0D0D" w:themeColor="text1" w:themeTint="F2" w:themeShade="FF"/>
          <w:sz w:val="24"/>
          <w:szCs w:val="24"/>
          <w:lang w:val="en-US"/>
        </w:rPr>
        <w:t xml:space="preserve">In summary, exam preparation is an effective way of developing study skills because it reinforces learning and retention, practices time management and organization, develops exam strategies and techniques, and builds confidence and reduces anxiety. By engaging in thorough exam preparation, students can </w:t>
      </w:r>
      <w:r w:rsidRPr="59141943" w:rsidR="6CB0A99C">
        <w:rPr>
          <w:rFonts w:ascii="Arial" w:hAnsi="Arial" w:eastAsia="Arial" w:cs="Arial"/>
          <w:b w:val="0"/>
          <w:bCs w:val="0"/>
          <w:i w:val="0"/>
          <w:iCs w:val="0"/>
          <w:caps w:val="0"/>
          <w:smallCaps w:val="0"/>
          <w:noProof w:val="0"/>
          <w:color w:val="0D0D0D" w:themeColor="text1" w:themeTint="F2" w:themeShade="FF"/>
          <w:sz w:val="24"/>
          <w:szCs w:val="24"/>
          <w:lang w:val="en-US"/>
        </w:rPr>
        <w:t>optimize</w:t>
      </w:r>
      <w:r w:rsidRPr="59141943" w:rsidR="6CB0A99C">
        <w:rPr>
          <w:rFonts w:ascii="Arial" w:hAnsi="Arial" w:eastAsia="Arial" w:cs="Arial"/>
          <w:b w:val="0"/>
          <w:bCs w:val="0"/>
          <w:i w:val="0"/>
          <w:iCs w:val="0"/>
          <w:caps w:val="0"/>
          <w:smallCaps w:val="0"/>
          <w:noProof w:val="0"/>
          <w:color w:val="0D0D0D" w:themeColor="text1" w:themeTint="F2" w:themeShade="FF"/>
          <w:sz w:val="24"/>
          <w:szCs w:val="24"/>
          <w:lang w:val="en-US"/>
        </w:rPr>
        <w:t xml:space="preserve"> their performance, achieve academic success, and develop valuable skills that are essential for lifelong learning and success in higher education and beyond.</w:t>
      </w:r>
    </w:p>
    <w:p w:rsidR="59141943" w:rsidP="59141943" w:rsidRDefault="59141943" w14:paraId="280F6E7C" w14:textId="5D42CA14">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p>
    <w:p w:rsidR="05AA05AA" w:rsidP="59141943" w:rsidRDefault="05AA05AA" w14:paraId="720A2C21" w14:textId="3B26E6E0">
      <w:pPr>
        <w:pStyle w:val="Normal"/>
        <w:shd w:val="clear" w:color="auto" w:fill="FFFFFF" w:themeFill="background1"/>
        <w:spacing w:before="0" w:beforeAutospacing="off" w:after="0" w:afterAutospacing="off"/>
        <w:ind w:left="0"/>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5AA05AA">
        <w:rPr>
          <w:rFonts w:ascii="Arial" w:hAnsi="Arial" w:eastAsia="Arial" w:cs="Arial"/>
          <w:b w:val="1"/>
          <w:bCs w:val="1"/>
          <w:i w:val="0"/>
          <w:iCs w:val="0"/>
          <w:caps w:val="0"/>
          <w:smallCaps w:val="0"/>
          <w:noProof w:val="0"/>
          <w:color w:val="0D0D0D" w:themeColor="text1" w:themeTint="F2" w:themeShade="FF"/>
          <w:sz w:val="24"/>
          <w:szCs w:val="24"/>
          <w:lang w:val="en-US"/>
        </w:rPr>
        <w:t>Conclusion</w:t>
      </w:r>
    </w:p>
    <w:p w:rsidR="543DF18C" w:rsidP="59141943" w:rsidRDefault="543DF18C" w14:paraId="32955A31" w14:textId="47B7866A">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543DF18C">
        <w:rPr>
          <w:rFonts w:ascii="Arial" w:hAnsi="Arial" w:eastAsia="Arial" w:cs="Arial"/>
          <w:b w:val="0"/>
          <w:bCs w:val="0"/>
          <w:i w:val="0"/>
          <w:iCs w:val="0"/>
          <w:caps w:val="0"/>
          <w:smallCaps w:val="0"/>
          <w:noProof w:val="0"/>
          <w:color w:val="0D0D0D" w:themeColor="text1" w:themeTint="F2" w:themeShade="FF"/>
          <w:sz w:val="24"/>
          <w:szCs w:val="24"/>
          <w:lang w:val="en-US"/>
        </w:rPr>
        <w:t>In conclusion, developing effective study skills is of paramount importance in higher education, offering many benefits to students in academic achievement, personal development, and professional success.</w:t>
      </w:r>
      <w:r w:rsidRPr="59141943" w:rsidR="05AA05AA">
        <w:rPr>
          <w:rFonts w:ascii="Arial" w:hAnsi="Arial" w:eastAsia="Arial" w:cs="Arial"/>
          <w:b w:val="0"/>
          <w:bCs w:val="0"/>
          <w:i w:val="0"/>
          <w:iCs w:val="0"/>
          <w:caps w:val="0"/>
          <w:smallCaps w:val="0"/>
          <w:noProof w:val="0"/>
          <w:color w:val="0D0D0D" w:themeColor="text1" w:themeTint="F2" w:themeShade="FF"/>
          <w:sz w:val="24"/>
          <w:szCs w:val="24"/>
          <w:lang w:val="en-US"/>
        </w:rPr>
        <w:t xml:space="preserve"> By mastering study skills and strategies that enhance learning, comprehension, and retention, students can maximize their academic potential, cultivate lifelong learning habits, and prepare themselves for success in the workforce and beyond. Educators, institutions, and policymakers must recognize the significance of study skills development and provide resources, support, and guidance to empower students to thrive in higher education and beyond.</w:t>
      </w:r>
    </w:p>
    <w:p w:rsidR="59141943" w:rsidP="59141943" w:rsidRDefault="59141943" w14:paraId="6B0B6757" w14:textId="7C15D9D1">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74DE67A4" w14:textId="156090AE">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1B11CD4C" w14:textId="610DAAA7">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30AB9CE6" w14:textId="6AC09AD3">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13B270A3" w14:textId="49E6F980">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19217439" w14:textId="37FF850F">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4A22F08D" w14:textId="6D688C1E">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56512639" w14:textId="4CD2868F">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19B886C3" w14:textId="429BA627">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4C057CCC" w14:textId="4EFC276B">
      <w:pPr>
        <w:pStyle w:val="Normal"/>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p>
    <w:p w:rsidR="0BCC9C42" w:rsidP="59141943" w:rsidRDefault="0BCC9C42" w14:paraId="57D921E5" w14:textId="31798592">
      <w:pPr>
        <w:pStyle w:val="Normal"/>
        <w:shd w:val="clear" w:color="auto" w:fill="FFFFFF" w:themeFill="background1"/>
        <w:spacing w:before="300" w:beforeAutospacing="off" w:after="300" w:afterAutospacing="off"/>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0BCC9C42">
        <w:rPr>
          <w:rFonts w:ascii="Arial" w:hAnsi="Arial" w:eastAsia="Arial" w:cs="Arial"/>
          <w:b w:val="1"/>
          <w:bCs w:val="1"/>
          <w:i w:val="0"/>
          <w:iCs w:val="0"/>
          <w:caps w:val="0"/>
          <w:smallCaps w:val="0"/>
          <w:noProof w:val="0"/>
          <w:color w:val="0D0D0D" w:themeColor="text1" w:themeTint="F2" w:themeShade="FF"/>
          <w:sz w:val="24"/>
          <w:szCs w:val="24"/>
          <w:lang w:val="en-US"/>
        </w:rPr>
        <w:t>References</w:t>
      </w:r>
    </w:p>
    <w:p w:rsidR="4DCD314D" w:rsidP="59141943" w:rsidRDefault="4DCD314D" w14:paraId="19327887" w14:textId="31C8207D">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Barkley, E. F., Cross, K. P., &amp; Major, C. H. (2014). Collaborative Learning Techniques: A Handbook for College Faculty. John Wiley &amp; Sons.</w:t>
      </w:r>
    </w:p>
    <w:p w:rsidR="4DCD314D" w:rsidP="59141943" w:rsidRDefault="4DCD314D" w14:paraId="52A35919" w14:textId="7EBB9885">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Biggs, J., &amp; Tang, C. (2011). Teaching for Quality Learning at University: What the Student Does. McGraw-Hill Education.</w:t>
      </w:r>
    </w:p>
    <w:p w:rsidR="4DCD314D" w:rsidP="59141943" w:rsidRDefault="4DCD314D" w14:paraId="077852DD" w14:textId="0CB7D36C">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 xml:space="preserve">Boud, D., &amp; </w:t>
      </w: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Falchikov</w:t>
      </w: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 N. (2007). Rethinking Assessment in Higher Education: Learning for the Longer Term. Routledge.</w:t>
      </w:r>
    </w:p>
    <w:p w:rsidR="4DCD314D" w:rsidP="59141943" w:rsidRDefault="4DCD314D" w14:paraId="313CD1A8" w14:textId="6CDC31CB">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Covey, S. R. (2013). The 7 Habits of Highly Effective People: Powerful Lessons in Personal Change. Simon &amp; Schuster.</w:t>
      </w:r>
    </w:p>
    <w:p w:rsidR="4DCD314D" w:rsidP="59141943" w:rsidRDefault="4DCD314D" w14:paraId="601F5B13" w14:textId="669EEFC6">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Cottrell, S. (2013). The Study Skills Handbook. Palgrave Macmillan.</w:t>
      </w:r>
    </w:p>
    <w:p w:rsidR="4DCD314D" w:rsidP="59141943" w:rsidRDefault="4DCD314D" w14:paraId="5C99C2B1" w14:textId="7176839E">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Dembo, M. H., &amp; Seli, H. (2017). Motivation and Learning Strategies for College Success: A Self-Management Approach. Routledge.</w:t>
      </w:r>
    </w:p>
    <w:p w:rsidR="4DCD314D" w:rsidP="59141943" w:rsidRDefault="4DCD314D" w14:paraId="1E29FA79" w14:textId="298FD6C6">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Ellis, D., &amp; Knaus, W. (2013). Overcoming Procrastination: Practice the Now Habit and Guilt-Free Play. Penguin.</w:t>
      </w:r>
    </w:p>
    <w:p w:rsidR="4DCD314D" w:rsidP="59141943" w:rsidRDefault="4DCD314D" w14:paraId="29C50A31" w14:textId="4879C8EA">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Entwistle, N., &amp; McCune, V. (2017). Theories of Learning and Studies of Instructional Practice. Springer.</w:t>
      </w:r>
    </w:p>
    <w:p w:rsidR="4DCD314D" w:rsidP="59141943" w:rsidRDefault="4DCD314D" w14:paraId="6146E249" w14:textId="5C8025DC">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Facione</w:t>
      </w: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 P. A. (2015). Critical Thinking: What It Is and Why It Counts. Insight Assessment.</w:t>
      </w:r>
    </w:p>
    <w:p w:rsidR="4DCD314D" w:rsidP="59141943" w:rsidRDefault="4DCD314D" w14:paraId="0CE5596B" w14:textId="76D2B040">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DCD314D">
        <w:rPr>
          <w:rFonts w:ascii="Arial" w:hAnsi="Arial" w:eastAsia="Arial" w:cs="Arial"/>
          <w:b w:val="0"/>
          <w:bCs w:val="0"/>
          <w:i w:val="0"/>
          <w:iCs w:val="0"/>
          <w:caps w:val="0"/>
          <w:smallCaps w:val="0"/>
          <w:noProof w:val="0"/>
          <w:color w:val="0D0D0D" w:themeColor="text1" w:themeTint="F2" w:themeShade="FF"/>
          <w:sz w:val="24"/>
          <w:szCs w:val="24"/>
          <w:lang w:val="en-US"/>
        </w:rPr>
        <w:t>Hattie, J. (2009). Visible Learning: A Synthesis of over 800 Meta-Analyses Relating to Achievement. Routledge.</w:t>
      </w:r>
    </w:p>
    <w:p w:rsidR="6A5BBCE5" w:rsidP="59141943" w:rsidRDefault="6A5BBCE5" w14:paraId="29F1E275" w14:textId="0999BE30">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6A5BBCE5">
        <w:rPr>
          <w:rFonts w:ascii="Arial" w:hAnsi="Arial" w:eastAsia="Arial" w:cs="Arial"/>
          <w:b w:val="0"/>
          <w:bCs w:val="0"/>
          <w:i w:val="0"/>
          <w:iCs w:val="0"/>
          <w:caps w:val="0"/>
          <w:smallCaps w:val="0"/>
          <w:noProof w:val="0"/>
          <w:color w:val="0D0D0D" w:themeColor="text1" w:themeTint="F2" w:themeShade="FF"/>
          <w:sz w:val="24"/>
          <w:szCs w:val="24"/>
          <w:lang w:val="en-US"/>
        </w:rPr>
        <w:t>Bandura, A. (1997). Self-Efficacy: The Exercise of Control. W.H. Freeman and Company. Motivation and Higher Achievement. Educational Horizons, 87(1), 40-49.</w:t>
      </w:r>
    </w:p>
    <w:p w:rsidR="49AE2F7E" w:rsidP="59141943" w:rsidRDefault="49AE2F7E" w14:paraId="5CF7FFCB" w14:textId="3F30C76D">
      <w:pPr>
        <w:pStyle w:val="ListParagraph"/>
        <w:numPr>
          <w:ilvl w:val="0"/>
          <w:numId w:val="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9AE2F7E">
        <w:rPr>
          <w:rFonts w:ascii="Arial" w:hAnsi="Arial" w:eastAsia="Arial" w:cs="Arial"/>
          <w:b w:val="0"/>
          <w:bCs w:val="0"/>
          <w:i w:val="0"/>
          <w:iCs w:val="0"/>
          <w:caps w:val="0"/>
          <w:smallCaps w:val="0"/>
          <w:noProof w:val="0"/>
          <w:color w:val="0D0D0D" w:themeColor="text1" w:themeTint="F2" w:themeShade="FF"/>
          <w:sz w:val="24"/>
          <w:szCs w:val="24"/>
          <w:lang w:val="en-US"/>
        </w:rPr>
        <w:t>McKeachie</w:t>
      </w:r>
      <w:r w:rsidRPr="59141943" w:rsidR="49AE2F7E">
        <w:rPr>
          <w:rFonts w:ascii="Arial" w:hAnsi="Arial" w:eastAsia="Arial" w:cs="Arial"/>
          <w:b w:val="0"/>
          <w:bCs w:val="0"/>
          <w:i w:val="0"/>
          <w:iCs w:val="0"/>
          <w:caps w:val="0"/>
          <w:smallCaps w:val="0"/>
          <w:noProof w:val="0"/>
          <w:color w:val="0D0D0D" w:themeColor="text1" w:themeTint="F2" w:themeShade="FF"/>
          <w:sz w:val="24"/>
          <w:szCs w:val="24"/>
          <w:lang w:val="en-US"/>
        </w:rPr>
        <w:t xml:space="preserve">, W. J., Svinicki, M., &amp; Hofer, B. (2013). </w:t>
      </w:r>
      <w:r w:rsidRPr="59141943" w:rsidR="49AE2F7E">
        <w:rPr>
          <w:rFonts w:ascii="Arial" w:hAnsi="Arial" w:eastAsia="Arial" w:cs="Arial"/>
          <w:b w:val="0"/>
          <w:bCs w:val="0"/>
          <w:i w:val="0"/>
          <w:iCs w:val="0"/>
          <w:caps w:val="0"/>
          <w:smallCaps w:val="0"/>
          <w:noProof w:val="0"/>
          <w:color w:val="0D0D0D" w:themeColor="text1" w:themeTint="F2" w:themeShade="FF"/>
          <w:sz w:val="24"/>
          <w:szCs w:val="24"/>
          <w:lang w:val="en-US"/>
        </w:rPr>
        <w:t>McKeachie's</w:t>
      </w:r>
      <w:r w:rsidRPr="59141943" w:rsidR="49AE2F7E">
        <w:rPr>
          <w:rFonts w:ascii="Arial" w:hAnsi="Arial" w:eastAsia="Arial" w:cs="Arial"/>
          <w:b w:val="0"/>
          <w:bCs w:val="0"/>
          <w:i w:val="0"/>
          <w:iCs w:val="0"/>
          <w:caps w:val="0"/>
          <w:smallCaps w:val="0"/>
          <w:noProof w:val="0"/>
          <w:color w:val="0D0D0D" w:themeColor="text1" w:themeTint="F2" w:themeShade="FF"/>
          <w:sz w:val="24"/>
          <w:szCs w:val="24"/>
          <w:lang w:val="en-US"/>
        </w:rPr>
        <w:t xml:space="preserve"> Teaching Tips: Strategies, Research, and Theory for College and University Teachers. Cengage Learning.</w:t>
      </w:r>
    </w:p>
    <w:p w:rsidR="49AE2F7E" w:rsidP="59141943" w:rsidRDefault="49AE2F7E" w14:paraId="5966A75F" w14:textId="1BD36E35">
      <w:pPr>
        <w:pStyle w:val="ListParagraph"/>
        <w:numPr>
          <w:ilvl w:val="0"/>
          <w:numId w:val="3"/>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9AE2F7E">
        <w:rPr>
          <w:rFonts w:ascii="Arial" w:hAnsi="Arial" w:eastAsia="Arial" w:cs="Arial"/>
          <w:b w:val="0"/>
          <w:bCs w:val="0"/>
          <w:i w:val="0"/>
          <w:iCs w:val="0"/>
          <w:caps w:val="0"/>
          <w:smallCaps w:val="0"/>
          <w:noProof w:val="0"/>
          <w:color w:val="0D0D0D" w:themeColor="text1" w:themeTint="F2" w:themeShade="FF"/>
          <w:sz w:val="24"/>
          <w:szCs w:val="24"/>
          <w:lang w:val="en-US"/>
        </w:rPr>
        <w:t>Roediger, H. L., &amp; Butler, A. C. (2011). The Critical Role of Retrieval Practice in Long-Term Retention. Trends in Cognitive Sciences, 15(1), 20-27.</w:t>
      </w:r>
    </w:p>
    <w:p w:rsidR="59141943" w:rsidP="59141943" w:rsidRDefault="59141943" w14:paraId="0BA081D6" w14:textId="6D489848">
      <w:pPr>
        <w:pStyle w:val="Normal"/>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454D9493" w14:textId="281B1EC8">
      <w:pPr>
        <w:pStyle w:val="Normal"/>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03983D27" w14:textId="7A983F21">
      <w:pPr>
        <w:pStyle w:val="Normal"/>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p>
    <w:p w:rsidR="59141943" w:rsidP="59141943" w:rsidRDefault="59141943" w14:paraId="294A3CA6" w14:textId="5916EBCC">
      <w:pPr>
        <w:pStyle w:val="Normal"/>
        <w:shd w:val="clear" w:color="auto" w:fill="FFFFFF" w:themeFill="background1"/>
        <w:spacing w:before="240" w:beforeAutospacing="off" w:after="240" w:afterAutospacing="off"/>
        <w:ind w:left="0"/>
        <w:rPr>
          <w:rFonts w:ascii="Arial" w:hAnsi="Arial" w:eastAsia="Arial" w:cs="Arial"/>
          <w:b w:val="0"/>
          <w:bCs w:val="0"/>
          <w:i w:val="0"/>
          <w:iCs w:val="0"/>
          <w:caps w:val="0"/>
          <w:smallCaps w:val="0"/>
          <w:noProof w:val="0"/>
          <w:color w:val="0D0D0D" w:themeColor="text1" w:themeTint="F2" w:themeShade="FF"/>
          <w:sz w:val="24"/>
          <w:szCs w:val="24"/>
          <w:lang w:val="en-US"/>
        </w:rPr>
      </w:pPr>
    </w:p>
    <w:p w:rsidR="483DDCD7" w:rsidP="59141943" w:rsidRDefault="483DDCD7" w14:paraId="564A2E1A" w14:textId="546CC829">
      <w:pPr>
        <w:pStyle w:val="Normal"/>
        <w:shd w:val="clear" w:color="auto" w:fill="FFFFFF" w:themeFill="background1"/>
        <w:spacing w:before="240" w:beforeAutospacing="off" w:after="240" w:afterAutospacing="off"/>
        <w:ind w:left="0"/>
        <w:rPr>
          <w:rFonts w:ascii="Arial" w:hAnsi="Arial" w:eastAsia="Arial" w:cs="Arial"/>
          <w:b w:val="1"/>
          <w:bCs w:val="1"/>
          <w:i w:val="0"/>
          <w:iCs w:val="0"/>
          <w:caps w:val="0"/>
          <w:smallCaps w:val="0"/>
          <w:noProof w:val="0"/>
          <w:color w:val="0D0D0D" w:themeColor="text1" w:themeTint="F2" w:themeShade="FF"/>
          <w:sz w:val="24"/>
          <w:szCs w:val="24"/>
          <w:lang w:val="en-US"/>
        </w:rPr>
      </w:pPr>
      <w:r w:rsidRPr="59141943" w:rsidR="483DDCD7">
        <w:rPr>
          <w:rFonts w:ascii="Arial" w:hAnsi="Arial" w:eastAsia="Arial" w:cs="Arial"/>
          <w:b w:val="1"/>
          <w:bCs w:val="1"/>
          <w:i w:val="0"/>
          <w:iCs w:val="0"/>
          <w:caps w:val="0"/>
          <w:smallCaps w:val="0"/>
          <w:noProof w:val="0"/>
          <w:color w:val="0D0D0D" w:themeColor="text1" w:themeTint="F2" w:themeShade="FF"/>
          <w:sz w:val="24"/>
          <w:szCs w:val="24"/>
          <w:lang w:val="en-US"/>
        </w:rPr>
        <w:t xml:space="preserve">Content Page </w:t>
      </w:r>
    </w:p>
    <w:p w:rsidR="483DDCD7" w:rsidP="59141943" w:rsidRDefault="483DDCD7" w14:paraId="4BD1D9B5" w14:textId="2B299B6D">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Introduction</w:t>
      </w:r>
    </w:p>
    <w:p w:rsidR="483DDCD7" w:rsidP="59141943" w:rsidRDefault="483DDCD7" w14:paraId="2886DC9E" w14:textId="2EE905A7">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Developing Effective Study Skills</w:t>
      </w:r>
    </w:p>
    <w:p w:rsidR="483DDCD7" w:rsidP="59141943" w:rsidRDefault="483DDCD7" w14:paraId="65352C07" w14:textId="55F9DD93">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Time Management</w:t>
      </w:r>
    </w:p>
    <w:p w:rsidR="483DDCD7" w:rsidP="59141943" w:rsidRDefault="483DDCD7" w14:paraId="55332964" w14:textId="3F7D8D4B">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Active Reading and Note-Keeping</w:t>
      </w:r>
    </w:p>
    <w:p w:rsidR="483DDCD7" w:rsidP="59141943" w:rsidRDefault="483DDCD7" w14:paraId="618B7EC0" w14:textId="084FBFFE">
      <w:pPr>
        <w:pStyle w:val="ListParagraph"/>
        <w:numPr>
          <w:ilvl w:val="0"/>
          <w:numId w:val="4"/>
        </w:numPr>
        <w:shd w:val="clear" w:color="auto" w:fill="FFFFFF" w:themeFill="background1"/>
        <w:spacing w:before="0" w:beforeAutospacing="off" w:after="0" w:afterAutospacing="off"/>
        <w:ind w:righ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Critical Thinking and Problem Solving</w:t>
      </w:r>
    </w:p>
    <w:p w:rsidR="483DDCD7" w:rsidP="59141943" w:rsidRDefault="483DDCD7" w14:paraId="3F7E47E4" w14:textId="0B3178D2">
      <w:pPr>
        <w:pStyle w:val="ListParagraph"/>
        <w:numPr>
          <w:ilvl w:val="0"/>
          <w:numId w:val="4"/>
        </w:numPr>
        <w:shd w:val="clear" w:color="auto" w:fill="FFFFFF" w:themeFill="background1"/>
        <w:spacing w:before="0" w:beforeAutospacing="off" w:after="0" w:afterAutospacing="off"/>
        <w:ind w:righ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Exam Preparation</w:t>
      </w:r>
    </w:p>
    <w:p w:rsidR="483DDCD7" w:rsidP="59141943" w:rsidRDefault="483DDCD7" w14:paraId="53CEFF3D" w14:textId="71C91065">
      <w:pPr>
        <w:pStyle w:val="ListParagraph"/>
        <w:numPr>
          <w:ilvl w:val="0"/>
          <w:numId w:val="4"/>
        </w:numPr>
        <w:shd w:val="clear" w:color="auto" w:fill="FFFFFF" w:themeFill="background1"/>
        <w:spacing w:before="0" w:beforeAutospacing="off" w:after="0" w:afterAutospacing="off"/>
        <w:ind w:righ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Conclusion</w:t>
      </w:r>
    </w:p>
    <w:p w:rsidR="483DDCD7" w:rsidP="59141943" w:rsidRDefault="483DDCD7" w14:paraId="5CDFD6F6" w14:textId="10B53D01">
      <w:pPr>
        <w:pStyle w:val="ListParagraph"/>
        <w:numPr>
          <w:ilvl w:val="0"/>
          <w:numId w:val="4"/>
        </w:numPr>
        <w:shd w:val="clear" w:color="auto" w:fill="FFFFFF" w:themeFill="background1"/>
        <w:spacing w:before="0" w:beforeAutospacing="off" w:after="0" w:afterAutospacing="off"/>
        <w:ind w:right="0"/>
        <w:rPr>
          <w:rFonts w:ascii="Arial" w:hAnsi="Arial" w:eastAsia="Arial" w:cs="Arial"/>
          <w:b w:val="0"/>
          <w:bCs w:val="0"/>
          <w:i w:val="0"/>
          <w:iCs w:val="0"/>
          <w:caps w:val="0"/>
          <w:smallCaps w:val="0"/>
          <w:noProof w:val="0"/>
          <w:color w:val="0D0D0D" w:themeColor="text1" w:themeTint="F2" w:themeShade="FF"/>
          <w:sz w:val="24"/>
          <w:szCs w:val="24"/>
          <w:lang w:val="en-US"/>
        </w:rPr>
      </w:pPr>
      <w:r w:rsidRPr="59141943" w:rsidR="483DDCD7">
        <w:rPr>
          <w:rFonts w:ascii="Arial" w:hAnsi="Arial" w:eastAsia="Arial" w:cs="Arial"/>
          <w:b w:val="0"/>
          <w:bCs w:val="0"/>
          <w:i w:val="0"/>
          <w:iCs w:val="0"/>
          <w:caps w:val="0"/>
          <w:smallCaps w:val="0"/>
          <w:noProof w:val="0"/>
          <w:color w:val="0D0D0D" w:themeColor="text1" w:themeTint="F2" w:themeShade="FF"/>
          <w:sz w:val="24"/>
          <w:szCs w:val="24"/>
          <w:lang w:val="en-US"/>
        </w:rPr>
        <w:t>References</w:t>
      </w:r>
    </w:p>
    <w:p w:rsidR="59141943" w:rsidP="59141943" w:rsidRDefault="59141943" w14:paraId="18B05EBC" w14:textId="78273DDE">
      <w:pPr>
        <w:pStyle w:val="Normal"/>
        <w:shd w:val="clear" w:color="auto" w:fill="FFFFFF" w:themeFill="background1"/>
        <w:spacing w:before="240" w:beforeAutospacing="off" w:after="240" w:afterAutospacing="off"/>
        <w:ind w:left="0"/>
        <w:rPr>
          <w:rFonts w:ascii="Segoe UI" w:hAnsi="Segoe UI" w:eastAsia="Segoe UI" w:cs="Segoe UI"/>
          <w:b w:val="0"/>
          <w:bCs w:val="0"/>
          <w:i w:val="0"/>
          <w:iCs w:val="0"/>
          <w:caps w:val="0"/>
          <w:smallCaps w:val="0"/>
          <w:noProof w:val="0"/>
          <w:color w:val="0D0D0D" w:themeColor="text1" w:themeTint="F2" w:themeShade="FF"/>
          <w:sz w:val="24"/>
          <w:szCs w:val="24"/>
          <w:lang w:val="en-US"/>
        </w:rPr>
      </w:pPr>
    </w:p>
    <w:p w:rsidR="59141943" w:rsidP="59141943" w:rsidRDefault="59141943" w14:paraId="2AB8F1F4" w14:textId="585CE117">
      <w:pPr>
        <w:pStyle w:val="Normal"/>
        <w:shd w:val="clear" w:color="auto" w:fill="FFFFFF" w:themeFill="background1"/>
        <w:spacing w:before="0" w:beforeAutospacing="off" w:after="0" w:afterAutospacing="off"/>
        <w:ind w:left="0"/>
        <w:rPr>
          <w:rFonts w:ascii="Segoe UI" w:hAnsi="Segoe UI" w:eastAsia="Segoe UI" w:cs="Segoe UI"/>
          <w:b w:val="0"/>
          <w:bCs w:val="0"/>
          <w:i w:val="0"/>
          <w:iCs w:val="0"/>
          <w:caps w:val="0"/>
          <w:smallCaps w:val="0"/>
          <w:noProof w:val="0"/>
          <w:color w:val="0D0D0D" w:themeColor="text1" w:themeTint="F2" w:themeShade="FF"/>
          <w:sz w:val="24"/>
          <w:szCs w:val="24"/>
          <w:lang w:val="en-US"/>
        </w:rPr>
      </w:pPr>
    </w:p>
    <w:p w:rsidR="59141943" w:rsidP="59141943" w:rsidRDefault="59141943" w14:paraId="4648A384" w14:textId="7EE31C19">
      <w:pPr>
        <w:pStyle w:val="Normal"/>
        <w:ind w:left="0"/>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n7tGwaXMIMVFS" int2:id="nROmKhiw">
      <int2:state int2:type="AugLoop_Text_Critique" int2:value="Rejected"/>
    </int2:textHash>
    <int2:textHash int2:hashCode="vf5MKBGztwouJB" int2:id="sQ1atSAg">
      <int2:state int2:type="AugLoop_Text_Critique" int2:value="Rejected"/>
    </int2:textHash>
    <int2:textHash int2:hashCode="T2b0InjVaPVLA1" int2:id="5t5mmCbS">
      <int2:state int2:type="AugLoop_Text_Critique" int2:value="Rejected"/>
    </int2:textHash>
    <int2:textHash int2:hashCode="HBpLMuOPc78Zw8" int2:id="bY7evyBG">
      <int2:state int2:type="AugLoop_Text_Critique" int2:value="Rejected"/>
    </int2:textHash>
    <int2:textHash int2:hashCode="wv4qMWajE7FMs+" int2:id="ZrUo2jnm">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eeb0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d3c9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1264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f69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B2B011"/>
    <w:rsid w:val="02442DDE"/>
    <w:rsid w:val="0335BDFE"/>
    <w:rsid w:val="03DFFE3F"/>
    <w:rsid w:val="04A72012"/>
    <w:rsid w:val="057BCEA0"/>
    <w:rsid w:val="05AA05AA"/>
    <w:rsid w:val="0BCC9C42"/>
    <w:rsid w:val="0C19472E"/>
    <w:rsid w:val="0C90E7D4"/>
    <w:rsid w:val="0FF4FA4A"/>
    <w:rsid w:val="12623F2E"/>
    <w:rsid w:val="1C37587E"/>
    <w:rsid w:val="1D9F0820"/>
    <w:rsid w:val="1FAC9A21"/>
    <w:rsid w:val="22A69A02"/>
    <w:rsid w:val="26B2B011"/>
    <w:rsid w:val="2A133036"/>
    <w:rsid w:val="2E19A42A"/>
    <w:rsid w:val="334FF8FB"/>
    <w:rsid w:val="3D3E3AA8"/>
    <w:rsid w:val="3F6365C3"/>
    <w:rsid w:val="41B54135"/>
    <w:rsid w:val="42D14DFF"/>
    <w:rsid w:val="4579A40E"/>
    <w:rsid w:val="4794E50F"/>
    <w:rsid w:val="483DDCD7"/>
    <w:rsid w:val="49AE2F7E"/>
    <w:rsid w:val="4CF01903"/>
    <w:rsid w:val="4DCD314D"/>
    <w:rsid w:val="4E00C1FE"/>
    <w:rsid w:val="4FCAC969"/>
    <w:rsid w:val="508112B9"/>
    <w:rsid w:val="543DF18C"/>
    <w:rsid w:val="58427408"/>
    <w:rsid w:val="59141943"/>
    <w:rsid w:val="593E870F"/>
    <w:rsid w:val="5FA17B52"/>
    <w:rsid w:val="62D91C14"/>
    <w:rsid w:val="634070E5"/>
    <w:rsid w:val="64C106A1"/>
    <w:rsid w:val="665CD702"/>
    <w:rsid w:val="6A5BBCE5"/>
    <w:rsid w:val="6CB0A99C"/>
    <w:rsid w:val="733DF458"/>
    <w:rsid w:val="7B0CC622"/>
    <w:rsid w:val="7F0C8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B011"/>
  <w15:chartTrackingRefBased/>
  <w15:docId w15:val="{036F230B-A147-467E-8475-6792D31733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7ca32a3baf44f5a" /><Relationship Type="http://schemas.openxmlformats.org/officeDocument/2006/relationships/numbering" Target="numbering.xml" Id="R6591879eeacd47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2024-04-17T15:29:24.1538635Z</dcterms:created>
  <dcterms:modified xsi:type="dcterms:W3CDTF">2024-04-17T16:08:59.6903238Z</dcterms:modified>
  <dc:creator>Olivia John (2317064)</dc:creator>
  <lastModifiedBy>Olivia John (2317064)</lastModifiedBy>
</coreProperties>
</file>