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C80A" w14:textId="687345BD" w:rsidR="002D6ABC" w:rsidRDefault="009A11EA" w:rsidP="002D6ABC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9A11EA">
        <w:rPr>
          <w:rFonts w:ascii="Arial" w:hAnsi="Arial" w:cs="Arial"/>
          <w:b/>
          <w:bCs/>
        </w:rPr>
        <w:drawing>
          <wp:inline distT="0" distB="0" distL="0" distR="0" wp14:anchorId="29476297" wp14:editId="3179192C">
            <wp:extent cx="1127760" cy="1553845"/>
            <wp:effectExtent l="0" t="0" r="0" b="8255"/>
            <wp:docPr id="2" name="Picture 1" descr="University of Wales Trinity Saint David | LinkedIn">
              <a:extLst xmlns:a="http://schemas.openxmlformats.org/drawingml/2006/main">
                <a:ext uri="{FF2B5EF4-FFF2-40B4-BE49-F238E27FC236}">
                  <a16:creationId xmlns:a16="http://schemas.microsoft.com/office/drawing/2014/main" id="{A9871CC7-EAD9-0741-DB2D-F38AD4E07B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University of Wales Trinity Saint David | LinkedIn">
                      <a:extLst>
                        <a:ext uri="{FF2B5EF4-FFF2-40B4-BE49-F238E27FC236}">
                          <a16:creationId xmlns:a16="http://schemas.microsoft.com/office/drawing/2014/main" id="{A9871CC7-EAD9-0741-DB2D-F38AD4E07B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131" cy="155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C8591" w14:textId="77777777" w:rsidR="002D6ABC" w:rsidRDefault="002D6ABC" w:rsidP="002D6ABC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14:paraId="169EC187" w14:textId="38621A6C" w:rsidR="002D6ABC" w:rsidRPr="002D6ABC" w:rsidRDefault="002D6ABC" w:rsidP="002D6ABC">
      <w:pPr>
        <w:spacing w:line="360" w:lineRule="auto"/>
        <w:jc w:val="both"/>
        <w:rPr>
          <w:rFonts w:ascii="Arial" w:hAnsi="Arial" w:cs="Arial"/>
          <w:b/>
          <w:bCs/>
        </w:rPr>
      </w:pPr>
      <w:r w:rsidRPr="002D6ABC">
        <w:rPr>
          <w:rFonts w:ascii="Arial" w:hAnsi="Arial" w:cs="Arial"/>
          <w:b/>
          <w:bCs/>
          <w:lang w:val="en-US"/>
        </w:rPr>
        <w:t>Empowering the Older Person (BMHP6027_BIRM)</w:t>
      </w:r>
    </w:p>
    <w:p w14:paraId="63731110" w14:textId="77777777" w:rsidR="002D6ABC" w:rsidRPr="002D6ABC" w:rsidRDefault="002D6ABC" w:rsidP="002D6ABC">
      <w:pPr>
        <w:spacing w:line="360" w:lineRule="auto"/>
        <w:jc w:val="both"/>
        <w:rPr>
          <w:rFonts w:ascii="Arial" w:hAnsi="Arial" w:cs="Arial"/>
          <w:b/>
          <w:bCs/>
        </w:rPr>
      </w:pPr>
      <w:r w:rsidRPr="002D6ABC">
        <w:rPr>
          <w:rFonts w:ascii="Arial" w:hAnsi="Arial" w:cs="Arial"/>
          <w:b/>
          <w:bCs/>
        </w:rPr>
        <w:t>Programme: BSc (Hons) Health and Social Care</w:t>
      </w:r>
    </w:p>
    <w:p w14:paraId="5062756B" w14:textId="25BCB214" w:rsidR="002D6ABC" w:rsidRPr="002D6ABC" w:rsidRDefault="002D6ABC" w:rsidP="002D6ABC">
      <w:pPr>
        <w:spacing w:line="360" w:lineRule="auto"/>
        <w:rPr>
          <w:rFonts w:ascii="Arial" w:hAnsi="Arial" w:cs="Arial"/>
          <w:b/>
          <w:bCs/>
        </w:rPr>
      </w:pPr>
      <w:r w:rsidRPr="002D6ABC">
        <w:rPr>
          <w:rFonts w:ascii="Arial" w:hAnsi="Arial" w:cs="Arial"/>
          <w:b/>
          <w:bCs/>
          <w:lang w:val="en-US"/>
        </w:rPr>
        <w:t xml:space="preserve">Assignment Title - </w:t>
      </w:r>
      <w:r w:rsidRPr="002D6ABC">
        <w:rPr>
          <w:rFonts w:ascii="Arial" w:hAnsi="Arial" w:cs="Arial"/>
          <w:b/>
          <w:bCs/>
        </w:rPr>
        <w:t xml:space="preserve">Component </w:t>
      </w:r>
      <w:r>
        <w:rPr>
          <w:rFonts w:ascii="Arial" w:hAnsi="Arial" w:cs="Arial"/>
          <w:b/>
          <w:bCs/>
        </w:rPr>
        <w:t>2</w:t>
      </w:r>
      <w:r w:rsidR="0022783E">
        <w:rPr>
          <w:rFonts w:ascii="Arial" w:hAnsi="Arial" w:cs="Arial"/>
          <w:b/>
          <w:bCs/>
        </w:rPr>
        <w:t>:</w:t>
      </w:r>
      <w:r w:rsidR="0022783E" w:rsidRPr="0022783E">
        <w:rPr>
          <w:rFonts w:ascii="Arial" w:hAnsi="Arial" w:cs="Arial"/>
          <w:b/>
          <w:bCs/>
        </w:rPr>
        <w:t xml:space="preserve"> Debate / Discussion</w:t>
      </w:r>
    </w:p>
    <w:p w14:paraId="27301BFE" w14:textId="6C3F6535" w:rsidR="00B768DD" w:rsidRDefault="002D6ABC" w:rsidP="002D6ABC">
      <w:pPr>
        <w:spacing w:line="360" w:lineRule="auto"/>
        <w:rPr>
          <w:rFonts w:ascii="Arial" w:hAnsi="Arial" w:cs="Arial"/>
          <w:b/>
          <w:bCs/>
        </w:rPr>
      </w:pPr>
      <w:r w:rsidRPr="002D6ABC">
        <w:rPr>
          <w:rFonts w:ascii="Arial" w:hAnsi="Arial" w:cs="Arial"/>
          <w:b/>
          <w:bCs/>
          <w:lang w:val="en-US"/>
        </w:rPr>
        <w:t>Lecturer’s Name -  Tomy Adattu Chacko</w:t>
      </w:r>
      <w:r w:rsidRPr="002D6ABC">
        <w:rPr>
          <w:rFonts w:ascii="Arial" w:hAnsi="Arial" w:cs="Arial"/>
          <w:b/>
          <w:bCs/>
        </w:rPr>
        <w:br/>
      </w:r>
      <w:r w:rsidRPr="002D6ABC">
        <w:rPr>
          <w:rFonts w:ascii="Arial" w:hAnsi="Arial" w:cs="Arial"/>
          <w:b/>
          <w:bCs/>
          <w:lang w:val="en-US"/>
        </w:rPr>
        <w:br/>
        <w:t xml:space="preserve">Name  -  Mehwish Arshad </w:t>
      </w:r>
      <w:r w:rsidRPr="002D6ABC">
        <w:rPr>
          <w:rFonts w:ascii="Arial" w:hAnsi="Arial" w:cs="Arial"/>
          <w:b/>
          <w:bCs/>
          <w:lang w:val="en-US"/>
        </w:rPr>
        <w:br/>
      </w:r>
      <w:r w:rsidRPr="002D6ABC">
        <w:rPr>
          <w:rFonts w:ascii="Arial" w:hAnsi="Arial" w:cs="Arial"/>
          <w:b/>
          <w:bCs/>
          <w:lang w:val="en-US"/>
        </w:rPr>
        <w:br/>
        <w:t>Student Number - 2312904</w:t>
      </w:r>
    </w:p>
    <w:p w14:paraId="78766569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1D33741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E79FF83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5B4509B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6539654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2765DCD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1DB4FA9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CB40E32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AFA6A4D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DE2B21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64FBD87" w14:textId="77777777" w:rsidR="00B768DD" w:rsidRDefault="00B768DD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BC8CC92" w14:textId="77777777" w:rsidR="009138C1" w:rsidRDefault="009138C1" w:rsidP="000365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0D15FE1" w14:textId="77E232EE" w:rsidR="00036527" w:rsidRPr="00E4616A" w:rsidRDefault="00036527" w:rsidP="00036527">
      <w:pPr>
        <w:spacing w:line="360" w:lineRule="auto"/>
        <w:jc w:val="both"/>
        <w:rPr>
          <w:rFonts w:ascii="Arial" w:hAnsi="Arial" w:cs="Arial"/>
          <w:b/>
          <w:bCs/>
        </w:rPr>
      </w:pPr>
      <w:r w:rsidRPr="007F078A">
        <w:rPr>
          <w:rFonts w:ascii="Arial" w:hAnsi="Arial" w:cs="Arial"/>
          <w:b/>
          <w:bCs/>
        </w:rPr>
        <w:lastRenderedPageBreak/>
        <w:t xml:space="preserve">Reference list </w:t>
      </w:r>
    </w:p>
    <w:p w14:paraId="2DEEF9DE" w14:textId="79C83940" w:rsidR="00036527" w:rsidRPr="00AD524B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Alashek, W.A. and Ali, S.A. (2024) ‘Satisfaction with telemedicine use during COVID-19 pandemic in the UK: a systematic review’, </w:t>
      </w:r>
      <w:r w:rsidRPr="00AD524B">
        <w:rPr>
          <w:rFonts w:ascii="Arial" w:hAnsi="Arial" w:cs="Arial"/>
          <w:i/>
          <w:iCs/>
          <w:sz w:val="22"/>
          <w:szCs w:val="22"/>
        </w:rPr>
        <w:t>Libyan Journal of Medicine</w:t>
      </w:r>
      <w:r w:rsidRPr="00AD524B">
        <w:rPr>
          <w:rFonts w:ascii="Arial" w:hAnsi="Arial" w:cs="Arial"/>
          <w:sz w:val="22"/>
          <w:szCs w:val="22"/>
        </w:rPr>
        <w:t>, 19(1), pp. 1-10. Available at:</w:t>
      </w:r>
      <w:hyperlink r:id="rId7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https://www.tandf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o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nline.com/doi/full/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1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0.1080/19932820.2024.2301829</w:t>
        </w:r>
      </w:hyperlink>
      <w:r w:rsidRPr="00AD524B">
        <w:rPr>
          <w:rFonts w:ascii="Arial" w:hAnsi="Arial" w:cs="Arial"/>
          <w:sz w:val="22"/>
          <w:szCs w:val="22"/>
        </w:rPr>
        <w:t xml:space="preserve">  (Accessed: 5 March 2025).</w:t>
      </w:r>
    </w:p>
    <w:p w14:paraId="44B907DF" w14:textId="77777777" w:rsidR="00036527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Ben-Assuli, O. (2022) ‘Measuring the cost-effectiveness of using telehealth for diabetes management: a narrative review of methods and findings’, </w:t>
      </w:r>
      <w:r w:rsidRPr="00AD524B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AD524B">
        <w:rPr>
          <w:rFonts w:ascii="Arial" w:hAnsi="Arial" w:cs="Arial"/>
          <w:sz w:val="22"/>
          <w:szCs w:val="22"/>
        </w:rPr>
        <w:t>, 163, pp. 104764.</w:t>
      </w:r>
    </w:p>
    <w:p w14:paraId="43F494FC" w14:textId="1149511A" w:rsidR="00036527" w:rsidRPr="00AD524B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 Available at: </w:t>
      </w:r>
      <w:hyperlink r:id="rId8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https://www.sciencedirect.com/science/article/a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b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s/pii/S13865056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2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2000788</w:t>
        </w:r>
      </w:hyperlink>
    </w:p>
    <w:p w14:paraId="19047180" w14:textId="77777777" w:rsidR="00036527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>(Accessed: 5 March 2025).</w:t>
      </w:r>
    </w:p>
    <w:p w14:paraId="29CA8C0F" w14:textId="77777777" w:rsidR="00036527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03014A">
        <w:rPr>
          <w:rFonts w:ascii="Arial" w:hAnsi="Arial" w:cs="Arial"/>
          <w:sz w:val="22"/>
          <w:szCs w:val="22"/>
        </w:rPr>
        <w:t>Care Act 2014, Chapter 23.</w:t>
      </w:r>
    </w:p>
    <w:p w14:paraId="5A82E8D5" w14:textId="2C99F7F7" w:rsidR="00036527" w:rsidRPr="0003014A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03014A">
        <w:rPr>
          <w:rFonts w:ascii="Arial" w:hAnsi="Arial" w:cs="Arial"/>
          <w:sz w:val="22"/>
          <w:szCs w:val="22"/>
        </w:rPr>
        <w:t xml:space="preserve"> Available at: </w:t>
      </w:r>
      <w:hyperlink r:id="rId9" w:history="1">
        <w:r w:rsidRPr="0003014A">
          <w:rPr>
            <w:rStyle w:val="Hyperlink"/>
            <w:rFonts w:ascii="Arial" w:hAnsi="Arial" w:cs="Arial"/>
            <w:sz w:val="22"/>
            <w:szCs w:val="22"/>
          </w:rPr>
          <w:t>https://www.legislation.gov.uk/ukpga/2014/23/contents/enacted</w:t>
        </w:r>
      </w:hyperlink>
      <w:r w:rsidRPr="0003014A">
        <w:rPr>
          <w:rFonts w:ascii="Arial" w:hAnsi="Arial" w:cs="Arial"/>
          <w:sz w:val="22"/>
          <w:szCs w:val="22"/>
        </w:rPr>
        <w:t xml:space="preserve"> (Accessed: </w:t>
      </w:r>
      <w:r>
        <w:rPr>
          <w:rFonts w:ascii="Arial" w:hAnsi="Arial" w:cs="Arial"/>
          <w:sz w:val="22"/>
          <w:szCs w:val="22"/>
        </w:rPr>
        <w:t xml:space="preserve">6 March </w:t>
      </w:r>
      <w:r w:rsidRPr="0003014A">
        <w:rPr>
          <w:rFonts w:ascii="Arial" w:hAnsi="Arial" w:cs="Arial"/>
          <w:sz w:val="22"/>
          <w:szCs w:val="22"/>
        </w:rPr>
        <w:t>2026).</w:t>
      </w:r>
    </w:p>
    <w:p w14:paraId="7AFB860F" w14:textId="77777777" w:rsidR="00036527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010DCD">
        <w:rPr>
          <w:rFonts w:ascii="Arial" w:hAnsi="Arial" w:cs="Arial"/>
          <w:sz w:val="22"/>
          <w:szCs w:val="22"/>
        </w:rPr>
        <w:t xml:space="preserve">Creber, A., Leo, D.G., Buckley, B.J.R. and Chowdhury, M. (2023) ‘Use of telemonitoring in patient self-management of chronic disease: a qualitative meta-synthesis’, </w:t>
      </w:r>
      <w:r w:rsidRPr="00010DCD">
        <w:rPr>
          <w:rFonts w:ascii="Arial" w:hAnsi="Arial" w:cs="Arial"/>
          <w:i/>
          <w:iCs/>
          <w:sz w:val="22"/>
          <w:szCs w:val="22"/>
        </w:rPr>
        <w:t>BMC Cardiovascular Disorders</w:t>
      </w:r>
      <w:r w:rsidRPr="00010DCD">
        <w:rPr>
          <w:rFonts w:ascii="Arial" w:hAnsi="Arial" w:cs="Arial"/>
          <w:sz w:val="22"/>
          <w:szCs w:val="22"/>
        </w:rPr>
        <w:t>, 23, pp. 1</w:t>
      </w:r>
      <w:r w:rsidRPr="00AD524B">
        <w:rPr>
          <w:rFonts w:ascii="Arial" w:hAnsi="Arial" w:cs="Arial"/>
          <w:sz w:val="22"/>
          <w:szCs w:val="22"/>
        </w:rPr>
        <w:t>-</w:t>
      </w:r>
      <w:r w:rsidRPr="00010DCD">
        <w:rPr>
          <w:rFonts w:ascii="Arial" w:hAnsi="Arial" w:cs="Arial"/>
          <w:sz w:val="22"/>
          <w:szCs w:val="22"/>
        </w:rPr>
        <w:t>14.</w:t>
      </w:r>
    </w:p>
    <w:p w14:paraId="6B2B0918" w14:textId="5A6BF74F" w:rsidR="00036527" w:rsidRPr="00010DCD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010DCD">
        <w:rPr>
          <w:rFonts w:ascii="Arial" w:hAnsi="Arial" w:cs="Arial"/>
          <w:sz w:val="22"/>
          <w:szCs w:val="22"/>
        </w:rPr>
        <w:t xml:space="preserve"> Available at:</w:t>
      </w:r>
      <w:r w:rsidRPr="00AD524B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https://link.springer.com/article/10.1186/s12872-023-03486-3</w:t>
        </w:r>
      </w:hyperlink>
      <w:r w:rsidRPr="00AD524B">
        <w:rPr>
          <w:rFonts w:ascii="Arial" w:hAnsi="Arial" w:cs="Arial"/>
          <w:sz w:val="22"/>
          <w:szCs w:val="22"/>
        </w:rPr>
        <w:t xml:space="preserve"> </w:t>
      </w:r>
      <w:r w:rsidRPr="00010DCD">
        <w:rPr>
          <w:rFonts w:ascii="Arial" w:hAnsi="Arial" w:cs="Arial"/>
          <w:sz w:val="22"/>
          <w:szCs w:val="22"/>
        </w:rPr>
        <w:t xml:space="preserve"> (Accessed: 12 March 2026).</w:t>
      </w:r>
    </w:p>
    <w:p w14:paraId="6D08D620" w14:textId="6EF54B85" w:rsidR="00036527" w:rsidRPr="00AD524B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Dismore, L., et al. (2025) ‘Rural communities face inequalities in access to specialist palliative care: could telemedicine enhance care? A qualitative study of patients, carers and healthcare professionals’, </w:t>
      </w:r>
      <w:r w:rsidRPr="00AD524B">
        <w:rPr>
          <w:rFonts w:ascii="Arial" w:hAnsi="Arial" w:cs="Arial"/>
          <w:i/>
          <w:iCs/>
          <w:sz w:val="22"/>
          <w:szCs w:val="22"/>
        </w:rPr>
        <w:t>Palliative Care and Social Practice</w:t>
      </w:r>
      <w:r w:rsidRPr="00AD524B">
        <w:rPr>
          <w:rFonts w:ascii="Arial" w:hAnsi="Arial" w:cs="Arial"/>
          <w:sz w:val="22"/>
          <w:szCs w:val="22"/>
        </w:rPr>
        <w:t xml:space="preserve">, 19, pp. 1-12. Available at: </w:t>
      </w:r>
      <w:hyperlink r:id="rId11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https://journals.sagep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u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b.co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m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/doi/full/10.1177/26323524251380632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7</w:t>
      </w:r>
      <w:r>
        <w:rPr>
          <w:rFonts w:ascii="Arial" w:hAnsi="Arial" w:cs="Arial"/>
          <w:sz w:val="22"/>
          <w:szCs w:val="22"/>
        </w:rPr>
        <w:t xml:space="preserve"> </w:t>
      </w:r>
      <w:r w:rsidRPr="00AD524B">
        <w:rPr>
          <w:rFonts w:ascii="Arial" w:hAnsi="Arial" w:cs="Arial"/>
          <w:sz w:val="22"/>
          <w:szCs w:val="22"/>
        </w:rPr>
        <w:t>March 2025).</w:t>
      </w:r>
    </w:p>
    <w:p w14:paraId="070B85EF" w14:textId="77777777" w:rsidR="00036527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Fisher, K. and Magin, P. (2022) ‘The telehealth divide: health inequity during the COVID-19 pandemic’, </w:t>
      </w:r>
      <w:r w:rsidRPr="00AD524B">
        <w:rPr>
          <w:rFonts w:ascii="Arial" w:hAnsi="Arial" w:cs="Arial"/>
          <w:i/>
          <w:iCs/>
          <w:sz w:val="22"/>
          <w:szCs w:val="22"/>
        </w:rPr>
        <w:t>Family Practice</w:t>
      </w:r>
      <w:r w:rsidRPr="00AD524B">
        <w:rPr>
          <w:rFonts w:ascii="Arial" w:hAnsi="Arial" w:cs="Arial"/>
          <w:sz w:val="22"/>
          <w:szCs w:val="22"/>
        </w:rPr>
        <w:t xml:space="preserve">, 39(3), pp. 547-549. Available at: </w:t>
      </w:r>
      <w:hyperlink r:id="rId12" w:tgtFrame="_new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https://doi.org/10.1093/fampra/cmab173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5 March 2026).</w:t>
      </w:r>
    </w:p>
    <w:p w14:paraId="601DE27C" w14:textId="77777777" w:rsidR="00036527" w:rsidRPr="00B710C9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710C9">
        <w:rPr>
          <w:rFonts w:ascii="Arial" w:hAnsi="Arial" w:cs="Arial"/>
          <w:sz w:val="22"/>
          <w:szCs w:val="22"/>
        </w:rPr>
        <w:t>Glendenning, F. (ed)., (2018) Teaching and learning in later life: Theoretical implications. Oxon: Routledge.</w:t>
      </w:r>
    </w:p>
    <w:p w14:paraId="7586A5E1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54B1DE" w14:textId="535F0D13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lastRenderedPageBreak/>
        <w:t>Gobburi, R.K., et al</w:t>
      </w:r>
      <w:r w:rsidRPr="00AD524B">
        <w:rPr>
          <w:rFonts w:ascii="Arial" w:hAnsi="Arial" w:cs="Arial"/>
          <w:i/>
          <w:iCs/>
          <w:sz w:val="22"/>
          <w:szCs w:val="22"/>
        </w:rPr>
        <w:t>.</w:t>
      </w:r>
      <w:r w:rsidRPr="00AD524B">
        <w:rPr>
          <w:rFonts w:ascii="Arial" w:hAnsi="Arial" w:cs="Arial"/>
          <w:sz w:val="22"/>
          <w:szCs w:val="22"/>
        </w:rPr>
        <w:t xml:space="preserve"> (2025) ‘Telemedicine use in rural areas of the United Kingdom to improve access to healthcare facilities: A review of current evidence’, </w:t>
      </w:r>
      <w:r w:rsidRPr="00AD524B">
        <w:rPr>
          <w:rFonts w:ascii="Arial" w:hAnsi="Arial" w:cs="Arial"/>
          <w:i/>
          <w:iCs/>
          <w:sz w:val="22"/>
          <w:szCs w:val="22"/>
        </w:rPr>
        <w:t>Informatics and Health</w:t>
      </w:r>
      <w:r w:rsidRPr="00AD524B">
        <w:rPr>
          <w:rFonts w:ascii="Arial" w:hAnsi="Arial" w:cs="Arial"/>
          <w:sz w:val="22"/>
          <w:szCs w:val="22"/>
        </w:rPr>
        <w:t>, 2(1), pp. 41-48.</w:t>
      </w:r>
      <w:r w:rsidRPr="00010DCD">
        <w:rPr>
          <w:rFonts w:ascii="Arial" w:hAnsi="Arial" w:cs="Arial"/>
          <w:sz w:val="22"/>
          <w:szCs w:val="22"/>
        </w:rPr>
        <w:t>Available at:</w:t>
      </w:r>
      <w:hyperlink r:id="rId13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https://www.sciencedirect.com/science/article/pii/S2949953425000050</w:t>
        </w:r>
      </w:hyperlink>
    </w:p>
    <w:p w14:paraId="30385E60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DCD">
        <w:rPr>
          <w:rFonts w:ascii="Arial" w:hAnsi="Arial" w:cs="Arial"/>
          <w:sz w:val="22"/>
          <w:szCs w:val="22"/>
        </w:rPr>
        <w:t xml:space="preserve"> (Accessed: 12 March 2026).</w:t>
      </w:r>
    </w:p>
    <w:p w14:paraId="1A522063" w14:textId="77777777" w:rsidR="00036527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GOV.UK (2021) </w:t>
      </w:r>
      <w:r w:rsidRPr="00AD524B">
        <w:rPr>
          <w:rFonts w:ascii="Arial" w:hAnsi="Arial" w:cs="Arial"/>
          <w:i/>
          <w:iCs/>
          <w:sz w:val="22"/>
          <w:szCs w:val="22"/>
        </w:rPr>
        <w:t>Harnessing technology for the long-term sustainability of the UK’s healthcare system: report</w:t>
      </w:r>
      <w:r w:rsidRPr="00AD524B">
        <w:rPr>
          <w:rFonts w:ascii="Arial" w:hAnsi="Arial" w:cs="Arial"/>
          <w:sz w:val="22"/>
          <w:szCs w:val="22"/>
        </w:rPr>
        <w:t>.</w:t>
      </w:r>
    </w:p>
    <w:p w14:paraId="7D8962B6" w14:textId="00857124" w:rsidR="00036527" w:rsidRPr="00AD524B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 Available at: </w:t>
      </w:r>
      <w:hyperlink r:id="rId14" w:tgtFrame="_new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https://www.gov.uk/government/public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a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tions/harnessing-technology-for-the-long-term-sustainability-of-the-uks-healthcare-system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5 March 2026).</w:t>
      </w:r>
    </w:p>
    <w:p w14:paraId="1A9CD828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Maita, K.C., et al. (2024) ‘The impact of digital health solutions on bridging the health care gap in rural areas: a scoping review’, </w:t>
      </w:r>
      <w:r w:rsidRPr="00AD524B">
        <w:rPr>
          <w:rFonts w:ascii="Arial" w:hAnsi="Arial" w:cs="Arial"/>
          <w:i/>
          <w:iCs/>
          <w:sz w:val="22"/>
          <w:szCs w:val="22"/>
        </w:rPr>
        <w:t>The Permanente Journal</w:t>
      </w:r>
      <w:r w:rsidRPr="00AD524B">
        <w:rPr>
          <w:rFonts w:ascii="Arial" w:hAnsi="Arial" w:cs="Arial"/>
          <w:sz w:val="22"/>
          <w:szCs w:val="22"/>
        </w:rPr>
        <w:t>, 28(3), pp. 130-143.</w:t>
      </w:r>
    </w:p>
    <w:p w14:paraId="0E1D29B6" w14:textId="77777777" w:rsidR="00036527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>Available at</w:t>
      </w:r>
      <w:hyperlink r:id="rId15" w:history="1">
        <w:r w:rsidRPr="00AD524B">
          <w:rPr>
            <w:rStyle w:val="Hyperlink"/>
            <w:rFonts w:ascii="Arial" w:hAnsi="Arial" w:cs="Arial"/>
            <w:sz w:val="22"/>
            <w:szCs w:val="22"/>
          </w:rPr>
          <w:t xml:space="preserve">: </w:t>
        </w:r>
      </w:hyperlink>
      <w:hyperlink r:id="rId16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https://pmc.ncbi.nlm.nih.gov/articles/PMC11404635/</w:t>
        </w:r>
      </w:hyperlink>
      <w:r w:rsidRPr="00AD524B">
        <w:rPr>
          <w:rFonts w:ascii="Arial" w:hAnsi="Arial" w:cs="Arial"/>
          <w:sz w:val="22"/>
          <w:szCs w:val="22"/>
        </w:rPr>
        <w:t>(Accessed: 5 March 2026).</w:t>
      </w:r>
    </w:p>
    <w:p w14:paraId="0FD5E0EB" w14:textId="77777777" w:rsidR="00036527" w:rsidRDefault="00000000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2461">
        <w:rPr>
          <w:rFonts w:ascii="Arial" w:hAnsi="Arial" w:cs="Arial"/>
          <w:sz w:val="22"/>
          <w:szCs w:val="22"/>
        </w:rPr>
        <w:t xml:space="preserve">National Data Guardian (2024) </w:t>
      </w:r>
      <w:r w:rsidRPr="00592461">
        <w:rPr>
          <w:rFonts w:ascii="Arial" w:hAnsi="Arial" w:cs="Arial"/>
          <w:i/>
          <w:iCs/>
          <w:sz w:val="22"/>
          <w:szCs w:val="22"/>
        </w:rPr>
        <w:t>National Data Guardian 2023-2024 report</w:t>
      </w:r>
      <w:r w:rsidRPr="00592461">
        <w:rPr>
          <w:rFonts w:ascii="Arial" w:hAnsi="Arial" w:cs="Arial"/>
          <w:sz w:val="22"/>
          <w:szCs w:val="22"/>
        </w:rPr>
        <w:t xml:space="preserve">. London: GOV.UK. Available at: </w:t>
      </w:r>
      <w:hyperlink r:id="rId17" w:history="1">
        <w:r w:rsidRPr="00592461">
          <w:rPr>
            <w:rStyle w:val="Hyperlink"/>
            <w:rFonts w:ascii="Arial" w:hAnsi="Arial" w:cs="Arial"/>
            <w:sz w:val="22"/>
            <w:szCs w:val="22"/>
          </w:rPr>
          <w:t>National Data Guardian 2023-2024 report - GOV.UK</w:t>
        </w:r>
      </w:hyperlink>
      <w:r w:rsidRPr="00592461">
        <w:rPr>
          <w:rFonts w:ascii="Arial" w:hAnsi="Arial" w:cs="Arial"/>
          <w:sz w:val="22"/>
          <w:szCs w:val="22"/>
        </w:rPr>
        <w:t xml:space="preserve"> (Accessed: </w:t>
      </w:r>
      <w:r w:rsidR="00036527">
        <w:rPr>
          <w:rFonts w:ascii="Arial" w:hAnsi="Arial" w:cs="Arial"/>
          <w:sz w:val="22"/>
          <w:szCs w:val="22"/>
        </w:rPr>
        <w:t>4</w:t>
      </w:r>
      <w:r w:rsidRPr="00592461">
        <w:rPr>
          <w:rFonts w:ascii="Arial" w:hAnsi="Arial" w:cs="Arial"/>
          <w:sz w:val="22"/>
          <w:szCs w:val="22"/>
        </w:rPr>
        <w:t xml:space="preserve"> </w:t>
      </w:r>
      <w:r w:rsidR="00036527">
        <w:rPr>
          <w:rFonts w:ascii="Arial" w:hAnsi="Arial" w:cs="Arial"/>
          <w:sz w:val="22"/>
          <w:szCs w:val="22"/>
        </w:rPr>
        <w:t>March</w:t>
      </w:r>
      <w:r w:rsidRPr="00592461">
        <w:rPr>
          <w:rFonts w:ascii="Arial" w:hAnsi="Arial" w:cs="Arial"/>
          <w:sz w:val="22"/>
          <w:szCs w:val="22"/>
        </w:rPr>
        <w:t xml:space="preserve"> 202</w:t>
      </w:r>
      <w:r w:rsidR="00036527">
        <w:rPr>
          <w:rFonts w:ascii="Arial" w:hAnsi="Arial" w:cs="Arial"/>
          <w:sz w:val="22"/>
          <w:szCs w:val="22"/>
        </w:rPr>
        <w:t>6</w:t>
      </w:r>
      <w:r w:rsidRPr="00592461">
        <w:rPr>
          <w:rFonts w:ascii="Arial" w:hAnsi="Arial" w:cs="Arial"/>
          <w:sz w:val="22"/>
          <w:szCs w:val="22"/>
        </w:rPr>
        <w:t>).</w:t>
      </w:r>
    </w:p>
    <w:p w14:paraId="1B225AE2" w14:textId="77777777" w:rsidR="00036527" w:rsidRPr="00A16B85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16B85">
        <w:rPr>
          <w:rFonts w:ascii="Arial" w:hAnsi="Arial" w:cs="Arial"/>
          <w:sz w:val="22"/>
          <w:szCs w:val="22"/>
        </w:rPr>
        <w:t xml:space="preserve">NHS England (2020) </w:t>
      </w:r>
      <w:r w:rsidRPr="00A16B85">
        <w:rPr>
          <w:rFonts w:ascii="Arial" w:hAnsi="Arial" w:cs="Arial"/>
          <w:i/>
          <w:iCs/>
          <w:sz w:val="22"/>
          <w:szCs w:val="22"/>
        </w:rPr>
        <w:t>Person-centred care: Transforming the experience of care for all</w:t>
      </w:r>
      <w:r w:rsidRPr="00A16B85">
        <w:rPr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Pr="00A16B85">
          <w:rPr>
            <w:rStyle w:val="Hyperlink"/>
            <w:rFonts w:ascii="Arial" w:hAnsi="Arial" w:cs="Arial"/>
            <w:sz w:val="22"/>
            <w:szCs w:val="22"/>
          </w:rPr>
          <w:t>https://www.england.nhs.uk/person-centred-care/</w:t>
        </w:r>
      </w:hyperlink>
      <w:r w:rsidRPr="00A16B85">
        <w:rPr>
          <w:rFonts w:ascii="Arial" w:hAnsi="Arial" w:cs="Arial"/>
          <w:sz w:val="22"/>
          <w:szCs w:val="22"/>
        </w:rPr>
        <w:t xml:space="preserve"> (Accessed: 5 </w:t>
      </w:r>
      <w:r>
        <w:rPr>
          <w:rFonts w:ascii="Arial" w:hAnsi="Arial" w:cs="Arial"/>
          <w:sz w:val="22"/>
          <w:szCs w:val="22"/>
        </w:rPr>
        <w:t>March</w:t>
      </w:r>
      <w:r w:rsidRPr="00A16B85">
        <w:rPr>
          <w:rFonts w:ascii="Arial" w:hAnsi="Arial" w:cs="Arial"/>
          <w:sz w:val="22"/>
          <w:szCs w:val="22"/>
        </w:rPr>
        <w:t xml:space="preserve"> 2026).</w:t>
      </w:r>
    </w:p>
    <w:p w14:paraId="10055CD5" w14:textId="77777777" w:rsidR="00036527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NHS England (2022) </w:t>
      </w:r>
      <w:r w:rsidRPr="00AD524B">
        <w:rPr>
          <w:rFonts w:ascii="Arial" w:hAnsi="Arial" w:cs="Arial"/>
          <w:i/>
          <w:iCs/>
          <w:sz w:val="22"/>
          <w:szCs w:val="22"/>
        </w:rPr>
        <w:t>Appointments in general practice, England</w:t>
      </w:r>
      <w:r w:rsidRPr="00AD524B">
        <w:rPr>
          <w:rFonts w:ascii="Arial" w:hAnsi="Arial" w:cs="Arial"/>
          <w:sz w:val="22"/>
          <w:szCs w:val="22"/>
        </w:rPr>
        <w:t xml:space="preserve">. Available at: </w:t>
      </w:r>
      <w:hyperlink r:id="rId19" w:tgtFrame="_new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https://digital.nhs.uk/data-and-information/publications/statistical/appointments-in-general-practice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5 March 2026).</w:t>
      </w:r>
    </w:p>
    <w:p w14:paraId="38C70ADB" w14:textId="77777777" w:rsidR="00036527" w:rsidRPr="002A627F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A627F">
        <w:rPr>
          <w:rFonts w:ascii="Arial" w:hAnsi="Arial" w:cs="Arial"/>
          <w:sz w:val="22"/>
          <w:szCs w:val="22"/>
        </w:rPr>
        <w:t xml:space="preserve">NHS England (2023) </w:t>
      </w:r>
      <w:r w:rsidRPr="002A627F">
        <w:rPr>
          <w:rFonts w:ascii="Arial" w:hAnsi="Arial" w:cs="Arial"/>
          <w:i/>
          <w:iCs/>
          <w:sz w:val="22"/>
          <w:szCs w:val="22"/>
        </w:rPr>
        <w:t>Delivery plan for recovering access to primary care</w:t>
      </w:r>
      <w:r w:rsidRPr="002A627F">
        <w:rPr>
          <w:rFonts w:ascii="Arial" w:hAnsi="Arial" w:cs="Arial"/>
          <w:sz w:val="22"/>
          <w:szCs w:val="22"/>
        </w:rPr>
        <w:t xml:space="preserve">. Available at: </w:t>
      </w:r>
      <w:hyperlink r:id="rId20" w:history="1">
        <w:r w:rsidRPr="002A627F">
          <w:rPr>
            <w:rStyle w:val="Hyperlink"/>
            <w:rFonts w:ascii="Arial" w:hAnsi="Arial" w:cs="Arial"/>
            <w:sz w:val="22"/>
            <w:szCs w:val="22"/>
          </w:rPr>
          <w:t>https://www.england.nhs.uk/long-read/delivery-plan-for-recovering-access-to-primary-care-2/?utm_source</w:t>
        </w:r>
      </w:hyperlink>
      <w:r w:rsidRPr="002A627F">
        <w:rPr>
          <w:rFonts w:ascii="Arial" w:hAnsi="Arial" w:cs="Arial"/>
          <w:sz w:val="22"/>
          <w:szCs w:val="22"/>
        </w:rPr>
        <w:t xml:space="preserve"> (Accessed: 4 March 2025).</w:t>
      </w:r>
    </w:p>
    <w:p w14:paraId="46F8453B" w14:textId="77777777" w:rsidR="00036527" w:rsidRPr="002A627F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A627F">
        <w:rPr>
          <w:rFonts w:ascii="Arial" w:hAnsi="Arial" w:cs="Arial"/>
          <w:sz w:val="22"/>
          <w:szCs w:val="22"/>
        </w:rPr>
        <w:t xml:space="preserve">NHS England (2025) </w:t>
      </w:r>
      <w:r w:rsidRPr="002A627F">
        <w:rPr>
          <w:rFonts w:ascii="Arial" w:hAnsi="Arial" w:cs="Arial"/>
          <w:i/>
          <w:iCs/>
          <w:sz w:val="22"/>
          <w:szCs w:val="22"/>
        </w:rPr>
        <w:t>Review of NHS performance and delivery</w:t>
      </w:r>
      <w:r w:rsidRPr="002A627F">
        <w:rPr>
          <w:rFonts w:ascii="Arial" w:hAnsi="Arial" w:cs="Arial"/>
          <w:sz w:val="22"/>
          <w:szCs w:val="22"/>
        </w:rPr>
        <w:t xml:space="preserve">. Available at: </w:t>
      </w:r>
      <w:hyperlink r:id="rId21" w:history="1">
        <w:r w:rsidRPr="002A627F">
          <w:rPr>
            <w:rStyle w:val="Hyperlink"/>
            <w:rFonts w:ascii="Arial" w:hAnsi="Arial" w:cs="Arial"/>
            <w:sz w:val="22"/>
            <w:szCs w:val="22"/>
          </w:rPr>
          <w:t>https://www.england.nhs.uk/long-read/review-of-nhs-performance-and-delivery/?utm_source</w:t>
        </w:r>
      </w:hyperlink>
      <w:r w:rsidRPr="002A627F">
        <w:rPr>
          <w:rFonts w:ascii="Arial" w:hAnsi="Arial" w:cs="Arial"/>
          <w:sz w:val="22"/>
          <w:szCs w:val="22"/>
        </w:rPr>
        <w:t xml:space="preserve"> (Accessed: 4 March 2025).</w:t>
      </w:r>
    </w:p>
    <w:p w14:paraId="3D84C1D3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Pogorzelska, K. and Chlabicz, S. (2022) ‘Patient satisfaction with telemedicine during the COVID-19 pandemic: A systematic review’, </w:t>
      </w:r>
      <w:r w:rsidRPr="00AD524B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AD524B">
        <w:rPr>
          <w:rFonts w:ascii="Arial" w:hAnsi="Arial" w:cs="Arial"/>
          <w:sz w:val="22"/>
          <w:szCs w:val="22"/>
        </w:rPr>
        <w:t xml:space="preserve">, 19(10), pp. 6113. Available at: </w:t>
      </w:r>
      <w:hyperlink r:id="rId22" w:tgtFrame="_new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https://doi.org/10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.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3390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/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ijerph19106113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4 March 2025).</w:t>
      </w:r>
    </w:p>
    <w:p w14:paraId="290C89E1" w14:textId="77777777" w:rsidR="00036527" w:rsidRPr="00010DCD" w:rsidRDefault="00036527" w:rsidP="00036527">
      <w:pPr>
        <w:spacing w:line="360" w:lineRule="auto"/>
        <w:rPr>
          <w:rFonts w:ascii="Arial" w:hAnsi="Arial" w:cs="Arial"/>
          <w:sz w:val="22"/>
          <w:szCs w:val="22"/>
        </w:rPr>
      </w:pPr>
      <w:r w:rsidRPr="00010DCD">
        <w:rPr>
          <w:rFonts w:ascii="Arial" w:hAnsi="Arial" w:cs="Arial"/>
          <w:sz w:val="22"/>
          <w:szCs w:val="22"/>
        </w:rPr>
        <w:t xml:space="preserve">Singhal, A., Riley, J.P. and Cowie, M.R. (2023) ‘Benefits and challenges of telemedicine for heart failure consultations: a qualitative study’, </w:t>
      </w:r>
      <w:r w:rsidRPr="00010DCD">
        <w:rPr>
          <w:rFonts w:ascii="Arial" w:hAnsi="Arial" w:cs="Arial"/>
          <w:i/>
          <w:iCs/>
          <w:sz w:val="22"/>
          <w:szCs w:val="22"/>
        </w:rPr>
        <w:t>BMC Health Services Research</w:t>
      </w:r>
      <w:r w:rsidRPr="00010DCD">
        <w:rPr>
          <w:rFonts w:ascii="Arial" w:hAnsi="Arial" w:cs="Arial"/>
          <w:sz w:val="22"/>
          <w:szCs w:val="22"/>
        </w:rPr>
        <w:t>, 23, pp. 1</w:t>
      </w:r>
      <w:r w:rsidRPr="00AD524B">
        <w:rPr>
          <w:rFonts w:ascii="Arial" w:hAnsi="Arial" w:cs="Arial"/>
          <w:sz w:val="22"/>
          <w:szCs w:val="22"/>
        </w:rPr>
        <w:t>-</w:t>
      </w:r>
      <w:r w:rsidRPr="00010DCD">
        <w:rPr>
          <w:rFonts w:ascii="Arial" w:hAnsi="Arial" w:cs="Arial"/>
          <w:sz w:val="22"/>
          <w:szCs w:val="22"/>
        </w:rPr>
        <w:t>9. Available at</w:t>
      </w:r>
      <w:r w:rsidRPr="00AD524B">
        <w:rPr>
          <w:rFonts w:ascii="Arial" w:hAnsi="Arial" w:cs="Arial"/>
          <w:sz w:val="22"/>
          <w:szCs w:val="22"/>
        </w:rPr>
        <w:t>:</w:t>
      </w:r>
      <w:hyperlink r:id="rId23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https://link.springer.com/content/pdf/10.1186/s12913-023-09872-z.pdf</w:t>
        </w:r>
      </w:hyperlink>
      <w:r w:rsidRPr="00AD524B">
        <w:rPr>
          <w:rFonts w:ascii="Arial" w:hAnsi="Arial" w:cs="Arial"/>
          <w:sz w:val="22"/>
          <w:szCs w:val="22"/>
        </w:rPr>
        <w:t xml:space="preserve"> </w:t>
      </w:r>
      <w:r w:rsidRPr="00010DCD">
        <w:rPr>
          <w:rFonts w:ascii="Arial" w:hAnsi="Arial" w:cs="Arial"/>
          <w:sz w:val="22"/>
          <w:szCs w:val="22"/>
        </w:rPr>
        <w:t>(Accessed: 12 March 2026).</w:t>
      </w:r>
    </w:p>
    <w:p w14:paraId="6112487D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lastRenderedPageBreak/>
        <w:t xml:space="preserve">Snoswell, C.L., et al. (2023) ‘The clinical effectiveness of telehealth: a systematic review of meta-analyses from 2010 to 2019’, </w:t>
      </w:r>
      <w:r w:rsidRPr="00AD524B">
        <w:rPr>
          <w:rFonts w:ascii="Arial" w:hAnsi="Arial" w:cs="Arial"/>
          <w:i/>
          <w:iCs/>
          <w:sz w:val="22"/>
          <w:szCs w:val="22"/>
        </w:rPr>
        <w:t>Journal of Telemedicine and Telecare</w:t>
      </w:r>
      <w:r w:rsidRPr="00AD524B">
        <w:rPr>
          <w:rFonts w:ascii="Arial" w:hAnsi="Arial" w:cs="Arial"/>
          <w:sz w:val="22"/>
          <w:szCs w:val="22"/>
        </w:rPr>
        <w:t xml:space="preserve">. 29(9).   </w:t>
      </w:r>
    </w:p>
    <w:p w14:paraId="1573D5C1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>Available at:</w:t>
      </w:r>
      <w:hyperlink r:id="rId24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https://journals.s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a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gepub.com/do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i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/full/10.1177/13576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3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3X211022907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5 March 2025).</w:t>
      </w:r>
    </w:p>
    <w:p w14:paraId="17DC07A3" w14:textId="4150857E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DCD">
        <w:rPr>
          <w:rFonts w:ascii="Arial" w:hAnsi="Arial" w:cs="Arial"/>
          <w:sz w:val="22"/>
          <w:szCs w:val="22"/>
        </w:rPr>
        <w:t xml:space="preserve">Ward, K., Vagholkar, S., Lane, J. and Raghuraman, S. (2023) ‘Are chronic condition management visits translatable to telehealth? Analysis of in-person consultations in primary care’, </w:t>
      </w:r>
      <w:r w:rsidRPr="00010DCD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010DCD">
        <w:rPr>
          <w:rFonts w:ascii="Arial" w:hAnsi="Arial" w:cs="Arial"/>
          <w:sz w:val="22"/>
          <w:szCs w:val="22"/>
        </w:rPr>
        <w:t xml:space="preserve">, </w:t>
      </w:r>
      <w:r w:rsidRPr="00AD524B">
        <w:rPr>
          <w:rFonts w:ascii="Arial" w:hAnsi="Arial" w:cs="Arial"/>
          <w:sz w:val="22"/>
          <w:szCs w:val="22"/>
        </w:rPr>
        <w:t>178, 105197</w:t>
      </w:r>
      <w:r w:rsidRPr="00010DCD">
        <w:rPr>
          <w:rFonts w:ascii="Arial" w:hAnsi="Arial" w:cs="Arial"/>
          <w:sz w:val="22"/>
          <w:szCs w:val="22"/>
        </w:rPr>
        <w:t>. Available at:</w:t>
      </w:r>
      <w:hyperlink r:id="rId25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https://www.sciencedirect.com/science/article/pii/S1386505623002150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010DCD">
        <w:rPr>
          <w:rFonts w:ascii="Arial" w:hAnsi="Arial" w:cs="Arial"/>
          <w:sz w:val="22"/>
          <w:szCs w:val="22"/>
        </w:rPr>
        <w:t>(Accessed: 12 March 2026).</w:t>
      </w:r>
    </w:p>
    <w:p w14:paraId="5F846027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Woffindin, L. (2024) </w:t>
      </w:r>
      <w:r w:rsidRPr="00AD524B">
        <w:rPr>
          <w:rFonts w:ascii="Arial" w:hAnsi="Arial" w:cs="Arial"/>
          <w:i/>
          <w:iCs/>
          <w:sz w:val="22"/>
          <w:szCs w:val="22"/>
        </w:rPr>
        <w:t>Assistive Technology in Health and Social Care.</w:t>
      </w:r>
    </w:p>
    <w:p w14:paraId="7469A9AE" w14:textId="77777777" w:rsidR="00036527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 Available at: </w:t>
      </w:r>
      <w:hyperlink r:id="rId26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https://cpdonline.co.uk/knowledge-base/care/assistive-technology/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5 March 2022).</w:t>
      </w:r>
    </w:p>
    <w:p w14:paraId="149F7F89" w14:textId="77777777" w:rsidR="00036527" w:rsidRPr="00464A44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64A44">
        <w:rPr>
          <w:rFonts w:ascii="Arial" w:hAnsi="Arial" w:cs="Arial"/>
          <w:sz w:val="22"/>
          <w:szCs w:val="22"/>
        </w:rPr>
        <w:t xml:space="preserve">World Health Organization (2020) </w:t>
      </w:r>
      <w:r w:rsidRPr="00464A44">
        <w:rPr>
          <w:rFonts w:ascii="Arial" w:hAnsi="Arial" w:cs="Arial"/>
          <w:i/>
          <w:iCs/>
          <w:sz w:val="22"/>
          <w:szCs w:val="22"/>
        </w:rPr>
        <w:t>Ageing and health</w:t>
      </w:r>
      <w:r w:rsidRPr="00464A44">
        <w:rPr>
          <w:rFonts w:ascii="Arial" w:hAnsi="Arial" w:cs="Arial"/>
          <w:sz w:val="22"/>
          <w:szCs w:val="22"/>
        </w:rPr>
        <w:t xml:space="preserve">. Available at: </w:t>
      </w:r>
      <w:hyperlink r:id="rId27" w:history="1">
        <w:r w:rsidRPr="00464A44">
          <w:rPr>
            <w:rStyle w:val="Hyperlink"/>
            <w:rFonts w:ascii="Arial" w:hAnsi="Arial" w:cs="Arial"/>
            <w:sz w:val="22"/>
            <w:szCs w:val="22"/>
          </w:rPr>
          <w:t>https://www.who.int/news-room/fact-sheets/detail/ageing-and-health</w:t>
        </w:r>
      </w:hyperlink>
      <w:r w:rsidRPr="00464A44">
        <w:rPr>
          <w:rFonts w:ascii="Arial" w:hAnsi="Arial" w:cs="Arial"/>
          <w:sz w:val="22"/>
          <w:szCs w:val="22"/>
        </w:rPr>
        <w:t xml:space="preserve"> (Accessed: </w:t>
      </w:r>
      <w:r>
        <w:rPr>
          <w:rFonts w:ascii="Arial" w:hAnsi="Arial" w:cs="Arial"/>
          <w:sz w:val="22"/>
          <w:szCs w:val="22"/>
        </w:rPr>
        <w:t>2</w:t>
      </w:r>
      <w:r w:rsidRPr="00464A44">
        <w:rPr>
          <w:rFonts w:ascii="Arial" w:hAnsi="Arial" w:cs="Arial"/>
          <w:sz w:val="22"/>
          <w:szCs w:val="22"/>
        </w:rPr>
        <w:t>8 February 2026).</w:t>
      </w:r>
    </w:p>
    <w:p w14:paraId="182D6575" w14:textId="77777777" w:rsidR="00036527" w:rsidRPr="00010DCD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World Health Organization (2024) </w:t>
      </w:r>
      <w:r w:rsidRPr="00AD524B">
        <w:rPr>
          <w:rFonts w:ascii="Arial" w:hAnsi="Arial" w:cs="Arial"/>
          <w:i/>
          <w:iCs/>
          <w:sz w:val="22"/>
          <w:szCs w:val="22"/>
        </w:rPr>
        <w:t>Assistive technology</w:t>
      </w:r>
      <w:r w:rsidRPr="00AD524B">
        <w:rPr>
          <w:rFonts w:ascii="Arial" w:hAnsi="Arial" w:cs="Arial"/>
          <w:sz w:val="22"/>
          <w:szCs w:val="22"/>
        </w:rPr>
        <w:t xml:space="preserve">. Available at: </w:t>
      </w:r>
      <w:hyperlink r:id="rId28" w:tgtFrame="_new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https://www.who.int/news-room/fact-sheets/detail/assistive-tec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h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nology</w:t>
        </w:r>
      </w:hyperlink>
      <w:r w:rsidRPr="00AD524B">
        <w:rPr>
          <w:rFonts w:ascii="Arial" w:hAnsi="Arial" w:cs="Arial"/>
          <w:sz w:val="22"/>
          <w:szCs w:val="22"/>
        </w:rPr>
        <w:t xml:space="preserve"> (Accessed: 5 March 2022).</w:t>
      </w:r>
    </w:p>
    <w:p w14:paraId="2099FCB8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sz w:val="22"/>
          <w:szCs w:val="22"/>
        </w:rPr>
        <w:t xml:space="preserve">Xiao, Z. and Han, X. (2023) ‘Evaluation of the effectiveness of telehealth chronic disease management system: systematic review and meta-analysis’, </w:t>
      </w:r>
      <w:r w:rsidRPr="00AD524B">
        <w:rPr>
          <w:rFonts w:ascii="Arial" w:hAnsi="Arial" w:cs="Arial"/>
          <w:i/>
          <w:iCs/>
          <w:sz w:val="22"/>
          <w:szCs w:val="22"/>
        </w:rPr>
        <w:t>Journal of Medical Internet Research</w:t>
      </w:r>
      <w:r w:rsidRPr="00AD524B">
        <w:rPr>
          <w:rFonts w:ascii="Arial" w:hAnsi="Arial" w:cs="Arial"/>
          <w:sz w:val="22"/>
          <w:szCs w:val="22"/>
        </w:rPr>
        <w:t>, 25, e45678.</w:t>
      </w:r>
    </w:p>
    <w:p w14:paraId="4E80CFB2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52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0DCD">
        <w:rPr>
          <w:rFonts w:ascii="Arial" w:hAnsi="Arial" w:cs="Arial"/>
          <w:sz w:val="22"/>
          <w:szCs w:val="22"/>
        </w:rPr>
        <w:t>Available at:</w:t>
      </w:r>
      <w:r w:rsidRPr="00AD524B">
        <w:rPr>
          <w:rFonts w:ascii="Arial" w:hAnsi="Arial" w:cs="Arial"/>
          <w:sz w:val="22"/>
          <w:szCs w:val="22"/>
        </w:rPr>
        <w:t xml:space="preserve"> </w:t>
      </w:r>
      <w:hyperlink r:id="rId29" w:history="1">
        <w:r w:rsidRPr="00AD524B">
          <w:rPr>
            <w:rStyle w:val="Hyperlink"/>
            <w:rFonts w:ascii="Arial" w:hAnsi="Arial" w:cs="Arial"/>
            <w:sz w:val="22"/>
            <w:szCs w:val="22"/>
          </w:rPr>
          <w:t>https://www.jmir.org/2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0</w:t>
        </w:r>
        <w:r w:rsidRPr="00AD524B">
          <w:rPr>
            <w:rStyle w:val="Hyperlink"/>
            <w:rFonts w:ascii="Arial" w:hAnsi="Arial" w:cs="Arial"/>
            <w:sz w:val="22"/>
            <w:szCs w:val="22"/>
          </w:rPr>
          <w:t>23/1/e44256/</w:t>
        </w:r>
      </w:hyperlink>
      <w:r w:rsidRPr="00AD524B">
        <w:rPr>
          <w:rFonts w:ascii="Arial" w:hAnsi="Arial" w:cs="Arial"/>
          <w:sz w:val="22"/>
          <w:szCs w:val="22"/>
        </w:rPr>
        <w:t xml:space="preserve">  </w:t>
      </w:r>
      <w:r w:rsidRPr="00010DCD">
        <w:rPr>
          <w:rFonts w:ascii="Arial" w:hAnsi="Arial" w:cs="Arial"/>
          <w:sz w:val="22"/>
          <w:szCs w:val="22"/>
        </w:rPr>
        <w:t>(Accessed: 12 March 2026).</w:t>
      </w:r>
    </w:p>
    <w:p w14:paraId="3EACC9FD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CDBF16" w14:textId="77777777" w:rsidR="00036527" w:rsidRPr="00010DCD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0DCD">
        <w:rPr>
          <w:rFonts w:ascii="Arial" w:hAnsi="Arial" w:cs="Arial"/>
          <w:sz w:val="22"/>
          <w:szCs w:val="22"/>
        </w:rPr>
        <w:br/>
      </w:r>
      <w:r w:rsidRPr="00010DCD">
        <w:rPr>
          <w:rFonts w:ascii="Arial" w:hAnsi="Arial" w:cs="Arial"/>
          <w:sz w:val="22"/>
          <w:szCs w:val="22"/>
        </w:rPr>
        <w:br/>
      </w:r>
    </w:p>
    <w:p w14:paraId="4128701B" w14:textId="77777777" w:rsidR="00036527" w:rsidRPr="00010DCD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618FBA" w14:textId="77777777" w:rsidR="00036527" w:rsidRPr="00AD524B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D3BD32" w14:textId="77777777" w:rsidR="00036527" w:rsidRDefault="00036527" w:rsidP="00036527">
      <w:pPr>
        <w:spacing w:line="360" w:lineRule="auto"/>
        <w:jc w:val="both"/>
        <w:rPr>
          <w:rFonts w:ascii="Arial" w:hAnsi="Arial" w:cs="Arial"/>
        </w:rPr>
      </w:pPr>
    </w:p>
    <w:p w14:paraId="6E8D4BAB" w14:textId="77777777" w:rsidR="00036527" w:rsidRPr="00036527" w:rsidRDefault="00036527" w:rsidP="00036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036527" w:rsidRPr="00036527"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C4EA4" w14:textId="77777777" w:rsidR="00C75040" w:rsidRDefault="00C75040" w:rsidP="00870770">
      <w:pPr>
        <w:spacing w:after="0" w:line="240" w:lineRule="auto"/>
      </w:pPr>
      <w:r>
        <w:separator/>
      </w:r>
    </w:p>
  </w:endnote>
  <w:endnote w:type="continuationSeparator" w:id="0">
    <w:p w14:paraId="43C9E045" w14:textId="77777777" w:rsidR="00C75040" w:rsidRDefault="00C75040" w:rsidP="00870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86748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A69D1C" w14:textId="5FA1472F" w:rsidR="00870770" w:rsidRDefault="0087077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13F178" w14:textId="77777777" w:rsidR="00870770" w:rsidRDefault="008707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AF7F2" w14:textId="77777777" w:rsidR="00C75040" w:rsidRDefault="00C75040" w:rsidP="00870770">
      <w:pPr>
        <w:spacing w:after="0" w:line="240" w:lineRule="auto"/>
      </w:pPr>
      <w:r>
        <w:separator/>
      </w:r>
    </w:p>
  </w:footnote>
  <w:footnote w:type="continuationSeparator" w:id="0">
    <w:p w14:paraId="4FB37532" w14:textId="77777777" w:rsidR="00C75040" w:rsidRDefault="00C75040" w:rsidP="008707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527"/>
    <w:rsid w:val="00036527"/>
    <w:rsid w:val="0022783E"/>
    <w:rsid w:val="002D6ABC"/>
    <w:rsid w:val="00607961"/>
    <w:rsid w:val="0066153F"/>
    <w:rsid w:val="00870770"/>
    <w:rsid w:val="009138C1"/>
    <w:rsid w:val="009A11EA"/>
    <w:rsid w:val="00B768DD"/>
    <w:rsid w:val="00C7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E8284"/>
  <w15:chartTrackingRefBased/>
  <w15:docId w15:val="{6C563293-1665-4D5A-8A8D-731B682C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527"/>
  </w:style>
  <w:style w:type="paragraph" w:styleId="Heading1">
    <w:name w:val="heading 1"/>
    <w:basedOn w:val="Normal"/>
    <w:next w:val="Normal"/>
    <w:link w:val="Heading1Char"/>
    <w:uiPriority w:val="9"/>
    <w:qFormat/>
    <w:rsid w:val="000365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65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65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65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65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65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65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65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65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5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5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5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5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5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5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65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65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65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65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5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5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65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65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65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65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65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65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65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65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652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6527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707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770"/>
  </w:style>
  <w:style w:type="paragraph" w:styleId="Footer">
    <w:name w:val="footer"/>
    <w:basedOn w:val="Normal"/>
    <w:link w:val="FooterChar"/>
    <w:uiPriority w:val="99"/>
    <w:unhideWhenUsed/>
    <w:rsid w:val="008707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7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1386505622000788" TargetMode="External"/><Relationship Id="rId13" Type="http://schemas.openxmlformats.org/officeDocument/2006/relationships/hyperlink" Target="https://www.sciencedirect.com/science/article/pii/S2949953425000050" TargetMode="External"/><Relationship Id="rId18" Type="http://schemas.openxmlformats.org/officeDocument/2006/relationships/hyperlink" Target="https://www.england.nhs.uk/person-centred-care/" TargetMode="External"/><Relationship Id="rId26" Type="http://schemas.openxmlformats.org/officeDocument/2006/relationships/hyperlink" Target="https://cpdonline.co.uk/knowledge-base/care/assistive-technology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ngland.nhs.uk/long-read/review-of-nhs-performance-and-delivery/?utm_source" TargetMode="External"/><Relationship Id="rId7" Type="http://schemas.openxmlformats.org/officeDocument/2006/relationships/hyperlink" Target="https://www.tandfonline.com/doi/full/10.1080/19932820.2024.2301829" TargetMode="External"/><Relationship Id="rId12" Type="http://schemas.openxmlformats.org/officeDocument/2006/relationships/hyperlink" Target="https://doi.org/10.1093/fampra/cmab173" TargetMode="External"/><Relationship Id="rId17" Type="http://schemas.openxmlformats.org/officeDocument/2006/relationships/hyperlink" Target="https://www.gov.uk/government/publications/national-data-guardian-2023-2024-report/national-data-guardian-2023-2024-report" TargetMode="External"/><Relationship Id="rId25" Type="http://schemas.openxmlformats.org/officeDocument/2006/relationships/hyperlink" Target="https://www.sciencedirect.com/science/article/pii/S138650562300215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mc.ncbi.nlm.nih.gov/articles/PMC11404635/" TargetMode="External"/><Relationship Id="rId20" Type="http://schemas.openxmlformats.org/officeDocument/2006/relationships/hyperlink" Target="https://www.england.nhs.uk/long-read/delivery-plan-for-recovering-access-to-primary-care-2/?utm_source" TargetMode="External"/><Relationship Id="rId29" Type="http://schemas.openxmlformats.org/officeDocument/2006/relationships/hyperlink" Target="https://www.jmir.org/2023/1/e44256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journals.sagepub.com/doi/full/10.1177/26323524251380632" TargetMode="External"/><Relationship Id="rId24" Type="http://schemas.openxmlformats.org/officeDocument/2006/relationships/hyperlink" Target="https://journals.sagepub.com/doi/full/10.1177/1357633X211022907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:%20https:/www.ncbi.nlm.nih.gov/pmc/articles/PMC11404635/" TargetMode="External"/><Relationship Id="rId23" Type="http://schemas.openxmlformats.org/officeDocument/2006/relationships/hyperlink" Target="https://link.springer.com/content/pdf/10.1186/s12913-023-09872-z.pdf" TargetMode="External"/><Relationship Id="rId28" Type="http://schemas.openxmlformats.org/officeDocument/2006/relationships/hyperlink" Target="https://www.who.int/news-room/fact-sheets/detail/assistive-technology" TargetMode="External"/><Relationship Id="rId10" Type="http://schemas.openxmlformats.org/officeDocument/2006/relationships/hyperlink" Target="https://link.springer.com/article/10.1186/s12872-023-03486-3" TargetMode="External"/><Relationship Id="rId19" Type="http://schemas.openxmlformats.org/officeDocument/2006/relationships/hyperlink" Target="https://digital.nhs.uk/data-and-information/publications/statistical/appointments-in-general-practice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14/23/contents/enacted" TargetMode="External"/><Relationship Id="rId14" Type="http://schemas.openxmlformats.org/officeDocument/2006/relationships/hyperlink" Target="https://www.gov.uk/government/publications/harnessing-technology-for-the-long-term-sustainability-of-the-uks-healthcare-system" TargetMode="External"/><Relationship Id="rId22" Type="http://schemas.openxmlformats.org/officeDocument/2006/relationships/hyperlink" Target="https://doi.org/10.3390/ijerph19106113" TargetMode="External"/><Relationship Id="rId27" Type="http://schemas.openxmlformats.org/officeDocument/2006/relationships/hyperlink" Target="https://www.who.int/news-room/fact-sheets/detail/ageing-and-health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1167</Words>
  <Characters>6653</Characters>
  <Application>Microsoft Office Word</Application>
  <DocSecurity>0</DocSecurity>
  <Lines>55</Lines>
  <Paragraphs>15</Paragraphs>
  <ScaleCrop>false</ScaleCrop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Mehwish Arshad</dc:creator>
  <cp:keywords/>
  <dc:description/>
  <cp:lastModifiedBy>Mehwish Arshad</cp:lastModifiedBy>
  <cp:revision>3</cp:revision>
  <dcterms:created xsi:type="dcterms:W3CDTF">2026-03-12T20:33:00Z</dcterms:created>
  <dcterms:modified xsi:type="dcterms:W3CDTF">2026-03-12T20:34:00Z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3790ded7-d41d-4987-bd3b-085eaf8bb124</vt:lpwstr>
  </property>
</Properties>
</file>