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keepNext w:val="0"/>
        <w:keepLines w:val="0"/>
        <w:widowControl w:val="0"/>
        <w:shd w:val="clear" w:color="auto" w:fill="auto"/>
        <w:bidi w:val="0"/>
        <w:spacing w:before="0" w:after="0" w:line="240" w:lineRule="auto"/>
        <w:ind w:left="0" w:right="0" w:firstLine="0"/>
        <w:jc w:val="left"/>
        <w:rPr>
          <w:rFonts w:eastAsia="Helvetica Neue" w:cs="Arial"/>
          <w:color w:val="000000"/>
          <w:kern w:val="0"/>
          <w:sz w:val="28"/>
          <w:szCs w:val="28"/>
          <w:lang w:eastAsia="zh-Hans"/>
        </w:rPr>
      </w:pPr>
      <w:r>
        <w:drawing>
          <wp:inline distT="0" distB="0" distL="114300" distR="114300">
            <wp:extent cx="5153660" cy="3154045"/>
            <wp:effectExtent l="0" t="0" r="2540" b="20955"/>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27"/>
                    <a:srcRect t="8743" b="33736"/>
                    <a:stretch>
                      <a:fillRect/>
                    </a:stretch>
                  </pic:blipFill>
                  <pic:spPr>
                    <a:xfrm>
                      <a:off x="0" y="0"/>
                      <a:ext cx="5153660" cy="3154045"/>
                    </a:xfrm>
                    <a:prstGeom prst="rect">
                      <a:avLst/>
                    </a:prstGeom>
                  </pic:spPr>
                </pic:pic>
              </a:graphicData>
            </a:graphic>
          </wp:inline>
        </w:drawing>
      </w:r>
    </w:p>
    <w:p>
      <w:pPr>
        <w:pStyle w:val="18"/>
        <w:bidi w:val="0"/>
        <w:jc w:val="center"/>
        <w:rPr>
          <w:rFonts w:hint="default"/>
          <w:sz w:val="56"/>
          <w:szCs w:val="56"/>
          <w:lang w:eastAsia="zh-Hans"/>
        </w:rPr>
      </w:pPr>
      <w:r>
        <w:rPr>
          <w:rFonts w:hint="eastAsia"/>
          <w:sz w:val="56"/>
          <w:szCs w:val="56"/>
          <w:lang w:val="en-US" w:eastAsia="zh-Hans"/>
        </w:rPr>
        <w:t>July</w:t>
      </w:r>
      <w:r>
        <w:rPr>
          <w:rFonts w:hint="default"/>
          <w:sz w:val="56"/>
          <w:szCs w:val="56"/>
          <w:lang w:eastAsia="zh-Hans"/>
        </w:rPr>
        <w:t xml:space="preserve"> 2023</w:t>
      </w:r>
    </w:p>
    <w:p>
      <w:pPr>
        <w:pStyle w:val="18"/>
        <w:keepNext w:val="0"/>
        <w:keepLines w:val="0"/>
        <w:widowControl w:val="0"/>
        <w:shd w:val="clear" w:color="auto" w:fill="auto"/>
        <w:bidi w:val="0"/>
        <w:spacing w:before="0" w:after="0" w:line="240" w:lineRule="auto"/>
        <w:ind w:left="0" w:right="0" w:firstLine="0"/>
        <w:jc w:val="left"/>
        <w:rPr>
          <w:rFonts w:eastAsia="Helvetica Neue" w:cs="Arial"/>
          <w:color w:val="000000"/>
          <w:kern w:val="0"/>
          <w:sz w:val="28"/>
          <w:szCs w:val="28"/>
          <w:lang w:eastAsia="zh-Hans"/>
        </w:rPr>
      </w:pPr>
    </w:p>
    <w:p>
      <w:pPr>
        <w:pStyle w:val="18"/>
        <w:keepNext w:val="0"/>
        <w:keepLines w:val="0"/>
        <w:widowControl w:val="0"/>
        <w:shd w:val="clear" w:color="auto" w:fill="auto"/>
        <w:bidi w:val="0"/>
        <w:spacing w:before="0" w:after="0" w:line="240" w:lineRule="auto"/>
        <w:ind w:left="0" w:right="0" w:firstLine="0"/>
        <w:jc w:val="left"/>
        <w:rPr>
          <w:rFonts w:eastAsia="Helvetica Neue" w:cs="Arial"/>
          <w:color w:val="000000"/>
          <w:kern w:val="0"/>
          <w:sz w:val="28"/>
          <w:szCs w:val="28"/>
          <w:lang w:eastAsia="zh-Hans"/>
        </w:rPr>
      </w:pPr>
    </w:p>
    <w:p>
      <w:pPr>
        <w:pStyle w:val="18"/>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eastAsia="宋体" w:cs="Times New Roman Regular"/>
          <w:color w:val="000000"/>
          <w:spacing w:val="0"/>
          <w:w w:val="100"/>
          <w:position w:val="0"/>
          <w:sz w:val="28"/>
          <w:szCs w:val="28"/>
          <w:lang w:val="en-US" w:eastAsia="en-US" w:bidi="en-US"/>
        </w:rPr>
      </w:pPr>
      <w:r>
        <w:rPr>
          <w:rFonts w:hint="default" w:ascii="Times New Roman Regular" w:hAnsi="Times New Roman Regular" w:eastAsia="Times New Roman" w:cs="Times New Roman Regular"/>
          <w:color w:val="000000"/>
          <w:spacing w:val="0"/>
          <w:w w:val="100"/>
          <w:position w:val="0"/>
          <w:sz w:val="28"/>
          <w:szCs w:val="28"/>
          <w:lang w:val="en-US" w:eastAsia="en-US" w:bidi="en-US"/>
        </w:rPr>
        <w:t>MODULE NAME</w:t>
      </w:r>
      <w:r>
        <w:rPr>
          <w:rFonts w:hint="default" w:ascii="Times New Roman Regular" w:hAnsi="Times New Roman Regular" w:eastAsia="宋体" w:cs="Times New Roman Regular"/>
          <w:color w:val="000000"/>
          <w:spacing w:val="0"/>
          <w:w w:val="100"/>
          <w:position w:val="0"/>
          <w:sz w:val="28"/>
          <w:szCs w:val="28"/>
          <w:lang w:val="en-US" w:eastAsia="en-US" w:bidi="en-US"/>
        </w:rPr>
        <w:t>：BMMB7013</w:t>
      </w:r>
      <w:r>
        <w:rPr>
          <w:rFonts w:hint="default" w:ascii="Times New Roman Regular" w:hAnsi="Times New Roman Regular" w:eastAsia="宋体" w:cs="Times New Roman Regular"/>
          <w:color w:val="000000"/>
          <w:spacing w:val="0"/>
          <w:w w:val="100"/>
          <w:position w:val="0"/>
          <w:sz w:val="28"/>
          <w:szCs w:val="28"/>
          <w:lang w:eastAsia="en-US" w:bidi="en-US"/>
        </w:rPr>
        <w:t>-</w:t>
      </w:r>
      <w:r>
        <w:rPr>
          <w:rFonts w:hint="default" w:ascii="Times New Roman Regular" w:hAnsi="Times New Roman Regular" w:eastAsia="宋体" w:cs="Times New Roman Regular"/>
          <w:color w:val="000000"/>
          <w:spacing w:val="0"/>
          <w:w w:val="100"/>
          <w:position w:val="0"/>
          <w:sz w:val="28"/>
          <w:szCs w:val="28"/>
          <w:lang w:val="en-US" w:eastAsia="en-US" w:bidi="en-US"/>
        </w:rPr>
        <w:t>Strategic Management</w:t>
      </w:r>
    </w:p>
    <w:p>
      <w:pPr>
        <w:pStyle w:val="18"/>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eastAsia="宋体" w:cs="Times New Roman Regular"/>
          <w:color w:val="000000"/>
          <w:spacing w:val="0"/>
          <w:w w:val="100"/>
          <w:position w:val="0"/>
          <w:sz w:val="28"/>
          <w:szCs w:val="28"/>
          <w:lang w:val="en-US" w:eastAsia="en-US" w:bidi="en-US"/>
        </w:rPr>
      </w:pPr>
    </w:p>
    <w:p>
      <w:pPr>
        <w:pStyle w:val="18"/>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eastAsia="宋体" w:cs="Times New Roman Regular"/>
          <w:color w:val="000000"/>
          <w:spacing w:val="0"/>
          <w:w w:val="100"/>
          <w:position w:val="0"/>
          <w:sz w:val="28"/>
          <w:szCs w:val="28"/>
          <w:lang w:val="en-US" w:eastAsia="zh-Hans" w:bidi="en-US"/>
        </w:rPr>
      </w:pPr>
      <w:r>
        <w:rPr>
          <w:rFonts w:hint="default" w:ascii="Times New Roman Regular" w:hAnsi="Times New Roman Regular" w:eastAsia="Times New Roman" w:cs="Times New Roman Regular"/>
          <w:color w:val="000000"/>
          <w:spacing w:val="0"/>
          <w:w w:val="100"/>
          <w:position w:val="0"/>
          <w:sz w:val="28"/>
          <w:szCs w:val="28"/>
          <w:lang w:val="en-US" w:eastAsia="en-US" w:bidi="en-US"/>
        </w:rPr>
        <w:t>NAME</w:t>
      </w:r>
      <w:r>
        <w:rPr>
          <w:rFonts w:hint="default" w:ascii="Times New Roman Regular" w:hAnsi="Times New Roman Regular" w:eastAsia="宋体" w:cs="Times New Roman Regular"/>
          <w:color w:val="000000"/>
          <w:spacing w:val="0"/>
          <w:w w:val="100"/>
          <w:position w:val="0"/>
          <w:sz w:val="28"/>
          <w:szCs w:val="28"/>
          <w:lang w:val="en-US" w:eastAsia="en-US" w:bidi="en-US"/>
        </w:rPr>
        <w:t>：</w:t>
      </w:r>
      <w:r>
        <w:rPr>
          <w:rFonts w:hint="eastAsia" w:ascii="Times New Roman Regular" w:hAnsi="Times New Roman Regular" w:eastAsia="宋体" w:cs="Times New Roman Regular"/>
          <w:color w:val="000000"/>
          <w:spacing w:val="0"/>
          <w:w w:val="100"/>
          <w:position w:val="0"/>
          <w:sz w:val="28"/>
          <w:szCs w:val="28"/>
          <w:lang w:val="en-US" w:eastAsia="zh-Hans" w:bidi="en-US"/>
        </w:rPr>
        <w:t>Xinke</w:t>
      </w:r>
      <w:r>
        <w:rPr>
          <w:rFonts w:hint="default" w:ascii="Times New Roman Regular" w:hAnsi="Times New Roman Regular" w:eastAsia="宋体" w:cs="Times New Roman Regular"/>
          <w:color w:val="000000"/>
          <w:spacing w:val="0"/>
          <w:w w:val="100"/>
          <w:position w:val="0"/>
          <w:sz w:val="28"/>
          <w:szCs w:val="28"/>
          <w:lang w:eastAsia="zh-Hans" w:bidi="en-US"/>
        </w:rPr>
        <w:t xml:space="preserve"> </w:t>
      </w:r>
      <w:r>
        <w:rPr>
          <w:rFonts w:hint="eastAsia" w:ascii="Times New Roman Regular" w:hAnsi="Times New Roman Regular" w:eastAsia="宋体" w:cs="Times New Roman Regular"/>
          <w:color w:val="000000"/>
          <w:spacing w:val="0"/>
          <w:w w:val="100"/>
          <w:position w:val="0"/>
          <w:sz w:val="28"/>
          <w:szCs w:val="28"/>
          <w:lang w:val="en-US" w:eastAsia="zh-Hans" w:bidi="en-US"/>
        </w:rPr>
        <w:t>Gong</w:t>
      </w:r>
    </w:p>
    <w:p>
      <w:pPr>
        <w:pStyle w:val="18"/>
        <w:keepNext w:val="0"/>
        <w:keepLines w:val="0"/>
        <w:widowControl w:val="0"/>
        <w:shd w:val="clear" w:color="auto" w:fill="auto"/>
        <w:bidi w:val="0"/>
        <w:spacing w:before="0" w:after="0" w:line="240" w:lineRule="auto"/>
        <w:ind w:left="0" w:right="0" w:firstLine="0"/>
        <w:jc w:val="left"/>
      </w:pPr>
      <w:r>
        <w:rPr>
          <w:rFonts w:hint="default" w:ascii="Times New Roman Regular" w:hAnsi="Times New Roman Regular" w:eastAsia="Times New Roman" w:cs="Times New Roman Regular"/>
          <w:color w:val="000000"/>
          <w:spacing w:val="0"/>
          <w:w w:val="100"/>
          <w:position w:val="0"/>
          <w:sz w:val="28"/>
          <w:szCs w:val="28"/>
          <w:lang w:val="en-US" w:eastAsia="en-US" w:bidi="en-US"/>
        </w:rPr>
        <w:t>STUDENT NUMBER:</w:t>
      </w:r>
      <w:r>
        <w:rPr>
          <w:rFonts w:hint="default" w:ascii="Times New Roman Regular" w:hAnsi="Times New Roman Regular" w:eastAsia="Times New Roman" w:cs="Times New Roman Regular"/>
          <w:color w:val="000000"/>
          <w:spacing w:val="0"/>
          <w:w w:val="100"/>
          <w:position w:val="0"/>
          <w:sz w:val="28"/>
          <w:szCs w:val="28"/>
          <w:lang w:eastAsia="en-US" w:bidi="en-US"/>
        </w:rPr>
        <w:t xml:space="preserve"> 2230419</w:t>
      </w:r>
    </w:p>
    <w:p/>
    <w:p/>
    <w:p/>
    <w:p/>
    <w:p>
      <w:pPr>
        <w:sectPr>
          <w:headerReference r:id="rId6" w:type="first"/>
          <w:headerReference r:id="rId5" w:type="default"/>
          <w:pgSz w:w="11906" w:h="16838"/>
          <w:pgMar w:top="1440" w:right="1800" w:bottom="1440" w:left="1800" w:header="851" w:footer="992" w:gutter="0"/>
          <w:pgNumType w:fmt="decimal"/>
          <w:cols w:space="425" w:num="1"/>
          <w:titlePg/>
          <w:docGrid w:type="lines" w:linePitch="312" w:charSpace="0"/>
        </w:sectPr>
      </w:pPr>
    </w:p>
    <w:p/>
    <w:sdt>
      <w:sdtPr>
        <w:rPr>
          <w:rFonts w:ascii="Arial" w:hAnsi="Arial" w:eastAsia="Arial" w:cstheme="minorBidi"/>
          <w:color w:val="auto"/>
          <w:kern w:val="2"/>
          <w:sz w:val="24"/>
          <w:szCs w:val="22"/>
          <w:lang w:val="zh-CN"/>
        </w:rPr>
        <w:id w:val="324026993"/>
        <w:docPartObj>
          <w:docPartGallery w:val="Table of Contents"/>
          <w:docPartUnique/>
        </w:docPartObj>
      </w:sdtPr>
      <w:sdtEndPr>
        <w:rPr>
          <w:rFonts w:ascii="Arial" w:hAnsi="Arial" w:eastAsia="Arial" w:cstheme="minorBidi"/>
          <w:b/>
          <w:bCs/>
          <w:color w:val="auto"/>
          <w:kern w:val="2"/>
          <w:sz w:val="24"/>
          <w:szCs w:val="22"/>
          <w:lang w:val="zh-CN"/>
        </w:rPr>
      </w:sdtEndPr>
      <w:sdtContent>
        <w:p>
          <w:pPr>
            <w:pStyle w:val="17"/>
            <w:jc w:val="center"/>
            <w:rPr>
              <w:rFonts w:ascii="Arial" w:hAnsi="Arial" w:cs="Arial"/>
              <w:b/>
              <w:color w:val="000000" w:themeColor="text1"/>
              <w:sz w:val="40"/>
              <w14:textFill>
                <w14:solidFill>
                  <w14:schemeClr w14:val="tx1"/>
                </w14:solidFill>
              </w14:textFill>
            </w:rPr>
          </w:pPr>
          <w:bookmarkStart w:id="59" w:name="_GoBack"/>
          <w:bookmarkEnd w:id="59"/>
          <w:r>
            <w:rPr>
              <w:rFonts w:ascii="Arial" w:hAnsi="Arial" w:cs="Arial"/>
              <w:b/>
              <w:color w:val="000000" w:themeColor="text1"/>
              <w:sz w:val="40"/>
              <w14:textFill>
                <w14:solidFill>
                  <w14:schemeClr w14:val="tx1"/>
                </w14:solidFill>
              </w14:textFill>
            </w:rPr>
            <w:t>Content</w:t>
          </w:r>
        </w:p>
        <w:p>
          <w:pPr>
            <w:pStyle w:val="9"/>
            <w:tabs>
              <w:tab w:val="right" w:leader="dot" w:pos="8306"/>
            </w:tabs>
          </w:pPr>
          <w:r>
            <w:fldChar w:fldCharType="begin"/>
          </w:r>
          <w:r>
            <w:instrText xml:space="preserve"> TOC \o "1-3" \h \z \u </w:instrText>
          </w:r>
          <w:r>
            <w:fldChar w:fldCharType="separate"/>
          </w:r>
          <w:r>
            <w:fldChar w:fldCharType="begin"/>
          </w:r>
          <w:r>
            <w:instrText xml:space="preserve"> HYPERLINK \l _Toc1357478001 </w:instrText>
          </w:r>
          <w:r>
            <w:fldChar w:fldCharType="separate"/>
          </w:r>
          <w:r>
            <w:rPr>
              <w:rFonts w:hint="default"/>
              <w:lang w:eastAsia="zh-Hans"/>
            </w:rPr>
            <w:t>Executive</w:t>
          </w:r>
          <w:r>
            <w:rPr>
              <w:lang w:eastAsia="zh-Hans"/>
            </w:rPr>
            <w:t xml:space="preserve"> Summary</w:t>
          </w:r>
          <w:r>
            <w:tab/>
          </w:r>
          <w:r>
            <w:fldChar w:fldCharType="begin"/>
          </w:r>
          <w:r>
            <w:instrText xml:space="preserve"> PAGEREF _Toc1357478001 \h </w:instrText>
          </w:r>
          <w:r>
            <w:fldChar w:fldCharType="separate"/>
          </w:r>
          <w:r>
            <w:t>1</w:t>
          </w:r>
          <w:r>
            <w:fldChar w:fldCharType="end"/>
          </w:r>
          <w:r>
            <w:fldChar w:fldCharType="end"/>
          </w:r>
        </w:p>
        <w:p>
          <w:pPr>
            <w:pStyle w:val="9"/>
            <w:tabs>
              <w:tab w:val="right" w:leader="dot" w:pos="8306"/>
            </w:tabs>
          </w:pPr>
          <w:r>
            <w:rPr>
              <w:bCs/>
              <w:lang w:val="zh-CN"/>
            </w:rPr>
            <w:fldChar w:fldCharType="begin"/>
          </w:r>
          <w:r>
            <w:rPr>
              <w:bCs/>
              <w:lang w:val="zh-CN"/>
            </w:rPr>
            <w:instrText xml:space="preserve"> HYPERLINK \l _Toc266497079 </w:instrText>
          </w:r>
          <w:r>
            <w:rPr>
              <w:bCs/>
              <w:lang w:val="zh-CN"/>
            </w:rPr>
            <w:fldChar w:fldCharType="separate"/>
          </w:r>
          <w:r>
            <w:rPr>
              <w:lang w:eastAsia="zh-Hans"/>
            </w:rPr>
            <w:t>1. Introduction</w:t>
          </w:r>
          <w:r>
            <w:tab/>
          </w:r>
          <w:r>
            <w:fldChar w:fldCharType="begin"/>
          </w:r>
          <w:r>
            <w:instrText xml:space="preserve"> PAGEREF _Toc266497079 \h </w:instrText>
          </w:r>
          <w:r>
            <w:fldChar w:fldCharType="separate"/>
          </w:r>
          <w:r>
            <w:t>2</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_Toc1513002758 </w:instrText>
          </w:r>
          <w:r>
            <w:rPr>
              <w:bCs/>
              <w:lang w:val="zh-CN"/>
            </w:rPr>
            <w:fldChar w:fldCharType="separate"/>
          </w:r>
          <w:r>
            <w:rPr>
              <w:lang w:eastAsia="zh-Hans"/>
            </w:rPr>
            <w:t>2. Market Analysis</w:t>
          </w:r>
          <w:r>
            <w:tab/>
          </w:r>
          <w:r>
            <w:fldChar w:fldCharType="begin"/>
          </w:r>
          <w:r>
            <w:instrText xml:space="preserve"> PAGEREF _Toc1513002758 \h </w:instrText>
          </w:r>
          <w:r>
            <w:fldChar w:fldCharType="separate"/>
          </w:r>
          <w:r>
            <w:t>2</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_Toc683489579 </w:instrText>
          </w:r>
          <w:r>
            <w:rPr>
              <w:bCs/>
              <w:lang w:val="zh-CN"/>
            </w:rPr>
            <w:fldChar w:fldCharType="separate"/>
          </w:r>
          <w:r>
            <w:rPr>
              <w:rFonts w:hint="eastAsia" w:eastAsiaTheme="minorEastAsia"/>
            </w:rPr>
            <w:t>3</w:t>
          </w:r>
          <w:r>
            <w:rPr>
              <w:rFonts w:eastAsiaTheme="minorEastAsia"/>
            </w:rPr>
            <w:t xml:space="preserve">. </w:t>
          </w:r>
          <w:r>
            <w:t>Strategy Analysis</w:t>
          </w:r>
          <w:r>
            <w:tab/>
          </w:r>
          <w:r>
            <w:fldChar w:fldCharType="begin"/>
          </w:r>
          <w:r>
            <w:instrText xml:space="preserve"> PAGEREF _Toc683489579 \h </w:instrText>
          </w:r>
          <w:r>
            <w:fldChar w:fldCharType="separate"/>
          </w:r>
          <w:r>
            <w:t>4</w:t>
          </w:r>
          <w:r>
            <w:fldChar w:fldCharType="end"/>
          </w:r>
          <w:r>
            <w:rPr>
              <w:bCs/>
              <w:lang w:val="zh-CN"/>
            </w:rPr>
            <w:fldChar w:fldCharType="end"/>
          </w:r>
        </w:p>
        <w:p>
          <w:pPr>
            <w:pStyle w:val="10"/>
            <w:tabs>
              <w:tab w:val="right" w:leader="dot" w:pos="8306"/>
            </w:tabs>
          </w:pPr>
          <w:r>
            <w:rPr>
              <w:bCs/>
              <w:lang w:val="zh-CN"/>
            </w:rPr>
            <w:fldChar w:fldCharType="begin"/>
          </w:r>
          <w:r>
            <w:rPr>
              <w:bCs/>
              <w:lang w:val="zh-CN"/>
            </w:rPr>
            <w:instrText xml:space="preserve"> HYPERLINK \l _Toc519326450 </w:instrText>
          </w:r>
          <w:r>
            <w:rPr>
              <w:bCs/>
              <w:lang w:val="zh-CN"/>
            </w:rPr>
            <w:fldChar w:fldCharType="separate"/>
          </w:r>
          <w:r>
            <w:rPr>
              <w:lang w:eastAsia="zh-Hans"/>
            </w:rPr>
            <w:t xml:space="preserve">3.1 Critical Evaluation of </w:t>
          </w:r>
          <w:r>
            <w:rPr>
              <w:rFonts w:hint="eastAsia"/>
            </w:rPr>
            <w:t>Nike</w:t>
          </w:r>
          <w:r>
            <w:rPr>
              <w:lang w:eastAsia="zh-Hans"/>
            </w:rPr>
            <w:t>'s Marketing Strategy</w:t>
          </w:r>
          <w:r>
            <w:tab/>
          </w:r>
          <w:r>
            <w:fldChar w:fldCharType="begin"/>
          </w:r>
          <w:r>
            <w:instrText xml:space="preserve"> PAGEREF _Toc519326450 \h </w:instrText>
          </w:r>
          <w:r>
            <w:fldChar w:fldCharType="separate"/>
          </w:r>
          <w:r>
            <w:t>4</w:t>
          </w:r>
          <w:r>
            <w:fldChar w:fldCharType="end"/>
          </w:r>
          <w:r>
            <w:rPr>
              <w:bCs/>
              <w:lang w:val="zh-CN"/>
            </w:rPr>
            <w:fldChar w:fldCharType="end"/>
          </w:r>
        </w:p>
        <w:p>
          <w:pPr>
            <w:pStyle w:val="10"/>
            <w:tabs>
              <w:tab w:val="right" w:leader="dot" w:pos="8306"/>
            </w:tabs>
          </w:pPr>
          <w:r>
            <w:rPr>
              <w:bCs/>
              <w:lang w:val="zh-CN"/>
            </w:rPr>
            <w:fldChar w:fldCharType="begin"/>
          </w:r>
          <w:r>
            <w:rPr>
              <w:bCs/>
              <w:lang w:val="zh-CN"/>
            </w:rPr>
            <w:instrText xml:space="preserve"> HYPERLINK \l _Toc946103742 </w:instrText>
          </w:r>
          <w:r>
            <w:rPr>
              <w:bCs/>
              <w:lang w:val="zh-CN"/>
            </w:rPr>
            <w:fldChar w:fldCharType="separate"/>
          </w:r>
          <w:r>
            <w:rPr>
              <w:lang w:eastAsia="zh-Hans"/>
            </w:rPr>
            <w:t xml:space="preserve">3.2 How to Address the Shortcomings of </w:t>
          </w:r>
          <w:r>
            <w:rPr>
              <w:rFonts w:hint="eastAsia"/>
            </w:rPr>
            <w:t>Nike</w:t>
          </w:r>
          <w:r>
            <w:rPr>
              <w:lang w:eastAsia="zh-Hans"/>
            </w:rPr>
            <w:t>'s Marketing Strategy?</w:t>
          </w:r>
          <w:r>
            <w:tab/>
          </w:r>
          <w:r>
            <w:fldChar w:fldCharType="begin"/>
          </w:r>
          <w:r>
            <w:instrText xml:space="preserve"> PAGEREF _Toc946103742 \h </w:instrText>
          </w:r>
          <w:r>
            <w:fldChar w:fldCharType="separate"/>
          </w:r>
          <w:r>
            <w:t>5</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_Toc1196669406 </w:instrText>
          </w:r>
          <w:r>
            <w:rPr>
              <w:bCs/>
              <w:lang w:val="zh-CN"/>
            </w:rPr>
            <w:fldChar w:fldCharType="separate"/>
          </w:r>
          <w:r>
            <w:rPr>
              <w:rFonts w:hint="eastAsia"/>
            </w:rPr>
            <w:t>4</w:t>
          </w:r>
          <w:r>
            <w:t>. PESTLE Analysis, SWOT Analysis and Michael Porter’s Five Forces Model</w:t>
          </w:r>
          <w:r>
            <w:tab/>
          </w:r>
          <w:r>
            <w:fldChar w:fldCharType="begin"/>
          </w:r>
          <w:r>
            <w:instrText xml:space="preserve"> PAGEREF _Toc1196669406 \h </w:instrText>
          </w:r>
          <w:r>
            <w:fldChar w:fldCharType="separate"/>
          </w:r>
          <w:r>
            <w:t>6</w:t>
          </w:r>
          <w:r>
            <w:fldChar w:fldCharType="end"/>
          </w:r>
          <w:r>
            <w:rPr>
              <w:bCs/>
              <w:lang w:val="zh-CN"/>
            </w:rPr>
            <w:fldChar w:fldCharType="end"/>
          </w:r>
        </w:p>
        <w:p>
          <w:pPr>
            <w:pStyle w:val="10"/>
            <w:tabs>
              <w:tab w:val="right" w:leader="dot" w:pos="8306"/>
            </w:tabs>
          </w:pPr>
          <w:r>
            <w:rPr>
              <w:bCs/>
              <w:lang w:val="zh-CN"/>
            </w:rPr>
            <w:fldChar w:fldCharType="begin"/>
          </w:r>
          <w:r>
            <w:rPr>
              <w:bCs/>
              <w:lang w:val="zh-CN"/>
            </w:rPr>
            <w:instrText xml:space="preserve"> HYPERLINK \l _Toc1238352487 </w:instrText>
          </w:r>
          <w:r>
            <w:rPr>
              <w:bCs/>
              <w:lang w:val="zh-CN"/>
            </w:rPr>
            <w:fldChar w:fldCharType="separate"/>
          </w:r>
          <w:r>
            <w:t>4.1 PESTLE Analysis</w:t>
          </w:r>
          <w:r>
            <w:tab/>
          </w:r>
          <w:r>
            <w:fldChar w:fldCharType="begin"/>
          </w:r>
          <w:r>
            <w:instrText xml:space="preserve"> PAGEREF _Toc1238352487 \h </w:instrText>
          </w:r>
          <w:r>
            <w:fldChar w:fldCharType="separate"/>
          </w:r>
          <w:r>
            <w:t>6</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_Toc1726225932 </w:instrText>
          </w:r>
          <w:r>
            <w:rPr>
              <w:bCs/>
              <w:lang w:val="zh-CN"/>
            </w:rPr>
            <w:fldChar w:fldCharType="separate"/>
          </w:r>
          <w:r>
            <w:t>4.1.1 Political</w:t>
          </w:r>
          <w:r>
            <w:tab/>
          </w:r>
          <w:r>
            <w:fldChar w:fldCharType="begin"/>
          </w:r>
          <w:r>
            <w:instrText xml:space="preserve"> PAGEREF _Toc1726225932 \h </w:instrText>
          </w:r>
          <w:r>
            <w:fldChar w:fldCharType="separate"/>
          </w:r>
          <w:r>
            <w:t>6</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_Toc175168154 </w:instrText>
          </w:r>
          <w:r>
            <w:rPr>
              <w:bCs/>
              <w:lang w:val="zh-CN"/>
            </w:rPr>
            <w:fldChar w:fldCharType="separate"/>
          </w:r>
          <w:r>
            <w:t>4.1.2 Economic</w:t>
          </w:r>
          <w:r>
            <w:tab/>
          </w:r>
          <w:r>
            <w:fldChar w:fldCharType="begin"/>
          </w:r>
          <w:r>
            <w:instrText xml:space="preserve"> PAGEREF _Toc175168154 \h </w:instrText>
          </w:r>
          <w:r>
            <w:fldChar w:fldCharType="separate"/>
          </w:r>
          <w:r>
            <w:t>6</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_Toc1998567888 </w:instrText>
          </w:r>
          <w:r>
            <w:rPr>
              <w:bCs/>
              <w:lang w:val="zh-CN"/>
            </w:rPr>
            <w:fldChar w:fldCharType="separate"/>
          </w:r>
          <w:r>
            <w:t>4.1.3 Social</w:t>
          </w:r>
          <w:r>
            <w:tab/>
          </w:r>
          <w:r>
            <w:fldChar w:fldCharType="begin"/>
          </w:r>
          <w:r>
            <w:instrText xml:space="preserve"> PAGEREF _Toc1998567888 \h </w:instrText>
          </w:r>
          <w:r>
            <w:fldChar w:fldCharType="separate"/>
          </w:r>
          <w:r>
            <w:t>7</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_Toc1138770889 </w:instrText>
          </w:r>
          <w:r>
            <w:rPr>
              <w:bCs/>
              <w:lang w:val="zh-CN"/>
            </w:rPr>
            <w:fldChar w:fldCharType="separate"/>
          </w:r>
          <w:r>
            <w:t>4.1.4 Technological</w:t>
          </w:r>
          <w:r>
            <w:tab/>
          </w:r>
          <w:r>
            <w:fldChar w:fldCharType="begin"/>
          </w:r>
          <w:r>
            <w:instrText xml:space="preserve"> PAGEREF _Toc1138770889 \h </w:instrText>
          </w:r>
          <w:r>
            <w:fldChar w:fldCharType="separate"/>
          </w:r>
          <w:r>
            <w:t>7</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_Toc948069359 </w:instrText>
          </w:r>
          <w:r>
            <w:rPr>
              <w:bCs/>
              <w:lang w:val="zh-CN"/>
            </w:rPr>
            <w:fldChar w:fldCharType="separate"/>
          </w:r>
          <w:r>
            <w:t>4.1.5 Legal</w:t>
          </w:r>
          <w:r>
            <w:tab/>
          </w:r>
          <w:r>
            <w:fldChar w:fldCharType="begin"/>
          </w:r>
          <w:r>
            <w:instrText xml:space="preserve"> PAGEREF _Toc948069359 \h </w:instrText>
          </w:r>
          <w:r>
            <w:fldChar w:fldCharType="separate"/>
          </w:r>
          <w:r>
            <w:t>8</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_Toc2020539620 </w:instrText>
          </w:r>
          <w:r>
            <w:rPr>
              <w:bCs/>
              <w:lang w:val="zh-CN"/>
            </w:rPr>
            <w:fldChar w:fldCharType="separate"/>
          </w:r>
          <w:r>
            <w:t>4.1.6 Environmental:</w:t>
          </w:r>
          <w:r>
            <w:tab/>
          </w:r>
          <w:r>
            <w:fldChar w:fldCharType="begin"/>
          </w:r>
          <w:r>
            <w:instrText xml:space="preserve"> PAGEREF _Toc2020539620 \h </w:instrText>
          </w:r>
          <w:r>
            <w:fldChar w:fldCharType="separate"/>
          </w:r>
          <w:r>
            <w:t>9</w:t>
          </w:r>
          <w:r>
            <w:fldChar w:fldCharType="end"/>
          </w:r>
          <w:r>
            <w:rPr>
              <w:bCs/>
              <w:lang w:val="zh-CN"/>
            </w:rPr>
            <w:fldChar w:fldCharType="end"/>
          </w:r>
        </w:p>
        <w:p>
          <w:pPr>
            <w:pStyle w:val="10"/>
            <w:tabs>
              <w:tab w:val="right" w:leader="dot" w:pos="8306"/>
            </w:tabs>
          </w:pPr>
          <w:r>
            <w:rPr>
              <w:bCs/>
              <w:lang w:val="zh-CN"/>
            </w:rPr>
            <w:fldChar w:fldCharType="begin"/>
          </w:r>
          <w:r>
            <w:rPr>
              <w:bCs/>
              <w:lang w:val="zh-CN"/>
            </w:rPr>
            <w:instrText xml:space="preserve"> HYPERLINK \l _Toc1050483329 </w:instrText>
          </w:r>
          <w:r>
            <w:rPr>
              <w:bCs/>
              <w:lang w:val="zh-CN"/>
            </w:rPr>
            <w:fldChar w:fldCharType="separate"/>
          </w:r>
          <w:r>
            <w:t>4.2 SWOT Analysis</w:t>
          </w:r>
          <w:r>
            <w:tab/>
          </w:r>
          <w:r>
            <w:fldChar w:fldCharType="begin"/>
          </w:r>
          <w:r>
            <w:instrText xml:space="preserve"> PAGEREF _Toc1050483329 \h </w:instrText>
          </w:r>
          <w:r>
            <w:fldChar w:fldCharType="separate"/>
          </w:r>
          <w:r>
            <w:t>9</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_Toc1010248516 </w:instrText>
          </w:r>
          <w:r>
            <w:rPr>
              <w:bCs/>
              <w:lang w:val="zh-CN"/>
            </w:rPr>
            <w:fldChar w:fldCharType="separate"/>
          </w:r>
          <w:r>
            <w:t>4.2.1 Strengths</w:t>
          </w:r>
          <w:r>
            <w:tab/>
          </w:r>
          <w:r>
            <w:fldChar w:fldCharType="begin"/>
          </w:r>
          <w:r>
            <w:instrText xml:space="preserve"> PAGEREF _Toc1010248516 \h </w:instrText>
          </w:r>
          <w:r>
            <w:fldChar w:fldCharType="separate"/>
          </w:r>
          <w:r>
            <w:t>9</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_Toc1241095230 </w:instrText>
          </w:r>
          <w:r>
            <w:rPr>
              <w:bCs/>
              <w:lang w:val="zh-CN"/>
            </w:rPr>
            <w:fldChar w:fldCharType="separate"/>
          </w:r>
          <w:r>
            <w:t>4.2.2 Weaknesses</w:t>
          </w:r>
          <w:r>
            <w:tab/>
          </w:r>
          <w:r>
            <w:fldChar w:fldCharType="begin"/>
          </w:r>
          <w:r>
            <w:instrText xml:space="preserve"> PAGEREF _Toc1241095230 \h </w:instrText>
          </w:r>
          <w:r>
            <w:fldChar w:fldCharType="separate"/>
          </w:r>
          <w:r>
            <w:t>10</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_Toc578867299 </w:instrText>
          </w:r>
          <w:r>
            <w:rPr>
              <w:bCs/>
              <w:lang w:val="zh-CN"/>
            </w:rPr>
            <w:fldChar w:fldCharType="separate"/>
          </w:r>
          <w:r>
            <w:t>4.2.3 Opportunities</w:t>
          </w:r>
          <w:r>
            <w:tab/>
          </w:r>
          <w:r>
            <w:fldChar w:fldCharType="begin"/>
          </w:r>
          <w:r>
            <w:instrText xml:space="preserve"> PAGEREF _Toc578867299 \h </w:instrText>
          </w:r>
          <w:r>
            <w:fldChar w:fldCharType="separate"/>
          </w:r>
          <w:r>
            <w:t>10</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_Toc921773383 </w:instrText>
          </w:r>
          <w:r>
            <w:rPr>
              <w:bCs/>
              <w:lang w:val="zh-CN"/>
            </w:rPr>
            <w:fldChar w:fldCharType="separate"/>
          </w:r>
          <w:r>
            <w:t>4.2.4 Threats</w:t>
          </w:r>
          <w:r>
            <w:tab/>
          </w:r>
          <w:r>
            <w:fldChar w:fldCharType="begin"/>
          </w:r>
          <w:r>
            <w:instrText xml:space="preserve"> PAGEREF _Toc921773383 \h </w:instrText>
          </w:r>
          <w:r>
            <w:fldChar w:fldCharType="separate"/>
          </w:r>
          <w:r>
            <w:t>11</w:t>
          </w:r>
          <w:r>
            <w:fldChar w:fldCharType="end"/>
          </w:r>
          <w:r>
            <w:rPr>
              <w:bCs/>
              <w:lang w:val="zh-CN"/>
            </w:rPr>
            <w:fldChar w:fldCharType="end"/>
          </w:r>
        </w:p>
        <w:p>
          <w:pPr>
            <w:pStyle w:val="10"/>
            <w:tabs>
              <w:tab w:val="right" w:leader="dot" w:pos="8306"/>
            </w:tabs>
          </w:pPr>
          <w:r>
            <w:rPr>
              <w:bCs/>
              <w:lang w:val="zh-CN"/>
            </w:rPr>
            <w:fldChar w:fldCharType="begin"/>
          </w:r>
          <w:r>
            <w:rPr>
              <w:bCs/>
              <w:lang w:val="zh-CN"/>
            </w:rPr>
            <w:instrText xml:space="preserve"> HYPERLINK \l _Toc298218623 </w:instrText>
          </w:r>
          <w:r>
            <w:rPr>
              <w:bCs/>
              <w:lang w:val="zh-CN"/>
            </w:rPr>
            <w:fldChar w:fldCharType="separate"/>
          </w:r>
          <w:r>
            <w:t>4.3 Michael Porter’s Five Forces Model</w:t>
          </w:r>
          <w:r>
            <w:tab/>
          </w:r>
          <w:r>
            <w:fldChar w:fldCharType="begin"/>
          </w:r>
          <w:r>
            <w:instrText xml:space="preserve"> PAGEREF _Toc298218623 \h </w:instrText>
          </w:r>
          <w:r>
            <w:fldChar w:fldCharType="separate"/>
          </w:r>
          <w:r>
            <w:t>12</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_Toc2081048310 </w:instrText>
          </w:r>
          <w:r>
            <w:rPr>
              <w:bCs/>
              <w:lang w:val="zh-CN"/>
            </w:rPr>
            <w:fldChar w:fldCharType="separate"/>
          </w:r>
          <w:r>
            <w:t>4.3.1 Threat of new entrants</w:t>
          </w:r>
          <w:r>
            <w:tab/>
          </w:r>
          <w:r>
            <w:fldChar w:fldCharType="begin"/>
          </w:r>
          <w:r>
            <w:instrText xml:space="preserve"> PAGEREF _Toc2081048310 \h </w:instrText>
          </w:r>
          <w:r>
            <w:fldChar w:fldCharType="separate"/>
          </w:r>
          <w:r>
            <w:t>12</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_Toc112787481 </w:instrText>
          </w:r>
          <w:r>
            <w:rPr>
              <w:bCs/>
              <w:lang w:val="zh-CN"/>
            </w:rPr>
            <w:fldChar w:fldCharType="separate"/>
          </w:r>
          <w:r>
            <w:rPr>
              <w:rFonts w:cs="Times New Roman"/>
              <w:bCs/>
              <w:szCs w:val="32"/>
            </w:rPr>
            <w:t>4.3.2 Bargaining power of suppliers</w:t>
          </w:r>
          <w:r>
            <w:tab/>
          </w:r>
          <w:r>
            <w:fldChar w:fldCharType="begin"/>
          </w:r>
          <w:r>
            <w:instrText xml:space="preserve"> PAGEREF _Toc112787481 \h </w:instrText>
          </w:r>
          <w:r>
            <w:fldChar w:fldCharType="separate"/>
          </w:r>
          <w:r>
            <w:t>12</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_Toc1538616513 </w:instrText>
          </w:r>
          <w:r>
            <w:rPr>
              <w:bCs/>
              <w:lang w:val="zh-CN"/>
            </w:rPr>
            <w:fldChar w:fldCharType="separate"/>
          </w:r>
          <w:r>
            <w:rPr>
              <w:rFonts w:cs="Times New Roman"/>
              <w:bCs/>
              <w:szCs w:val="32"/>
            </w:rPr>
            <w:t>4.3.3 Bargaining power of buyers</w:t>
          </w:r>
          <w:r>
            <w:tab/>
          </w:r>
          <w:r>
            <w:fldChar w:fldCharType="begin"/>
          </w:r>
          <w:r>
            <w:instrText xml:space="preserve"> PAGEREF _Toc1538616513 \h </w:instrText>
          </w:r>
          <w:r>
            <w:fldChar w:fldCharType="separate"/>
          </w:r>
          <w:r>
            <w:t>12</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_Toc1677140464 </w:instrText>
          </w:r>
          <w:r>
            <w:rPr>
              <w:bCs/>
              <w:lang w:val="zh-CN"/>
            </w:rPr>
            <w:fldChar w:fldCharType="separate"/>
          </w:r>
          <w:r>
            <w:t>4.3.4 Threat of substitute products</w:t>
          </w:r>
          <w:r>
            <w:tab/>
          </w:r>
          <w:r>
            <w:fldChar w:fldCharType="begin"/>
          </w:r>
          <w:r>
            <w:instrText xml:space="preserve"> PAGEREF _Toc1677140464 \h </w:instrText>
          </w:r>
          <w:r>
            <w:fldChar w:fldCharType="separate"/>
          </w:r>
          <w:r>
            <w:t>13</w:t>
          </w:r>
          <w:r>
            <w:fldChar w:fldCharType="end"/>
          </w:r>
          <w:r>
            <w:rPr>
              <w:bCs/>
              <w:lang w:val="zh-CN"/>
            </w:rPr>
            <w:fldChar w:fldCharType="end"/>
          </w:r>
        </w:p>
        <w:p>
          <w:pPr>
            <w:pStyle w:val="6"/>
            <w:tabs>
              <w:tab w:val="right" w:leader="dot" w:pos="8306"/>
            </w:tabs>
          </w:pPr>
          <w:r>
            <w:rPr>
              <w:bCs/>
              <w:lang w:val="zh-CN"/>
            </w:rPr>
            <w:fldChar w:fldCharType="begin"/>
          </w:r>
          <w:r>
            <w:rPr>
              <w:bCs/>
              <w:lang w:val="zh-CN"/>
            </w:rPr>
            <w:instrText xml:space="preserve"> HYPERLINK \l _Toc1976911573 </w:instrText>
          </w:r>
          <w:r>
            <w:rPr>
              <w:bCs/>
              <w:lang w:val="zh-CN"/>
            </w:rPr>
            <w:fldChar w:fldCharType="separate"/>
          </w:r>
          <w:r>
            <w:t>4.3.5 Competitive rivalry</w:t>
          </w:r>
          <w:r>
            <w:tab/>
          </w:r>
          <w:r>
            <w:fldChar w:fldCharType="begin"/>
          </w:r>
          <w:r>
            <w:instrText xml:space="preserve"> PAGEREF _Toc1976911573 \h </w:instrText>
          </w:r>
          <w:r>
            <w:fldChar w:fldCharType="separate"/>
          </w:r>
          <w:r>
            <w:t>13</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_Toc85821027 </w:instrText>
          </w:r>
          <w:r>
            <w:rPr>
              <w:bCs/>
              <w:lang w:val="zh-CN"/>
            </w:rPr>
            <w:fldChar w:fldCharType="separate"/>
          </w:r>
          <w:r>
            <w:t>5. Conclusion</w:t>
          </w:r>
          <w:r>
            <w:tab/>
          </w:r>
          <w:r>
            <w:fldChar w:fldCharType="begin"/>
          </w:r>
          <w:r>
            <w:instrText xml:space="preserve"> PAGEREF _Toc85821027 \h </w:instrText>
          </w:r>
          <w:r>
            <w:fldChar w:fldCharType="separate"/>
          </w:r>
          <w:r>
            <w:t>13</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_Toc1432473652 </w:instrText>
          </w:r>
          <w:r>
            <w:rPr>
              <w:bCs/>
              <w:lang w:val="zh-CN"/>
            </w:rPr>
            <w:fldChar w:fldCharType="separate"/>
          </w:r>
          <w:r>
            <w:rPr>
              <w:lang w:eastAsia="zh-Hans"/>
            </w:rPr>
            <w:t>6. Recommendations</w:t>
          </w:r>
          <w:r>
            <w:tab/>
          </w:r>
          <w:r>
            <w:fldChar w:fldCharType="begin"/>
          </w:r>
          <w:r>
            <w:instrText xml:space="preserve"> PAGEREF _Toc1432473652 \h </w:instrText>
          </w:r>
          <w:r>
            <w:fldChar w:fldCharType="separate"/>
          </w:r>
          <w:r>
            <w:t>15</w:t>
          </w:r>
          <w:r>
            <w:fldChar w:fldCharType="end"/>
          </w:r>
          <w:r>
            <w:rPr>
              <w:bCs/>
              <w:lang w:val="zh-CN"/>
            </w:rPr>
            <w:fldChar w:fldCharType="end"/>
          </w:r>
        </w:p>
        <w:p>
          <w:pPr>
            <w:pStyle w:val="10"/>
            <w:tabs>
              <w:tab w:val="right" w:leader="dot" w:pos="8306"/>
            </w:tabs>
            <w:rPr>
              <w:bCs/>
              <w:lang w:val="zh-CN"/>
            </w:rPr>
            <w:sectPr>
              <w:headerReference r:id="rId7" w:type="first"/>
              <w:footerReference r:id="rId9" w:type="first"/>
              <w:footerReference r:id="rId8" w:type="default"/>
              <w:pgSz w:w="11906" w:h="16838"/>
              <w:pgMar w:top="1440" w:right="1800" w:bottom="1440" w:left="1800" w:header="851" w:footer="992" w:gutter="0"/>
              <w:pgNumType w:fmt="decimal" w:start="1"/>
              <w:cols w:space="425" w:num="1"/>
              <w:titlePg/>
              <w:docGrid w:type="lines" w:linePitch="312" w:charSpace="0"/>
            </w:sectPr>
          </w:pPr>
        </w:p>
        <w:p>
          <w:pPr>
            <w:pStyle w:val="10"/>
            <w:tabs>
              <w:tab w:val="right" w:leader="dot" w:pos="8306"/>
            </w:tabs>
          </w:pPr>
          <w:r>
            <w:rPr>
              <w:bCs/>
              <w:lang w:val="zh-CN"/>
            </w:rPr>
            <w:fldChar w:fldCharType="begin"/>
          </w:r>
          <w:r>
            <w:rPr>
              <w:bCs/>
              <w:lang w:val="zh-CN"/>
            </w:rPr>
            <w:instrText xml:space="preserve"> HYPERLINK \l _Toc145502647 </w:instrText>
          </w:r>
          <w:r>
            <w:rPr>
              <w:bCs/>
              <w:lang w:val="zh-CN"/>
            </w:rPr>
            <w:fldChar w:fldCharType="separate"/>
          </w:r>
          <w:r>
            <w:rPr>
              <w:rFonts w:hint="eastAsia" w:eastAsiaTheme="minorEastAsia"/>
            </w:rPr>
            <w:t>6</w:t>
          </w:r>
          <w:r>
            <w:rPr>
              <w:rFonts w:eastAsiaTheme="minorEastAsia"/>
            </w:rPr>
            <w:t xml:space="preserve">.1 </w:t>
          </w:r>
          <w:r>
            <w:rPr>
              <w:rFonts w:hint="eastAsia" w:eastAsiaTheme="minorEastAsia"/>
            </w:rPr>
            <w:t>Recommendations for improving Nike's business strategy</w:t>
          </w:r>
          <w:r>
            <w:tab/>
          </w:r>
          <w:r>
            <w:fldChar w:fldCharType="begin"/>
          </w:r>
          <w:r>
            <w:instrText xml:space="preserve"> PAGEREF _Toc145502647 \h </w:instrText>
          </w:r>
          <w:r>
            <w:fldChar w:fldCharType="separate"/>
          </w:r>
          <w:r>
            <w:t>15</w:t>
          </w:r>
          <w:r>
            <w:fldChar w:fldCharType="end"/>
          </w:r>
          <w:r>
            <w:rPr>
              <w:bCs/>
              <w:lang w:val="zh-CN"/>
            </w:rPr>
            <w:fldChar w:fldCharType="end"/>
          </w:r>
        </w:p>
        <w:p>
          <w:pPr>
            <w:pStyle w:val="10"/>
            <w:tabs>
              <w:tab w:val="right" w:leader="dot" w:pos="8306"/>
            </w:tabs>
          </w:pPr>
          <w:r>
            <w:rPr>
              <w:bCs/>
              <w:lang w:val="zh-CN"/>
            </w:rPr>
            <w:fldChar w:fldCharType="begin"/>
          </w:r>
          <w:r>
            <w:rPr>
              <w:bCs/>
              <w:lang w:val="zh-CN"/>
            </w:rPr>
            <w:instrText xml:space="preserve"> HYPERLINK \l _Toc1626597843 </w:instrText>
          </w:r>
          <w:r>
            <w:rPr>
              <w:bCs/>
              <w:lang w:val="zh-CN"/>
            </w:rPr>
            <w:fldChar w:fldCharType="separate"/>
          </w:r>
          <w:r>
            <w:rPr>
              <w:lang w:eastAsia="zh-Hans"/>
            </w:rPr>
            <w:t>6.2 Feasibility Considerations</w:t>
          </w:r>
          <w:r>
            <w:tab/>
          </w:r>
          <w:r>
            <w:fldChar w:fldCharType="begin"/>
          </w:r>
          <w:r>
            <w:instrText xml:space="preserve"> PAGEREF _Toc1626597843 \h </w:instrText>
          </w:r>
          <w:r>
            <w:fldChar w:fldCharType="separate"/>
          </w:r>
          <w:r>
            <w:t>17</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_Toc763120991 </w:instrText>
          </w:r>
          <w:r>
            <w:rPr>
              <w:bCs/>
              <w:lang w:val="zh-CN"/>
            </w:rPr>
            <w:fldChar w:fldCharType="separate"/>
          </w:r>
          <w:r>
            <w:rPr>
              <w:lang w:eastAsia="zh-Hans"/>
            </w:rPr>
            <w:t>Reference</w:t>
          </w:r>
          <w:r>
            <w:tab/>
          </w:r>
          <w:r>
            <w:fldChar w:fldCharType="begin"/>
          </w:r>
          <w:r>
            <w:instrText xml:space="preserve"> PAGEREF _Toc763120991 \h </w:instrText>
          </w:r>
          <w:r>
            <w:fldChar w:fldCharType="separate"/>
          </w:r>
          <w:r>
            <w:t>19</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_Toc1002155853 </w:instrText>
          </w:r>
          <w:r>
            <w:rPr>
              <w:bCs/>
              <w:lang w:val="zh-CN"/>
            </w:rPr>
            <w:fldChar w:fldCharType="separate"/>
          </w:r>
          <w:r>
            <w:rPr>
              <w:lang w:eastAsia="zh-Hans"/>
            </w:rPr>
            <w:t>Appendix</w:t>
          </w:r>
          <w:r>
            <w:tab/>
          </w:r>
          <w:r>
            <w:fldChar w:fldCharType="begin"/>
          </w:r>
          <w:r>
            <w:instrText xml:space="preserve"> PAGEREF _Toc1002155853 \h </w:instrText>
          </w:r>
          <w:r>
            <w:fldChar w:fldCharType="separate"/>
          </w:r>
          <w:r>
            <w:t>25</w:t>
          </w:r>
          <w:r>
            <w:fldChar w:fldCharType="end"/>
          </w:r>
          <w:r>
            <w:rPr>
              <w:bCs/>
              <w:lang w:val="zh-CN"/>
            </w:rPr>
            <w:fldChar w:fldCharType="end"/>
          </w:r>
        </w:p>
        <w:p>
          <w:r>
            <w:rPr>
              <w:bCs/>
              <w:lang w:val="zh-CN"/>
            </w:rPr>
            <w:fldChar w:fldCharType="end"/>
          </w:r>
        </w:p>
      </w:sdtContent>
    </w:sdt>
    <w:p>
      <w:pPr>
        <w:pStyle w:val="2"/>
        <w:rPr>
          <w:rFonts w:hint="eastAsia"/>
          <w:lang w:eastAsia="zh-Hans"/>
        </w:rPr>
        <w:sectPr>
          <w:footerReference r:id="rId11" w:type="first"/>
          <w:footerReference r:id="rId10" w:type="default"/>
          <w:pgSz w:w="11906" w:h="16838"/>
          <w:pgMar w:top="1440" w:right="1800" w:bottom="1440" w:left="1800" w:header="851" w:footer="992" w:gutter="0"/>
          <w:pgNumType w:fmt="decimal"/>
          <w:cols w:space="425" w:num="1"/>
          <w:titlePg/>
          <w:docGrid w:type="lines" w:linePitch="312" w:charSpace="0"/>
        </w:sectPr>
      </w:pPr>
      <w:bookmarkStart w:id="0" w:name="_Toc139482127"/>
    </w:p>
    <w:p>
      <w:pPr>
        <w:pStyle w:val="2"/>
        <w:rPr>
          <w:lang w:eastAsia="zh-Hans"/>
        </w:rPr>
      </w:pPr>
      <w:bookmarkStart w:id="1" w:name="_Toc1357478001"/>
      <w:r>
        <w:rPr>
          <w:rFonts w:hint="default"/>
          <w:lang w:eastAsia="zh-Hans"/>
        </w:rPr>
        <w:t>Executive</w:t>
      </w:r>
      <w:r>
        <w:rPr>
          <w:lang w:eastAsia="zh-Hans"/>
        </w:rPr>
        <w:t xml:space="preserve"> Summary</w:t>
      </w:r>
      <w:bookmarkEnd w:id="0"/>
      <w:bookmarkEnd w:id="1"/>
    </w:p>
    <w:p>
      <w:pPr>
        <w:ind w:firstLine="480" w:firstLineChars="200"/>
        <w:rPr>
          <w:rFonts w:eastAsiaTheme="minorEastAsia"/>
          <w:lang w:eastAsia="zh-Hans"/>
        </w:rPr>
      </w:pPr>
      <w:r>
        <w:rPr>
          <w:rFonts w:hint="eastAsia" w:eastAsiaTheme="minorEastAsia"/>
        </w:rPr>
        <w:t>N</w:t>
      </w:r>
      <w:r>
        <w:rPr>
          <w:rFonts w:hint="eastAsia" w:eastAsiaTheme="minorEastAsia"/>
          <w:lang w:eastAsia="zh-Hans"/>
        </w:rPr>
        <w:t>ike is one of the world's most famous sports brand companies, and has made remarkable achievements over the years, which cannot be separated from the layout and implementation of the company's strategy behind this series of achievements. However, at the same time, like other organizations, Nike is also facing big challenges and deficiencies in strategy implementation, which still need to be optimized and improved. Therefore, in order to ensure that Nike still has strong resilience and sustainable competitive advantages in the future in the highly competitive market, this paper adopts the PESTLE model to analyze the overall external environment of Nike, the SWOT model to analyze the internal strengths and weaknesses as well as the external opportunities and threats of Nike, and the Five Forces Competition Model to comprehensively analyze the company's reality and future development. Therefore, after a comprehensive analysis of Nike through these three models, this paper critically evaluates its development strategy, points out the potential deficiencies on the basis of solving the existing problems, predicts and responds to the possible future situations based on these status quo problems, and finally puts forward the relevant optimization measures and improvement opinions to ensure that Nike's products in the future market will be able to Maintain the competitive position of Nike's products in the future market.</w:t>
      </w:r>
    </w:p>
    <w:p>
      <w:pPr>
        <w:widowControl/>
        <w:spacing w:line="240" w:lineRule="auto"/>
        <w:jc w:val="left"/>
        <w:rPr>
          <w:rFonts w:eastAsiaTheme="minorEastAsia"/>
          <w:lang w:eastAsia="zh-Hans"/>
        </w:rPr>
      </w:pPr>
      <w:r>
        <w:rPr>
          <w:rFonts w:eastAsiaTheme="minorEastAsia"/>
          <w:lang w:eastAsia="zh-Hans"/>
        </w:rPr>
        <w:br w:type="page"/>
      </w:r>
    </w:p>
    <w:p>
      <w:pPr>
        <w:pStyle w:val="2"/>
        <w:rPr>
          <w:lang w:eastAsia="zh-Hans"/>
        </w:rPr>
        <w:sectPr>
          <w:headerReference r:id="rId12" w:type="default"/>
          <w:footerReference r:id="rId13" w:type="default"/>
          <w:pgSz w:w="11906" w:h="16838"/>
          <w:pgMar w:top="1440" w:right="1800" w:bottom="1440" w:left="1800" w:header="851" w:footer="992" w:gutter="0"/>
          <w:pgNumType w:fmt="decimal" w:start="1"/>
          <w:cols w:space="425" w:num="1"/>
          <w:docGrid w:type="lines" w:linePitch="312" w:charSpace="0"/>
        </w:sectPr>
      </w:pPr>
      <w:bookmarkStart w:id="2" w:name="_Toc266497079"/>
      <w:bookmarkStart w:id="3" w:name="_Toc139482128"/>
    </w:p>
    <w:p>
      <w:pPr>
        <w:pStyle w:val="2"/>
        <w:rPr>
          <w:rFonts w:eastAsia="宋体"/>
        </w:rPr>
      </w:pPr>
      <w:r>
        <w:rPr>
          <w:lang w:eastAsia="zh-Hans"/>
        </w:rPr>
        <w:t>1. Introduction</w:t>
      </w:r>
      <w:bookmarkEnd w:id="2"/>
      <w:bookmarkEnd w:id="3"/>
    </w:p>
    <w:p>
      <w:pPr>
        <w:ind w:firstLine="480" w:firstLineChars="200"/>
        <w:rPr>
          <w:rFonts w:eastAsiaTheme="minorEastAsia"/>
        </w:rPr>
      </w:pPr>
      <w:bookmarkStart w:id="4" w:name="_Toc139482129"/>
      <w:r>
        <w:rPr>
          <w:rFonts w:eastAsiaTheme="minorEastAsia"/>
        </w:rPr>
        <w:t>Nike is a famous company that specializes in the production of sporting goods such as apparel, footwear and sports equipment, containing a wide and diverse range of sporting goods. (Nike, 2012) The brand's line of sports products has a distinctive design with the appearance of a small hook, similar to a check mark, and the moral behind it is to inspire every sportsman to dedicate the title of glory to every athlete and to be able to associate the sight of Nike products with speed and explosive power. (Mankeshva et al.) Since its establishment in 1972 in Oregon, USA, Nike has made great achievements, and the Nike brand series of products have spread to every country in the world, especially the insoles it produces are world famous, this advanced technology manufacturing not only can well protect the athletes' knees, but also can effectively cushion the knees from the impact of sports process. This advanced technology not only protects the athletes' knees, but also effectively cushions the knees from the impact during sports, thus gaining a good reputation and influence among the public. (Ivo R et al.</w:t>
      </w:r>
      <w:r>
        <w:rPr>
          <w:rFonts w:hint="eastAsia" w:eastAsiaTheme="minorEastAsia"/>
        </w:rPr>
        <w:t>，2021</w:t>
      </w:r>
      <w:r>
        <w:rPr>
          <w:rFonts w:eastAsiaTheme="minorEastAsia"/>
        </w:rPr>
        <w:t>)</w:t>
      </w:r>
    </w:p>
    <w:p>
      <w:pPr>
        <w:pStyle w:val="2"/>
        <w:rPr>
          <w:rFonts w:eastAsia="宋体"/>
        </w:rPr>
      </w:pPr>
      <w:bookmarkStart w:id="5" w:name="_Toc1513002758"/>
      <w:r>
        <w:rPr>
          <w:lang w:eastAsia="zh-Hans"/>
        </w:rPr>
        <w:t>2. Market Analysis</w:t>
      </w:r>
      <w:bookmarkEnd w:id="4"/>
      <w:bookmarkEnd w:id="5"/>
    </w:p>
    <w:p>
      <w:pPr>
        <w:ind w:firstLine="480" w:firstLineChars="200"/>
        <w:rPr>
          <w:rFonts w:eastAsia="宋体"/>
        </w:rPr>
      </w:pPr>
      <w:r>
        <w:rPr>
          <w:rFonts w:hint="eastAsia" w:eastAsia="宋体"/>
        </w:rPr>
        <w:t>Nike, as a world-renowned sports series brand, is also one of the world's leading manufacturers of sports shoes, sports apparel and sports equipment and devices. The reason why it has been able to achieve such a high competitive market position is due to the brand awareness, high market share, product innovation, diversified marketing and offline and offline multi-channel international sales channels that Nike has made every effort to build.</w:t>
      </w:r>
    </w:p>
    <w:p>
      <w:pPr>
        <w:ind w:firstLine="480" w:firstLineChars="200"/>
        <w:rPr>
          <w:rFonts w:eastAsia="宋体"/>
        </w:rPr>
        <w:sectPr>
          <w:headerReference r:id="rId14" w:type="default"/>
          <w:footerReference r:id="rId15" w:type="default"/>
          <w:pgSz w:w="11906" w:h="16838"/>
          <w:pgMar w:top="1440" w:right="1800" w:bottom="1440" w:left="1800" w:header="851" w:footer="992" w:gutter="0"/>
          <w:pgNumType w:fmt="decimal"/>
          <w:cols w:space="425" w:num="1"/>
          <w:docGrid w:type="lines" w:linePitch="312" w:charSpace="0"/>
        </w:sectPr>
      </w:pPr>
      <w:r>
        <w:rPr>
          <w:rFonts w:eastAsia="宋体"/>
        </w:rPr>
        <w:t xml:space="preserve">Therefore, the specific market analysis of Nike. Nike has experienced nearly 50 years of development history, to become the world's leading well-known sports brand, can not be separated from its iconic "Swoosh" trademark advertising campaign of continuous growth and development, in the process of a thousand refinements, excellence, and continuous improvement </w:t>
      </w:r>
    </w:p>
    <w:p>
      <w:pPr>
        <w:rPr>
          <w:rFonts w:eastAsia="宋体"/>
        </w:rPr>
      </w:pPr>
      <w:r>
        <w:rPr>
          <w:rFonts w:eastAsia="宋体"/>
        </w:rPr>
        <w:t>of product quality, and thus make Nike in the global arena are The Nike brand is well known worldwide. (Rodrigues et al., 2011) It is because of the continuous increase in its popularity that Nike products occupy the majority of the global market share of sports products, especially in the two major markets of America and Europe, where the products are very competitive and the sales and status are very promising. However, behind these achievements are inseparable from the innovation of products, the adoption of diversification strategies and the continuous force of marketing strategies. Nike has continued to launch new products in line with the market consumer demand preferences and the trend of the times during these decades of development, such as Air Max, Air Jordan and other series of products, as well as a variety of sports equipment and sports facilities. If you look at the current stage of sporting events, Nike has penetrated into several sporting events, including basketball, soccer, fitness sports, etc. For example, NBA and other large sporting events are using Nike series products, athletes also wear Nike series clothing sneakers, this diversified market strategy to a large extent to meet the different needs of consumers. This diversified market strategy has largely satisfied the different needs of consumers. The deep reason is that Nike has promoted its products to the market mainly by investing heavily in advertising, sponsoring sporting events and funding athletes, which has made Nike products have strong market competition, and these methods have raised the awareness of the products and made more consumers interested in buying Nike series products. (Grebert &amp;Farrelly , 2005)</w:t>
      </w:r>
    </w:p>
    <w:p>
      <w:pPr>
        <w:ind w:firstLine="480"/>
        <w:rPr>
          <w:rFonts w:eastAsia="宋体"/>
        </w:rPr>
        <w:sectPr>
          <w:headerReference r:id="rId16" w:type="default"/>
          <w:pgSz w:w="11906" w:h="16838"/>
          <w:pgMar w:top="1440" w:right="1800" w:bottom="1440" w:left="1800" w:header="851" w:footer="992" w:gutter="0"/>
          <w:pgNumType w:fmt="decimal"/>
          <w:cols w:space="425" w:num="1"/>
          <w:docGrid w:type="lines" w:linePitch="312" w:charSpace="0"/>
        </w:sectPr>
      </w:pPr>
      <w:bookmarkStart w:id="6" w:name="_Toc139482130"/>
      <w:r>
        <w:rPr>
          <w:rFonts w:eastAsia="宋体"/>
        </w:rPr>
        <w:t xml:space="preserve">With the continuous expansion of Nike's market scale, similar sports series products have emerged, forming a once impact on Nike's product market. For this reason, in order to better adapt to the market demand as well as the consolidation of its market position, Nike has actively expanded its online and offline ways to promote its products. (Mankeshva et al., 2022) Among them, in recent years, with the advent of the digital information age, Nike has actively developed online electronic sales channels, selling through </w:t>
      </w:r>
    </w:p>
    <w:p>
      <w:pPr>
        <w:rPr>
          <w:rFonts w:eastAsia="宋体"/>
        </w:rPr>
      </w:pPr>
      <w:r>
        <w:rPr>
          <w:rFonts w:eastAsia="宋体"/>
        </w:rPr>
        <w:t>relevant small programs and relevant e-commerce platforms, communicating directly with consumers to promote sales, and this sales channel has taken up the majority of the total sales market share. At the same time, Nike is also actively expanding sales markets with greater potential other than the Americas and Europe, especially in recent years, the share of the Chinese market has gradually expanded, providing a new development direction for the expansion of Nike's market scope and market scale. The new sales method of combining online and offline has consolidated Nike's market position and injected new market vitality at the same time. (Bassant, 2020)</w:t>
      </w:r>
    </w:p>
    <w:p>
      <w:pPr>
        <w:pStyle w:val="2"/>
        <w:rPr>
          <w:rFonts w:eastAsia="宋体"/>
        </w:rPr>
      </w:pPr>
      <w:bookmarkStart w:id="7" w:name="_Toc683489579"/>
      <w:r>
        <w:rPr>
          <w:rFonts w:hint="eastAsia" w:eastAsiaTheme="minorEastAsia"/>
        </w:rPr>
        <w:t>3</w:t>
      </w:r>
      <w:r>
        <w:rPr>
          <w:rFonts w:eastAsiaTheme="minorEastAsia"/>
        </w:rPr>
        <w:t xml:space="preserve">. </w:t>
      </w:r>
      <w:r>
        <w:t>Strategy Analysis</w:t>
      </w:r>
      <w:bookmarkEnd w:id="6"/>
      <w:bookmarkEnd w:id="7"/>
    </w:p>
    <w:p>
      <w:pPr>
        <w:pStyle w:val="3"/>
      </w:pPr>
      <w:bookmarkStart w:id="8" w:name="_Toc519326450"/>
      <w:bookmarkStart w:id="9" w:name="_Toc139482131"/>
      <w:r>
        <w:rPr>
          <w:lang w:eastAsia="zh-Hans"/>
        </w:rPr>
        <w:t xml:space="preserve">3.1 Critical Evaluation of </w:t>
      </w:r>
      <w:r>
        <w:rPr>
          <w:rFonts w:hint="eastAsia"/>
        </w:rPr>
        <w:t>Nike</w:t>
      </w:r>
      <w:r>
        <w:rPr>
          <w:lang w:eastAsia="zh-Hans"/>
        </w:rPr>
        <w:t>'s Marketing Strategy</w:t>
      </w:r>
      <w:bookmarkEnd w:id="8"/>
      <w:bookmarkEnd w:id="9"/>
    </w:p>
    <w:p>
      <w:pPr>
        <w:ind w:firstLine="480" w:firstLineChars="200"/>
        <w:rPr>
          <w:rFonts w:eastAsia="宋体"/>
        </w:rPr>
      </w:pPr>
      <w:r>
        <w:rPr>
          <w:rFonts w:hint="eastAsia" w:eastAsiaTheme="minorEastAsia"/>
        </w:rPr>
        <w:t>Nike's customer service strategy is successful in many ways, Nike focuses on innovation and personalization in customer service, such as providing customers with a convenient and personalized shopping experience by offering a variety of channels such as online shopping, mobile apps and social media. In addition, they provide one-on-one professional counseling services to help customers choose the right product for their needs. However, there are still some customer service deficiencies and limitations.（Hayhurst&amp;Szto，2016）</w:t>
      </w:r>
    </w:p>
    <w:p>
      <w:pPr>
        <w:ind w:firstLine="480" w:firstLineChars="200"/>
        <w:rPr>
          <w:rFonts w:hint="eastAsia" w:eastAsiaTheme="minorEastAsia"/>
        </w:rPr>
        <w:sectPr>
          <w:headerReference r:id="rId17" w:type="default"/>
          <w:pgSz w:w="11906" w:h="16838"/>
          <w:pgMar w:top="1440" w:right="1800" w:bottom="1440" w:left="1800" w:header="851" w:footer="992" w:gutter="0"/>
          <w:pgNumType w:fmt="decimal"/>
          <w:cols w:space="425" w:num="1"/>
          <w:docGrid w:type="lines" w:linePitch="312" w:charSpace="0"/>
        </w:sectPr>
      </w:pPr>
      <w:r>
        <w:rPr>
          <w:rFonts w:hint="eastAsia" w:eastAsiaTheme="minorEastAsia"/>
        </w:rPr>
        <w:t xml:space="preserve">First, Nike's customer service response time may need to be improved. In terms of customer feedback and consultation, Nike's response mechanism is more dysfunctional, some customers reflect that when they ask Nike for advice or complaints, they get a slower response. From this point of view, it is obvious that Nike's customer service enthusiasm is not high, and it does not fulfill the service concept of "the customer is God", which may lead to customer dissatisfaction and make customers lose the motivation to buy. Therefore, Nike can optimize the customer service feedback and consultation system, improve the response speed to customer inquiries or complaints, and improve </w:t>
      </w:r>
    </w:p>
    <w:p>
      <w:pPr>
        <w:rPr>
          <w:rFonts w:eastAsiaTheme="minorEastAsia"/>
        </w:rPr>
      </w:pPr>
      <w:r>
        <w:rPr>
          <w:rFonts w:hint="eastAsia" w:eastAsiaTheme="minorEastAsia"/>
        </w:rPr>
        <w:t>customer enthusiasm and brand loyalty. (Hang, 2018)</w:t>
      </w:r>
    </w:p>
    <w:p>
      <w:pPr>
        <w:ind w:firstLine="480"/>
        <w:rPr>
          <w:rFonts w:eastAsiaTheme="minorEastAsia"/>
        </w:rPr>
      </w:pPr>
      <w:r>
        <w:rPr>
          <w:rFonts w:hint="eastAsia" w:eastAsiaTheme="minorEastAsia"/>
        </w:rPr>
        <w:t>Secondly, Nike's customer service may need to be more professional and timely in solving problems and handling complaints. When customers encounter relevant problems and ask Nike to deal with them, in addition to the timely response of Nike's customer service staff, there is a greater need for these staff to perfect the disposition of the customers' relevant problems so that the results will satisfy the customers. Some customers of Nike Company reported that when they encountered problems or complaints, the solutions they received were not satisfactory enough or it took a long time to be resolved, which may affect the customers' trust and loyalty to the Nike brand. (Sethi et al., 2011) Therefore, Nike should strengthen the proficiency of customer service staff in their work operations and improve the ability of employees to be calm, handle efficiently, and dare to face the relevant problems raised by customers and solve them. (Kim et al, 2020)</w:t>
      </w:r>
    </w:p>
    <w:p>
      <w:pPr>
        <w:ind w:firstLine="480" w:firstLineChars="200"/>
        <w:rPr>
          <w:rFonts w:eastAsiaTheme="minorEastAsia"/>
        </w:rPr>
      </w:pPr>
      <w:bookmarkStart w:id="10" w:name="_Toc139482132"/>
      <w:r>
        <w:rPr>
          <w:rFonts w:hint="eastAsia" w:eastAsiaTheme="minorEastAsia"/>
        </w:rPr>
        <w:t>In addition, Nike needs to further improve the collection and utilization of customer feedback in customer service. Customers' opinions and suggestions are crucial to improving products and services, but some customers reflect that Nike has created fewer channels for customer feedback, which sometimes makes customers do not know where to give feedback, and some feedbacks are not given enough attention and response. Therefore, Nike can improve customer service and increase customer service satisfaction by establishing a more effective feedback mechanism, actively listening to customers' voices and taking timely action to improve customer service. (Mao, 2020)</w:t>
      </w:r>
    </w:p>
    <w:p>
      <w:pPr>
        <w:pStyle w:val="3"/>
      </w:pPr>
      <w:bookmarkStart w:id="11" w:name="_Toc946103742"/>
      <w:r>
        <w:rPr>
          <w:lang w:eastAsia="zh-Hans"/>
        </w:rPr>
        <w:t xml:space="preserve">3.2 How to Address the Shortcomings of </w:t>
      </w:r>
      <w:r>
        <w:rPr>
          <w:rFonts w:hint="eastAsia"/>
        </w:rPr>
        <w:t>Nike</w:t>
      </w:r>
      <w:r>
        <w:rPr>
          <w:lang w:eastAsia="zh-Hans"/>
        </w:rPr>
        <w:t>'s Marketing Strategy?</w:t>
      </w:r>
      <w:bookmarkEnd w:id="10"/>
      <w:bookmarkEnd w:id="11"/>
    </w:p>
    <w:p>
      <w:pPr>
        <w:ind w:firstLine="480" w:firstLineChars="200"/>
        <w:rPr>
          <w:rFonts w:hint="eastAsia" w:eastAsiaTheme="minorEastAsia"/>
        </w:rPr>
        <w:sectPr>
          <w:headerReference r:id="rId18" w:type="default"/>
          <w:pgSz w:w="11906" w:h="16838"/>
          <w:pgMar w:top="1440" w:right="1800" w:bottom="1440" w:left="1800" w:header="851" w:footer="992" w:gutter="0"/>
          <w:pgNumType w:fmt="decimal"/>
          <w:cols w:space="425" w:num="1"/>
          <w:docGrid w:type="lines" w:linePitch="312" w:charSpace="0"/>
        </w:sectPr>
      </w:pPr>
      <w:bookmarkStart w:id="12" w:name="_Toc139482133"/>
      <w:r>
        <w:rPr>
          <w:rFonts w:hint="eastAsia" w:eastAsiaTheme="minorEastAsia"/>
        </w:rPr>
        <w:t xml:space="preserve">In conclusion, a critical assessment of Nike's customer service strategy reveals several shortcomings that may hinder its long-term success. These shortcomings include excessive response time to customer service, weak professionalism and timeliness in resolving issues and handling complaints, </w:t>
      </w:r>
    </w:p>
    <w:p>
      <w:pPr>
        <w:rPr>
          <w:rFonts w:eastAsiaTheme="minorEastAsia"/>
        </w:rPr>
      </w:pPr>
      <w:r>
        <w:rPr>
          <w:rFonts w:hint="eastAsia" w:eastAsiaTheme="minorEastAsia"/>
        </w:rPr>
        <w:t>and inefficient collection and utilization of customer feedback, thus by improving its response time, providing more professional and timely solutions, and valuing customer feedback, Nike can further enhance customer satisfaction and loyalty. This is crucial for Nike to remain competitive and maintain its market leadership.（</w:t>
      </w:r>
      <w:r>
        <w:rPr>
          <w:rFonts w:hint="eastAsia" w:eastAsiaTheme="minorEastAsia"/>
          <w:lang w:eastAsia="zh-Hans"/>
        </w:rPr>
        <w:t>Brodmerkel</w:t>
      </w:r>
      <w:r>
        <w:rPr>
          <w:rFonts w:hint="eastAsia" w:eastAsiaTheme="minorEastAsia"/>
        </w:rPr>
        <w:t>，2019）</w:t>
      </w:r>
    </w:p>
    <w:p>
      <w:pPr>
        <w:pStyle w:val="2"/>
      </w:pPr>
      <w:bookmarkStart w:id="13" w:name="_Toc1196669406"/>
      <w:r>
        <w:rPr>
          <w:rFonts w:hint="eastAsia"/>
        </w:rPr>
        <w:t>4</w:t>
      </w:r>
      <w:r>
        <w:t>. PESTLE Analysis, SWOT Analysis and Michael Porter’s Five Forces Model</w:t>
      </w:r>
      <w:bookmarkEnd w:id="12"/>
      <w:bookmarkEnd w:id="13"/>
    </w:p>
    <w:p>
      <w:pPr>
        <w:pStyle w:val="3"/>
      </w:pPr>
      <w:bookmarkStart w:id="14" w:name="_Toc1238352487"/>
      <w:bookmarkStart w:id="15" w:name="_Toc139482134"/>
      <w:r>
        <w:t>4.1 PESTLE Analysis</w:t>
      </w:r>
      <w:bookmarkEnd w:id="14"/>
      <w:bookmarkEnd w:id="15"/>
    </w:p>
    <w:p>
      <w:pPr>
        <w:pStyle w:val="4"/>
      </w:pPr>
      <w:bookmarkStart w:id="16" w:name="_Toc1726225932"/>
      <w:bookmarkStart w:id="17" w:name="_Toc139482135"/>
      <w:r>
        <w:t>4.1.1 Political</w:t>
      </w:r>
      <w:bookmarkEnd w:id="16"/>
      <w:bookmarkEnd w:id="17"/>
    </w:p>
    <w:p>
      <w:pPr>
        <w:ind w:firstLine="480" w:firstLineChars="200"/>
        <w:rPr>
          <w:rFonts w:eastAsiaTheme="minorEastAsia"/>
        </w:rPr>
      </w:pPr>
      <w:r>
        <w:rPr>
          <w:rFonts w:hint="eastAsia" w:eastAsiaTheme="minorEastAsia"/>
        </w:rPr>
        <w:t>Political stability: Nike has relevant business distribution in many countries around the world, the political stability of these regions and the absence of unrest is the primary guarantee of its stable customer source.（Zhang&amp;Xue，2022）</w:t>
      </w:r>
    </w:p>
    <w:p>
      <w:pPr>
        <w:ind w:firstLine="480" w:firstLineChars="200"/>
        <w:rPr>
          <w:rFonts w:eastAsiaTheme="minorEastAsia"/>
        </w:rPr>
      </w:pPr>
      <w:bookmarkStart w:id="18" w:name="_Toc139482136"/>
      <w:r>
        <w:rPr>
          <w:rFonts w:hint="eastAsia" w:eastAsiaTheme="minorEastAsia"/>
        </w:rPr>
        <w:t>Government regulations: Laws and regulations related to taxation, advertising, quality testing, etc. enacted by regional governments can affect the implementation of Nike's customer service strategy, for example, the government's requirements for consumer rights protection may have an impact on Nike's customer service standards.</w:t>
      </w:r>
    </w:p>
    <w:p>
      <w:pPr>
        <w:ind w:firstLine="480" w:firstLineChars="200"/>
        <w:rPr>
          <w:rFonts w:eastAsia="宋体"/>
        </w:rPr>
      </w:pPr>
      <w:r>
        <w:rPr>
          <w:rFonts w:hint="eastAsia" w:eastAsiaTheme="minorEastAsia"/>
        </w:rPr>
        <w:t>Trade policies: Changes in trade policies of various countries affect the raw materials needed to produce Nike products, international trade sales of products, and supply chain costs, all of which affect the operating costs and selling prices of Nike's products, which in turn affects the purchases of the customer base.（Anonymous ，2009）</w:t>
      </w:r>
    </w:p>
    <w:p>
      <w:pPr>
        <w:pStyle w:val="4"/>
      </w:pPr>
      <w:bookmarkStart w:id="19" w:name="_Toc175168154"/>
      <w:r>
        <w:t>4.1.2 Economic</w:t>
      </w:r>
      <w:bookmarkEnd w:id="18"/>
      <w:bookmarkEnd w:id="19"/>
    </w:p>
    <w:p>
      <w:pPr>
        <w:ind w:firstLine="480" w:firstLineChars="200"/>
        <w:rPr>
          <w:rFonts w:eastAsiaTheme="minorEastAsia"/>
        </w:rPr>
        <w:sectPr>
          <w:headerReference r:id="rId19" w:type="default"/>
          <w:pgSz w:w="11906" w:h="16838"/>
          <w:pgMar w:top="1440" w:right="1800" w:bottom="1440" w:left="1800" w:header="851" w:footer="992" w:gutter="0"/>
          <w:pgNumType w:fmt="decimal"/>
          <w:cols w:space="425" w:num="1"/>
          <w:docGrid w:type="lines" w:linePitch="312" w:charSpace="0"/>
        </w:sectPr>
      </w:pPr>
      <w:r>
        <w:rPr>
          <w:rFonts w:eastAsiaTheme="minorEastAsia"/>
        </w:rPr>
        <w:t xml:space="preserve">Economic situation: the overall economic strength of a country and the level of economic development will affect the country's consumer spending </w:t>
      </w:r>
    </w:p>
    <w:p>
      <w:pPr>
        <w:rPr>
          <w:rFonts w:eastAsiaTheme="minorEastAsia"/>
        </w:rPr>
      </w:pPr>
      <w:r>
        <w:rPr>
          <w:rFonts w:eastAsiaTheme="minorEastAsia"/>
        </w:rPr>
        <w:t>power, in addition to the currency exchange rate, inflation rate and economic growth rate will affect the actual consumer spending situation, which in turn affects Nike's customer service needs.</w:t>
      </w:r>
    </w:p>
    <w:p>
      <w:pPr>
        <w:ind w:firstLine="480" w:firstLineChars="200"/>
        <w:rPr>
          <w:rFonts w:eastAsiaTheme="minorEastAsia"/>
        </w:rPr>
      </w:pPr>
      <w:r>
        <w:rPr>
          <w:rFonts w:eastAsiaTheme="minorEastAsia"/>
        </w:rPr>
        <w:t>Exchange rate fluctuations: Currency conversion ratios between countries can affect consumer spending across borders and can affect the production, transportation and marketing of Nike's products, and may also have an impact on Nike's costs and pricing strategies, which in turn affects the delivery of customer service.</w:t>
      </w:r>
      <w:r>
        <w:rPr>
          <w:rFonts w:hint="eastAsia" w:eastAsiaTheme="minorEastAsia"/>
        </w:rPr>
        <w:t>（</w:t>
      </w:r>
      <w:r>
        <w:rPr>
          <w:rFonts w:eastAsiaTheme="minorEastAsia"/>
        </w:rPr>
        <w:t>Wei</w:t>
      </w:r>
      <w:r>
        <w:rPr>
          <w:rFonts w:hint="eastAsia" w:eastAsiaTheme="minorEastAsia"/>
        </w:rPr>
        <w:t>&amp;</w:t>
      </w:r>
      <w:r>
        <w:rPr>
          <w:rFonts w:eastAsiaTheme="minorEastAsia"/>
        </w:rPr>
        <w:t>Churen</w:t>
      </w:r>
      <w:r>
        <w:rPr>
          <w:rFonts w:hint="eastAsia" w:eastAsiaTheme="minorEastAsia"/>
        </w:rPr>
        <w:t>，2022）</w:t>
      </w:r>
    </w:p>
    <w:p>
      <w:pPr>
        <w:ind w:firstLine="480" w:firstLineChars="200"/>
        <w:rPr>
          <w:rFonts w:eastAsiaTheme="minorEastAsia"/>
        </w:rPr>
      </w:pPr>
      <w:bookmarkStart w:id="20" w:name="_Toc139482137"/>
      <w:r>
        <w:rPr>
          <w:rFonts w:eastAsiaTheme="minorEastAsia"/>
        </w:rPr>
        <w:t>Consumer purchasing power: Consumer's consumption concept, the price level of Nike's products and consumer's disposable income are important factors affecting the purchasing power of consumers, and consumer's purchasing power is a very important influencing factor of Nike's customer service.</w:t>
      </w:r>
      <w:r>
        <w:rPr>
          <w:rFonts w:hint="eastAsia" w:eastAsiaTheme="minorEastAsia"/>
        </w:rPr>
        <w:t>（</w:t>
      </w:r>
      <w:r>
        <w:rPr>
          <w:rFonts w:eastAsiaTheme="minorEastAsia"/>
        </w:rPr>
        <w:t>Fernanda</w:t>
      </w:r>
      <w:r>
        <w:rPr>
          <w:rFonts w:hint="eastAsia" w:eastAsiaTheme="minorEastAsia"/>
        </w:rPr>
        <w:t xml:space="preserve"> et al，2023）</w:t>
      </w:r>
    </w:p>
    <w:p>
      <w:pPr>
        <w:pStyle w:val="4"/>
      </w:pPr>
      <w:bookmarkStart w:id="21" w:name="_Toc1998567888"/>
      <w:r>
        <w:t>4.1.3 Social</w:t>
      </w:r>
      <w:bookmarkEnd w:id="20"/>
      <w:bookmarkEnd w:id="21"/>
    </w:p>
    <w:p>
      <w:pPr>
        <w:ind w:firstLine="480" w:firstLineChars="200"/>
        <w:rPr>
          <w:rFonts w:eastAsiaTheme="minorEastAsia"/>
        </w:rPr>
      </w:pPr>
      <w:r>
        <w:rPr>
          <w:rFonts w:eastAsiaTheme="minorEastAsia"/>
        </w:rPr>
        <w:t>Cultural Values and Beliefs: Understanding the general consumer preferences of Nike consumers around the world, familiarizing with local cultural practices, and adjusting Nike's product marketing strategy activities according to local conditions are crucial for Nike to effectively reach out to different customer groups and better serve them.</w:t>
      </w:r>
      <w:r>
        <w:rPr>
          <w:rFonts w:hint="eastAsia" w:eastAsiaTheme="minorEastAsia"/>
        </w:rPr>
        <w:t>（</w:t>
      </w:r>
      <w:r>
        <w:rPr>
          <w:rFonts w:eastAsiaTheme="minorEastAsia"/>
        </w:rPr>
        <w:t>Yan</w:t>
      </w:r>
      <w:r>
        <w:rPr>
          <w:rFonts w:hint="eastAsia" w:eastAsiaTheme="minorEastAsia"/>
        </w:rPr>
        <w:t>，2023）</w:t>
      </w:r>
    </w:p>
    <w:p>
      <w:pPr>
        <w:ind w:firstLine="480" w:firstLineChars="200"/>
        <w:rPr>
          <w:rFonts w:eastAsiaTheme="minorEastAsia"/>
        </w:rPr>
      </w:pPr>
      <w:bookmarkStart w:id="22" w:name="_Toc139482138"/>
      <w:r>
        <w:rPr>
          <w:rFonts w:eastAsiaTheme="minorEastAsia"/>
        </w:rPr>
        <w:t>Consumer group factors: Statistical changes in different consumer demographics in different countries, such as the age distribution of consumers, population growth, and the layout of population movements, are important factors that affect Nike's target market and influence strategy implementation. Consumers' increasing concerns about brand image, social responsibility and sustainability may require Nike to be more transparent, ethical and environmentally friendly in its customer service.</w:t>
      </w:r>
      <w:r>
        <w:rPr>
          <w:rFonts w:hint="eastAsia" w:eastAsiaTheme="minorEastAsia"/>
        </w:rPr>
        <w:t>（</w:t>
      </w:r>
      <w:r>
        <w:rPr>
          <w:rFonts w:eastAsiaTheme="minorEastAsia"/>
        </w:rPr>
        <w:t>V. M B</w:t>
      </w:r>
      <w:r>
        <w:rPr>
          <w:rFonts w:hint="eastAsia" w:eastAsiaTheme="minorEastAsia"/>
        </w:rPr>
        <w:t xml:space="preserve"> et al.，2023）</w:t>
      </w:r>
    </w:p>
    <w:p>
      <w:pPr>
        <w:pStyle w:val="4"/>
      </w:pPr>
      <w:bookmarkStart w:id="23" w:name="_Toc1138770889"/>
      <w:r>
        <w:t>4.1.4 Technological</w:t>
      </w:r>
      <w:bookmarkEnd w:id="22"/>
      <w:bookmarkEnd w:id="23"/>
    </w:p>
    <w:p>
      <w:pPr>
        <w:ind w:firstLine="480" w:firstLineChars="200"/>
        <w:rPr>
          <w:rFonts w:eastAsiaTheme="minorEastAsia"/>
        </w:rPr>
      </w:pPr>
      <w:r>
        <w:rPr>
          <w:rFonts w:eastAsiaTheme="minorEastAsia"/>
        </w:rPr>
        <w:t>Technological advances in customer service: Using a variety of technological means to enhance the customer service experience, accurately discover the needs of customer groups and provide them with relevant services, such as digital technology to build digital platforms, targeted advertising and personalized marketing through social media and data analysis.</w:t>
      </w:r>
      <w:r>
        <w:rPr>
          <w:rFonts w:hint="eastAsia" w:eastAsiaTheme="minorEastAsia"/>
        </w:rPr>
        <w:t>（</w:t>
      </w:r>
      <w:r>
        <w:rPr>
          <w:rFonts w:eastAsiaTheme="minorEastAsia"/>
        </w:rPr>
        <w:t>Elis</w:t>
      </w:r>
      <w:r>
        <w:rPr>
          <w:rFonts w:hint="eastAsia" w:eastAsiaTheme="minorEastAsia"/>
        </w:rPr>
        <w:t>，2023）</w:t>
      </w:r>
    </w:p>
    <w:p>
      <w:pPr>
        <w:ind w:firstLine="480" w:firstLineChars="200"/>
        <w:rPr>
          <w:rFonts w:eastAsiaTheme="minorEastAsia"/>
        </w:rPr>
      </w:pPr>
      <w:r>
        <w:rPr>
          <w:rFonts w:eastAsiaTheme="minorEastAsia"/>
        </w:rPr>
        <w:t>Digitalization and e-commerce: rapid advances in science and technology have led to changes in the way all types of products are marketed, and Nike needs to adapt to the ever-changing online shopping trends of consumers by creating digital platforms adapted to the consumer base,</w:t>
      </w:r>
      <w:r>
        <w:rPr>
          <w:rFonts w:hint="eastAsia" w:eastAsiaTheme="minorEastAsia"/>
        </w:rPr>
        <w:t>（</w:t>
      </w:r>
      <w:r>
        <w:rPr>
          <w:rFonts w:eastAsiaTheme="minorEastAsia"/>
        </w:rPr>
        <w:t>Jiawen</w:t>
      </w:r>
      <w:r>
        <w:rPr>
          <w:rFonts w:hint="eastAsia" w:eastAsiaTheme="minorEastAsia"/>
        </w:rPr>
        <w:t xml:space="preserve">  et al.，2023）</w:t>
      </w:r>
    </w:p>
    <w:p>
      <w:pPr>
        <w:rPr>
          <w:rFonts w:eastAsiaTheme="minorEastAsia"/>
        </w:rPr>
      </w:pPr>
      <w:r>
        <w:rPr>
          <w:rFonts w:eastAsiaTheme="minorEastAsia"/>
        </w:rPr>
        <w:t xml:space="preserve"> which will drive product sales and enhance consumer engagement in purchasing, and which can lead to new customer service needs and opportunities, for example, through the use of technologies such as virtual reality and artificial intelligence.</w:t>
      </w:r>
      <w:r>
        <w:rPr>
          <w:rFonts w:hint="eastAsia" w:eastAsiaTheme="minorEastAsia"/>
        </w:rPr>
        <w:t>（</w:t>
      </w:r>
      <w:r>
        <w:rPr>
          <w:rFonts w:eastAsiaTheme="minorEastAsia"/>
        </w:rPr>
        <w:t>Finn</w:t>
      </w:r>
      <w:r>
        <w:rPr>
          <w:rFonts w:hint="eastAsia" w:eastAsiaTheme="minorEastAsia"/>
        </w:rPr>
        <w:t>，2022）</w:t>
      </w:r>
    </w:p>
    <w:p>
      <w:pPr>
        <w:pStyle w:val="4"/>
      </w:pPr>
      <w:bookmarkStart w:id="24" w:name="_Toc139482139"/>
      <w:bookmarkStart w:id="25" w:name="_Toc948069359"/>
      <w:r>
        <w:t>4.1.5 Legal</w:t>
      </w:r>
      <w:bookmarkEnd w:id="24"/>
      <w:bookmarkEnd w:id="25"/>
    </w:p>
    <w:p>
      <w:pPr>
        <w:ind w:firstLine="480" w:firstLineChars="200"/>
        <w:rPr>
          <w:rFonts w:eastAsiaTheme="minorEastAsia"/>
        </w:rPr>
      </w:pPr>
      <w:r>
        <w:rPr>
          <w:rFonts w:hint="eastAsia" w:eastAsiaTheme="minorEastAsia"/>
        </w:rPr>
        <w:t>Quality and safety regulations: In this area of sports products, the regulations are relatively strict, because it is related to the health of consumers, strict quality and safety regulations and the release of advertising content and a series of requirements will affect the implementation of Nike's customer service strategy.（Yating et al.，2023）</w:t>
      </w:r>
    </w:p>
    <w:p>
      <w:pPr>
        <w:ind w:firstLine="480" w:firstLineChars="200"/>
        <w:rPr>
          <w:rFonts w:eastAsiaTheme="minorEastAsia"/>
        </w:rPr>
      </w:pPr>
      <w:r>
        <w:rPr>
          <w:rFonts w:hint="eastAsia" w:eastAsiaTheme="minorEastAsia"/>
        </w:rPr>
        <w:t>Customer privacy protection: Due to the rapid development of science and technology, customers will be exposed to some customer privacy data while purchasing Nike's products, and the constraints of laws and regulations on personal privacy will affect the implementation of Nike's customer service strategy, which in turn will affect the protection of customer-related consumer rights and interests.（Deborah et al.，2023）</w:t>
      </w:r>
    </w:p>
    <w:p>
      <w:pPr>
        <w:ind w:firstLine="480" w:firstLineChars="200"/>
        <w:rPr>
          <w:rFonts w:eastAsiaTheme="minorEastAsia"/>
        </w:rPr>
      </w:pPr>
      <w:bookmarkStart w:id="26" w:name="_Toc139482140"/>
      <w:r>
        <w:rPr>
          <w:rFonts w:hint="eastAsia" w:eastAsiaTheme="minorEastAsia"/>
        </w:rPr>
        <w:t>Advertising and marketing laws: Restrictions on laws related to the distribution of advertising content and limitations on the choice of marketing methods can have an impact on the promotion of Nike's products and the implementation of its customer service strategy.（D A M&amp;Jessica，2017）</w:t>
      </w:r>
    </w:p>
    <w:p>
      <w:pPr>
        <w:pStyle w:val="4"/>
      </w:pPr>
      <w:bookmarkStart w:id="27" w:name="_Toc2020539620"/>
      <w:r>
        <w:t>4.1.6 Environmental:</w:t>
      </w:r>
      <w:bookmarkEnd w:id="26"/>
      <w:bookmarkEnd w:id="27"/>
    </w:p>
    <w:p>
      <w:pPr>
        <w:ind w:firstLine="480" w:firstLineChars="200"/>
        <w:rPr>
          <w:rFonts w:eastAsiaTheme="minorEastAsia"/>
        </w:rPr>
      </w:pPr>
      <w:r>
        <w:rPr>
          <w:rFonts w:eastAsiaTheme="minorEastAsia"/>
        </w:rPr>
        <w:t>As the society pays more and more attention to the concern of environmental protection, the environmental factors also have a certain impact on Nike's customer service strategy. Environmental protection will not only affect the production and sales of Nike's products, but also affect the customer base on the environmental protection and green development of Nike's products, the customer's concern for environmental protection and sustainable development is increasing, which may require Nike to pay more attention to environmental friendliness and sustainability in customer service, which can better reflect Nike's social responsibility and commitment to increase the trust of the customer base on Nike. This will better reflect Nike's social responsibility and commitment and increase the trust of the customer base.</w:t>
      </w:r>
      <w:r>
        <w:rPr>
          <w:rFonts w:hint="eastAsia" w:eastAsiaTheme="minorEastAsia"/>
        </w:rPr>
        <w:t>（</w:t>
      </w:r>
      <w:r>
        <w:rPr>
          <w:rFonts w:eastAsiaTheme="minorEastAsia"/>
        </w:rPr>
        <w:t>Shore</w:t>
      </w:r>
      <w:r>
        <w:rPr>
          <w:rFonts w:hint="eastAsia" w:eastAsiaTheme="minorEastAsia"/>
        </w:rPr>
        <w:t>,1978)</w:t>
      </w:r>
    </w:p>
    <w:p>
      <w:pPr>
        <w:ind w:firstLine="480" w:firstLineChars="200"/>
        <w:rPr>
          <w:rFonts w:eastAsiaTheme="minorEastAsia"/>
        </w:rPr>
      </w:pPr>
      <w:bookmarkStart w:id="28" w:name="_Toc139482141"/>
      <w:r>
        <w:rPr>
          <w:rFonts w:eastAsiaTheme="minorEastAsia"/>
        </w:rPr>
        <w:t>Sustainable development: Whether from the production point of view, or from transportation and marketing activities, higher requirements for green management have been put forward, and the strategy of sustainable development has had a greater impact on Nike's supply chain management.</w:t>
      </w:r>
      <w:r>
        <w:rPr>
          <w:rFonts w:hint="eastAsia" w:eastAsiaTheme="minorEastAsia"/>
        </w:rPr>
        <w:t>(</w:t>
      </w:r>
      <w:r>
        <w:rPr>
          <w:rFonts w:eastAsiaTheme="minorEastAsia"/>
        </w:rPr>
        <w:t>Sr</w:t>
      </w:r>
      <w:r>
        <w:rPr>
          <w:rFonts w:hint="eastAsia" w:eastAsiaTheme="minorEastAsia"/>
        </w:rPr>
        <w:t>i et al.，2023）</w:t>
      </w:r>
    </w:p>
    <w:p>
      <w:pPr>
        <w:pStyle w:val="3"/>
      </w:pPr>
      <w:bookmarkStart w:id="29" w:name="_Toc1050483329"/>
      <w:r>
        <w:t>4.2 SWOT Analysis</w:t>
      </w:r>
      <w:bookmarkEnd w:id="28"/>
      <w:bookmarkEnd w:id="29"/>
    </w:p>
    <w:p>
      <w:pPr>
        <w:pStyle w:val="4"/>
      </w:pPr>
      <w:bookmarkStart w:id="30" w:name="_Toc1010248516"/>
      <w:bookmarkStart w:id="31" w:name="_Toc139482142"/>
      <w:r>
        <w:t>4.2.1 Strengths</w:t>
      </w:r>
      <w:bookmarkEnd w:id="30"/>
      <w:bookmarkEnd w:id="31"/>
    </w:p>
    <w:p>
      <w:pPr>
        <w:ind w:firstLine="480" w:firstLineChars="200"/>
        <w:rPr>
          <w:rFonts w:eastAsiaTheme="minorEastAsia"/>
        </w:rPr>
      </w:pPr>
      <w:r>
        <w:rPr>
          <w:rFonts w:hint="eastAsia" w:eastAsiaTheme="minorEastAsia"/>
        </w:rPr>
        <w:t>High brand awareness: the name NIKE, in the eyes of Westerners is very auspicious, and easy to read and remember, can be called very loud. Nike trademark symbolizes the feathers of the wings of the Greek goddess of victory, representing speed, but also represents the dynamic and gentle, in addition to a series of Nike's products also has a larger number of ball player endorsement, a complete range of sports products, involving a wide range of sports events, high visibility is conducive to attracting more customer groups.（Dimitrios et al.，2022）</w:t>
      </w:r>
    </w:p>
    <w:p>
      <w:pPr>
        <w:ind w:firstLine="480" w:firstLineChars="200"/>
        <w:rPr>
          <w:rFonts w:eastAsiaTheme="minorEastAsia"/>
        </w:rPr>
      </w:pPr>
      <w:r>
        <w:rPr>
          <w:rFonts w:hint="eastAsia" w:eastAsiaTheme="minorEastAsia"/>
        </w:rPr>
        <w:t>Strong product innovation: despite many difficulties in product development, Nike firmly believes that through better and more innovative products, it is able to customize products for its customer base. Driven by this mentality, Nike has created a series of products such as the Nike Air, Pegasus 1-39: Nike Pegasus Running Shoes, the Sprint Family, and the Star Signature Basketball Shoes. These products are not entirely separate programs, but rather a "new force" that emerges as Nike technology continues to evolve, constantly improving customer service satisfaction.（Nelson et al.，2023）</w:t>
      </w:r>
    </w:p>
    <w:p>
      <w:pPr>
        <w:ind w:firstLine="480" w:firstLineChars="200"/>
      </w:pPr>
      <w:r>
        <w:rPr>
          <w:rFonts w:hint="eastAsia" w:eastAsiaTheme="minorEastAsia"/>
        </w:rPr>
        <w:t>Multi-channel sales: Nike sells Nike's products through multiple online and offline channels to continuously satisfy customers' diversified purchasing needs and provide customers with a convenient and efficient shopping experience.（Alejandra et al.，2023）</w:t>
      </w:r>
    </w:p>
    <w:p>
      <w:pPr>
        <w:pStyle w:val="4"/>
      </w:pPr>
      <w:bookmarkStart w:id="32" w:name="_Toc1241095230"/>
      <w:bookmarkStart w:id="33" w:name="_Toc139482143"/>
      <w:r>
        <w:t>4.2.2 Weaknesses</w:t>
      </w:r>
      <w:bookmarkEnd w:id="32"/>
      <w:bookmarkEnd w:id="33"/>
    </w:p>
    <w:p>
      <w:pPr>
        <w:ind w:firstLine="480" w:firstLineChars="200"/>
        <w:rPr>
          <w:bCs/>
        </w:rPr>
      </w:pPr>
      <w:bookmarkStart w:id="34" w:name="_Toc139482144"/>
      <w:r>
        <w:t>Supply Chain Management: Nike's supply chain management may face some challenges, such as problems in logistics and inventory management, which may not be able to supply the products demanded by customers in a timely manner or allocate insufficient storage, which in turn affects customer demand for the products.</w:t>
      </w:r>
      <w:r>
        <w:rPr>
          <w:rFonts w:hint="eastAsia"/>
        </w:rPr>
        <w:t>（</w:t>
      </w:r>
      <w:r>
        <w:t>Lan</w:t>
      </w:r>
      <w:r>
        <w:rPr>
          <w:rFonts w:hint="eastAsia"/>
        </w:rPr>
        <w:t xml:space="preserve"> et al.，2015）</w:t>
      </w:r>
    </w:p>
    <w:p>
      <w:pPr>
        <w:ind w:firstLine="480" w:firstLineChars="200"/>
        <w:rPr>
          <w:rFonts w:eastAsiaTheme="minorEastAsia"/>
        </w:rPr>
      </w:pPr>
      <w:r>
        <w:rPr>
          <w:rFonts w:eastAsiaTheme="minorEastAsia"/>
        </w:rPr>
        <w:t>Product Pricing: Nike's product pricing is relatively high, and the product price is beyond what customers can pay, which in turn may limit the willingness of some consumers to purchase Nike's products.</w:t>
      </w:r>
      <w:r>
        <w:rPr>
          <w:rFonts w:hint="eastAsia" w:eastAsiaTheme="minorEastAsia"/>
        </w:rPr>
        <w:t>（</w:t>
      </w:r>
      <w:r>
        <w:rPr>
          <w:rFonts w:eastAsiaTheme="minorEastAsia"/>
        </w:rPr>
        <w:t>Martin</w:t>
      </w:r>
      <w:r>
        <w:rPr>
          <w:rFonts w:hint="eastAsia" w:eastAsiaTheme="minorEastAsia"/>
        </w:rPr>
        <w:t>，2004）</w:t>
      </w:r>
    </w:p>
    <w:p>
      <w:pPr>
        <w:ind w:firstLine="480" w:firstLineChars="200"/>
        <w:rPr>
          <w:rFonts w:eastAsia="宋体"/>
        </w:rPr>
      </w:pPr>
      <w:r>
        <w:rPr>
          <w:rFonts w:eastAsiaTheme="minorEastAsia"/>
        </w:rPr>
        <w:t>After-sales service: Nike's after-sales service may have some problems, such as the return and exchange process is not convenient, product problems are not dealt with in a timely manner, the quality of tracking service is not in place, etc., are important influencing factors affecting customer service.</w:t>
      </w:r>
      <w:r>
        <w:rPr>
          <w:rFonts w:hint="eastAsia" w:eastAsiaTheme="minorEastAsia"/>
        </w:rPr>
        <w:t xml:space="preserve"> （</w:t>
      </w:r>
      <w:r>
        <w:rPr>
          <w:rFonts w:eastAsiaTheme="minorEastAsia"/>
        </w:rPr>
        <w:t>Anutchana</w:t>
      </w:r>
      <w:r>
        <w:rPr>
          <w:rFonts w:hint="eastAsia" w:eastAsiaTheme="minorEastAsia"/>
        </w:rPr>
        <w:t xml:space="preserve"> </w:t>
      </w:r>
      <w:r>
        <w:rPr>
          <w:rFonts w:eastAsiaTheme="minorEastAsia"/>
        </w:rPr>
        <w:t>e</w:t>
      </w:r>
      <w:r>
        <w:rPr>
          <w:rFonts w:hint="eastAsia" w:eastAsiaTheme="minorEastAsia"/>
        </w:rPr>
        <w:t>t al.，2023）</w:t>
      </w:r>
    </w:p>
    <w:p>
      <w:pPr>
        <w:pStyle w:val="4"/>
      </w:pPr>
      <w:bookmarkStart w:id="35" w:name="_Toc578867299"/>
      <w:r>
        <w:t>4.2.3 Opportunities</w:t>
      </w:r>
      <w:bookmarkEnd w:id="34"/>
      <w:bookmarkEnd w:id="35"/>
    </w:p>
    <w:p>
      <w:pPr>
        <w:ind w:firstLine="480" w:firstLineChars="200"/>
        <w:rPr>
          <w:rFonts w:eastAsiaTheme="minorEastAsia"/>
        </w:rPr>
      </w:pPr>
      <w:bookmarkStart w:id="36" w:name="_Toc139482145"/>
      <w:r>
        <w:rPr>
          <w:rFonts w:eastAsiaTheme="minorEastAsia"/>
        </w:rPr>
        <w:t>Growing demand for healthier options: PepsiCo can capitalize on the rising demand for healthier snacks and beverages by expanding its product portfolio and emphasizing its healthier product lines.</w:t>
      </w:r>
    </w:p>
    <w:p>
      <w:pPr>
        <w:ind w:firstLine="480" w:firstLineChars="200"/>
        <w:rPr>
          <w:rFonts w:eastAsiaTheme="minorEastAsia"/>
        </w:rPr>
      </w:pPr>
      <w:r>
        <w:rPr>
          <w:rFonts w:eastAsiaTheme="minorEastAsia"/>
        </w:rPr>
        <w:t>Expansion into emerging markets: Emerging markets present opportunities for PepsiCo to tap into new consumer segments and drive revenue growth.</w:t>
      </w:r>
    </w:p>
    <w:p>
      <w:pPr>
        <w:ind w:firstLine="480" w:firstLineChars="200"/>
        <w:rPr>
          <w:rFonts w:eastAsiaTheme="minorEastAsia"/>
        </w:rPr>
      </w:pPr>
      <w:r>
        <w:rPr>
          <w:rFonts w:eastAsiaTheme="minorEastAsia"/>
        </w:rPr>
        <w:t>Partnerships and acquisitions: Strategic alliances, acquisitions, and partnerships can provide PepsiCo with access to new technologies, markets, and customer bases.</w:t>
      </w:r>
    </w:p>
    <w:p>
      <w:pPr>
        <w:ind w:firstLine="480" w:firstLineChars="200"/>
        <w:rPr>
          <w:rFonts w:eastAsiaTheme="minorEastAsia"/>
        </w:rPr>
      </w:pPr>
      <w:r>
        <w:rPr>
          <w:rFonts w:eastAsiaTheme="minorEastAsia"/>
        </w:rPr>
        <w:t>Market growth: Nike's early stage is based on the Americas and Europe's two major markets, but in recent years gradually the Asian market and the African market to open up, such as China, South Africa, India and other countries, Nike can continue to improve customer service to seize market opportunities.</w:t>
      </w:r>
    </w:p>
    <w:p>
      <w:pPr>
        <w:ind w:firstLine="480" w:firstLineChars="200"/>
      </w:pPr>
      <w:r>
        <w:rPr>
          <w:rFonts w:eastAsiaTheme="minorEastAsia"/>
        </w:rPr>
        <w:t>Social media marketing: Nike can utilize social media platforms to interact with customers and enhance the distance between Nike and customers, which in turn improves brand image and customer loyalty.</w:t>
      </w:r>
      <w:r>
        <w:rPr>
          <w:rFonts w:hint="eastAsia" w:eastAsiaTheme="minorEastAsia"/>
        </w:rPr>
        <w:t>（Wen et al.，2023）</w:t>
      </w:r>
    </w:p>
    <w:p>
      <w:pPr>
        <w:pStyle w:val="4"/>
      </w:pPr>
      <w:bookmarkStart w:id="37" w:name="_Toc921773383"/>
      <w:r>
        <w:t>4.2.4 Threats</w:t>
      </w:r>
      <w:bookmarkEnd w:id="36"/>
      <w:bookmarkEnd w:id="37"/>
    </w:p>
    <w:p>
      <w:pPr>
        <w:ind w:firstLine="480" w:firstLineChars="200"/>
        <w:rPr>
          <w:rFonts w:eastAsiaTheme="minorEastAsia"/>
        </w:rPr>
      </w:pPr>
      <w:r>
        <w:rPr>
          <w:rFonts w:hint="eastAsia" w:eastAsiaTheme="minorEastAsia"/>
        </w:rPr>
        <w:t>Increase in competitors: With the rise of similar brand products, the market position of Nike's products has caused a certain impact, the sports brand market is highly competitive, Nike is facing pressure from competitors, such as similar products such as Adidas, Spalding, Anta, Li-Ning and other emerging products rise, the need to constantly improve customer service to maintain a competitive advantage.（Francesca et al.，2022）</w:t>
      </w:r>
    </w:p>
    <w:p>
      <w:pPr>
        <w:ind w:firstLine="480" w:firstLineChars="200"/>
        <w:rPr>
          <w:rFonts w:eastAsiaTheme="minorEastAsia"/>
        </w:rPr>
      </w:pPr>
      <w:r>
        <w:rPr>
          <w:rFonts w:hint="eastAsia" w:eastAsiaTheme="minorEastAsia"/>
        </w:rPr>
        <w:t>Economic Uncertainty: With the fluctuating changes in the global environment, the uncertainty in the global economic environment may affect consumers' purchasing power and purchasing decisions, affecting the income status of customers and thus the demand for Nike's products, thus posing a threat to Nike's customer service strategy.（Jakub et al.，2023）</w:t>
      </w:r>
    </w:p>
    <w:p>
      <w:pPr>
        <w:ind w:firstLine="480" w:firstLineChars="200"/>
        <w:rPr>
          <w:rFonts w:eastAsiaTheme="minorEastAsia"/>
        </w:rPr>
      </w:pPr>
      <w:r>
        <w:rPr>
          <w:rFonts w:hint="eastAsia" w:eastAsiaTheme="minorEastAsia"/>
        </w:rPr>
        <w:t>Changes in Consumer Demand: Consumer demand for sports brands may change and Nike needs to adjust its customer service strategy in time to meet the different needs.（Gnangnon，2019）</w:t>
      </w:r>
    </w:p>
    <w:p>
      <w:pPr>
        <w:ind w:firstLine="480" w:firstLineChars="200"/>
        <w:rPr>
          <w:rFonts w:eastAsiaTheme="minorEastAsia"/>
        </w:rPr>
      </w:pPr>
      <w:bookmarkStart w:id="38" w:name="_Toc139482146"/>
      <w:r>
        <w:rPr>
          <w:rFonts w:hint="eastAsia" w:eastAsiaTheme="minorEastAsia"/>
        </w:rPr>
        <w:t>Based on the above analysis, Nike can further optimize the supply chain management, improve the after-sales service process, and strengthen the interaction and communication with customers in order to enhance customer satisfaction and loyalty. At the same time, Nike should seize the market opportunity to provide personalized customer service through channels such as e-commerce and social media in order to maintain its competitive advantage.</w:t>
      </w:r>
    </w:p>
    <w:p>
      <w:pPr>
        <w:pStyle w:val="3"/>
      </w:pPr>
      <w:bookmarkStart w:id="39" w:name="_Toc298218623"/>
      <w:r>
        <w:t>4.3 Michael Porter’s Five Forces Model</w:t>
      </w:r>
      <w:bookmarkEnd w:id="38"/>
      <w:bookmarkEnd w:id="39"/>
    </w:p>
    <w:p>
      <w:pPr>
        <w:pStyle w:val="4"/>
      </w:pPr>
      <w:bookmarkStart w:id="40" w:name="_Toc139482147"/>
      <w:bookmarkStart w:id="41" w:name="_Toc2081048310"/>
      <w:r>
        <w:t>4.3.1 Threat of new entrants</w:t>
      </w:r>
      <w:bookmarkEnd w:id="40"/>
      <w:bookmarkEnd w:id="41"/>
    </w:p>
    <w:p>
      <w:pPr>
        <w:ind w:firstLine="480" w:firstLineChars="200"/>
        <w:rPr>
          <w:rFonts w:eastAsiaTheme="minorEastAsia"/>
        </w:rPr>
      </w:pPr>
      <w:bookmarkStart w:id="42" w:name="_Toc139482148"/>
      <w:r>
        <w:rPr>
          <w:rFonts w:hint="eastAsia" w:eastAsiaTheme="minorEastAsia"/>
        </w:rPr>
        <w:t>New entrants may be a threat to Nike's customer service strategy. If new entrants are able to provide better customer service or innovative service models, they may attract Nike's customers. However, Nike Inc.'s large market share and strong brand recognition as a leading global sports brand may pose some obstacles to new entrants.（Arne，2022）</w:t>
      </w:r>
    </w:p>
    <w:p>
      <w:pPr>
        <w:keepNext/>
        <w:keepLines/>
        <w:outlineLvl w:val="2"/>
        <w:rPr>
          <w:rFonts w:cs="Times New Roman"/>
          <w:bCs/>
          <w:sz w:val="28"/>
          <w:szCs w:val="32"/>
        </w:rPr>
      </w:pPr>
      <w:bookmarkStart w:id="43" w:name="_Toc112787481"/>
      <w:r>
        <w:rPr>
          <w:rFonts w:cs="Times New Roman"/>
          <w:bCs/>
          <w:sz w:val="28"/>
          <w:szCs w:val="32"/>
        </w:rPr>
        <w:t>4.3.2 Bargaining power of suppliers</w:t>
      </w:r>
      <w:bookmarkEnd w:id="42"/>
      <w:bookmarkEnd w:id="43"/>
    </w:p>
    <w:p>
      <w:pPr>
        <w:ind w:firstLine="480"/>
        <w:rPr>
          <w:rFonts w:eastAsiaTheme="minorEastAsia"/>
        </w:rPr>
      </w:pPr>
      <w:bookmarkStart w:id="44" w:name="_Toc139482149"/>
      <w:r>
        <w:rPr>
          <w:rFonts w:eastAsiaTheme="minorEastAsia"/>
        </w:rPr>
        <w:t>Nike's suppliers include footwear and sportswear manufacturers. If suppliers have strong bargaining power, they may demand higher prices or more favorable terms of cooperation, which could have an impact on Nike's customer service strategy. However, Nike has established long-term relationships with multiple suppliers globally, which may reduce the bargaining power of suppliers.</w:t>
      </w:r>
      <w:r>
        <w:rPr>
          <w:rFonts w:hint="eastAsia" w:eastAsiaTheme="minorEastAsia"/>
        </w:rPr>
        <w:t>（</w:t>
      </w:r>
      <w:r>
        <w:rPr>
          <w:rFonts w:eastAsiaTheme="minorEastAsia"/>
        </w:rPr>
        <w:t>Fernando</w:t>
      </w:r>
      <w:r>
        <w:rPr>
          <w:rFonts w:hint="eastAsia" w:eastAsiaTheme="minorEastAsia"/>
        </w:rPr>
        <w:t xml:space="preserve"> rt al.，2023）</w:t>
      </w:r>
    </w:p>
    <w:p>
      <w:pPr>
        <w:keepNext/>
        <w:keepLines/>
        <w:outlineLvl w:val="2"/>
        <w:rPr>
          <w:rFonts w:cs="Times New Roman"/>
          <w:bCs/>
          <w:sz w:val="28"/>
          <w:szCs w:val="32"/>
        </w:rPr>
      </w:pPr>
      <w:bookmarkStart w:id="45" w:name="_Toc1538616513"/>
      <w:r>
        <w:rPr>
          <w:rFonts w:cs="Times New Roman"/>
          <w:bCs/>
          <w:sz w:val="28"/>
          <w:szCs w:val="32"/>
        </w:rPr>
        <w:t>4.3.3 Bargaining power of buyers</w:t>
      </w:r>
      <w:bookmarkEnd w:id="44"/>
      <w:bookmarkEnd w:id="45"/>
    </w:p>
    <w:p>
      <w:pPr>
        <w:ind w:firstLine="480"/>
        <w:rPr>
          <w:rFonts w:eastAsiaTheme="minorEastAsia"/>
        </w:rPr>
      </w:pPr>
      <w:r>
        <w:rPr>
          <w:rFonts w:eastAsiaTheme="minorEastAsia"/>
        </w:rPr>
        <w:t>Nike's buyers are mainly retailers and consumers. If buyers have strong bargaining power, they may demand lower prices or better service, which may have an impact on Nike's customer service strategy. However, Nike Inc. has strong brand influence and loyalty as a leading global sports brand, which may reduce the bargaining power of buyers.</w:t>
      </w:r>
      <w:r>
        <w:rPr>
          <w:rFonts w:hint="eastAsia" w:eastAsiaTheme="minorEastAsia"/>
        </w:rPr>
        <w:t>（</w:t>
      </w:r>
      <w:r>
        <w:rPr>
          <w:rFonts w:eastAsiaTheme="minorEastAsia"/>
        </w:rPr>
        <w:t>Alba</w:t>
      </w:r>
      <w:r>
        <w:rPr>
          <w:rFonts w:hint="eastAsia" w:eastAsiaTheme="minorEastAsia"/>
        </w:rPr>
        <w:t xml:space="preserve"> et al.，2021）</w:t>
      </w:r>
    </w:p>
    <w:p>
      <w:pPr>
        <w:pStyle w:val="4"/>
        <w:sectPr>
          <w:headerReference r:id="rId20" w:type="default"/>
          <w:pgSz w:w="11906" w:h="16838"/>
          <w:pgMar w:top="1440" w:right="1800" w:bottom="1440" w:left="1800" w:header="851" w:footer="992" w:gutter="0"/>
          <w:pgNumType w:fmt="decimal"/>
          <w:cols w:space="425" w:num="1"/>
          <w:docGrid w:type="lines" w:linePitch="312" w:charSpace="0"/>
        </w:sectPr>
      </w:pPr>
      <w:bookmarkStart w:id="46" w:name="_Toc1677140464"/>
    </w:p>
    <w:p>
      <w:pPr>
        <w:pStyle w:val="4"/>
      </w:pPr>
      <w:r>
        <w:t>4.3.4 Threat of substitute products</w:t>
      </w:r>
      <w:bookmarkEnd w:id="46"/>
    </w:p>
    <w:p>
      <w:pPr>
        <w:ind w:firstLine="480" w:firstLineChars="200"/>
        <w:rPr>
          <w:rFonts w:eastAsiaTheme="minorEastAsia"/>
        </w:rPr>
      </w:pPr>
      <w:r>
        <w:rPr>
          <w:rFonts w:eastAsiaTheme="minorEastAsia"/>
        </w:rPr>
        <w:t>The existence of alternatives may be a threat to Nike's customer service strategy. Consumers may turn to these alternatives if other brands or products exist that can fulfill their needs and provide better customer service. However, Nike has strong brand recognition and market share in athletic shoes and sports apparel, which may reduce the threat of substitutes.</w:t>
      </w:r>
      <w:r>
        <w:rPr>
          <w:rFonts w:hint="eastAsia" w:eastAsiaTheme="minorEastAsia"/>
        </w:rPr>
        <w:t>（</w:t>
      </w:r>
      <w:r>
        <w:rPr>
          <w:rFonts w:eastAsiaTheme="minorEastAsia"/>
        </w:rPr>
        <w:t>M J S</w:t>
      </w:r>
      <w:r>
        <w:rPr>
          <w:rFonts w:hint="eastAsia" w:eastAsiaTheme="minorEastAsia"/>
        </w:rPr>
        <w:t xml:space="preserve"> et al.，2023）</w:t>
      </w:r>
    </w:p>
    <w:p>
      <w:pPr>
        <w:pStyle w:val="4"/>
      </w:pPr>
      <w:bookmarkStart w:id="47" w:name="_Toc1976911573"/>
      <w:r>
        <w:t>4.3.5 Competitive rivalry</w:t>
      </w:r>
      <w:bookmarkEnd w:id="47"/>
    </w:p>
    <w:p>
      <w:pPr>
        <w:ind w:firstLine="480"/>
        <w:rPr>
          <w:rFonts w:eastAsiaTheme="minorEastAsia"/>
        </w:rPr>
      </w:pPr>
      <w:r>
        <w:rPr>
          <w:rFonts w:hint="eastAsia" w:eastAsiaTheme="minorEastAsia"/>
        </w:rPr>
        <w:t>Nike Inc. faces stiff competition in the sports brand industry. Other sports brands such as Adidas and Puma are also competing for market share and consumer attention. In this competitive environment, Nike needs to continually improve the quality and innovation of its customer service in order to maintain a competitive edge.（B X et al.，1998）</w:t>
      </w:r>
    </w:p>
    <w:p>
      <w:pPr>
        <w:ind w:firstLine="480"/>
        <w:rPr>
          <w:rFonts w:eastAsiaTheme="minorEastAsia"/>
        </w:rPr>
      </w:pPr>
      <w:bookmarkStart w:id="48" w:name="_Toc139482152"/>
      <w:r>
        <w:rPr>
          <w:rFonts w:hint="eastAsia" w:eastAsiaTheme="minorEastAsia"/>
        </w:rPr>
        <w:t xml:space="preserve"> In conclusion, analyzed through the Porter's Five Forces model of competition, the core of Nike's strategic management is a strong brand portfolio, large scale and brand awareness to maintain a competitive advantage in customer service. At the same time, Nike continuously adjusts and optimizes its products to meet consumer preferences and thus compete with its market rivals.</w:t>
      </w:r>
    </w:p>
    <w:p>
      <w:pPr>
        <w:pStyle w:val="2"/>
      </w:pPr>
      <w:bookmarkStart w:id="49" w:name="_Toc85821027"/>
      <w:r>
        <w:t>5. Conclusion</w:t>
      </w:r>
      <w:bookmarkEnd w:id="48"/>
      <w:bookmarkEnd w:id="49"/>
    </w:p>
    <w:p>
      <w:pPr>
        <w:ind w:firstLine="480"/>
        <w:rPr>
          <w:rFonts w:hint="eastAsia" w:eastAsiaTheme="minorEastAsia"/>
          <w:lang w:eastAsia="zh-Hans"/>
        </w:rPr>
        <w:sectPr>
          <w:headerReference r:id="rId21" w:type="default"/>
          <w:pgSz w:w="11906" w:h="16838"/>
          <w:pgMar w:top="1440" w:right="1800" w:bottom="1440" w:left="1800" w:header="851" w:footer="992" w:gutter="0"/>
          <w:pgNumType w:fmt="decimal"/>
          <w:cols w:space="425" w:num="1"/>
          <w:docGrid w:type="lines" w:linePitch="312" w:charSpace="0"/>
        </w:sectPr>
      </w:pPr>
      <w:bookmarkStart w:id="50" w:name="_Toc139482153"/>
      <w:r>
        <w:rPr>
          <w:rFonts w:hint="eastAsia" w:eastAsiaTheme="minorEastAsia"/>
          <w:lang w:eastAsia="zh-Hans"/>
        </w:rPr>
        <w:t xml:space="preserve">In general, Nike, as a famous global sports brand, has made certain achievements in creating innovative customer services: first, providing multi-channel services, Nike, in order to better facilitate customers to purchase products and provide customers with editorial services, has created a number of online and offline channels to provide diversified customer services, such as the official website, APP, physical stores, etc., and the customer base can choose the most efficient channel to purchase Nike products and consulting according to their demand preferences; second, providing customers with </w:t>
      </w:r>
    </w:p>
    <w:p>
      <w:pPr>
        <w:rPr>
          <w:rFonts w:eastAsiaTheme="minorEastAsia"/>
          <w:lang w:eastAsia="zh-Hans"/>
        </w:rPr>
      </w:pPr>
      <w:r>
        <w:rPr>
          <w:rFonts w:hint="eastAsia" w:eastAsiaTheme="minorEastAsia"/>
          <w:lang w:eastAsia="zh-Hans"/>
        </w:rPr>
        <w:t>personalized service experience, Nike provides customers with personalized shopping experience and recommendation through data analysis and personalized recommendation and other technical means. Their own needs and preferences to choose the most efficient channel to buy Nike products and consulting; Secondly, to provide customers with personalized service experience, Nike provides customers with personalized shopping experience and recommendation services through data analysis and personalized recommendation and other technical means. Based on customers' purchasing history, preferences and needs, Nike can recommend products and promotions that are most suitable for them, increasing customer satisfaction and purchase intentions; Third, social media interaction, Nike actively utilizes social media platforms to interact with customers. They release the latest product information, promotions and brand stories on social media to interact with customers and respond to their questions and feedback. This interaction not only enhances the influence of Nike brand, but also increases customer satisfaction and loyalty to Nike.</w:t>
      </w:r>
    </w:p>
    <w:p>
      <w:pPr>
        <w:ind w:firstLine="480"/>
        <w:rPr>
          <w:rFonts w:eastAsiaTheme="minorEastAsia"/>
          <w:lang w:eastAsia="zh-Hans"/>
        </w:rPr>
      </w:pPr>
      <w:r>
        <w:rPr>
          <w:rFonts w:hint="eastAsia" w:eastAsiaTheme="minorEastAsia"/>
          <w:lang w:eastAsia="zh-Hans"/>
        </w:rPr>
        <w:t>However, at the same time, Nike still has the following deficiencies and limitations while providing innovative customer service: first, insufficient application of artificial intelligence technology: although Nike has used some artificial intelligence technology in customer service, there is still room for improvement. For example, intelligent chatbots can be further developed to provide more intelligent and personalized services; Second, imperfect management of social media: there are some problems with Nike's customer service on social media, such as not replying fast enough, and not dealing with customers' problems and complaints in a timely manner; Third, unstable quality of service: the quality of Nike's customer service varies at different times and locations, sometimes Third, the service quality is unstable: the quality of Nike's customer service varies at different times and places, sometimes it is warm and considerate, and sometimes it is not professional and efficient.</w:t>
      </w:r>
    </w:p>
    <w:p>
      <w:pPr>
        <w:pStyle w:val="2"/>
        <w:rPr>
          <w:lang w:eastAsia="zh-Hans"/>
        </w:rPr>
        <w:sectPr>
          <w:headerReference r:id="rId22" w:type="default"/>
          <w:pgSz w:w="11906" w:h="16838"/>
          <w:pgMar w:top="1440" w:right="1800" w:bottom="1440" w:left="1800" w:header="851" w:footer="992" w:gutter="0"/>
          <w:pgNumType w:fmt="decimal"/>
          <w:cols w:space="425" w:num="1"/>
          <w:docGrid w:type="lines" w:linePitch="312" w:charSpace="0"/>
        </w:sectPr>
      </w:pPr>
      <w:bookmarkStart w:id="51" w:name="_Toc1432473652"/>
    </w:p>
    <w:p>
      <w:pPr>
        <w:pStyle w:val="2"/>
        <w:rPr>
          <w:lang w:eastAsia="zh-Hans"/>
        </w:rPr>
      </w:pPr>
      <w:r>
        <w:rPr>
          <w:lang w:eastAsia="zh-Hans"/>
        </w:rPr>
        <w:t>6. Recommendations</w:t>
      </w:r>
      <w:bookmarkEnd w:id="50"/>
      <w:bookmarkEnd w:id="51"/>
    </w:p>
    <w:p>
      <w:pPr>
        <w:pStyle w:val="3"/>
        <w:rPr>
          <w:rFonts w:eastAsiaTheme="minorEastAsia"/>
        </w:rPr>
      </w:pPr>
      <w:bookmarkStart w:id="52" w:name="_Toc145502647"/>
      <w:bookmarkStart w:id="53" w:name="_Toc139482154"/>
      <w:r>
        <w:rPr>
          <w:rFonts w:hint="eastAsia" w:eastAsiaTheme="minorEastAsia"/>
        </w:rPr>
        <w:t>6</w:t>
      </w:r>
      <w:r>
        <w:rPr>
          <w:rFonts w:eastAsiaTheme="minorEastAsia"/>
        </w:rPr>
        <w:t xml:space="preserve">.1 </w:t>
      </w:r>
      <w:r>
        <w:rPr>
          <w:rFonts w:hint="eastAsia" w:eastAsiaTheme="minorEastAsia"/>
        </w:rPr>
        <w:t>Recommendations for improving Nike's business strategy</w:t>
      </w:r>
      <w:bookmarkEnd w:id="52"/>
      <w:bookmarkEnd w:id="53"/>
    </w:p>
    <w:p>
      <w:pPr>
        <w:ind w:firstLine="480" w:firstLineChars="200"/>
        <w:rPr>
          <w:rFonts w:eastAsiaTheme="minorEastAsia"/>
        </w:rPr>
      </w:pPr>
      <w:r>
        <w:rPr>
          <w:rFonts w:eastAsiaTheme="minorEastAsia"/>
        </w:rPr>
        <w:t>Therefore, according to the conclusion of the current status quo of Nike analyzed in this paper, in order to better creatively reshape the strategic direction of the company's organization in the future to discover new customer groups and serve new customers with new forward direction and momentum, and to ensure that Nike still has a strong resilience and sustainable competitive advantage in the future in the fiercely competitive market, we put forward the following points on the improvement of Nike's customer service strategy</w:t>
      </w:r>
      <w:r>
        <w:rPr>
          <w:rFonts w:hint="eastAsia" w:eastAsiaTheme="minorEastAsia"/>
        </w:rPr>
        <w:t>.</w:t>
      </w:r>
    </w:p>
    <w:p>
      <w:pPr>
        <w:ind w:firstLine="480" w:firstLineChars="200"/>
        <w:rPr>
          <w:rFonts w:eastAsiaTheme="minorEastAsia"/>
        </w:rPr>
      </w:pPr>
      <w:r>
        <w:rPr>
          <w:rFonts w:eastAsiaTheme="minorEastAsia"/>
        </w:rPr>
        <w:t>First, Nike should strengthen the application of artificial intelligence technology. (Rune &amp; Geert , 2023) Nike can further independent research and development or cooperation with technology companies AI technology application, (Samantha et al., 2023) through natural language processing and machine learning and other technologies, to provide intelligent chatbots for the customer base, to provide more intelligent and personalized customer service. (Yong et al., 2022) In this way, the application of intelligent yet technology can quickly answer customer questions, provide product recommendations and solve common problems, improving service efficiency and customer satisfaction. (Jeong et al., 2023)</w:t>
      </w:r>
    </w:p>
    <w:p>
      <w:pPr>
        <w:ind w:firstLine="480" w:firstLineChars="200"/>
        <w:rPr>
          <w:rFonts w:eastAsiaTheme="minorEastAsia"/>
        </w:rPr>
      </w:pPr>
      <w:r>
        <w:rPr>
          <w:rFonts w:eastAsiaTheme="minorEastAsia"/>
        </w:rPr>
        <w:t>The second is to improve the social media management ability. (Yushan et al., 2022) Nike can improve the relevant service specification system, strengthen the management and service ability of social media platforms, and improve the speed of response to customer inquiries and the timeliness of handling customer problems. It can establish a specialized social media team dedicated to monitoring and responding to customers' messages and comments, solving customers' problems and complaints in a timely manner, so as to enhance customer trust and loyalty.</w:t>
      </w:r>
    </w:p>
    <w:p>
      <w:pPr>
        <w:ind w:firstLine="480" w:firstLineChars="200"/>
        <w:rPr>
          <w:rFonts w:eastAsiaTheme="minorEastAsia"/>
        </w:rPr>
      </w:pPr>
      <w:r>
        <w:rPr>
          <w:rFonts w:eastAsiaTheme="minorEastAsia"/>
        </w:rPr>
        <w:t>Third, enhance data analytics and personalized recommendations. (R. J B et al., 2023) Nike can further improve its data analytics capabilities and optimize its ability to provide better service to customers through data, increase the scope of application of big data analytics for customer service, gain a deeper understanding of customers' purchasing histories, preferences, and needs, and provide a shopping experience that more closely matches customers' expectations through personalized recommendations and customized services. At the same time, technologies such as machine learning and predictive analytics can also be used to provide customers with personalized product recommendations, promotions and customized services.</w:t>
      </w:r>
    </w:p>
    <w:p>
      <w:pPr>
        <w:ind w:firstLine="480" w:firstLineChars="200"/>
        <w:rPr>
          <w:rFonts w:eastAsiaTheme="minorEastAsia"/>
        </w:rPr>
      </w:pPr>
      <w:r>
        <w:rPr>
          <w:rFonts w:eastAsiaTheme="minorEastAsia"/>
        </w:rPr>
        <w:t>Fourth, establish a customer feedback mechanism. (Anonymous, 2010) Nike can establish a perfect customer feedback mechanism, set up multiple customer feedback channels, and encourage customers to provide comments and suggestions. Customer feedback and opinions can be collected through online surveys, email feedback, social media interactions, etc., so as to discover the shortcomings of products and services in a timely manner, and then improve the products and services, and enhance the sense of customer involvement and satisfaction.</w:t>
      </w:r>
    </w:p>
    <w:p>
      <w:pPr>
        <w:ind w:firstLine="480"/>
        <w:rPr>
          <w:rFonts w:eastAsiaTheme="minorEastAsia"/>
        </w:rPr>
      </w:pPr>
      <w:r>
        <w:rPr>
          <w:rFonts w:eastAsiaTheme="minorEastAsia"/>
        </w:rPr>
        <w:t>Fifthly, cultivate professionalized customer service team. (Jeong et al., 2023) Nike can strengthen the training and professionalization of the customer service team to improve the service awareness and professionalism of the company's team members. By increasing the training efforts and skills of members, each team member should have good communication skills, comprehensive understanding of product knowledge and the ability to solve problems uniquely, to be able to target the problems encountered by customers and related consulting services, to ensure that customers get timely and high-quality service experience.</w:t>
      </w:r>
    </w:p>
    <w:p>
      <w:pPr>
        <w:ind w:firstLine="480" w:firstLineChars="200"/>
        <w:rPr>
          <w:rFonts w:eastAsiaTheme="minorEastAsia"/>
        </w:rPr>
      </w:pPr>
      <w:r>
        <w:rPr>
          <w:rFonts w:hint="eastAsia" w:eastAsiaTheme="minorEastAsia"/>
        </w:rPr>
        <w:t>In general, Nike company in the development of customer service strategy in line with the actual situation of their own company under the premise, in order to provide better and innovative customer service in the future road ahead, Nike company can reshape the innovative customer service strategy, to find deficiencies to make up for the shortcomings, to provide a more intelligent, personalized and efficient customer service, so as to enhance the customer's satisfaction with the purchase of Nike products and loyalty, which promotes the Nike company to go farther away to go better.</w:t>
      </w:r>
    </w:p>
    <w:p>
      <w:pPr>
        <w:pStyle w:val="3"/>
      </w:pPr>
      <w:bookmarkStart w:id="54" w:name="_Toc139482155"/>
      <w:bookmarkStart w:id="55" w:name="_Toc1626597843"/>
      <w:r>
        <w:rPr>
          <w:lang w:eastAsia="zh-Hans"/>
        </w:rPr>
        <w:t>6.2 Feasibility Considerations</w:t>
      </w:r>
      <w:bookmarkEnd w:id="54"/>
      <w:bookmarkEnd w:id="55"/>
    </w:p>
    <w:p>
      <w:pPr>
        <w:ind w:firstLine="480" w:firstLineChars="200"/>
        <w:rPr>
          <w:rFonts w:eastAsiaTheme="minorEastAsia"/>
          <w:lang w:eastAsia="zh-Hans"/>
        </w:rPr>
      </w:pPr>
      <w:bookmarkStart w:id="56" w:name="_Toc139482157"/>
      <w:r>
        <w:rPr>
          <w:rFonts w:eastAsiaTheme="minorEastAsia"/>
          <w:lang w:eastAsia="zh-Hans"/>
        </w:rPr>
        <w:t>In order to effectively implement its new customer-oriented strategy, Nike has taken into account several feasible reflections. However, it is essential for Nike to consider the feasibility of its future strategy implementation. To ensure feasibility, Nike needs to conduct a scientific assessment of its budget and resource limitations when implementing strategic improvements and optimizations. While some of the recommendations may require increased investment in technology, talent, and management costs, Nike should prioritize and evaluate the potential return on investment. This evaluation will ensure that the recommendations align with Nike's budgetary constraints and organizational capabilities.</w:t>
      </w:r>
    </w:p>
    <w:p>
      <w:pPr>
        <w:ind w:firstLine="480" w:firstLineChars="200"/>
        <w:rPr>
          <w:rFonts w:eastAsiaTheme="minorEastAsia"/>
          <w:lang w:eastAsia="zh-Hans"/>
        </w:rPr>
      </w:pPr>
      <w:r>
        <w:rPr>
          <w:rFonts w:eastAsiaTheme="minorEastAsia"/>
          <w:lang w:eastAsia="zh-Hans"/>
        </w:rPr>
        <w:t>By carefully assessing the budget and resource requirements, Nike can ensure that the implementation of strategic initiatives is efficient and effective. Improvements in multiple areas will enhance the quality of customer service, leading to a stronger brand image, increased consumer recognition, and improved consumer loyalty and brand reputation.</w:t>
      </w:r>
    </w:p>
    <w:p>
      <w:pPr>
        <w:ind w:firstLine="480" w:firstLineChars="200"/>
        <w:rPr>
          <w:rFonts w:eastAsiaTheme="minorEastAsia"/>
          <w:lang w:eastAsia="zh-Hans"/>
        </w:rPr>
      </w:pPr>
      <w:r>
        <w:rPr>
          <w:rFonts w:eastAsiaTheme="minorEastAsia"/>
          <w:lang w:eastAsia="zh-Hans"/>
        </w:rPr>
        <w:t>Investing in technology can enhance Nike's ability to collect and analyze customer data, enabling personalized marketing campaigns and tailored product offerings. Acquiring and retaining top talent will provide Nike with the necessary expertise to drive customer-centric initiatives forward. Furthermore, effective management practices will ensure that resources are allocated optimally and that the implementation of strategic improvements is streamlined.</w:t>
      </w:r>
    </w:p>
    <w:p>
      <w:pPr>
        <w:ind w:firstLine="480" w:firstLineChars="200"/>
        <w:rPr>
          <w:rFonts w:eastAsiaTheme="minorEastAsia"/>
          <w:lang w:eastAsia="zh-Hans"/>
        </w:rPr>
      </w:pPr>
      <w:r>
        <w:rPr>
          <w:rFonts w:eastAsiaTheme="minorEastAsia"/>
          <w:lang w:eastAsia="zh-Hans"/>
        </w:rPr>
        <w:t>By adopting these measures, Nike can create a better customer experience, strengthen its brand positioning, and gain a competitive advantage in the market. Through continuous evaluation and adaptation, Nike can ensure that its strategic investments deliver the desired results and contribute to long-term success.</w:t>
      </w:r>
    </w:p>
    <w:p>
      <w:pPr>
        <w:widowControl/>
        <w:spacing w:line="240" w:lineRule="auto"/>
        <w:jc w:val="left"/>
        <w:rPr>
          <w:rFonts w:eastAsiaTheme="minorEastAsia"/>
          <w:lang w:eastAsia="zh-Hans"/>
        </w:rPr>
      </w:pPr>
      <w:r>
        <w:rPr>
          <w:rFonts w:eastAsiaTheme="minorEastAsia"/>
          <w:lang w:eastAsia="zh-Hans"/>
        </w:rPr>
        <w:br w:type="page"/>
      </w:r>
    </w:p>
    <w:p>
      <w:pPr>
        <w:pStyle w:val="2"/>
        <w:rPr>
          <w:lang w:eastAsia="zh-Hans"/>
        </w:rPr>
        <w:sectPr>
          <w:headerReference r:id="rId23" w:type="default"/>
          <w:pgSz w:w="11906" w:h="16838"/>
          <w:pgMar w:top="1440" w:right="1800" w:bottom="1440" w:left="1800" w:header="851" w:footer="992" w:gutter="0"/>
          <w:pgNumType w:fmt="decimal"/>
          <w:cols w:space="425" w:num="1"/>
          <w:docGrid w:type="lines" w:linePitch="312" w:charSpace="0"/>
        </w:sectPr>
      </w:pPr>
      <w:bookmarkStart w:id="57" w:name="_Toc763120991"/>
    </w:p>
    <w:p>
      <w:pPr>
        <w:pStyle w:val="2"/>
        <w:rPr>
          <w:rFonts w:hint="default" w:eastAsiaTheme="minorEastAsia"/>
          <w:lang w:val="en-US" w:eastAsia="zh-Hans"/>
        </w:rPr>
      </w:pPr>
      <w:r>
        <w:rPr>
          <w:lang w:eastAsia="zh-Hans"/>
        </w:rPr>
        <w:t>Reference</w:t>
      </w:r>
      <w:bookmarkEnd w:id="56"/>
      <w:bookmarkEnd w:id="57"/>
      <w:r>
        <w:rPr>
          <w:rFonts w:hint="eastAsia"/>
          <w:lang w:val="en-US" w:eastAsia="zh-Hans"/>
        </w:rPr>
        <w:t>s</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Bai, J., Bai, T. and Zhang, C. (2023) ‘Digitalization, new business Startups, information and communication technologies and product innovation: evidence from China in the lens of sustainability’</w:t>
      </w:r>
      <w:r>
        <w:rPr>
          <w:rFonts w:hint="default" w:ascii="Arial" w:hAnsi="Arial" w:cs="Arial"/>
          <w:kern w:val="2"/>
          <w:sz w:val="18"/>
          <w:szCs w:val="18"/>
          <w:lang w:val="en-US" w:eastAsia="zh-CN" w:bidi="ar-SA"/>
        </w:rPr>
        <w:t>.</w:t>
      </w:r>
      <w:r>
        <w:rPr>
          <w:rFonts w:hint="default" w:ascii="Arial" w:hAnsi="Arial" w:cs="Arial" w:eastAsiaTheme="minorEastAsia"/>
          <w:kern w:val="2"/>
          <w:sz w:val="18"/>
          <w:szCs w:val="18"/>
          <w:lang w:val="en-US" w:eastAsia="zh-CN" w:bidi="ar-SA"/>
        </w:rPr>
        <w:t xml:space="preserve"> To be</w:t>
      </w:r>
      <w:r>
        <w:rPr>
          <w:rFonts w:hint="default" w:ascii="Arial" w:hAnsi="Arial" w:cs="Arial"/>
          <w:kern w:val="2"/>
          <w:sz w:val="18"/>
          <w:szCs w:val="18"/>
          <w:lang w:val="en-US" w:eastAsia="zh-CN" w:bidi="ar-SA"/>
        </w:rPr>
        <w:t xml:space="preserve"> </w:t>
      </w:r>
      <w:r>
        <w:rPr>
          <w:rFonts w:hint="default" w:ascii="Arial" w:hAnsi="Arial" w:cs="Arial" w:eastAsiaTheme="minorEastAsia"/>
          <w:kern w:val="2"/>
          <w:sz w:val="18"/>
          <w:szCs w:val="18"/>
          <w:lang w:val="en-US" w:eastAsia="zh-CN" w:bidi="ar-SA"/>
        </w:rPr>
        <w:t>published in</w:t>
      </w:r>
      <w:r>
        <w:rPr>
          <w:rFonts w:hint="default" w:ascii="Arial" w:hAnsi="Arial" w:cs="Arial"/>
          <w:kern w:val="2"/>
          <w:sz w:val="18"/>
          <w:szCs w:val="18"/>
          <w:lang w:val="en-US" w:eastAsia="zh-CN" w:bidi="ar-SA"/>
        </w:rPr>
        <w:t xml:space="preserve"> </w:t>
      </w:r>
      <w:r>
        <w:rPr>
          <w:rFonts w:hint="default" w:ascii="Arial" w:hAnsi="Arial" w:cs="Arial" w:eastAsiaTheme="minorEastAsia"/>
          <w:i/>
          <w:kern w:val="2"/>
          <w:sz w:val="18"/>
          <w:szCs w:val="18"/>
          <w:lang w:val="en-US" w:eastAsia="zh-CN" w:bidi="ar-SA"/>
        </w:rPr>
        <w:t>Evaluation Review</w:t>
      </w:r>
      <w:r>
        <w:rPr>
          <w:rFonts w:hint="default" w:ascii="Arial" w:hAnsi="Arial" w:cs="Arial" w:eastAsiaTheme="minorEastAsia"/>
          <w:kern w:val="2"/>
          <w:sz w:val="18"/>
          <w:szCs w:val="18"/>
          <w:lang w:val="en-US" w:eastAsia="zh-CN" w:bidi="ar-SA"/>
        </w:rPr>
        <w:t>. [Preprint].</w:t>
      </w:r>
      <w:r>
        <w:rPr>
          <w:rFonts w:hint="default" w:ascii="Arial" w:hAnsi="Arial" w:cs="Arial"/>
          <w:kern w:val="2"/>
          <w:sz w:val="18"/>
          <w:szCs w:val="18"/>
          <w:lang w:val="en-US" w:eastAsia="zh-CN" w:bidi="ar-SA"/>
        </w:rPr>
        <w:t xml:space="preserve"> </w:t>
      </w:r>
      <w:r>
        <w:rPr>
          <w:rFonts w:hint="default" w:ascii="Arial" w:hAnsi="Arial" w:cs="Arial" w:eastAsiaTheme="minorEastAsia"/>
          <w:kern w:val="2"/>
          <w:sz w:val="18"/>
          <w:szCs w:val="18"/>
          <w:lang w:val="en-US" w:eastAsia="zh-CN" w:bidi="ar-SA"/>
        </w:rPr>
        <w:t xml:space="preserve">Available at: </w:t>
      </w:r>
      <w:r>
        <w:rPr>
          <w:rFonts w:hint="default" w:ascii="Arial" w:hAnsi="Arial" w:cs="Arial" w:eastAsiaTheme="minorEastAsia"/>
          <w:kern w:val="2"/>
          <w:sz w:val="18"/>
          <w:szCs w:val="18"/>
          <w:lang w:val="en-US" w:eastAsia="zh-CN" w:bidi="ar-SA"/>
        </w:rPr>
        <w:fldChar w:fldCharType="begin"/>
      </w:r>
      <w:r>
        <w:rPr>
          <w:rFonts w:hint="default" w:ascii="Arial" w:hAnsi="Arial" w:cs="Arial" w:eastAsiaTheme="minorEastAsia"/>
          <w:kern w:val="2"/>
          <w:sz w:val="18"/>
          <w:szCs w:val="18"/>
          <w:lang w:val="en-US" w:eastAsia="zh-CN" w:bidi="ar-SA"/>
        </w:rPr>
        <w:instrText xml:space="preserve"> HYPERLINK "https://doi.org/10.1177/0193841x231169419" </w:instrText>
      </w:r>
      <w:r>
        <w:rPr>
          <w:rFonts w:hint="default" w:ascii="Arial" w:hAnsi="Arial" w:cs="Arial" w:eastAsiaTheme="minorEastAsia"/>
          <w:kern w:val="2"/>
          <w:sz w:val="18"/>
          <w:szCs w:val="18"/>
          <w:lang w:val="en-US" w:eastAsia="zh-CN" w:bidi="ar-SA"/>
        </w:rPr>
        <w:fldChar w:fldCharType="separate"/>
      </w:r>
      <w:r>
        <w:rPr>
          <w:rStyle w:val="13"/>
          <w:rFonts w:hint="default" w:ascii="Arial" w:hAnsi="Arial" w:cs="Arial" w:eastAsiaTheme="minorEastAsia"/>
          <w:kern w:val="2"/>
          <w:sz w:val="18"/>
          <w:szCs w:val="18"/>
          <w:lang w:val="en-US" w:eastAsia="zh-CN" w:bidi="ar-SA"/>
        </w:rPr>
        <w:t>https://doi.org/10.1177/0193841x231169419</w:t>
      </w:r>
      <w:r>
        <w:rPr>
          <w:rFonts w:hint="default" w:ascii="Arial" w:hAnsi="Arial" w:cs="Arial" w:eastAsiaTheme="minorEastAsia"/>
          <w:kern w:val="2"/>
          <w:sz w:val="18"/>
          <w:szCs w:val="18"/>
          <w:lang w:val="en-US" w:eastAsia="zh-CN" w:bidi="ar-SA"/>
        </w:rPr>
        <w:fldChar w:fldCharType="end"/>
      </w:r>
      <w:r>
        <w:rPr>
          <w:rFonts w:hint="default" w:ascii="Arial" w:hAnsi="Arial" w:cs="Arial"/>
          <w:kern w:val="2"/>
          <w:sz w:val="18"/>
          <w:szCs w:val="18"/>
          <w:lang w:val="en-US" w:eastAsia="zh-CN" w:bidi="ar-SA"/>
        </w:rPr>
        <w:t xml:space="preserve"> </w:t>
      </w:r>
      <w:r>
        <w:rPr>
          <w:rFonts w:hint="default" w:ascii="Arial" w:hAnsi="Arial" w:cs="Arial" w:eastAsiaTheme="minorEastAsia"/>
          <w:kern w:val="2"/>
          <w:sz w:val="18"/>
          <w:szCs w:val="18"/>
          <w:lang w:val="en-US" w:eastAsia="zh-CN" w:bidi="ar-SA"/>
        </w:rPr>
        <w:t xml:space="preserve">(Accessed: </w:t>
      </w:r>
      <w:r>
        <w:rPr>
          <w:rFonts w:hint="eastAsia" w:ascii="Arial" w:hAnsi="Arial" w:cs="Arial"/>
          <w:kern w:val="2"/>
          <w:sz w:val="18"/>
          <w:szCs w:val="18"/>
          <w:lang w:val="en-US" w:eastAsia="zh-CN" w:bidi="ar-SA"/>
        </w:rPr>
        <w:t>15 July 2023</w:t>
      </w:r>
      <w:r>
        <w:rPr>
          <w:rFonts w:hint="default" w:ascii="Arial" w:hAnsi="Arial" w:cs="Arial" w:eastAsiaTheme="minorEastAsia"/>
          <w:kern w:val="2"/>
          <w:sz w:val="18"/>
          <w:szCs w:val="18"/>
          <w:lang w:val="en-US" w:eastAsia="zh-CN" w:bidi="ar-SA"/>
        </w:rPr>
        <w:t>).</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Bhat, J.R., AlQahtani, S.A. and Nekovee, M. (2023) ‘FinTech enablers, use cases, and role of future internet of things’, </w:t>
      </w:r>
      <w:r>
        <w:rPr>
          <w:rFonts w:hint="default" w:ascii="Arial" w:hAnsi="Arial" w:cs="Arial" w:eastAsiaTheme="minorEastAsia"/>
          <w:i/>
          <w:kern w:val="2"/>
          <w:sz w:val="18"/>
          <w:szCs w:val="18"/>
          <w:lang w:val="en-US" w:eastAsia="zh-CN" w:bidi="ar-SA"/>
        </w:rPr>
        <w:t>Journal of King Saud University - Computer and Information Sciences,</w:t>
      </w:r>
      <w:r>
        <w:rPr>
          <w:rFonts w:hint="default" w:ascii="Arial" w:hAnsi="Arial" w:cs="Arial" w:eastAsiaTheme="minorEastAsia"/>
          <w:kern w:val="2"/>
          <w:sz w:val="18"/>
          <w:szCs w:val="18"/>
          <w:lang w:val="en-US" w:eastAsia="zh-CN" w:bidi="ar-SA"/>
        </w:rPr>
        <w:t xml:space="preserve"> 35(1), pp. 87-101.</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Bianchi, S.E., de Carvalho Meirelles, G., Raabe, V.B., de Souza, K.C.B. and Bassani, V.L. (2023) ‘</w:t>
      </w:r>
      <w:r>
        <w:rPr>
          <w:rFonts w:hint="default" w:ascii="Arial" w:hAnsi="Arial" w:cs="Arial" w:eastAsiaTheme="minorEastAsia"/>
          <w:i/>
          <w:kern w:val="2"/>
          <w:sz w:val="18"/>
          <w:szCs w:val="18"/>
          <w:lang w:val="en-US" w:eastAsia="zh-CN" w:bidi="ar-SA"/>
        </w:rPr>
        <w:t>Achyrocline satureioides</w:t>
      </w:r>
      <w:r>
        <w:rPr>
          <w:rFonts w:hint="default" w:ascii="Arial" w:hAnsi="Arial" w:cs="Arial" w:eastAsiaTheme="minorEastAsia"/>
          <w:kern w:val="2"/>
          <w:sz w:val="18"/>
          <w:szCs w:val="18"/>
          <w:lang w:val="en-US" w:eastAsia="zh-CN" w:bidi="ar-SA"/>
        </w:rPr>
        <w:t xml:space="preserve"> review: from the pharmacochemical diversity to the technological development of products’, </w:t>
      </w:r>
      <w:r>
        <w:rPr>
          <w:rFonts w:hint="default" w:ascii="Arial" w:hAnsi="Arial" w:cs="Arial" w:eastAsiaTheme="minorEastAsia"/>
          <w:i/>
          <w:kern w:val="2"/>
          <w:sz w:val="18"/>
          <w:szCs w:val="18"/>
          <w:lang w:val="en-US" w:eastAsia="zh-CN" w:bidi="ar-SA"/>
        </w:rPr>
        <w:t>Fitoterapia,</w:t>
      </w:r>
      <w:r>
        <w:rPr>
          <w:rFonts w:hint="default" w:ascii="Arial" w:hAnsi="Arial" w:cs="Arial" w:eastAsiaTheme="minorEastAsia"/>
          <w:kern w:val="2"/>
          <w:sz w:val="18"/>
          <w:szCs w:val="18"/>
          <w:lang w:val="en-US" w:eastAsia="zh-CN" w:bidi="ar-SA"/>
        </w:rPr>
        <w:t xml:space="preserve"> 168, p. 105537.</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Bolsunovskaya, M.V., Gintciak, A.M., Burlutskaya, Z.V., Zubkova, D.A., Petryaeva, A.A. and Fedyaevskaya, D.E. (2023) ‘Complex method of the consumer value estimation on the way to risk-free and sustainable production’, </w:t>
      </w:r>
      <w:r>
        <w:rPr>
          <w:rFonts w:hint="default" w:ascii="Arial" w:hAnsi="Arial" w:cs="Arial" w:eastAsiaTheme="minorEastAsia"/>
          <w:i/>
          <w:kern w:val="2"/>
          <w:sz w:val="18"/>
          <w:szCs w:val="18"/>
          <w:lang w:val="en-US" w:eastAsia="zh-CN" w:bidi="ar-SA"/>
        </w:rPr>
        <w:t>Sustainability,</w:t>
      </w:r>
      <w:r>
        <w:rPr>
          <w:rFonts w:hint="default" w:ascii="Arial" w:hAnsi="Arial" w:cs="Arial" w:eastAsiaTheme="minorEastAsia"/>
          <w:kern w:val="2"/>
          <w:sz w:val="18"/>
          <w:szCs w:val="18"/>
          <w:lang w:val="en-US" w:eastAsia="zh-CN" w:bidi="ar-SA"/>
        </w:rPr>
        <w:t xml:space="preserve"> 15(2), p. 1273.</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Borgersen, T.A. (2022) ‘Product differentiation and populistic entry strategies in a mortgage market with Bertrand competition’, </w:t>
      </w:r>
      <w:r>
        <w:rPr>
          <w:rFonts w:hint="default" w:ascii="Arial" w:hAnsi="Arial" w:cs="Arial" w:eastAsiaTheme="minorEastAsia"/>
          <w:i/>
          <w:kern w:val="2"/>
          <w:sz w:val="18"/>
          <w:szCs w:val="18"/>
          <w:lang w:val="en-US" w:eastAsia="zh-CN" w:bidi="ar-SA"/>
        </w:rPr>
        <w:t>Journal of European Real Estate Research,</w:t>
      </w:r>
      <w:r>
        <w:rPr>
          <w:rFonts w:hint="default" w:ascii="Arial" w:hAnsi="Arial" w:cs="Arial" w:eastAsiaTheme="minorEastAsia"/>
          <w:kern w:val="2"/>
          <w:sz w:val="18"/>
          <w:szCs w:val="18"/>
          <w:lang w:val="en-US" w:eastAsia="zh-CN" w:bidi="ar-SA"/>
        </w:rPr>
        <w:t xml:space="preserve"> 15(2), pp. 263-277.</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Brodmerkel, S. (2019) ‘Should brands “nudge us for good”? Towards a critical assessment of neuro-liberal corporate social responsibility’, </w:t>
      </w:r>
      <w:r>
        <w:rPr>
          <w:rFonts w:hint="default" w:ascii="Arial" w:hAnsi="Arial" w:cs="Arial" w:eastAsiaTheme="minorEastAsia"/>
          <w:i/>
          <w:kern w:val="2"/>
          <w:sz w:val="18"/>
          <w:szCs w:val="18"/>
          <w:lang w:val="en-US" w:eastAsia="zh-CN" w:bidi="ar-SA"/>
        </w:rPr>
        <w:t>Journal of Public Affairs,</w:t>
      </w:r>
      <w:r>
        <w:rPr>
          <w:rFonts w:hint="default" w:ascii="Arial" w:hAnsi="Arial" w:cs="Arial" w:eastAsiaTheme="minorEastAsia"/>
          <w:kern w:val="2"/>
          <w:sz w:val="18"/>
          <w:szCs w:val="18"/>
          <w:lang w:val="en-US" w:eastAsia="zh-CN" w:bidi="ar-SA"/>
        </w:rPr>
        <w:t xml:space="preserve"> 19(1), p. e1898.</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Carrero-Parreño, A., Dua, V. and Papageorgiou, L.G. (2021) ‘Fair shale gas water cost distribution using Nash bargaining game’, </w:t>
      </w:r>
      <w:r>
        <w:rPr>
          <w:rFonts w:hint="default" w:ascii="Arial" w:hAnsi="Arial" w:cs="Arial" w:eastAsiaTheme="minorEastAsia"/>
          <w:i/>
          <w:kern w:val="2"/>
          <w:sz w:val="18"/>
          <w:szCs w:val="18"/>
          <w:lang w:val="en-US" w:eastAsia="zh-CN" w:bidi="ar-SA"/>
        </w:rPr>
        <w:t>Chemical Engineering Research and Design,</w:t>
      </w:r>
      <w:r>
        <w:rPr>
          <w:rFonts w:hint="default" w:ascii="Arial" w:hAnsi="Arial" w:cs="Arial" w:eastAsiaTheme="minorEastAsia"/>
          <w:kern w:val="2"/>
          <w:sz w:val="18"/>
          <w:szCs w:val="18"/>
          <w:lang w:val="en-US" w:eastAsia="zh-CN" w:bidi="ar-SA"/>
        </w:rPr>
        <w:t xml:space="preserve"> 176, pp. 169-179.</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Chen, X., Shen, J. and Wei, S. (2023) ‘What reduces product uncertainty in live streaming e-commerce? From a signal consistency perspective’, </w:t>
      </w:r>
      <w:r>
        <w:rPr>
          <w:rFonts w:hint="default" w:ascii="Arial" w:hAnsi="Arial" w:cs="Arial" w:eastAsiaTheme="minorEastAsia"/>
          <w:i/>
          <w:kern w:val="2"/>
          <w:sz w:val="18"/>
          <w:szCs w:val="18"/>
          <w:lang w:val="en-US" w:eastAsia="zh-CN" w:bidi="ar-SA"/>
        </w:rPr>
        <w:t>Journal of Retailing and Consumer Services,</w:t>
      </w:r>
      <w:r>
        <w:rPr>
          <w:rFonts w:hint="default" w:ascii="Arial" w:hAnsi="Arial" w:cs="Arial" w:eastAsiaTheme="minorEastAsia"/>
          <w:kern w:val="2"/>
          <w:sz w:val="18"/>
          <w:szCs w:val="18"/>
          <w:lang w:val="en-US" w:eastAsia="zh-CN" w:bidi="ar-SA"/>
        </w:rPr>
        <w:t xml:space="preserve"> 74, p. 103441.</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Eyada, B. (2020) ‘Brand activism, the relation and impact on consumer perception: a case study on Nike advertising’, </w:t>
      </w:r>
      <w:r>
        <w:rPr>
          <w:rFonts w:hint="default" w:ascii="Arial" w:hAnsi="Arial" w:cs="Arial" w:eastAsiaTheme="minorEastAsia"/>
          <w:i/>
          <w:kern w:val="2"/>
          <w:sz w:val="18"/>
          <w:szCs w:val="18"/>
          <w:lang w:val="en-US" w:eastAsia="zh-CN" w:bidi="ar-SA"/>
        </w:rPr>
        <w:t>International Journal of Marketing Studies,</w:t>
      </w:r>
      <w:r>
        <w:rPr>
          <w:rFonts w:hint="default" w:ascii="Arial" w:hAnsi="Arial" w:cs="Arial" w:eastAsiaTheme="minorEastAsia"/>
          <w:kern w:val="2"/>
          <w:sz w:val="18"/>
          <w:szCs w:val="18"/>
          <w:lang w:val="en-US" w:eastAsia="zh-CN" w:bidi="ar-SA"/>
        </w:rPr>
        <w:t xml:space="preserve"> 12(4), pp. 30-42.</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Gleeson, D., Scheibner, J. and Nicol, D. (2023) ‘Proposals to waive intellectual property rights for pandemic response products in the World Health Organization pandemic accord need Australia</w:t>
      </w:r>
      <w:r>
        <w:rPr>
          <w:rFonts w:hint="default" w:ascii="Arial" w:hAnsi="Arial" w:cs="Arial"/>
          <w:kern w:val="2"/>
          <w:sz w:val="18"/>
          <w:szCs w:val="18"/>
          <w:lang w:val="en-US" w:eastAsia="zh-CN" w:bidi="ar-SA"/>
        </w:rPr>
        <w:t>’</w:t>
      </w:r>
      <w:r>
        <w:rPr>
          <w:rFonts w:hint="default" w:ascii="Arial" w:hAnsi="Arial" w:cs="Arial" w:eastAsiaTheme="minorEastAsia"/>
          <w:kern w:val="2"/>
          <w:sz w:val="18"/>
          <w:szCs w:val="18"/>
          <w:lang w:val="en-US" w:eastAsia="zh-CN" w:bidi="ar-SA"/>
        </w:rPr>
        <w:t xml:space="preserve">s support’, </w:t>
      </w:r>
      <w:r>
        <w:rPr>
          <w:rFonts w:hint="default" w:ascii="Arial" w:hAnsi="Arial" w:cs="Arial" w:eastAsiaTheme="minorEastAsia"/>
          <w:i/>
          <w:kern w:val="2"/>
          <w:sz w:val="18"/>
          <w:szCs w:val="18"/>
          <w:lang w:val="en-US" w:eastAsia="zh-CN" w:bidi="ar-SA"/>
        </w:rPr>
        <w:t>Medical Journal of Australia,</w:t>
      </w:r>
      <w:r>
        <w:rPr>
          <w:rFonts w:hint="default" w:ascii="Arial" w:hAnsi="Arial" w:cs="Arial" w:eastAsiaTheme="minorEastAsia"/>
          <w:kern w:val="2"/>
          <w:sz w:val="18"/>
          <w:szCs w:val="18"/>
          <w:lang w:val="en-US" w:eastAsia="zh-CN" w:bidi="ar-SA"/>
        </w:rPr>
        <w:t xml:space="preserve"> 219(2), pp. 46-48.</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Gnangnon, S.K. (2019) ‘Multilateral trade liberalisation helps promote export product diversification: trade tensions damage the prospects of the poorest economies’, </w:t>
      </w:r>
      <w:r>
        <w:rPr>
          <w:rFonts w:hint="default" w:ascii="Arial" w:hAnsi="Arial" w:cs="Arial" w:eastAsiaTheme="minorEastAsia"/>
          <w:i/>
          <w:kern w:val="2"/>
          <w:sz w:val="18"/>
          <w:szCs w:val="18"/>
          <w:lang w:val="en-US" w:eastAsia="zh-CN" w:bidi="ar-SA"/>
        </w:rPr>
        <w:t>Economic Affairs,</w:t>
      </w:r>
      <w:r>
        <w:rPr>
          <w:rFonts w:hint="default" w:ascii="Arial" w:hAnsi="Arial" w:cs="Arial" w:eastAsiaTheme="minorEastAsia"/>
          <w:kern w:val="2"/>
          <w:sz w:val="18"/>
          <w:szCs w:val="18"/>
          <w:lang w:val="en-US" w:eastAsia="zh-CN" w:bidi="ar-SA"/>
        </w:rPr>
        <w:t xml:space="preserve"> 39(3), pp. 363-380.</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Grebert, C. and Farrelly, F. (2005) ‘Interview with Carl Grebert, brand director Nike Asia Pacific’, </w:t>
      </w:r>
      <w:r>
        <w:rPr>
          <w:rFonts w:hint="default" w:ascii="Arial" w:hAnsi="Arial" w:cs="Arial" w:eastAsiaTheme="minorEastAsia"/>
          <w:i/>
          <w:kern w:val="2"/>
          <w:sz w:val="18"/>
          <w:szCs w:val="18"/>
          <w:lang w:val="en-US" w:eastAsia="zh-CN" w:bidi="ar-SA"/>
        </w:rPr>
        <w:t>International Journal of Sports Marketing and Sponsorship,</w:t>
      </w:r>
      <w:r>
        <w:rPr>
          <w:rFonts w:hint="default" w:ascii="Arial" w:hAnsi="Arial" w:cs="Arial" w:eastAsiaTheme="minorEastAsia"/>
          <w:kern w:val="2"/>
          <w:sz w:val="18"/>
          <w:szCs w:val="18"/>
          <w:lang w:val="en-US" w:eastAsia="zh-CN" w:bidi="ar-SA"/>
        </w:rPr>
        <w:t xml:space="preserve"> 7(1), pp. 4-7.</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Hang, C.T. (2018) ‘Some issues on the protection of employee rights and interests in Vietnamese enterprises today’, </w:t>
      </w:r>
      <w:r>
        <w:rPr>
          <w:rFonts w:hint="default" w:ascii="Arial" w:hAnsi="Arial" w:cs="Arial" w:eastAsiaTheme="minorEastAsia"/>
          <w:i/>
          <w:kern w:val="2"/>
          <w:sz w:val="18"/>
          <w:szCs w:val="18"/>
          <w:lang w:val="en-US" w:eastAsia="zh-CN" w:bidi="ar-SA"/>
        </w:rPr>
        <w:t>Academic Journal of Interdisciplinary Studies,</w:t>
      </w:r>
      <w:r>
        <w:rPr>
          <w:rFonts w:hint="default" w:ascii="Arial" w:hAnsi="Arial" w:cs="Arial" w:eastAsiaTheme="minorEastAsia"/>
          <w:kern w:val="2"/>
          <w:sz w:val="18"/>
          <w:szCs w:val="18"/>
          <w:lang w:val="en-US" w:eastAsia="zh-CN" w:bidi="ar-SA"/>
        </w:rPr>
        <w:t xml:space="preserve"> 7(3), pp. 117-124.</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Hang, Y., Sarfraz, M., Khalid, R., Ozturk, I. and Tariq, J. (2022) ‘Does corporate social responsibility and green product innovation boost organizational performance? A moderated mediation model of competitive advantage and green trust’, </w:t>
      </w:r>
      <w:r>
        <w:rPr>
          <w:rFonts w:hint="default" w:ascii="Arial" w:hAnsi="Arial" w:cs="Arial" w:eastAsiaTheme="minorEastAsia"/>
          <w:i/>
          <w:kern w:val="2"/>
          <w:sz w:val="18"/>
          <w:szCs w:val="18"/>
          <w:lang w:val="en-US" w:eastAsia="zh-CN" w:bidi="ar-SA"/>
        </w:rPr>
        <w:t>Economic Research-Ekonomska Istraživanja,</w:t>
      </w:r>
      <w:r>
        <w:rPr>
          <w:rFonts w:hint="default" w:ascii="Arial" w:hAnsi="Arial" w:cs="Arial" w:eastAsiaTheme="minorEastAsia"/>
          <w:kern w:val="2"/>
          <w:sz w:val="18"/>
          <w:szCs w:val="18"/>
          <w:lang w:val="en-US" w:eastAsia="zh-CN" w:bidi="ar-SA"/>
        </w:rPr>
        <w:t xml:space="preserve"> 35(1), pp. 5379-5399.</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Harwacki, J., Pisklak, D.M. and Szeleszczuk, L. (2023) ‘Solid state </w:t>
      </w:r>
      <w:r>
        <w:rPr>
          <w:rFonts w:hint="default" w:ascii="Arial" w:hAnsi="Arial" w:cs="Arial" w:eastAsiaTheme="minorEastAsia"/>
          <w:kern w:val="2"/>
          <w:sz w:val="18"/>
          <w:szCs w:val="18"/>
          <w:vertAlign w:val="superscript"/>
          <w:lang w:val="en-US" w:eastAsia="zh-CN" w:bidi="ar-SA"/>
        </w:rPr>
        <w:t>13</w:t>
      </w:r>
      <w:r>
        <w:rPr>
          <w:rFonts w:hint="default" w:ascii="Arial" w:hAnsi="Arial" w:cs="Arial" w:eastAsiaTheme="minorEastAsia"/>
          <w:kern w:val="2"/>
          <w:sz w:val="18"/>
          <w:szCs w:val="18"/>
          <w:lang w:val="en-US" w:eastAsia="zh-CN" w:bidi="ar-SA"/>
        </w:rPr>
        <w:t xml:space="preserve">C NMR spectroscopy as a tool for identification of counterfeit Viagra tablets and guide for develop new identification approach of falsified product’, </w:t>
      </w:r>
      <w:r>
        <w:rPr>
          <w:rFonts w:hint="default" w:ascii="Arial" w:hAnsi="Arial" w:cs="Arial" w:eastAsiaTheme="minorEastAsia"/>
          <w:i/>
          <w:kern w:val="2"/>
          <w:sz w:val="18"/>
          <w:szCs w:val="18"/>
          <w:lang w:val="en-US" w:eastAsia="zh-CN" w:bidi="ar-SA"/>
        </w:rPr>
        <w:t>International Journal of Pharmaceutics,</w:t>
      </w:r>
      <w:r>
        <w:rPr>
          <w:rFonts w:hint="default" w:ascii="Arial" w:hAnsi="Arial" w:cs="Arial" w:eastAsiaTheme="minorEastAsia"/>
          <w:kern w:val="2"/>
          <w:sz w:val="18"/>
          <w:szCs w:val="18"/>
          <w:lang w:val="en-US" w:eastAsia="zh-CN" w:bidi="ar-SA"/>
        </w:rPr>
        <w:t xml:space="preserve"> 636, p. 122837.</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Hayhurst, L.M.C. and Szto, C. (2016) ‘Corporatizating activism through sport-focused social justice? Investigating Nike’s corporate responsibility initiatives in sport for development and peace’, </w:t>
      </w:r>
      <w:r>
        <w:rPr>
          <w:rFonts w:hint="default" w:ascii="Arial" w:hAnsi="Arial" w:cs="Arial" w:eastAsiaTheme="minorEastAsia"/>
          <w:i/>
          <w:kern w:val="2"/>
          <w:sz w:val="18"/>
          <w:szCs w:val="18"/>
          <w:lang w:val="en-US" w:eastAsia="zh-CN" w:bidi="ar-SA"/>
        </w:rPr>
        <w:t>Journal of Sport and Social Issues,</w:t>
      </w:r>
      <w:r>
        <w:rPr>
          <w:rFonts w:hint="default" w:ascii="Arial" w:hAnsi="Arial" w:cs="Arial" w:eastAsiaTheme="minorEastAsia"/>
          <w:kern w:val="2"/>
          <w:sz w:val="18"/>
          <w:szCs w:val="18"/>
          <w:lang w:val="en-US" w:eastAsia="zh-CN" w:bidi="ar-SA"/>
        </w:rPr>
        <w:t xml:space="preserve"> 40(6), pp. 522-544.</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Jaroenjitrkam, A., Mihaylov, G., Yu, C.F. and Zurbruegg, R. (2023) ‘Pulling together by paying together: the effect of product market competition on TMT incentive dispersion’, </w:t>
      </w:r>
      <w:r>
        <w:rPr>
          <w:rFonts w:hint="default" w:ascii="Arial" w:hAnsi="Arial" w:cs="Arial" w:eastAsiaTheme="minorEastAsia"/>
          <w:i/>
          <w:kern w:val="2"/>
          <w:sz w:val="18"/>
          <w:szCs w:val="18"/>
          <w:lang w:val="en-US" w:eastAsia="zh-CN" w:bidi="ar-SA"/>
        </w:rPr>
        <w:t>Journal of Business Research,</w:t>
      </w:r>
      <w:r>
        <w:rPr>
          <w:rFonts w:hint="default" w:ascii="Arial" w:hAnsi="Arial" w:cs="Arial" w:eastAsiaTheme="minorEastAsia"/>
          <w:kern w:val="2"/>
          <w:sz w:val="18"/>
          <w:szCs w:val="18"/>
          <w:lang w:val="en-US" w:eastAsia="zh-CN" w:bidi="ar-SA"/>
        </w:rPr>
        <w:t xml:space="preserve"> 165, p. 114045.</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Jiang, W. and Sun, C. (2022) ‘Exchange rate fluctuations and the quality of products imported by Chinese manufacturing firms’, </w:t>
      </w:r>
      <w:r>
        <w:rPr>
          <w:rFonts w:hint="default" w:ascii="Arial" w:hAnsi="Arial" w:cs="Arial" w:eastAsiaTheme="minorEastAsia"/>
          <w:i/>
          <w:kern w:val="2"/>
          <w:sz w:val="18"/>
          <w:szCs w:val="18"/>
          <w:lang w:val="en-US" w:eastAsia="zh-CN" w:bidi="ar-SA"/>
        </w:rPr>
        <w:t>Emerging Markets Finance and Trade,</w:t>
      </w:r>
      <w:r>
        <w:rPr>
          <w:rFonts w:hint="default" w:ascii="Arial" w:hAnsi="Arial" w:cs="Arial" w:eastAsiaTheme="minorEastAsia"/>
          <w:kern w:val="2"/>
          <w:sz w:val="18"/>
          <w:szCs w:val="18"/>
          <w:lang w:val="en-US" w:eastAsia="zh-CN" w:bidi="ar-SA"/>
        </w:rPr>
        <w:t xml:space="preserve"> 58(10), pp. 2751-2763.</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Karagiannis, D., Hatzithomas, L., Fotiadis, T. and Gasteratos, A. (2022) ‘The impact of brand awareness and country of origin in the advertising effectiveness of Greek food products in the United Kingdom: the case of Greek yogurt’, </w:t>
      </w:r>
      <w:r>
        <w:rPr>
          <w:rFonts w:hint="default" w:ascii="Arial" w:hAnsi="Arial" w:cs="Arial" w:eastAsiaTheme="minorEastAsia"/>
          <w:i/>
          <w:kern w:val="2"/>
          <w:sz w:val="18"/>
          <w:szCs w:val="18"/>
          <w:lang w:val="en-US" w:eastAsia="zh-CN" w:bidi="ar-SA"/>
        </w:rPr>
        <w:t>Foods,</w:t>
      </w:r>
      <w:r>
        <w:rPr>
          <w:rFonts w:hint="default" w:ascii="Arial" w:hAnsi="Arial" w:cs="Arial" w:eastAsiaTheme="minorEastAsia"/>
          <w:kern w:val="2"/>
          <w:sz w:val="18"/>
          <w:szCs w:val="18"/>
          <w:lang w:val="en-US" w:eastAsia="zh-CN" w:bidi="ar-SA"/>
        </w:rPr>
        <w:t xml:space="preserve"> 11(24), p. 4019.</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Kim, Y.K., Yim, M.Y.C., Kim, E. and Reeves, W. (2021) ‘Exploring the optimized social advertising strategy that can generate consumer engagement with green messages on social media’, </w:t>
      </w:r>
      <w:r>
        <w:rPr>
          <w:rFonts w:hint="default" w:ascii="Arial" w:hAnsi="Arial" w:cs="Arial" w:eastAsiaTheme="minorEastAsia"/>
          <w:i/>
          <w:kern w:val="2"/>
          <w:sz w:val="18"/>
          <w:szCs w:val="18"/>
          <w:lang w:val="en-US" w:eastAsia="zh-CN" w:bidi="ar-SA"/>
        </w:rPr>
        <w:t>Journal of Research in Interactive Marketing,</w:t>
      </w:r>
      <w:r>
        <w:rPr>
          <w:rFonts w:hint="default" w:ascii="Arial" w:hAnsi="Arial" w:cs="Arial" w:eastAsiaTheme="minorEastAsia"/>
          <w:kern w:val="2"/>
          <w:sz w:val="18"/>
          <w:szCs w:val="18"/>
          <w:lang w:val="en-US" w:eastAsia="zh-CN" w:bidi="ar-SA"/>
        </w:rPr>
        <w:t xml:space="preserve"> 15(1), pp. 30-48.</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Kroker-Lobos, M.F., Morales-Juárez, A., Pérez, W., Kanda, T., Gomes, F.S., Ramírez-Zea, M. and Siu-Bermúdez, C. (2023) ‘Efficacy of front-of-pack warning label system versus guideline for daily amount on healthfulness perception, purchase intention and objective understanding of nutrient content of food products in Guatemala: a cross-over cluster randomized controlled experiment’, </w:t>
      </w:r>
      <w:r>
        <w:rPr>
          <w:rFonts w:hint="default" w:ascii="Arial" w:hAnsi="Arial" w:cs="Arial" w:eastAsiaTheme="minorEastAsia"/>
          <w:i/>
          <w:kern w:val="2"/>
          <w:sz w:val="18"/>
          <w:szCs w:val="18"/>
          <w:lang w:val="en-US" w:eastAsia="zh-CN" w:bidi="ar-SA"/>
        </w:rPr>
        <w:t>Archives of Public Health,</w:t>
      </w:r>
      <w:r>
        <w:rPr>
          <w:rFonts w:hint="default" w:ascii="Arial" w:hAnsi="Arial" w:cs="Arial" w:eastAsiaTheme="minorEastAsia"/>
          <w:kern w:val="2"/>
          <w:sz w:val="18"/>
          <w:szCs w:val="18"/>
          <w:lang w:val="en-US" w:eastAsia="zh-CN" w:bidi="ar-SA"/>
        </w:rPr>
        <w:t xml:space="preserve"> 81(1), p. 108.</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Lan, T., Pickles, J. and Zhu, S. (2015) ‘State regulation, economic reform and worker rights: the contingent effects of China’s labour contract law’, </w:t>
      </w:r>
      <w:r>
        <w:rPr>
          <w:rFonts w:hint="default" w:ascii="Arial" w:hAnsi="Arial" w:cs="Arial" w:eastAsiaTheme="minorEastAsia"/>
          <w:i/>
          <w:kern w:val="2"/>
          <w:sz w:val="18"/>
          <w:szCs w:val="18"/>
          <w:lang w:val="en-US" w:eastAsia="zh-CN" w:bidi="ar-SA"/>
        </w:rPr>
        <w:t>Journal of Contemporary Asia,</w:t>
      </w:r>
      <w:r>
        <w:rPr>
          <w:rFonts w:hint="default" w:ascii="Arial" w:hAnsi="Arial" w:cs="Arial" w:eastAsiaTheme="minorEastAsia"/>
          <w:kern w:val="2"/>
          <w:sz w:val="18"/>
          <w:szCs w:val="18"/>
          <w:lang w:val="en-US" w:eastAsia="zh-CN" w:bidi="ar-SA"/>
        </w:rPr>
        <w:t xml:space="preserve"> 45(2), pp. 266-293.</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Latorre, F., Hawks, C.E., Bahillo, E., Gil, M., Colmenares, B., Verma, D. and Sala, N. (2023) ‘Quality and traceability of starting materials from supplier to recipient’, </w:t>
      </w:r>
      <w:r>
        <w:rPr>
          <w:rFonts w:hint="default" w:ascii="Arial" w:hAnsi="Arial" w:cs="Arial" w:eastAsiaTheme="minorEastAsia"/>
          <w:i/>
          <w:kern w:val="2"/>
          <w:sz w:val="18"/>
          <w:szCs w:val="18"/>
          <w:lang w:val="en-US" w:eastAsia="zh-CN" w:bidi="ar-SA"/>
        </w:rPr>
        <w:t>Studies in Health Technology and Informatics,</w:t>
      </w:r>
      <w:r>
        <w:rPr>
          <w:rFonts w:hint="default" w:ascii="Arial" w:hAnsi="Arial" w:cs="Arial" w:eastAsiaTheme="minorEastAsia"/>
          <w:kern w:val="2"/>
          <w:sz w:val="18"/>
          <w:szCs w:val="18"/>
          <w:lang w:val="en-US" w:eastAsia="zh-CN" w:bidi="ar-SA"/>
        </w:rPr>
        <w:t xml:space="preserve"> 305, pp. 564-567.</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Licea-Dominguez, S., Estevez-Rioja, A., Hernández-Lozano, L.C., Alvarado-Ponce, G.E., Asemota, H., González-Cordova, A.F., González-Aguilar, G.A. and Domínguez-Soberanes, J. (2023) ‘Market orientation and cuisine innovation as a driven sensory methodology to develop a sweet potato snack as an added-value food product’, </w:t>
      </w:r>
      <w:r>
        <w:rPr>
          <w:rFonts w:hint="default" w:ascii="Arial" w:hAnsi="Arial" w:cs="Arial" w:eastAsiaTheme="minorEastAsia"/>
          <w:i/>
          <w:kern w:val="2"/>
          <w:sz w:val="18"/>
          <w:szCs w:val="18"/>
          <w:lang w:val="en-US" w:eastAsia="zh-CN" w:bidi="ar-SA"/>
        </w:rPr>
        <w:t>International Journal of Gastronomy and Food Science,</w:t>
      </w:r>
      <w:r>
        <w:rPr>
          <w:rFonts w:hint="default" w:ascii="Arial" w:hAnsi="Arial" w:cs="Arial" w:eastAsiaTheme="minorEastAsia"/>
          <w:kern w:val="2"/>
          <w:sz w:val="18"/>
          <w:szCs w:val="18"/>
          <w:lang w:val="en-US" w:eastAsia="zh-CN" w:bidi="ar-SA"/>
        </w:rPr>
        <w:t xml:space="preserve"> 32, p. 100750.</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Lozada, N., Arias-Pérez, J. and Henao-García, E.A. (2023) ‘Unveiling the effects of big data analytics capability on innovation capability through absorptive capacity: why more and better insights matter’, </w:t>
      </w:r>
      <w:r>
        <w:rPr>
          <w:rFonts w:hint="default" w:ascii="Arial" w:hAnsi="Arial" w:cs="Arial" w:eastAsiaTheme="minorEastAsia"/>
          <w:i/>
          <w:kern w:val="2"/>
          <w:sz w:val="18"/>
          <w:szCs w:val="18"/>
          <w:lang w:val="en-US" w:eastAsia="zh-CN" w:bidi="ar-SA"/>
        </w:rPr>
        <w:t>Journal of Enterprise Information Management,</w:t>
      </w:r>
      <w:r>
        <w:rPr>
          <w:rFonts w:hint="default" w:ascii="Arial" w:hAnsi="Arial" w:cs="Arial" w:eastAsiaTheme="minorEastAsia"/>
          <w:kern w:val="2"/>
          <w:sz w:val="18"/>
          <w:szCs w:val="18"/>
          <w:lang w:val="en-US" w:eastAsia="zh-CN" w:bidi="ar-SA"/>
        </w:rPr>
        <w:t xml:space="preserve"> 36(2), pp. 680-701.</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M2</w:t>
      </w:r>
      <w:r>
        <w:rPr>
          <w:rFonts w:hint="default" w:ascii="Arial" w:hAnsi="Arial" w:cs="Arial"/>
          <w:kern w:val="2"/>
          <w:sz w:val="18"/>
          <w:szCs w:val="18"/>
          <w:lang w:val="en-US" w:eastAsia="zh-CN" w:bidi="ar-SA"/>
        </w:rPr>
        <w:t xml:space="preserve"> </w:t>
      </w:r>
      <w:r>
        <w:rPr>
          <w:rFonts w:hint="default" w:ascii="Arial" w:hAnsi="Arial" w:cs="Arial" w:eastAsiaTheme="minorEastAsia"/>
          <w:kern w:val="2"/>
          <w:sz w:val="18"/>
          <w:szCs w:val="18"/>
          <w:lang w:val="en-US" w:eastAsia="zh-CN" w:bidi="ar-SA"/>
        </w:rPr>
        <w:t xml:space="preserve">Presswire (2010) </w:t>
      </w:r>
      <w:r>
        <w:rPr>
          <w:rFonts w:hint="default" w:ascii="Arial" w:hAnsi="Arial" w:cs="Arial" w:eastAsiaTheme="minorEastAsia"/>
          <w:i/>
          <w:kern w:val="2"/>
          <w:sz w:val="18"/>
          <w:szCs w:val="18"/>
          <w:lang w:val="en-US" w:eastAsia="zh-CN" w:bidi="ar-SA"/>
        </w:rPr>
        <w:t>Coffee &amp; sandwich shops 2009 - market assessment</w:t>
      </w:r>
      <w:r>
        <w:rPr>
          <w:rFonts w:hint="default" w:ascii="Arial" w:hAnsi="Arial" w:cs="Arial" w:eastAsiaTheme="minorEastAsia"/>
          <w:kern w:val="2"/>
          <w:sz w:val="18"/>
          <w:szCs w:val="18"/>
          <w:lang w:val="en-US" w:eastAsia="zh-CN" w:bidi="ar-SA"/>
        </w:rPr>
        <w:t xml:space="preserve">. Available at: </w:t>
      </w:r>
      <w:r>
        <w:rPr>
          <w:rFonts w:hint="default" w:ascii="Arial" w:hAnsi="Arial" w:cs="Arial" w:eastAsiaTheme="minorEastAsia"/>
          <w:kern w:val="2"/>
          <w:sz w:val="18"/>
          <w:szCs w:val="18"/>
          <w:lang w:val="en-US" w:eastAsia="zh-CN" w:bidi="ar-SA"/>
        </w:rPr>
        <w:fldChar w:fldCharType="begin"/>
      </w:r>
      <w:r>
        <w:rPr>
          <w:rFonts w:hint="default" w:ascii="Arial" w:hAnsi="Arial" w:cs="Arial" w:eastAsiaTheme="minorEastAsia"/>
          <w:kern w:val="2"/>
          <w:sz w:val="18"/>
          <w:szCs w:val="18"/>
          <w:lang w:val="en-US" w:eastAsia="zh-CN" w:bidi="ar-SA"/>
        </w:rPr>
        <w:instrText xml:space="preserve"> HYPERLINK "https://www.proquest.com/docview/816827827/F38BF7ACC2214B75PQ/1" </w:instrText>
      </w:r>
      <w:r>
        <w:rPr>
          <w:rFonts w:hint="default" w:ascii="Arial" w:hAnsi="Arial" w:cs="Arial" w:eastAsiaTheme="minorEastAsia"/>
          <w:kern w:val="2"/>
          <w:sz w:val="18"/>
          <w:szCs w:val="18"/>
          <w:lang w:val="en-US" w:eastAsia="zh-CN" w:bidi="ar-SA"/>
        </w:rPr>
        <w:fldChar w:fldCharType="separate"/>
      </w:r>
      <w:r>
        <w:rPr>
          <w:rStyle w:val="13"/>
          <w:rFonts w:hint="default" w:ascii="Arial" w:hAnsi="Arial" w:cs="Arial" w:eastAsiaTheme="minorEastAsia"/>
          <w:kern w:val="2"/>
          <w:sz w:val="18"/>
          <w:szCs w:val="18"/>
          <w:lang w:val="en-US" w:eastAsia="zh-CN" w:bidi="ar-SA"/>
        </w:rPr>
        <w:t>https://www.proquest.com/docview/816827827/F38BF7ACC2214B75PQ/1</w:t>
      </w:r>
      <w:r>
        <w:rPr>
          <w:rFonts w:hint="default" w:ascii="Arial" w:hAnsi="Arial" w:cs="Arial" w:eastAsiaTheme="minorEastAsia"/>
          <w:kern w:val="2"/>
          <w:sz w:val="18"/>
          <w:szCs w:val="18"/>
          <w:lang w:val="en-US" w:eastAsia="zh-CN" w:bidi="ar-SA"/>
        </w:rPr>
        <w:fldChar w:fldCharType="end"/>
      </w:r>
      <w:r>
        <w:rPr>
          <w:rFonts w:hint="default" w:ascii="Arial" w:hAnsi="Arial" w:cs="Arial"/>
          <w:kern w:val="2"/>
          <w:sz w:val="18"/>
          <w:szCs w:val="18"/>
          <w:lang w:val="en-US" w:eastAsia="zh-CN" w:bidi="ar-SA"/>
        </w:rPr>
        <w:t xml:space="preserve"> </w:t>
      </w:r>
      <w:r>
        <w:rPr>
          <w:rFonts w:hint="default" w:ascii="Arial" w:hAnsi="Arial" w:cs="Arial" w:eastAsiaTheme="minorEastAsia"/>
          <w:kern w:val="2"/>
          <w:sz w:val="18"/>
          <w:szCs w:val="18"/>
          <w:lang w:val="en-US" w:eastAsia="zh-CN" w:bidi="ar-SA"/>
        </w:rPr>
        <w:t xml:space="preserve">(Accessed: </w:t>
      </w:r>
      <w:r>
        <w:rPr>
          <w:rFonts w:hint="eastAsia" w:ascii="Arial" w:hAnsi="Arial" w:cs="Arial"/>
          <w:kern w:val="2"/>
          <w:sz w:val="18"/>
          <w:szCs w:val="18"/>
          <w:lang w:val="en-US" w:eastAsia="zh-CN" w:bidi="ar-SA"/>
        </w:rPr>
        <w:t>15 July 2023</w:t>
      </w:r>
      <w:r>
        <w:rPr>
          <w:rFonts w:hint="default" w:ascii="Arial" w:hAnsi="Arial" w:cs="Arial" w:eastAsiaTheme="minorEastAsia"/>
          <w:kern w:val="2"/>
          <w:sz w:val="18"/>
          <w:szCs w:val="18"/>
          <w:lang w:val="en-US" w:eastAsia="zh-CN" w:bidi="ar-SA"/>
        </w:rPr>
        <w:t>).</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Mao, L.L. (2021) ‘Understanding retail quality of sporting goods stores: a text mining approach’, </w:t>
      </w:r>
      <w:r>
        <w:rPr>
          <w:rFonts w:hint="default" w:ascii="Arial" w:hAnsi="Arial" w:cs="Arial" w:eastAsiaTheme="minorEastAsia"/>
          <w:i/>
          <w:kern w:val="2"/>
          <w:sz w:val="18"/>
          <w:szCs w:val="18"/>
          <w:lang w:val="en-US" w:eastAsia="zh-CN" w:bidi="ar-SA"/>
        </w:rPr>
        <w:t>International Journal of Sports Marketing and Sponsorship,</w:t>
      </w:r>
      <w:r>
        <w:rPr>
          <w:rFonts w:hint="default" w:ascii="Arial" w:hAnsi="Arial" w:cs="Arial" w:eastAsiaTheme="minorEastAsia"/>
          <w:kern w:val="2"/>
          <w:sz w:val="18"/>
          <w:szCs w:val="18"/>
          <w:lang w:val="en-US" w:eastAsia="zh-CN" w:bidi="ar-SA"/>
        </w:rPr>
        <w:t xml:space="preserve"> 22(2), pp. 330-352.</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Martin, A. (2004) ‘La anticoncepción de emergencia en América Latina y el Caribe’, </w:t>
      </w:r>
      <w:r>
        <w:rPr>
          <w:rFonts w:hint="default" w:ascii="Arial" w:hAnsi="Arial" w:cs="Arial" w:eastAsiaTheme="minorEastAsia"/>
          <w:i/>
          <w:kern w:val="2"/>
          <w:sz w:val="18"/>
          <w:szCs w:val="18"/>
          <w:lang w:val="en-US" w:eastAsia="zh-CN" w:bidi="ar-SA"/>
        </w:rPr>
        <w:t>Revista Panamericana de Salud Pública,</w:t>
      </w:r>
      <w:r>
        <w:rPr>
          <w:rFonts w:hint="default" w:ascii="Arial" w:hAnsi="Arial" w:cs="Arial" w:eastAsiaTheme="minorEastAsia"/>
          <w:kern w:val="2"/>
          <w:sz w:val="18"/>
          <w:szCs w:val="18"/>
          <w:lang w:val="en-US" w:eastAsia="zh-CN" w:bidi="ar-SA"/>
        </w:rPr>
        <w:t xml:space="preserve"> 16(6), pp. 424-431.</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Mitchell, A.D. and Casben, J. (2017) ‘Trade law and alcohol regulation: what role for a global Alcohol Marketing Code?’, </w:t>
      </w:r>
      <w:r>
        <w:rPr>
          <w:rFonts w:hint="default" w:ascii="Arial" w:hAnsi="Arial" w:cs="Arial" w:eastAsiaTheme="minorEastAsia"/>
          <w:i/>
          <w:kern w:val="2"/>
          <w:sz w:val="18"/>
          <w:szCs w:val="18"/>
          <w:lang w:val="en-US" w:eastAsia="zh-CN" w:bidi="ar-SA"/>
        </w:rPr>
        <w:t>Addiction,</w:t>
      </w:r>
      <w:r>
        <w:rPr>
          <w:rFonts w:hint="default" w:ascii="Arial" w:hAnsi="Arial" w:cs="Arial" w:eastAsiaTheme="minorEastAsia"/>
          <w:kern w:val="2"/>
          <w:sz w:val="18"/>
          <w:szCs w:val="18"/>
          <w:lang w:val="en-US" w:eastAsia="zh-CN" w:bidi="ar-SA"/>
        </w:rPr>
        <w:t xml:space="preserve"> 112(Suppl 1), pp. 109-116.</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NIKE</w:t>
      </w:r>
      <w:r>
        <w:rPr>
          <w:rFonts w:hint="default" w:ascii="Arial" w:hAnsi="Arial" w:cs="Arial"/>
          <w:kern w:val="2"/>
          <w:sz w:val="18"/>
          <w:szCs w:val="18"/>
          <w:lang w:val="en-US" w:eastAsia="zh-CN" w:bidi="ar-SA"/>
        </w:rPr>
        <w:t xml:space="preserve">, </w:t>
      </w:r>
      <w:r>
        <w:rPr>
          <w:rFonts w:hint="default" w:ascii="Arial" w:hAnsi="Arial" w:cs="Arial" w:eastAsiaTheme="minorEastAsia"/>
          <w:kern w:val="2"/>
          <w:sz w:val="18"/>
          <w:szCs w:val="18"/>
          <w:lang w:val="en-US" w:eastAsia="zh-CN" w:bidi="ar-SA"/>
        </w:rPr>
        <w:t>Inc</w:t>
      </w:r>
      <w:r>
        <w:rPr>
          <w:rFonts w:hint="default" w:ascii="Arial" w:hAnsi="Arial" w:cs="Arial"/>
          <w:kern w:val="2"/>
          <w:sz w:val="18"/>
          <w:szCs w:val="18"/>
          <w:lang w:val="en-US" w:eastAsia="zh-CN" w:bidi="ar-SA"/>
        </w:rPr>
        <w:t>.</w:t>
      </w:r>
      <w:r>
        <w:rPr>
          <w:rFonts w:hint="default" w:ascii="Arial" w:hAnsi="Arial" w:cs="Arial" w:eastAsiaTheme="minorEastAsia"/>
          <w:kern w:val="2"/>
          <w:sz w:val="18"/>
          <w:szCs w:val="18"/>
          <w:lang w:val="en-US" w:eastAsia="zh-CN" w:bidi="ar-SA"/>
        </w:rPr>
        <w:t xml:space="preserve"> (2012) </w:t>
      </w:r>
      <w:r>
        <w:rPr>
          <w:rFonts w:hint="default" w:ascii="Arial" w:hAnsi="Arial" w:cs="Arial" w:eastAsiaTheme="minorEastAsia"/>
          <w:i/>
          <w:kern w:val="2"/>
          <w:sz w:val="18"/>
          <w:szCs w:val="18"/>
          <w:lang w:val="en-US" w:eastAsia="zh-CN" w:bidi="ar-SA"/>
        </w:rPr>
        <w:t>Company profile and SWOT analysis</w:t>
      </w:r>
      <w:r>
        <w:rPr>
          <w:rFonts w:hint="default" w:ascii="Arial" w:hAnsi="Arial" w:cs="Arial" w:eastAsiaTheme="minorEastAsia"/>
          <w:kern w:val="2"/>
          <w:sz w:val="18"/>
          <w:szCs w:val="18"/>
          <w:lang w:val="en-US" w:eastAsia="zh-CN" w:bidi="ar-SA"/>
        </w:rPr>
        <w:t xml:space="preserve">. Available at: </w:t>
      </w:r>
      <w:r>
        <w:rPr>
          <w:rFonts w:hint="default" w:ascii="Arial" w:hAnsi="Arial" w:cs="Arial" w:eastAsiaTheme="minorEastAsia"/>
          <w:kern w:val="2"/>
          <w:sz w:val="18"/>
          <w:szCs w:val="18"/>
          <w:lang w:val="en-US" w:eastAsia="zh-CN" w:bidi="ar-SA"/>
        </w:rPr>
        <w:fldChar w:fldCharType="begin"/>
      </w:r>
      <w:r>
        <w:rPr>
          <w:rFonts w:hint="default" w:ascii="Arial" w:hAnsi="Arial" w:cs="Arial" w:eastAsiaTheme="minorEastAsia"/>
          <w:kern w:val="2"/>
          <w:sz w:val="18"/>
          <w:szCs w:val="18"/>
          <w:lang w:val="en-US" w:eastAsia="zh-CN" w:bidi="ar-SA"/>
        </w:rPr>
        <w:instrText xml:space="preserve"> HYPERLINK "https://www.businesswire.com/news/home/20121015006488/en/Research-Markets-NIKE-NKE-Company-Profile-SWOT" </w:instrText>
      </w:r>
      <w:r>
        <w:rPr>
          <w:rFonts w:hint="default" w:ascii="Arial" w:hAnsi="Arial" w:cs="Arial" w:eastAsiaTheme="minorEastAsia"/>
          <w:kern w:val="2"/>
          <w:sz w:val="18"/>
          <w:szCs w:val="18"/>
          <w:lang w:val="en-US" w:eastAsia="zh-CN" w:bidi="ar-SA"/>
        </w:rPr>
        <w:fldChar w:fldCharType="separate"/>
      </w:r>
      <w:r>
        <w:rPr>
          <w:rStyle w:val="13"/>
          <w:rFonts w:hint="default" w:ascii="Arial" w:hAnsi="Arial" w:cs="Arial" w:eastAsiaTheme="minorEastAsia"/>
          <w:kern w:val="2"/>
          <w:sz w:val="18"/>
          <w:szCs w:val="18"/>
          <w:lang w:val="en-US" w:eastAsia="zh-CN" w:bidi="ar-SA"/>
        </w:rPr>
        <w:t>https://www.businesswire.com/news/home/20121015006488/en/Research-Markets-NIKE-NKE-Company-Profile-SWOT</w:t>
      </w:r>
      <w:r>
        <w:rPr>
          <w:rFonts w:hint="default" w:ascii="Arial" w:hAnsi="Arial" w:cs="Arial" w:eastAsiaTheme="minorEastAsia"/>
          <w:kern w:val="2"/>
          <w:sz w:val="18"/>
          <w:szCs w:val="18"/>
          <w:lang w:val="en-US" w:eastAsia="zh-CN" w:bidi="ar-SA"/>
        </w:rPr>
        <w:fldChar w:fldCharType="end"/>
      </w:r>
      <w:r>
        <w:rPr>
          <w:rFonts w:hint="default" w:ascii="Arial" w:hAnsi="Arial" w:cs="Arial"/>
          <w:kern w:val="2"/>
          <w:sz w:val="18"/>
          <w:szCs w:val="18"/>
          <w:lang w:val="en-US" w:eastAsia="zh-CN" w:bidi="ar-SA"/>
        </w:rPr>
        <w:t xml:space="preserve"> </w:t>
      </w:r>
      <w:r>
        <w:rPr>
          <w:rFonts w:hint="default" w:ascii="Arial" w:hAnsi="Arial" w:cs="Arial" w:eastAsiaTheme="minorEastAsia"/>
          <w:kern w:val="2"/>
          <w:sz w:val="18"/>
          <w:szCs w:val="18"/>
          <w:lang w:val="en-US" w:eastAsia="zh-CN" w:bidi="ar-SA"/>
        </w:rPr>
        <w:t xml:space="preserve">(Accessed: </w:t>
      </w:r>
      <w:r>
        <w:rPr>
          <w:rFonts w:hint="eastAsia" w:ascii="Arial" w:hAnsi="Arial" w:cs="Arial"/>
          <w:kern w:val="2"/>
          <w:sz w:val="18"/>
          <w:szCs w:val="18"/>
          <w:lang w:val="en-US" w:eastAsia="zh-CN" w:bidi="ar-SA"/>
        </w:rPr>
        <w:t>15 July 2023</w:t>
      </w:r>
      <w:r>
        <w:rPr>
          <w:rFonts w:hint="default" w:ascii="Arial" w:hAnsi="Arial" w:cs="Arial" w:eastAsiaTheme="minorEastAsia"/>
          <w:kern w:val="2"/>
          <w:sz w:val="18"/>
          <w:szCs w:val="18"/>
          <w:lang w:val="en-US" w:eastAsia="zh-CN" w:bidi="ar-SA"/>
        </w:rPr>
        <w:t>).</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Peng, Y., Wang, M. and Wang, M. (2022) ‘Research on influencing factors of rural e-commerce under the empowerment of blockchain technology’, in Qiu, D., Jiao, Y. and Yeoh, W. (eds.), </w:t>
      </w:r>
      <w:r>
        <w:rPr>
          <w:rFonts w:hint="default" w:ascii="Arial" w:hAnsi="Arial" w:cs="Arial" w:eastAsiaTheme="minorEastAsia"/>
          <w:i/>
          <w:kern w:val="2"/>
          <w:sz w:val="18"/>
          <w:szCs w:val="18"/>
          <w:lang w:val="en-US" w:eastAsia="zh-CN" w:bidi="ar-SA"/>
        </w:rPr>
        <w:t>Proceedings of the 2022 International Conference on Bigdata Blockchain and Economy Management (ICBBEM 2022)</w:t>
      </w:r>
      <w:r>
        <w:rPr>
          <w:rFonts w:hint="default" w:ascii="Arial" w:hAnsi="Arial" w:cs="Arial" w:eastAsiaTheme="minorEastAsia"/>
          <w:kern w:val="2"/>
          <w:sz w:val="18"/>
          <w:szCs w:val="18"/>
          <w:lang w:val="en-US" w:eastAsia="zh-CN" w:bidi="ar-SA"/>
        </w:rPr>
        <w:t>. Wuhan, China, 25-27 April. Paris: Atlantis Press, pp. 585-594.</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Petersen, F., Demann, J., von Salzen, J., Olfs, H.W., Westendarp, H., Wolf, P., Appenroth, K.-J. and Ulbrich, A. (2022) ‘Re-circulating indoor vertical farm: technicalities of an automated duckweed biomass production system and protein feed product quality evaluation’, </w:t>
      </w:r>
      <w:r>
        <w:rPr>
          <w:rFonts w:hint="default" w:ascii="Arial" w:hAnsi="Arial" w:cs="Arial" w:eastAsiaTheme="minorEastAsia"/>
          <w:i/>
          <w:kern w:val="2"/>
          <w:sz w:val="18"/>
          <w:szCs w:val="18"/>
          <w:lang w:val="en-US" w:eastAsia="zh-CN" w:bidi="ar-SA"/>
        </w:rPr>
        <w:t>Journal of Cleaner Production,</w:t>
      </w:r>
      <w:r>
        <w:rPr>
          <w:rFonts w:hint="default" w:ascii="Arial" w:hAnsi="Arial" w:cs="Arial" w:eastAsiaTheme="minorEastAsia"/>
          <w:kern w:val="2"/>
          <w:sz w:val="18"/>
          <w:szCs w:val="18"/>
          <w:lang w:val="en-US" w:eastAsia="zh-CN" w:bidi="ar-SA"/>
        </w:rPr>
        <w:t xml:space="preserve"> 380(Pt 1), p. 134894.</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Poratelli, F., Blanc, S., Pippinato, L., Zanchini, R., Bruzzese, S. and Brun, F. (3922) ‘Willingness to pay for certified wooden products: a critical literature review’, </w:t>
      </w:r>
      <w:r>
        <w:rPr>
          <w:rFonts w:hint="default" w:ascii="Arial" w:hAnsi="Arial" w:cs="Arial" w:eastAsiaTheme="minorEastAsia"/>
          <w:i/>
          <w:kern w:val="2"/>
          <w:sz w:val="18"/>
          <w:szCs w:val="18"/>
          <w:lang w:val="en-US" w:eastAsia="zh-CN" w:bidi="ar-SA"/>
        </w:rPr>
        <w:t>Forestry Studies,</w:t>
      </w:r>
      <w:r>
        <w:rPr>
          <w:rFonts w:hint="default" w:ascii="Arial" w:hAnsi="Arial" w:cs="Arial" w:eastAsiaTheme="minorEastAsia"/>
          <w:kern w:val="2"/>
          <w:sz w:val="18"/>
          <w:szCs w:val="18"/>
          <w:lang w:val="en-US" w:eastAsia="zh-CN" w:bidi="ar-SA"/>
        </w:rPr>
        <w:t xml:space="preserve"> 76(1), pp. 46-63.</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Prabakusuma, A.S., Wardono, B., Fahlevi, M., Zulham, A., Djoko Sunarno, M.T., Syukur, M., Aljuaid, M., Saniuk, S., Apriliani, T. and Pramoda, R. (2023) ‘A bibliometric approach to understanding the recent development of self-sufficient fish feed production utilizing agri-food wastes and by-products towards sustainable aquaculture’, </w:t>
      </w:r>
      <w:r>
        <w:rPr>
          <w:rFonts w:hint="default" w:ascii="Arial" w:hAnsi="Arial" w:cs="Arial" w:eastAsiaTheme="minorEastAsia"/>
          <w:i/>
          <w:kern w:val="2"/>
          <w:sz w:val="18"/>
          <w:szCs w:val="18"/>
          <w:lang w:val="en-US" w:eastAsia="zh-CN" w:bidi="ar-SA"/>
        </w:rPr>
        <w:t>Heliyon,</w:t>
      </w:r>
      <w:r>
        <w:rPr>
          <w:rFonts w:hint="default" w:ascii="Arial" w:hAnsi="Arial" w:cs="Arial" w:eastAsiaTheme="minorEastAsia"/>
          <w:kern w:val="2"/>
          <w:sz w:val="18"/>
          <w:szCs w:val="18"/>
          <w:lang w:val="en-US" w:eastAsia="zh-CN" w:bidi="ar-SA"/>
        </w:rPr>
        <w:t xml:space="preserve"> 9(7), p. e17573.</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Rodrigues, F., Souza, V. and Leitão, J. (2011) ‘Strategic coopetition of global brands: a game theory approach to ‘Nike + iPod Sport Kit’ co-branding’, </w:t>
      </w:r>
      <w:r>
        <w:rPr>
          <w:rFonts w:hint="default" w:ascii="Arial" w:hAnsi="Arial" w:cs="Arial" w:eastAsiaTheme="minorEastAsia"/>
          <w:i/>
          <w:kern w:val="2"/>
          <w:sz w:val="18"/>
          <w:szCs w:val="18"/>
          <w:lang w:val="en-US" w:eastAsia="zh-CN" w:bidi="ar-SA"/>
        </w:rPr>
        <w:t>International Journal of Entrepreneurial Venturing,</w:t>
      </w:r>
      <w:r>
        <w:rPr>
          <w:rFonts w:hint="default" w:ascii="Arial" w:hAnsi="Arial" w:cs="Arial" w:eastAsiaTheme="minorEastAsia"/>
          <w:kern w:val="2"/>
          <w:sz w:val="18"/>
          <w:szCs w:val="18"/>
          <w:lang w:val="en-US" w:eastAsia="zh-CN" w:bidi="ar-SA"/>
        </w:rPr>
        <w:t xml:space="preserve"> 3(4), pp. 435-455.</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Rodrigues, I., Lopes, J.M., Borges, A., Oliveira, J. and Oliveira, M. (2021) ‘How can gamified applications drive engagement and brand attitude? The case of Nike Run Club application’, </w:t>
      </w:r>
      <w:r>
        <w:rPr>
          <w:rFonts w:hint="default" w:ascii="Arial" w:hAnsi="Arial" w:cs="Arial" w:eastAsiaTheme="minorEastAsia"/>
          <w:i/>
          <w:kern w:val="2"/>
          <w:sz w:val="18"/>
          <w:szCs w:val="18"/>
          <w:lang w:val="en-US" w:eastAsia="zh-CN" w:bidi="ar-SA"/>
        </w:rPr>
        <w:t>Administrative Sciences,</w:t>
      </w:r>
      <w:r>
        <w:rPr>
          <w:rFonts w:hint="default" w:ascii="Arial" w:hAnsi="Arial" w:cs="Arial" w:eastAsiaTheme="minorEastAsia"/>
          <w:kern w:val="2"/>
          <w:sz w:val="18"/>
          <w:szCs w:val="18"/>
          <w:lang w:val="en-US" w:eastAsia="zh-CN" w:bidi="ar-SA"/>
        </w:rPr>
        <w:t xml:space="preserve"> 11(3), p. 92.</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Saini, M., Saravanan, D., Kutty, N.M. and Agrawal, R. (2022) ‘Brand influencing customers buying behaviors: a case study on Nike’, </w:t>
      </w:r>
      <w:r>
        <w:rPr>
          <w:rFonts w:hint="default" w:ascii="Arial" w:hAnsi="Arial" w:cs="Arial" w:eastAsiaTheme="minorEastAsia"/>
          <w:i/>
          <w:kern w:val="2"/>
          <w:sz w:val="18"/>
          <w:szCs w:val="18"/>
          <w:lang w:val="en-US" w:eastAsia="zh-CN" w:bidi="ar-SA"/>
        </w:rPr>
        <w:t>ECS Transactions,</w:t>
      </w:r>
      <w:r>
        <w:rPr>
          <w:rFonts w:hint="default" w:ascii="Arial" w:hAnsi="Arial" w:cs="Arial" w:eastAsiaTheme="minorEastAsia"/>
          <w:kern w:val="2"/>
          <w:sz w:val="18"/>
          <w:szCs w:val="18"/>
          <w:lang w:val="en-US" w:eastAsia="zh-CN" w:bidi="ar-SA"/>
        </w:rPr>
        <w:t xml:space="preserve"> 107(1), pp. 5597-5604.</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Sethi, S.P., Veral, E.A., Shapiro, H.J. and Emelianova, O. (2011) ‘Mattel, Inc.: Global manufacturing principles (GMP) – a life-cycle analysis of a company-based code of conduct in the toy industry’, </w:t>
      </w:r>
      <w:r>
        <w:rPr>
          <w:rFonts w:hint="default" w:ascii="Arial" w:hAnsi="Arial" w:cs="Arial" w:eastAsiaTheme="minorEastAsia"/>
          <w:i/>
          <w:kern w:val="2"/>
          <w:sz w:val="18"/>
          <w:szCs w:val="18"/>
          <w:lang w:val="en-US" w:eastAsia="zh-CN" w:bidi="ar-SA"/>
        </w:rPr>
        <w:t>Journal of Business Ethics,</w:t>
      </w:r>
      <w:r>
        <w:rPr>
          <w:rFonts w:hint="default" w:ascii="Arial" w:hAnsi="Arial" w:cs="Arial" w:eastAsiaTheme="minorEastAsia"/>
          <w:kern w:val="2"/>
          <w:sz w:val="18"/>
          <w:szCs w:val="18"/>
          <w:lang w:val="en-US" w:eastAsia="zh-CN" w:bidi="ar-SA"/>
        </w:rPr>
        <w:t xml:space="preserve"> 99(4), pp. 483-517.</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Shore, H. and Levy, A.J.S. (1978) ‘Impact of fuel shortages on unemployment and product’, </w:t>
      </w:r>
      <w:r>
        <w:rPr>
          <w:rFonts w:hint="default" w:ascii="Arial" w:hAnsi="Arial" w:cs="Arial" w:eastAsiaTheme="minorEastAsia"/>
          <w:i/>
          <w:kern w:val="2"/>
          <w:sz w:val="18"/>
          <w:szCs w:val="18"/>
          <w:lang w:val="en-US" w:eastAsia="zh-CN" w:bidi="ar-SA"/>
        </w:rPr>
        <w:t>Interfaces,</w:t>
      </w:r>
      <w:r>
        <w:rPr>
          <w:rFonts w:hint="default" w:ascii="Arial" w:hAnsi="Arial" w:cs="Arial" w:eastAsiaTheme="minorEastAsia"/>
          <w:kern w:val="2"/>
          <w:sz w:val="18"/>
          <w:szCs w:val="18"/>
          <w:lang w:val="en-US" w:eastAsia="zh-CN" w:bidi="ar-SA"/>
        </w:rPr>
        <w:t xml:space="preserve"> 8(4), pp. 53-54.</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Stenbacka, R. and Van Moer, G. (2023) ‘Overlapping ownership and product innovation’, </w:t>
      </w:r>
      <w:r>
        <w:rPr>
          <w:rFonts w:hint="default" w:ascii="Arial" w:hAnsi="Arial" w:cs="Arial" w:eastAsiaTheme="minorEastAsia"/>
          <w:i/>
          <w:kern w:val="2"/>
          <w:sz w:val="18"/>
          <w:szCs w:val="18"/>
          <w:lang w:val="en-US" w:eastAsia="zh-CN" w:bidi="ar-SA"/>
        </w:rPr>
        <w:t>International Journal of Industrial Organization,</w:t>
      </w:r>
      <w:r>
        <w:rPr>
          <w:rFonts w:hint="default" w:ascii="Arial" w:hAnsi="Arial" w:cs="Arial" w:eastAsiaTheme="minorEastAsia"/>
          <w:kern w:val="2"/>
          <w:sz w:val="18"/>
          <w:szCs w:val="18"/>
          <w:lang w:val="en-US" w:eastAsia="zh-CN" w:bidi="ar-SA"/>
        </w:rPr>
        <w:t xml:space="preserve"> 89, p. 102980.</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Streck, J.M., Lee, J.-W., Walter, A.W., Rosen, R.L., Gareen, I.F., Kircher, S.M., Herman, B.A., Carlos, R.C., Kumar, S., Mayer, I.A., Saba, N.F., Fenske, T.S., Neal, J.W., Atkins, M.B., Hodi, F.S., Kyriakopoulos, C.E., Tempany, C., Shanafelt, T.D., Wagner, L.I., Land, S.R., Park, E.R. and Ostroff, J.S. (2023) ‘Cigarette and alternative tobacco product use among adult cancer survivors enrolled in 9 ECOG-ACRIN clinical trials’, </w:t>
      </w:r>
      <w:r>
        <w:rPr>
          <w:rFonts w:hint="default" w:ascii="Arial" w:hAnsi="Arial" w:cs="Arial" w:eastAsiaTheme="minorEastAsia"/>
          <w:i/>
          <w:kern w:val="2"/>
          <w:sz w:val="18"/>
          <w:szCs w:val="18"/>
          <w:lang w:val="en-US" w:eastAsia="zh-CN" w:bidi="ar-SA"/>
        </w:rPr>
        <w:t>Cancer Epidemiology, Biomarkers &amp; Prevention</w:t>
      </w:r>
      <w:r>
        <w:rPr>
          <w:rFonts w:hint="default" w:ascii="Arial" w:hAnsi="Arial" w:cs="Arial" w:eastAsiaTheme="minorEastAsia"/>
          <w:kern w:val="2"/>
          <w:sz w:val="18"/>
          <w:szCs w:val="18"/>
          <w:lang w:val="en-US" w:eastAsia="zh-CN" w:bidi="ar-SA"/>
        </w:rPr>
        <w:t xml:space="preserve">, OF1-OF6. Available at: </w:t>
      </w:r>
      <w:r>
        <w:rPr>
          <w:rFonts w:hint="default" w:ascii="Arial" w:hAnsi="Arial" w:cs="Arial" w:eastAsiaTheme="minorEastAsia"/>
          <w:kern w:val="2"/>
          <w:sz w:val="18"/>
          <w:szCs w:val="18"/>
          <w:lang w:val="en-US" w:eastAsia="zh-CN" w:bidi="ar-SA"/>
        </w:rPr>
        <w:fldChar w:fldCharType="begin"/>
      </w:r>
      <w:r>
        <w:rPr>
          <w:rFonts w:hint="default" w:ascii="Arial" w:hAnsi="Arial" w:cs="Arial" w:eastAsiaTheme="minorEastAsia"/>
          <w:kern w:val="2"/>
          <w:sz w:val="18"/>
          <w:szCs w:val="18"/>
          <w:lang w:val="en-US" w:eastAsia="zh-CN" w:bidi="ar-SA"/>
        </w:rPr>
        <w:instrText xml:space="preserve"> HYPERLINK "https://doi.org/10.1158/1055-9965.EPI-23-0420" </w:instrText>
      </w:r>
      <w:r>
        <w:rPr>
          <w:rFonts w:hint="default" w:ascii="Arial" w:hAnsi="Arial" w:cs="Arial" w:eastAsiaTheme="minorEastAsia"/>
          <w:kern w:val="2"/>
          <w:sz w:val="18"/>
          <w:szCs w:val="18"/>
          <w:lang w:val="en-US" w:eastAsia="zh-CN" w:bidi="ar-SA"/>
        </w:rPr>
        <w:fldChar w:fldCharType="separate"/>
      </w:r>
      <w:r>
        <w:rPr>
          <w:rStyle w:val="13"/>
          <w:rFonts w:hint="default" w:ascii="Arial" w:hAnsi="Arial" w:cs="Arial" w:eastAsiaTheme="minorEastAsia"/>
          <w:kern w:val="2"/>
          <w:sz w:val="18"/>
          <w:szCs w:val="18"/>
          <w:lang w:val="en-US" w:eastAsia="zh-CN" w:bidi="ar-SA"/>
        </w:rPr>
        <w:t>https://doi.org/10.1158/1055-9965.EPI-23-0420</w:t>
      </w:r>
      <w:r>
        <w:rPr>
          <w:rFonts w:hint="default" w:ascii="Arial" w:hAnsi="Arial" w:cs="Arial" w:eastAsiaTheme="minorEastAsia"/>
          <w:kern w:val="2"/>
          <w:sz w:val="18"/>
          <w:szCs w:val="18"/>
          <w:lang w:val="en-US" w:eastAsia="zh-CN" w:bidi="ar-SA"/>
        </w:rPr>
        <w:fldChar w:fldCharType="end"/>
      </w:r>
      <w:r>
        <w:rPr>
          <w:rFonts w:hint="default" w:ascii="Arial" w:hAnsi="Arial" w:cs="Arial"/>
          <w:kern w:val="2"/>
          <w:sz w:val="18"/>
          <w:szCs w:val="18"/>
          <w:lang w:val="en-US" w:eastAsia="zh-CN" w:bidi="ar-SA"/>
        </w:rPr>
        <w:t xml:space="preserve"> </w:t>
      </w:r>
      <w:r>
        <w:rPr>
          <w:rFonts w:hint="default" w:ascii="Arial" w:hAnsi="Arial" w:cs="Arial" w:eastAsiaTheme="minorEastAsia"/>
          <w:kern w:val="2"/>
          <w:sz w:val="18"/>
          <w:szCs w:val="18"/>
          <w:lang w:val="en-US" w:eastAsia="zh-CN" w:bidi="ar-SA"/>
        </w:rPr>
        <w:t xml:space="preserve">(Accessed: </w:t>
      </w:r>
      <w:r>
        <w:rPr>
          <w:rFonts w:hint="eastAsia" w:ascii="Arial" w:hAnsi="Arial" w:cs="Arial"/>
          <w:kern w:val="2"/>
          <w:sz w:val="18"/>
          <w:szCs w:val="18"/>
          <w:lang w:val="en-US" w:eastAsia="zh-CN" w:bidi="ar-SA"/>
        </w:rPr>
        <w:t>15 July 2023</w:t>
      </w:r>
      <w:r>
        <w:rPr>
          <w:rFonts w:hint="default" w:ascii="Arial" w:hAnsi="Arial" w:cs="Arial" w:eastAsiaTheme="minorEastAsia"/>
          <w:kern w:val="2"/>
          <w:sz w:val="18"/>
          <w:szCs w:val="18"/>
          <w:lang w:val="en-US" w:eastAsia="zh-CN" w:bidi="ar-SA"/>
        </w:rPr>
        <w:t>).</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Tang, Y. (2023) ‘The application and design research of Chinese painting elements in cultural and creative products’, </w:t>
      </w:r>
      <w:r>
        <w:rPr>
          <w:rFonts w:hint="default" w:ascii="Arial" w:hAnsi="Arial" w:cs="Arial" w:eastAsiaTheme="minorEastAsia"/>
          <w:i/>
          <w:kern w:val="2"/>
          <w:sz w:val="18"/>
          <w:szCs w:val="18"/>
          <w:lang w:val="en-US" w:eastAsia="zh-CN" w:bidi="ar-SA"/>
        </w:rPr>
        <w:t>Pacific International Journal,</w:t>
      </w:r>
      <w:r>
        <w:rPr>
          <w:rFonts w:hint="default" w:ascii="Arial" w:hAnsi="Arial" w:cs="Arial" w:eastAsiaTheme="minorEastAsia"/>
          <w:kern w:val="2"/>
          <w:sz w:val="18"/>
          <w:szCs w:val="18"/>
          <w:lang w:val="en-US" w:eastAsia="zh-CN" w:bidi="ar-SA"/>
        </w:rPr>
        <w:t xml:space="preserve"> 6(2), pp. 95-102.</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WebWire (2009) </w:t>
      </w:r>
      <w:r>
        <w:rPr>
          <w:rFonts w:hint="default" w:ascii="Arial" w:hAnsi="Arial" w:cs="Arial" w:eastAsiaTheme="minorEastAsia"/>
          <w:i/>
          <w:kern w:val="2"/>
          <w:sz w:val="18"/>
          <w:szCs w:val="18"/>
          <w:lang w:val="en-US" w:eastAsia="zh-CN" w:bidi="ar-SA"/>
        </w:rPr>
        <w:t>Nortel and Ingram Micro join forces to grow unified communications market in Australia</w:t>
      </w:r>
      <w:r>
        <w:rPr>
          <w:rFonts w:hint="default" w:ascii="Arial" w:hAnsi="Arial" w:cs="Arial" w:eastAsiaTheme="minorEastAsia"/>
          <w:kern w:val="2"/>
          <w:sz w:val="18"/>
          <w:szCs w:val="18"/>
          <w:lang w:val="en-US" w:eastAsia="zh-CN" w:bidi="ar-SA"/>
        </w:rPr>
        <w:t xml:space="preserve">. Available at: </w:t>
      </w:r>
      <w:r>
        <w:rPr>
          <w:rFonts w:hint="default" w:ascii="Arial" w:hAnsi="Arial" w:cs="Arial" w:eastAsiaTheme="minorEastAsia"/>
          <w:kern w:val="2"/>
          <w:sz w:val="18"/>
          <w:szCs w:val="18"/>
          <w:lang w:val="en-US" w:eastAsia="zh-CN" w:bidi="ar-SA"/>
        </w:rPr>
        <w:fldChar w:fldCharType="begin"/>
      </w:r>
      <w:r>
        <w:rPr>
          <w:rFonts w:hint="default" w:ascii="Arial" w:hAnsi="Arial" w:cs="Arial" w:eastAsiaTheme="minorEastAsia"/>
          <w:kern w:val="2"/>
          <w:sz w:val="18"/>
          <w:szCs w:val="18"/>
          <w:lang w:val="en-US" w:eastAsia="zh-CN" w:bidi="ar-SA"/>
        </w:rPr>
        <w:instrText xml:space="preserve"> HYPERLINK "https://www.webwire.com/ViewPressRel.asp?aId=92797" </w:instrText>
      </w:r>
      <w:r>
        <w:rPr>
          <w:rFonts w:hint="default" w:ascii="Arial" w:hAnsi="Arial" w:cs="Arial" w:eastAsiaTheme="minorEastAsia"/>
          <w:kern w:val="2"/>
          <w:sz w:val="18"/>
          <w:szCs w:val="18"/>
          <w:lang w:val="en-US" w:eastAsia="zh-CN" w:bidi="ar-SA"/>
        </w:rPr>
        <w:fldChar w:fldCharType="separate"/>
      </w:r>
      <w:r>
        <w:rPr>
          <w:rStyle w:val="13"/>
          <w:rFonts w:hint="default" w:ascii="Arial" w:hAnsi="Arial" w:cs="Arial" w:eastAsiaTheme="minorEastAsia"/>
          <w:kern w:val="2"/>
          <w:sz w:val="18"/>
          <w:szCs w:val="18"/>
          <w:lang w:val="en-US" w:eastAsia="zh-CN" w:bidi="ar-SA"/>
        </w:rPr>
        <w:t>https://www.webwire.com/ViewPressRel.asp?aId=92797</w:t>
      </w:r>
      <w:r>
        <w:rPr>
          <w:rFonts w:hint="default" w:ascii="Arial" w:hAnsi="Arial" w:cs="Arial" w:eastAsiaTheme="minorEastAsia"/>
          <w:kern w:val="2"/>
          <w:sz w:val="18"/>
          <w:szCs w:val="18"/>
          <w:lang w:val="en-US" w:eastAsia="zh-CN" w:bidi="ar-SA"/>
        </w:rPr>
        <w:fldChar w:fldCharType="end"/>
      </w:r>
      <w:r>
        <w:rPr>
          <w:rFonts w:hint="default" w:ascii="Arial" w:hAnsi="Arial" w:cs="Arial"/>
          <w:kern w:val="2"/>
          <w:sz w:val="18"/>
          <w:szCs w:val="18"/>
          <w:lang w:val="en-US" w:eastAsia="zh-CN" w:bidi="ar-SA"/>
        </w:rPr>
        <w:t xml:space="preserve"> </w:t>
      </w:r>
      <w:r>
        <w:rPr>
          <w:rFonts w:hint="default" w:ascii="Arial" w:hAnsi="Arial" w:cs="Arial" w:eastAsiaTheme="minorEastAsia"/>
          <w:kern w:val="2"/>
          <w:sz w:val="18"/>
          <w:szCs w:val="18"/>
          <w:lang w:val="en-US" w:eastAsia="zh-CN" w:bidi="ar-SA"/>
        </w:rPr>
        <w:t xml:space="preserve">(Accessed: </w:t>
      </w:r>
      <w:r>
        <w:rPr>
          <w:rFonts w:hint="eastAsia" w:ascii="Arial" w:hAnsi="Arial" w:cs="Arial"/>
          <w:kern w:val="2"/>
          <w:sz w:val="18"/>
          <w:szCs w:val="18"/>
          <w:lang w:val="en-US" w:eastAsia="zh-CN" w:bidi="ar-SA"/>
        </w:rPr>
        <w:t>15 July 2023</w:t>
      </w:r>
      <w:r>
        <w:rPr>
          <w:rFonts w:hint="default" w:ascii="Arial" w:hAnsi="Arial" w:cs="Arial" w:eastAsiaTheme="minorEastAsia"/>
          <w:kern w:val="2"/>
          <w:sz w:val="18"/>
          <w:szCs w:val="18"/>
          <w:lang w:val="en-US" w:eastAsia="zh-CN" w:bidi="ar-SA"/>
        </w:rPr>
        <w:t>).</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Whang, J.B., Chang, W. and Lee, J.H. (2023) ‘Interactive and synergistic relationships among different types of innovations’, </w:t>
      </w:r>
      <w:r>
        <w:rPr>
          <w:rFonts w:hint="default" w:ascii="Arial" w:hAnsi="Arial" w:cs="Arial" w:eastAsiaTheme="minorEastAsia"/>
          <w:i/>
          <w:kern w:val="2"/>
          <w:sz w:val="18"/>
          <w:szCs w:val="18"/>
          <w:lang w:val="en-US" w:eastAsia="zh-CN" w:bidi="ar-SA"/>
        </w:rPr>
        <w:t>Journal of Retailing and Consumer Services,</w:t>
      </w:r>
      <w:r>
        <w:rPr>
          <w:rFonts w:hint="default" w:ascii="Arial" w:hAnsi="Arial" w:cs="Arial" w:eastAsiaTheme="minorEastAsia"/>
          <w:kern w:val="2"/>
          <w:sz w:val="18"/>
          <w:szCs w:val="18"/>
          <w:lang w:val="en-US" w:eastAsia="zh-CN" w:bidi="ar-SA"/>
        </w:rPr>
        <w:t xml:space="preserve"> 74, p. 103422.</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Xue, B., Moustaid-Moussa, N., Wilkison, W.O. and Zemel, M.B. (1998) ‘The</w:t>
      </w:r>
      <w:r>
        <w:rPr>
          <w:rFonts w:hint="default" w:ascii="Arial" w:hAnsi="Arial" w:cs="Arial" w:eastAsiaTheme="minorEastAsia"/>
          <w:i/>
          <w:kern w:val="2"/>
          <w:sz w:val="18"/>
          <w:szCs w:val="18"/>
          <w:lang w:val="en-US" w:eastAsia="zh-CN" w:bidi="ar-SA"/>
        </w:rPr>
        <w:t xml:space="preserve"> agouti</w:t>
      </w:r>
      <w:r>
        <w:rPr>
          <w:rFonts w:hint="default" w:ascii="Arial" w:hAnsi="Arial" w:cs="Arial" w:eastAsiaTheme="minorEastAsia"/>
          <w:kern w:val="2"/>
          <w:sz w:val="18"/>
          <w:szCs w:val="18"/>
          <w:lang w:val="en-US" w:eastAsia="zh-CN" w:bidi="ar-SA"/>
        </w:rPr>
        <w:t xml:space="preserve"> gene product inhibits lipolysis in human adipocytes via a Ca</w:t>
      </w:r>
      <w:r>
        <w:rPr>
          <w:rFonts w:hint="default" w:ascii="Arial" w:hAnsi="Arial" w:cs="Arial" w:eastAsiaTheme="minorEastAsia"/>
          <w:kern w:val="2"/>
          <w:sz w:val="18"/>
          <w:szCs w:val="18"/>
          <w:vertAlign w:val="superscript"/>
          <w:lang w:val="en-US" w:eastAsia="zh-CN" w:bidi="ar-SA"/>
        </w:rPr>
        <w:t>2+</w:t>
      </w:r>
      <w:r>
        <w:rPr>
          <w:rFonts w:hint="default" w:ascii="Arial" w:hAnsi="Arial" w:cs="Arial" w:eastAsiaTheme="minorEastAsia"/>
          <w:kern w:val="2"/>
          <w:sz w:val="18"/>
          <w:szCs w:val="18"/>
          <w:lang w:val="en-US" w:eastAsia="zh-CN" w:bidi="ar-SA"/>
        </w:rPr>
        <w:t xml:space="preserve">-dependent mechanism’, </w:t>
      </w:r>
      <w:r>
        <w:rPr>
          <w:rFonts w:hint="default" w:ascii="Arial" w:hAnsi="Arial" w:cs="Arial" w:eastAsiaTheme="minorEastAsia"/>
          <w:i/>
          <w:kern w:val="2"/>
          <w:sz w:val="18"/>
          <w:szCs w:val="18"/>
          <w:lang w:val="en-US" w:eastAsia="zh-CN" w:bidi="ar-SA"/>
        </w:rPr>
        <w:t>The FASEB Journal,</w:t>
      </w:r>
      <w:r>
        <w:rPr>
          <w:rFonts w:hint="default" w:ascii="Arial" w:hAnsi="Arial" w:cs="Arial" w:eastAsiaTheme="minorEastAsia"/>
          <w:kern w:val="2"/>
          <w:sz w:val="18"/>
          <w:szCs w:val="18"/>
          <w:lang w:val="en-US" w:eastAsia="zh-CN" w:bidi="ar-SA"/>
        </w:rPr>
        <w:t xml:space="preserve"> 12(13), pp. 1391-1396.</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Yu, Y., Zhao, H., Shi, C., Fang, Y., Feng, Y. and Zhao, L. (2023) ‘Study on the effect of different fillers on tablet properties of natural plant products: quality regulation and formulation recommendation’, </w:t>
      </w:r>
      <w:r>
        <w:rPr>
          <w:rFonts w:hint="default" w:ascii="Arial" w:hAnsi="Arial" w:cs="Arial" w:eastAsiaTheme="minorEastAsia"/>
          <w:i/>
          <w:kern w:val="2"/>
          <w:sz w:val="18"/>
          <w:szCs w:val="18"/>
          <w:lang w:val="en-US" w:eastAsia="zh-CN" w:bidi="ar-SA"/>
        </w:rPr>
        <w:t>Journal of Drug Delivery Science and Technology,</w:t>
      </w:r>
      <w:r>
        <w:rPr>
          <w:rFonts w:hint="default" w:ascii="Arial" w:hAnsi="Arial" w:cs="Arial" w:eastAsiaTheme="minorEastAsia"/>
          <w:kern w:val="2"/>
          <w:sz w:val="18"/>
          <w:szCs w:val="18"/>
          <w:lang w:val="en-US" w:eastAsia="zh-CN" w:bidi="ar-SA"/>
        </w:rPr>
        <w:t xml:space="preserve"> 84, p. 104444.</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rPr>
          <w:rFonts w:hint="default" w:ascii="Arial" w:hAnsi="Arial" w:cs="Arial" w:eastAsiaTheme="minorEastAsia"/>
          <w:kern w:val="2"/>
          <w:sz w:val="18"/>
          <w:szCs w:val="18"/>
          <w:lang w:val="en-US" w:eastAsia="zh-CN" w:bidi="ar-SA"/>
        </w:rPr>
      </w:pPr>
      <w:r>
        <w:rPr>
          <w:rFonts w:hint="default" w:ascii="Arial" w:hAnsi="Arial" w:cs="Arial" w:eastAsiaTheme="minorEastAsia"/>
          <w:kern w:val="2"/>
          <w:sz w:val="18"/>
          <w:szCs w:val="18"/>
          <w:lang w:val="en-US" w:eastAsia="zh-CN" w:bidi="ar-SA"/>
        </w:rPr>
        <w:t xml:space="preserve">Yuan, W., Dong, Z., Xue, J., Luo, L. and Xue, Y. (2023) ‘Which visual elements on packaging affect perceived credibility? A case study of in vitro diagnostic kits’, </w:t>
      </w:r>
      <w:r>
        <w:rPr>
          <w:rFonts w:hint="default" w:ascii="Arial" w:hAnsi="Arial" w:cs="Arial" w:eastAsiaTheme="minorEastAsia"/>
          <w:i/>
          <w:kern w:val="2"/>
          <w:sz w:val="18"/>
          <w:szCs w:val="18"/>
          <w:lang w:val="en-US" w:eastAsia="zh-CN" w:bidi="ar-SA"/>
        </w:rPr>
        <w:t>Heliyon,</w:t>
      </w:r>
      <w:r>
        <w:rPr>
          <w:rFonts w:hint="default" w:ascii="Arial" w:hAnsi="Arial" w:cs="Arial" w:eastAsiaTheme="minorEastAsia"/>
          <w:kern w:val="2"/>
          <w:sz w:val="18"/>
          <w:szCs w:val="18"/>
          <w:lang w:val="en-US" w:eastAsia="zh-CN" w:bidi="ar-SA"/>
        </w:rPr>
        <w:t xml:space="preserve"> 9(6), p. e17239.</w:t>
      </w:r>
    </w:p>
    <w:p>
      <w:pPr>
        <w:pStyle w:val="19"/>
        <w:keepNext w:val="0"/>
        <w:keepLines w:val="0"/>
        <w:pageBreakBefore w:val="0"/>
        <w:kinsoku/>
        <w:wordWrap/>
        <w:overflowPunct/>
        <w:topLinePunct w:val="0"/>
        <w:autoSpaceDE/>
        <w:autoSpaceDN/>
        <w:bidi w:val="0"/>
        <w:adjustRightInd/>
        <w:snapToGrid/>
        <w:spacing w:after="313" w:afterLines="100" w:line="360" w:lineRule="auto"/>
        <w:ind w:left="0" w:firstLine="0"/>
        <w:textAlignment w:val="auto"/>
      </w:pPr>
      <w:r>
        <w:rPr>
          <w:rFonts w:hint="default" w:ascii="Arial" w:hAnsi="Arial" w:cs="Arial" w:eastAsiaTheme="minorEastAsia"/>
          <w:kern w:val="2"/>
          <w:sz w:val="18"/>
          <w:szCs w:val="18"/>
          <w:lang w:val="en-US" w:eastAsia="zh-CN" w:bidi="ar-SA"/>
        </w:rPr>
        <w:t xml:space="preserve">Zhang, L. and Xue, B. (2022) ‘Strategic analysis of Starbucks’, </w:t>
      </w:r>
      <w:r>
        <w:rPr>
          <w:rFonts w:hint="default" w:ascii="Arial" w:hAnsi="Arial" w:cs="Arial" w:eastAsiaTheme="minorEastAsia"/>
          <w:i/>
          <w:kern w:val="2"/>
          <w:sz w:val="18"/>
          <w:szCs w:val="18"/>
          <w:lang w:val="en-US" w:eastAsia="zh-CN" w:bidi="ar-SA"/>
        </w:rPr>
        <w:t>Financial Engineering and Risk Management,</w:t>
      </w:r>
      <w:r>
        <w:rPr>
          <w:rFonts w:hint="default" w:ascii="Arial" w:hAnsi="Arial" w:cs="Arial" w:eastAsiaTheme="minorEastAsia"/>
          <w:kern w:val="2"/>
          <w:sz w:val="18"/>
          <w:szCs w:val="18"/>
          <w:lang w:val="en-US" w:eastAsia="zh-CN" w:bidi="ar-SA"/>
        </w:rPr>
        <w:t xml:space="preserve"> 5(7), pp. 106-113.</w:t>
      </w:r>
    </w:p>
    <w:p>
      <w:pPr>
        <w:jc w:val="left"/>
        <w:rPr>
          <w:rFonts w:eastAsiaTheme="minorEastAsia"/>
          <w:sz w:val="18"/>
          <w:lang w:eastAsia="zh-Hans"/>
        </w:rPr>
      </w:pPr>
      <w:r>
        <w:rPr>
          <w:rFonts w:eastAsiaTheme="minorEastAsia"/>
          <w:sz w:val="18"/>
          <w:lang w:eastAsia="zh-Hans"/>
        </w:rPr>
        <w:br w:type="page"/>
      </w:r>
    </w:p>
    <w:p>
      <w:pPr>
        <w:pStyle w:val="2"/>
        <w:rPr>
          <w:lang w:eastAsia="zh-Hans"/>
        </w:rPr>
        <w:sectPr>
          <w:headerReference r:id="rId24" w:type="default"/>
          <w:pgSz w:w="11906" w:h="16838"/>
          <w:pgMar w:top="1440" w:right="1800" w:bottom="1440" w:left="1800" w:header="851" w:footer="992" w:gutter="0"/>
          <w:pgNumType w:fmt="decimal"/>
          <w:cols w:space="425" w:num="1"/>
          <w:docGrid w:type="lines" w:linePitch="312" w:charSpace="0"/>
        </w:sectPr>
      </w:pPr>
      <w:bookmarkStart w:id="58" w:name="_Toc1002155853"/>
    </w:p>
    <w:p>
      <w:pPr>
        <w:pStyle w:val="2"/>
        <w:rPr>
          <w:lang w:eastAsia="zh-Hans"/>
        </w:rPr>
      </w:pPr>
      <w:r>
        <w:rPr>
          <w:lang w:eastAsia="zh-Hans"/>
        </w:rPr>
        <w:t>Appendix</w:t>
      </w:r>
      <w:bookmarkEnd w:id="58"/>
    </w:p>
    <w:p>
      <w:pPr>
        <w:rPr>
          <w:lang w:eastAsia="zh-Hans"/>
        </w:rPr>
      </w:pPr>
      <w:r>
        <w:rPr>
          <w:lang w:eastAsia="zh-Hans"/>
        </w:rPr>
        <w:t>Nike, Inc. is a global footwear, apparel, equipment, and accessories company that has emerged as one of the world's most iconic and successful brands. Established in 1964 as Blue Ribbon Sports by Bill Bowerman and Phil Knight, Nike has evolved into a dominant force in the sports industry, renowned for its innovative designs, marketing prowess, and strong corporate culture.</w:t>
      </w:r>
    </w:p>
    <w:p>
      <w:pPr>
        <w:rPr>
          <w:lang w:eastAsia="zh-Hans"/>
        </w:rPr>
      </w:pPr>
      <w:r>
        <w:rPr>
          <w:lang w:eastAsia="zh-Hans"/>
        </w:rPr>
        <w:t>The roots of Nike can be traced back to the University of Oregon, where Bowerman was a track and field coach, and Knight was a student-athlete. Bowerman's relentless pursuit of designing better athletic shoes led him to experiment with various materials and designs. Recognizing the potential of Bowerman's ideas, Knight proposed a business venture to import and distribute Japanese athletic shoes, which were known for their superior quality and lower cost. With a $500 investment, they formed Blue Ribbon Sports, operating as a distributor for the Japanese shoe manufacturer Onitsuka Tiger, now known as ASICS.</w:t>
      </w:r>
    </w:p>
    <w:p>
      <w:pPr>
        <w:rPr>
          <w:lang w:eastAsia="zh-Hans"/>
        </w:rPr>
      </w:pPr>
      <w:r>
        <w:rPr>
          <w:lang w:eastAsia="zh-Hans"/>
        </w:rPr>
        <w:t>Blue Ribbon Sports experienced steady growth in the 1960s, primarily through its direct sales at track meets. In 1971, the company decided to transition from a distributor to a manufacturer, and Knight officially rebranded Blue Ribbon Sports as Nike, named after the Greek goddess of victory. The iconic Swoosh logo, designed by Carolyn Davidson, was introduced around the same time and has since become one of the most recognized symbols worldwide.</w:t>
      </w:r>
    </w:p>
    <w:p>
      <w:pPr>
        <w:rPr>
          <w:lang w:eastAsia="zh-Hans"/>
        </w:rPr>
      </w:pPr>
      <w:r>
        <w:rPr>
          <w:lang w:eastAsia="zh-Hans"/>
        </w:rPr>
        <w:t>In the early years, Nike faced numerous challenges, including fierce competition from established brands like Adidas and Puma. However, the company's breakthrough came in 1972 with the introduction of the Nike Cortez, a lightweight running shoe that quickly gained popularity among athletes and consumers alike. The success of the Cortez propelled Nike's growth, and by 1979, the company went public, further fueling its expansion.</w:t>
      </w:r>
    </w:p>
    <w:p>
      <w:pPr>
        <w:rPr>
          <w:lang w:eastAsia="zh-Hans"/>
        </w:rPr>
      </w:pPr>
      <w:r>
        <w:rPr>
          <w:lang w:eastAsia="zh-Hans"/>
        </w:rPr>
        <w:t>Throughout the 1980s, Nike solidified its position as a leading athletic footwear brand, introducing innovative products such as the Air Force 1, Air Max, and Air Jordan series. These groundbreaking designs incorporated cutting-edge technologies like air cushioning, revolutionizing the comfort and performance of athletic shoes. Nike's collaborations with high-profile athletes, including Michael Jordan, Bo Jackson, and Andre Agassi, elevated its brand image and contributed to its success.</w:t>
      </w:r>
    </w:p>
    <w:p>
      <w:pPr>
        <w:rPr>
          <w:lang w:eastAsia="zh-Hans"/>
        </w:rPr>
      </w:pPr>
      <w:r>
        <w:rPr>
          <w:lang w:eastAsia="zh-Hans"/>
        </w:rPr>
        <w:t>In addition to its product innovations, Nike revolutionized sports marketing by employing bold advertising campaigns and strategic endorsements. The iconic "Just Do It" slogan, launched in 1988, captured the essence of Nike's brand philosophy, inspiring individuals to pursue their athletic ambitions. Nike's endorsement deals with superstar athletes, such as Michael Jordan, Serena Williams, Cristiano Ronaldo, and LeBron James, have helped create a powerful association between the brand and sporting excellence.</w:t>
      </w:r>
    </w:p>
    <w:p>
      <w:pPr>
        <w:rPr>
          <w:lang w:eastAsia="zh-Hans"/>
        </w:rPr>
      </w:pPr>
      <w:r>
        <w:rPr>
          <w:lang w:eastAsia="zh-Hans"/>
        </w:rPr>
        <w:t>As Nike expanded its product offerings beyond footwear, it ventured into apparel, equipment, and accessories. The company's diverse product portfolio now includes clothing lines for various sports, including basketball, soccer, running, and golf, as well as a range of fitness trackers and smart sportswear. Nike's commitment to innovation and sustainability is evident in initiatives like Flyknit technology, which reduces waste and enhances performance, and the Move to Zero program, focused on achieving a more sustainable future.</w:t>
      </w:r>
    </w:p>
    <w:p>
      <w:pPr>
        <w:rPr>
          <w:lang w:eastAsia="zh-Hans"/>
        </w:rPr>
      </w:pPr>
      <w:r>
        <w:rPr>
          <w:lang w:eastAsia="zh-Hans"/>
        </w:rPr>
        <w:t>With its headquarters in Beaverton, Oregon, Nike operates a vast global network of retail stores, including Nike-owned stores and partnerships with other retailers. It has also embraced e-commerce, offering a seamless online shopping experience through its website and mobile applications. The company's strong digital presence and direct-to-consumer approach have further bolstered its market reach and customer engagement.</w:t>
      </w:r>
    </w:p>
    <w:p>
      <w:pPr>
        <w:rPr>
          <w:lang w:eastAsia="zh-Hans"/>
        </w:rPr>
      </w:pPr>
      <w:r>
        <w:rPr>
          <w:lang w:eastAsia="zh-Hans"/>
        </w:rPr>
        <w:t>Nike's success has not been without controversies. Over the years, the company has faced criticism regarding labor practices in its overseas factories, environmental impact, and controversial sponsorships. However, Nike has made significant efforts to address these concerns, implementing labor and environmental standards, collaborating with organizations to improve working conditions, and supporting social causes through initiatives like the Nike Foundation.</w:t>
      </w:r>
    </w:p>
    <w:p>
      <w:pPr>
        <w:rPr>
          <w:lang w:eastAsia="zh-Hans"/>
        </w:rPr>
      </w:pPr>
      <w:r>
        <w:rPr>
          <w:lang w:eastAsia="zh-Hans"/>
        </w:rPr>
        <w:t>Despite the challenges, Nike's global dominance continues to grow. Its annual revenue exceeds tens of billions of dollars, and the brand's influence extends far beyond the sports industry. Nike's iconic status and commitment to innovation have cemented its position as a cultural phenomenon, inspiring athletes and consumers worldwide to push their boundaries and embrace the pursuit of excellence.</w:t>
      </w:r>
    </w:p>
    <w:p>
      <w:pPr>
        <w:rPr>
          <w:rFonts w:eastAsiaTheme="minorEastAsia"/>
          <w:lang w:eastAsia="zh-Hans"/>
        </w:rPr>
      </w:pPr>
    </w:p>
    <w:p>
      <w:pPr>
        <w:rPr>
          <w:rFonts w:eastAsiaTheme="minorEastAsia"/>
          <w:lang w:eastAsia="zh-Hans"/>
        </w:rPr>
      </w:pPr>
    </w:p>
    <w:sectPr>
      <w:headerReference r:id="rId2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Calibri Light">
    <w:altName w:val="Helvetica Neue"/>
    <w:panose1 w:val="020F0302020204030204"/>
    <w:charset w:val="00"/>
    <w:family w:val="swiss"/>
    <w:pitch w:val="default"/>
    <w:sig w:usb0="00000000" w:usb1="00000000" w:usb2="00000009" w:usb3="00000000" w:csb0="000001FF" w:csb1="00000000"/>
  </w:font>
  <w:font w:name="Times New Roman Regular">
    <w:panose1 w:val="02020603050405020304"/>
    <w:charset w:val="00"/>
    <w:family w:val="auto"/>
    <w:pitch w:val="default"/>
    <w:sig w:usb0="00000000" w:usb1="00000000" w:usb2="00000000" w:usb3="00000000" w:csb0="00000000" w:csb1="00000000"/>
  </w:font>
  <w:font w:name="Arial Bold">
    <w:panose1 w:val="020B0604020202020204"/>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OGA044yAgAAYQQAAA4AAAAAAAAAAQAgAAAA&#10;NQEAAGRycy9lMm9Eb2MueG1sUEsFBgAAAAAGAAYAWQEAANk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jq0RMgIAAGEEAAAOAAAAZHJz&#10;L2Uyb0RvYy54bWytVM2O0zAQviPxDpbvNGlRV1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95O&#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H+OrREyAgAAYQQAAA4AAAAAAAAAAQAgAAAA&#10;NQEAAGRycy9lMm9Eb2MueG1sUEsFBgAAAAAGAAYAWQEAANk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jc w:val="right"/>
      <w:rPr>
        <w:rFonts w:hint="default" w:eastAsia="Arial"/>
        <w:sz w:val="36"/>
        <w:szCs w:val="36"/>
        <w:lang w:val="en-US" w:eastAsia="zh-Hans"/>
      </w:rPr>
    </w:pPr>
    <w:r>
      <w:rPr>
        <w:rFonts w:hint="eastAsia"/>
        <w:sz w:val="36"/>
        <w:szCs w:val="36"/>
        <w:lang w:val="en-US" w:eastAsia="zh-Hans"/>
      </w:rPr>
      <w:t>Content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jc w:val="right"/>
      <w:rPr>
        <w:rFonts w:hint="default" w:ascii="Arial Bold" w:hAnsi="Arial Bold" w:eastAsia="Arial" w:cs="Arial Bold"/>
        <w:b/>
        <w:bCs/>
        <w:sz w:val="36"/>
        <w:szCs w:val="36"/>
        <w:lang w:val="en-US" w:eastAsia="zh-Han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jc w:val="right"/>
      <w:rPr>
        <w:rFonts w:hint="default" w:ascii="Arial Bold" w:hAnsi="Arial Bold" w:eastAsia="Arial" w:cs="Arial Bold"/>
        <w:b/>
        <w:bCs/>
        <w:sz w:val="36"/>
        <w:szCs w:val="36"/>
        <w:lang w:val="en-US" w:eastAsia="zh-Hans"/>
      </w:rPr>
    </w:pPr>
    <w:r>
      <w:rPr>
        <w:rFonts w:hint="eastAsia" w:ascii="Arial Bold" w:hAnsi="Arial Bold" w:eastAsia="Arial" w:cs="Arial Bold"/>
        <w:b/>
        <w:bCs/>
        <w:sz w:val="36"/>
        <w:szCs w:val="36"/>
        <w:lang w:val="en-US" w:eastAsia="zh-Hans"/>
      </w:rPr>
      <w:t>Content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Bdr>
        <w:bottom w:val="none" w:color="auto" w:sz="0" w:space="0"/>
      </w:pBdr>
      <w:jc w:val="right"/>
      <w:rPr>
        <w:lang w:eastAsia="zh-Hans"/>
      </w:rPr>
    </w:pPr>
    <w:r>
      <w:rPr>
        <w:rFonts w:hint="default"/>
        <w:lang w:eastAsia="zh-Hans"/>
      </w:rPr>
      <w:t>Executive</w:t>
    </w:r>
    <w:r>
      <w:rPr>
        <w:lang w:eastAsia="zh-Hans"/>
      </w:rPr>
      <w:t xml:space="preserve"> Summary</w:t>
    </w:r>
  </w:p>
  <w:p>
    <w:pPr>
      <w:pStyle w:val="8"/>
      <w:pBdr>
        <w:bottom w:val="none" w:color="auto" w:sz="0" w:space="1"/>
      </w:pBdr>
      <w:jc w:val="center"/>
      <w:rPr>
        <w:rFonts w:hint="default" w:eastAsia="Arial"/>
        <w:lang w:val="en-US" w:eastAsia="zh-Han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jc w:val="right"/>
      <w:rPr>
        <w:rFonts w:hint="eastAsia" w:eastAsia="Arial"/>
        <w:sz w:val="36"/>
        <w:szCs w:val="36"/>
        <w:lang w:val="en-US" w:eastAsia="zh-Hans"/>
      </w:rPr>
    </w:pPr>
    <w:r>
      <w:rPr>
        <w:rFonts w:hint="eastAsia" w:eastAsia="Arial"/>
        <w:sz w:val="36"/>
        <w:szCs w:val="36"/>
        <w:lang w:val="en-US" w:eastAsia="zh-Hans"/>
      </w:rPr>
      <w:t>Introduction</w:t>
    </w:r>
  </w:p>
  <w:p>
    <w:pPr>
      <w:pStyle w:val="8"/>
      <w:pBdr>
        <w:bottom w:val="none" w:color="auto" w:sz="0" w:space="1"/>
      </w:pBdr>
      <w:jc w:val="right"/>
      <w:rPr>
        <w:rFonts w:hint="default" w:eastAsia="Arial"/>
        <w:sz w:val="36"/>
        <w:szCs w:val="36"/>
        <w:lang w:val="en-US" w:eastAsia="zh-Hans"/>
      </w:rPr>
    </w:pPr>
    <w:r>
      <w:rPr>
        <w:rFonts w:hint="eastAsia" w:eastAsia="Arial"/>
        <w:sz w:val="36"/>
        <w:szCs w:val="36"/>
        <w:lang w:val="en-US" w:eastAsia="zh-Hans"/>
      </w:rPr>
      <w:t>Market</w:t>
    </w:r>
    <w:r>
      <w:rPr>
        <w:rFonts w:hint="default" w:eastAsia="Arial"/>
        <w:sz w:val="36"/>
        <w:szCs w:val="36"/>
        <w:lang w:eastAsia="zh-Hans"/>
      </w:rPr>
      <w:t xml:space="preserve"> </w:t>
    </w:r>
    <w:r>
      <w:rPr>
        <w:rFonts w:hint="eastAsia" w:eastAsia="Arial"/>
        <w:sz w:val="36"/>
        <w:szCs w:val="36"/>
        <w:lang w:val="en-US" w:eastAsia="zh-Hans"/>
      </w:rPr>
      <w:t>Analysis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jc w:val="right"/>
      <w:rPr>
        <w:rFonts w:hint="default" w:eastAsia="Arial"/>
        <w:sz w:val="36"/>
        <w:szCs w:val="36"/>
        <w:lang w:val="en-US" w:eastAsia="zh-Hans"/>
      </w:rPr>
    </w:pPr>
    <w:r>
      <w:rPr>
        <w:rFonts w:hint="eastAsia" w:eastAsia="Arial"/>
        <w:sz w:val="36"/>
        <w:szCs w:val="36"/>
        <w:lang w:val="en-US" w:eastAsia="zh-Hans"/>
      </w:rPr>
      <w:t>Market</w:t>
    </w:r>
    <w:r>
      <w:rPr>
        <w:rFonts w:hint="default" w:eastAsia="Arial"/>
        <w:sz w:val="36"/>
        <w:szCs w:val="36"/>
        <w:lang w:eastAsia="zh-Hans"/>
      </w:rPr>
      <w:t xml:space="preserve"> </w:t>
    </w:r>
    <w:r>
      <w:rPr>
        <w:rFonts w:hint="eastAsia" w:eastAsia="Arial"/>
        <w:sz w:val="36"/>
        <w:szCs w:val="36"/>
        <w:lang w:val="en-US" w:eastAsia="zh-Hans"/>
      </w:rPr>
      <w:t>Analysis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jc w:val="right"/>
      <w:rPr>
        <w:rFonts w:hint="eastAsia" w:eastAsia="Arial"/>
        <w:sz w:val="36"/>
        <w:szCs w:val="36"/>
        <w:lang w:val="en-US" w:eastAsia="zh-Hans"/>
      </w:rPr>
    </w:pPr>
    <w:r>
      <w:rPr>
        <w:rFonts w:hint="eastAsia" w:eastAsia="Arial"/>
        <w:sz w:val="36"/>
        <w:szCs w:val="36"/>
        <w:lang w:val="en-US" w:eastAsia="zh-Hans"/>
      </w:rPr>
      <w:t>Market</w:t>
    </w:r>
    <w:r>
      <w:rPr>
        <w:rFonts w:hint="default" w:eastAsia="Arial"/>
        <w:sz w:val="36"/>
        <w:szCs w:val="36"/>
        <w:lang w:eastAsia="zh-Hans"/>
      </w:rPr>
      <w:t xml:space="preserve"> </w:t>
    </w:r>
    <w:r>
      <w:rPr>
        <w:rFonts w:hint="eastAsia" w:eastAsia="Arial"/>
        <w:sz w:val="36"/>
        <w:szCs w:val="36"/>
        <w:lang w:val="en-US" w:eastAsia="zh-Hans"/>
      </w:rPr>
      <w:t>Analysis</w:t>
    </w:r>
  </w:p>
  <w:p>
    <w:pPr>
      <w:pStyle w:val="8"/>
      <w:pBdr>
        <w:bottom w:val="none" w:color="auto" w:sz="0" w:space="1"/>
      </w:pBdr>
      <w:wordWrap w:val="0"/>
      <w:jc w:val="right"/>
      <w:rPr>
        <w:rFonts w:hint="default" w:eastAsia="Arial"/>
        <w:sz w:val="36"/>
        <w:szCs w:val="36"/>
        <w:lang w:val="en-US" w:eastAsia="zh-Hans"/>
      </w:rPr>
    </w:pPr>
    <w:r>
      <w:rPr>
        <w:rFonts w:hint="eastAsia" w:eastAsia="Arial"/>
        <w:sz w:val="36"/>
        <w:szCs w:val="36"/>
        <w:lang w:val="en-US" w:eastAsia="zh-Hans"/>
      </w:rPr>
      <w:t>Strategy</w:t>
    </w:r>
    <w:r>
      <w:rPr>
        <w:rFonts w:hint="default" w:eastAsia="Arial"/>
        <w:sz w:val="36"/>
        <w:szCs w:val="36"/>
        <w:lang w:eastAsia="zh-Hans"/>
      </w:rPr>
      <w:t xml:space="preserve"> </w:t>
    </w:r>
    <w:r>
      <w:rPr>
        <w:rFonts w:hint="eastAsia" w:eastAsia="Arial"/>
        <w:sz w:val="36"/>
        <w:szCs w:val="36"/>
        <w:lang w:val="en-US" w:eastAsia="zh-Hans"/>
      </w:rPr>
      <w:t>Analysis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wordWrap w:val="0"/>
      <w:jc w:val="right"/>
      <w:rPr>
        <w:rFonts w:hint="default" w:eastAsia="Arial"/>
        <w:sz w:val="36"/>
        <w:szCs w:val="36"/>
        <w:lang w:val="en-US" w:eastAsia="zh-Hans"/>
      </w:rPr>
    </w:pPr>
    <w:r>
      <w:rPr>
        <w:rFonts w:hint="eastAsia" w:eastAsia="Arial"/>
        <w:sz w:val="36"/>
        <w:szCs w:val="36"/>
        <w:lang w:val="en-US" w:eastAsia="zh-Hans"/>
      </w:rPr>
      <w:t>Strategy</w:t>
    </w:r>
    <w:r>
      <w:rPr>
        <w:rFonts w:hint="default" w:eastAsia="Arial"/>
        <w:sz w:val="36"/>
        <w:szCs w:val="36"/>
        <w:lang w:eastAsia="zh-Hans"/>
      </w:rPr>
      <w:t xml:space="preserve"> </w:t>
    </w:r>
    <w:r>
      <w:rPr>
        <w:rFonts w:hint="eastAsia" w:eastAsia="Arial"/>
        <w:sz w:val="36"/>
        <w:szCs w:val="36"/>
        <w:lang w:val="en-US" w:eastAsia="zh-Hans"/>
      </w:rPr>
      <w:t>Analysis</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wordWrap w:val="0"/>
      <w:jc w:val="right"/>
      <w:rPr>
        <w:rFonts w:hint="eastAsia" w:eastAsia="Arial"/>
        <w:sz w:val="36"/>
        <w:szCs w:val="36"/>
        <w:lang w:val="en-US" w:eastAsia="zh-Hans"/>
      </w:rPr>
    </w:pPr>
    <w:r>
      <w:rPr>
        <w:rFonts w:hint="eastAsia" w:eastAsia="Arial"/>
        <w:sz w:val="36"/>
        <w:szCs w:val="36"/>
        <w:lang w:val="en-US" w:eastAsia="zh-Hans"/>
      </w:rPr>
      <w:t>Strategy</w:t>
    </w:r>
    <w:r>
      <w:rPr>
        <w:rFonts w:hint="default" w:eastAsia="Arial"/>
        <w:sz w:val="36"/>
        <w:szCs w:val="36"/>
        <w:lang w:eastAsia="zh-Hans"/>
      </w:rPr>
      <w:t xml:space="preserve"> </w:t>
    </w:r>
    <w:r>
      <w:rPr>
        <w:rFonts w:hint="eastAsia" w:eastAsia="Arial"/>
        <w:sz w:val="36"/>
        <w:szCs w:val="36"/>
        <w:lang w:val="en-US" w:eastAsia="zh-Hans"/>
      </w:rPr>
      <w:t>Analysis</w:t>
    </w:r>
  </w:p>
  <w:p>
    <w:pPr>
      <w:pStyle w:val="8"/>
      <w:pBdr>
        <w:bottom w:val="none" w:color="auto" w:sz="0" w:space="1"/>
      </w:pBdr>
      <w:wordWrap/>
      <w:jc w:val="right"/>
      <w:rPr>
        <w:rFonts w:hint="default" w:eastAsia="Arial"/>
        <w:sz w:val="36"/>
        <w:szCs w:val="36"/>
        <w:lang w:val="en-US" w:eastAsia="zh-Hans"/>
      </w:rPr>
    </w:pPr>
    <w:r>
      <w:rPr>
        <w:sz w:val="36"/>
        <w:szCs w:val="36"/>
      </w:rPr>
      <w:t>PESTLE Analysis, SWOT Analysis and Michael Porter’s Five Forces Mode</w:t>
    </w:r>
    <w:r>
      <w:rPr>
        <w:sz w:val="18"/>
        <w:szCs w:val="18"/>
      </w:rPr>
      <w:t>l</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wordWrap/>
      <w:jc w:val="right"/>
      <w:rPr>
        <w:rFonts w:hint="default" w:eastAsia="Arial"/>
        <w:sz w:val="36"/>
        <w:szCs w:val="36"/>
        <w:lang w:val="en-US" w:eastAsia="zh-Hans"/>
      </w:rPr>
    </w:pPr>
    <w:r>
      <w:rPr>
        <w:sz w:val="36"/>
        <w:szCs w:val="36"/>
      </w:rPr>
      <w:t>PESTLE Analysis, SWOT Analysis and Michael Porter’s Five Forces Mode</w:t>
    </w:r>
    <w:r>
      <w:rPr>
        <w:sz w:val="18"/>
        <w:szCs w:val="18"/>
      </w:rPr>
      <w:t>l</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wordWrap/>
      <w:jc w:val="right"/>
      <w:rPr>
        <w:sz w:val="36"/>
        <w:szCs w:val="36"/>
      </w:rPr>
    </w:pPr>
    <w:r>
      <w:rPr>
        <w:sz w:val="36"/>
        <w:szCs w:val="36"/>
      </w:rPr>
      <w:t>PESTLE Analysis, SWOT Analysis and Michael Porter’s Five Forces Mode</w:t>
    </w:r>
  </w:p>
  <w:p>
    <w:pPr>
      <w:pStyle w:val="8"/>
      <w:pBdr>
        <w:bottom w:val="none" w:color="auto" w:sz="0" w:space="1"/>
      </w:pBdr>
      <w:wordWrap/>
      <w:jc w:val="right"/>
      <w:rPr>
        <w:rFonts w:hint="default" w:eastAsia="Arial"/>
        <w:sz w:val="36"/>
        <w:szCs w:val="36"/>
        <w:lang w:eastAsia="zh-Hans"/>
      </w:rPr>
    </w:pPr>
    <w:r>
      <w:rPr>
        <w:rFonts w:hint="eastAsia"/>
        <w:sz w:val="36"/>
        <w:szCs w:val="36"/>
        <w:lang w:val="en-US" w:eastAsia="zh-Hans"/>
      </w:rPr>
      <w:t>Conclusion</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wordWrap/>
      <w:jc w:val="right"/>
      <w:rPr>
        <w:rFonts w:hint="default" w:eastAsia="Arial"/>
        <w:sz w:val="36"/>
        <w:szCs w:val="36"/>
        <w:lang w:eastAsia="zh-Hans"/>
      </w:rPr>
    </w:pPr>
    <w:r>
      <w:rPr>
        <w:rFonts w:hint="eastAsia"/>
        <w:sz w:val="36"/>
        <w:szCs w:val="36"/>
        <w:lang w:val="en-US" w:eastAsia="zh-Hans"/>
      </w:rPr>
      <w:t>Conclusion</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wordWrap/>
      <w:jc w:val="right"/>
      <w:rPr>
        <w:rFonts w:hint="default" w:eastAsia="Arial"/>
        <w:sz w:val="36"/>
        <w:szCs w:val="36"/>
        <w:lang w:eastAsia="zh-Hans"/>
      </w:rPr>
    </w:pPr>
    <w:r>
      <w:rPr>
        <w:sz w:val="36"/>
        <w:szCs w:val="36"/>
        <w:lang w:eastAsia="zh-Hans"/>
      </w:rPr>
      <w:t>Recommendations</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wordWrap/>
      <w:jc w:val="right"/>
      <w:rPr>
        <w:rFonts w:hint="default" w:eastAsia="Arial"/>
        <w:sz w:val="36"/>
        <w:szCs w:val="36"/>
        <w:lang w:val="en-US" w:eastAsia="zh-Hans"/>
      </w:rPr>
    </w:pPr>
    <w:r>
      <w:rPr>
        <w:sz w:val="36"/>
        <w:szCs w:val="36"/>
        <w:lang w:eastAsia="zh-Hans"/>
      </w:rPr>
      <w:t>R</w:t>
    </w:r>
    <w:r>
      <w:rPr>
        <w:rFonts w:hint="eastAsia"/>
        <w:sz w:val="36"/>
        <w:szCs w:val="36"/>
        <w:lang w:val="en-US" w:eastAsia="zh-Hans"/>
      </w:rPr>
      <w:t>eferences</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wordWrap/>
      <w:jc w:val="right"/>
      <w:rPr>
        <w:rFonts w:hint="default" w:eastAsia="Arial"/>
        <w:sz w:val="36"/>
        <w:szCs w:val="36"/>
        <w:lang w:val="en-US" w:eastAsia="zh-Hans"/>
      </w:rPr>
    </w:pPr>
    <w:r>
      <w:rPr>
        <w:rFonts w:hint="eastAsia" w:eastAsia="Arial"/>
        <w:sz w:val="36"/>
        <w:szCs w:val="36"/>
        <w:lang w:val="en-US" w:eastAsia="zh-Hans"/>
      </w:rPr>
      <w:t>Appendix</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1OGIxN2ViYWZmODhhMzMyODNkMTRjODRhNTBiY2EifQ=="/>
  </w:docVars>
  <w:rsids>
    <w:rsidRoot w:val="00FA16D4"/>
    <w:rsid w:val="00184099"/>
    <w:rsid w:val="00412354"/>
    <w:rsid w:val="005B5697"/>
    <w:rsid w:val="005C6DC8"/>
    <w:rsid w:val="006A25B3"/>
    <w:rsid w:val="00965020"/>
    <w:rsid w:val="00B47B7C"/>
    <w:rsid w:val="00C117C0"/>
    <w:rsid w:val="00C42C8C"/>
    <w:rsid w:val="00FA16D4"/>
    <w:rsid w:val="01F22209"/>
    <w:rsid w:val="05BE54EA"/>
    <w:rsid w:val="071A44D9"/>
    <w:rsid w:val="07CC15F5"/>
    <w:rsid w:val="0BA17A99"/>
    <w:rsid w:val="0F7715C0"/>
    <w:rsid w:val="11E93C47"/>
    <w:rsid w:val="12EC10DD"/>
    <w:rsid w:val="14982DBA"/>
    <w:rsid w:val="14C57FF7"/>
    <w:rsid w:val="162044D4"/>
    <w:rsid w:val="16F45B31"/>
    <w:rsid w:val="189B6649"/>
    <w:rsid w:val="25BD5AE3"/>
    <w:rsid w:val="2691650C"/>
    <w:rsid w:val="27AD77EF"/>
    <w:rsid w:val="2F1A79DF"/>
    <w:rsid w:val="355B7D82"/>
    <w:rsid w:val="36604C46"/>
    <w:rsid w:val="39CD4B2C"/>
    <w:rsid w:val="42707BEA"/>
    <w:rsid w:val="48D52AE9"/>
    <w:rsid w:val="4C3B162A"/>
    <w:rsid w:val="4F6B1084"/>
    <w:rsid w:val="5F0D459E"/>
    <w:rsid w:val="63526588"/>
    <w:rsid w:val="64EF09EB"/>
    <w:rsid w:val="69FE128A"/>
    <w:rsid w:val="6EA07701"/>
    <w:rsid w:val="6EF822A2"/>
    <w:rsid w:val="73992327"/>
    <w:rsid w:val="7A42662F"/>
    <w:rsid w:val="7A4B54B4"/>
    <w:rsid w:val="7E5F79E6"/>
    <w:rsid w:val="7EED0EBF"/>
    <w:rsid w:val="7F296E50"/>
    <w:rsid w:val="FB1E5E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Arial" w:hAnsi="Arial" w:eastAsia="Arial" w:cstheme="minorBidi"/>
      <w:kern w:val="2"/>
      <w:sz w:val="24"/>
      <w:szCs w:val="22"/>
      <w:lang w:val="en-US" w:eastAsia="zh-CN" w:bidi="ar-SA"/>
    </w:rPr>
  </w:style>
  <w:style w:type="paragraph" w:styleId="2">
    <w:name w:val="heading 1"/>
    <w:basedOn w:val="1"/>
    <w:next w:val="1"/>
    <w:qFormat/>
    <w:uiPriority w:val="9"/>
    <w:pPr>
      <w:keepNext/>
      <w:keepLines/>
      <w:outlineLvl w:val="0"/>
    </w:pPr>
    <w:rPr>
      <w:b/>
      <w:bCs/>
      <w:kern w:val="44"/>
      <w:sz w:val="36"/>
      <w:szCs w:val="44"/>
    </w:rPr>
  </w:style>
  <w:style w:type="paragraph" w:styleId="3">
    <w:name w:val="heading 2"/>
    <w:basedOn w:val="1"/>
    <w:next w:val="1"/>
    <w:unhideWhenUsed/>
    <w:qFormat/>
    <w:uiPriority w:val="9"/>
    <w:pPr>
      <w:keepNext/>
      <w:keepLines/>
      <w:outlineLvl w:val="1"/>
    </w:pPr>
    <w:rPr>
      <w:rFonts w:eastAsiaTheme="majorEastAsia" w:cstheme="majorBidi"/>
      <w:b/>
      <w:bCs/>
      <w:sz w:val="32"/>
      <w:szCs w:val="32"/>
    </w:rPr>
  </w:style>
  <w:style w:type="paragraph" w:styleId="4">
    <w:name w:val="heading 3"/>
    <w:basedOn w:val="1"/>
    <w:next w:val="1"/>
    <w:unhideWhenUsed/>
    <w:qFormat/>
    <w:uiPriority w:val="9"/>
    <w:pPr>
      <w:keepNext/>
      <w:keepLines/>
      <w:outlineLvl w:val="2"/>
    </w:pPr>
    <w:rPr>
      <w:bCs/>
      <w:sz w:val="28"/>
      <w:szCs w:val="32"/>
    </w:rPr>
  </w:style>
  <w:style w:type="paragraph" w:styleId="5">
    <w:name w:val="heading 4"/>
    <w:basedOn w:val="1"/>
    <w:next w:val="1"/>
    <w:link w:val="16"/>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qFormat/>
    <w:uiPriority w:val="39"/>
    <w:pPr>
      <w:ind w:left="840" w:leftChars="400"/>
    </w:pPr>
  </w:style>
  <w:style w:type="paragraph" w:styleId="7">
    <w:name w:val="footer"/>
    <w:basedOn w:val="1"/>
    <w:link w:val="15"/>
    <w:qFormat/>
    <w:uiPriority w:val="0"/>
    <w:pPr>
      <w:tabs>
        <w:tab w:val="center" w:pos="4153"/>
        <w:tab w:val="right" w:pos="8306"/>
      </w:tabs>
      <w:snapToGrid w:val="0"/>
      <w:spacing w:line="240" w:lineRule="auto"/>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9">
    <w:name w:val="toc 1"/>
    <w:basedOn w:val="1"/>
    <w:next w:val="1"/>
    <w:qFormat/>
    <w:uiPriority w:val="39"/>
  </w:style>
  <w:style w:type="paragraph" w:styleId="10">
    <w:name w:val="toc 2"/>
    <w:basedOn w:val="1"/>
    <w:next w:val="1"/>
    <w:qFormat/>
    <w:uiPriority w:val="39"/>
    <w:pPr>
      <w:ind w:left="420" w:leftChars="200"/>
    </w:p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customStyle="1" w:styleId="14">
    <w:name w:val="页眉 字符"/>
    <w:basedOn w:val="12"/>
    <w:link w:val="8"/>
    <w:qFormat/>
    <w:uiPriority w:val="0"/>
    <w:rPr>
      <w:rFonts w:ascii="Arial" w:hAnsi="Arial" w:eastAsia="Arial" w:cstheme="minorBidi"/>
      <w:kern w:val="2"/>
      <w:sz w:val="18"/>
      <w:szCs w:val="18"/>
    </w:rPr>
  </w:style>
  <w:style w:type="character" w:customStyle="1" w:styleId="15">
    <w:name w:val="页脚 字符"/>
    <w:basedOn w:val="12"/>
    <w:link w:val="7"/>
    <w:qFormat/>
    <w:uiPriority w:val="0"/>
    <w:rPr>
      <w:rFonts w:ascii="Arial" w:hAnsi="Arial" w:eastAsia="Arial" w:cstheme="minorBidi"/>
      <w:kern w:val="2"/>
      <w:sz w:val="18"/>
      <w:szCs w:val="18"/>
    </w:rPr>
  </w:style>
  <w:style w:type="character" w:customStyle="1" w:styleId="16">
    <w:name w:val="标题 4 字符"/>
    <w:basedOn w:val="12"/>
    <w:link w:val="5"/>
    <w:semiHidden/>
    <w:qFormat/>
    <w:uiPriority w:val="0"/>
    <w:rPr>
      <w:rFonts w:asciiTheme="majorHAnsi" w:hAnsiTheme="majorHAnsi" w:eastAsiaTheme="majorEastAsia" w:cstheme="majorBidi"/>
      <w:b/>
      <w:bCs/>
      <w:kern w:val="2"/>
      <w:sz w:val="28"/>
      <w:szCs w:val="28"/>
    </w:rPr>
  </w:style>
  <w:style w:type="paragraph" w:customStyle="1" w:styleId="17">
    <w:name w:val="TOC 标题1"/>
    <w:basedOn w:val="2"/>
    <w:next w:val="1"/>
    <w:unhideWhenUsed/>
    <w:qFormat/>
    <w:uiPriority w:val="39"/>
    <w:pPr>
      <w:widowControl/>
      <w:spacing w:before="24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18">
    <w:name w:val="Body text|1"/>
    <w:basedOn w:val="1"/>
    <w:qFormat/>
    <w:uiPriority w:val="0"/>
    <w:pPr>
      <w:widowControl w:val="0"/>
      <w:shd w:val="clear" w:color="auto" w:fill="auto"/>
    </w:pPr>
    <w:rPr>
      <w:b/>
      <w:bCs/>
      <w:color w:val="F21918"/>
      <w:sz w:val="20"/>
      <w:szCs w:val="20"/>
      <w:u w:val="none"/>
      <w:shd w:val="clear" w:color="auto" w:fill="auto"/>
    </w:rPr>
  </w:style>
  <w:style w:type="paragraph" w:customStyle="1" w:styleId="19">
    <w:name w:val="EndNote Bibliography"/>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Calibri" w:hAnsi="Calibri" w:cs="Calibri" w:eastAsiaTheme="minorEastAsia"/>
      <w:kern w:val="2"/>
      <w:sz w:val="20"/>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header" Target="header15.xml"/><Relationship Id="rId24" Type="http://schemas.openxmlformats.org/officeDocument/2006/relationships/header" Target="header14.xml"/><Relationship Id="rId23" Type="http://schemas.openxmlformats.org/officeDocument/2006/relationships/header" Target="header13.xml"/><Relationship Id="rId22" Type="http://schemas.openxmlformats.org/officeDocument/2006/relationships/header" Target="header12.xml"/><Relationship Id="rId21" Type="http://schemas.openxmlformats.org/officeDocument/2006/relationships/header" Target="header11.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7356</Words>
  <Characters>41931</Characters>
  <Lines>349</Lines>
  <Paragraphs>98</Paragraphs>
  <TotalTime>1</TotalTime>
  <ScaleCrop>false</ScaleCrop>
  <LinksUpToDate>false</LinksUpToDate>
  <CharactersWithSpaces>49189</CharactersWithSpaces>
  <Application>WPS Office_5.3.0.7872_F1E327BC-269C-435d-A152-05C5408002CA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2023-07-12T10:03:00Z</dcterms:created>
  <dc:creator>Mito （厨子）</dc:creator>
  <cp:lastModifiedBy>Mito （厨子）</cp:lastModifiedBy>
  <dcterms:modified xsi:type="dcterms:W3CDTF">2023-07-21T15:10:01Z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2052-5.3.0.7872</vt:lpwstr>
  </property>
  <property fmtid="{D5CDD505-2E9C-101B-9397-08002B2CF9AE}" pid="3" name="ICV">
    <vt:lpwstr>B6D4D4ED6033942F1B20BA641CE0C268_43</vt:lpwstr>
  </property>
</Properties>
</file>