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p>
          <w:p w14:paraId="2CEE7446" w14:textId="4EF4622B" w:rsidR="00943FDB" w:rsidRDefault="00747F0E" w:rsidP="00415891">
            <w:pPr>
              <w:ind w:right="-957"/>
              <w:rPr>
                <w:rFonts w:ascii="Times New Roman" w:hAnsi="Times New Roman" w:cs="Times New Roman"/>
                <w:b/>
                <w:sz w:val="48"/>
              </w:rPr>
            </w:pPr>
            <w:r>
              <w:rPr>
                <w:rFonts w:ascii="Times New Roman" w:hAnsi="Times New Roman" w:cs="Times New Roman"/>
                <w:b/>
                <w:sz w:val="48"/>
              </w:rPr>
              <w:t xml:space="preserve">Jackie Crouch </w:t>
            </w:r>
          </w:p>
          <w:p w14:paraId="5926F2E3" w14:textId="77777777" w:rsidR="00747F0E" w:rsidRDefault="00747F0E" w:rsidP="00415891">
            <w:pPr>
              <w:ind w:right="-957"/>
              <w:rPr>
                <w:rFonts w:ascii="Times New Roman" w:hAnsi="Times New Roman" w:cs="Times New Roman"/>
                <w:b/>
                <w:sz w:val="48"/>
              </w:rPr>
            </w:pPr>
          </w:p>
          <w:p w14:paraId="52EF6683" w14:textId="77777777"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p>
          <w:p w14:paraId="415C26F6" w14:textId="77777777" w:rsidR="00747F0E" w:rsidRDefault="00747F0E" w:rsidP="00415891">
            <w:pPr>
              <w:ind w:right="-957"/>
              <w:rPr>
                <w:rFonts w:ascii="Times New Roman" w:hAnsi="Times New Roman" w:cs="Times New Roman"/>
                <w:b/>
                <w:sz w:val="48"/>
              </w:rPr>
            </w:pPr>
          </w:p>
          <w:p w14:paraId="1000FC14" w14:textId="28723638" w:rsidR="00747F0E" w:rsidRDefault="00747F0E" w:rsidP="00415891">
            <w:pPr>
              <w:ind w:right="-957"/>
              <w:rPr>
                <w:rFonts w:ascii="Times New Roman" w:hAnsi="Times New Roman" w:cs="Times New Roman"/>
                <w:b/>
                <w:sz w:val="48"/>
              </w:rPr>
            </w:pPr>
            <w:r>
              <w:rPr>
                <w:rFonts w:ascii="Times New Roman" w:hAnsi="Times New Roman" w:cs="Times New Roman"/>
                <w:b/>
                <w:sz w:val="48"/>
              </w:rPr>
              <w:t>jackiecrch@hotmail.co.uk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6224D66" w14:textId="77777777" w:rsidR="00747F0E" w:rsidRDefault="00747F0E" w:rsidP="00415891">
            <w:pPr>
              <w:ind w:right="-957"/>
              <w:rPr>
                <w:rFonts w:ascii="Times New Roman" w:hAnsi="Times New Roman" w:cs="Times New Roman"/>
                <w:b/>
                <w:sz w:val="48"/>
              </w:rPr>
            </w:pPr>
          </w:p>
          <w:p w14:paraId="2D25F94B" w14:textId="2A435FE4" w:rsidR="00747F0E" w:rsidRPr="005D3F07" w:rsidRDefault="00747F0E" w:rsidP="00415891">
            <w:pPr>
              <w:ind w:right="-957"/>
              <w:rPr>
                <w:rFonts w:ascii="Times New Roman" w:hAnsi="Times New Roman" w:cs="Times New Roman"/>
                <w:b/>
                <w:sz w:val="48"/>
              </w:rPr>
            </w:pPr>
            <w:r>
              <w:rPr>
                <w:rFonts w:ascii="Times New Roman" w:hAnsi="Times New Roman" w:cs="Times New Roman"/>
                <w:b/>
                <w:sz w:val="48"/>
              </w:rPr>
              <w:t>2422204</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lastRenderedPageBreak/>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3ED94AD7" w14:textId="77777777" w:rsidR="00747F0E" w:rsidRPr="00154268" w:rsidRDefault="00747F0E" w:rsidP="00747F0E">
            <w:pPr>
              <w:rPr>
                <w:rFonts w:cstheme="minorHAnsi"/>
              </w:rPr>
            </w:pPr>
            <w:r w:rsidRPr="00154268">
              <w:rPr>
                <w:rFonts w:cstheme="minorHAnsi"/>
              </w:rPr>
              <w:t xml:space="preserve">Since becoming a Social Worker, I have had the chance to reinforce my learning and develop my skills in a Hospice setting. To reflect on this growth, I will use Gibbs’ Reflective Cycle (1988), which includes six stages: description, feelings, evaluation, analysis, conclusion, and action plan. This structured method helps me identify my strengths, recognise gaps, and outline how I plan to develop over the next 12 months. My reflections focus on the challenges I faced related to the Continuing Healthcare (CHC) framework, effectively communicating the process with patients and their families, and discharge planning in a Hospice environment. </w:t>
            </w:r>
          </w:p>
          <w:p w14:paraId="3118E2DD" w14:textId="77777777" w:rsidR="00747F0E" w:rsidRPr="00154268" w:rsidRDefault="00747F0E" w:rsidP="00747F0E">
            <w:pPr>
              <w:rPr>
                <w:rFonts w:cstheme="minorHAnsi"/>
              </w:rPr>
            </w:pPr>
            <w:r w:rsidRPr="00154268">
              <w:rPr>
                <w:rFonts w:cstheme="minorHAnsi"/>
              </w:rPr>
              <w:t xml:space="preserve">During my first year, I noticed gaps in my knowledge and </w:t>
            </w:r>
            <w:r>
              <w:rPr>
                <w:rFonts w:cstheme="minorHAnsi"/>
              </w:rPr>
              <w:t xml:space="preserve">lack of </w:t>
            </w:r>
            <w:r w:rsidRPr="00154268">
              <w:rPr>
                <w:rFonts w:cstheme="minorHAnsi"/>
              </w:rPr>
              <w:t xml:space="preserve">confidence in two main areas. The first was the CHC framework, where I struggled to interpret eligibility criteria and navigate the assessment processes. The second was discharge planning, particularly in coordinating multidisciplinary teams (MDTs) and negotiating with families and professionals to ensure safe and person-centred care transitions. While I felt comfortable engaging with families emotionally, I sometimes had difficulty with the technical and procedural details of these processes. </w:t>
            </w:r>
          </w:p>
          <w:p w14:paraId="22C3FA13" w14:textId="77777777" w:rsidR="00747F0E" w:rsidRPr="00154268" w:rsidRDefault="00747F0E" w:rsidP="00747F0E">
            <w:pPr>
              <w:rPr>
                <w:rFonts w:cstheme="minorHAnsi"/>
              </w:rPr>
            </w:pPr>
            <w:r w:rsidRPr="00154268">
              <w:rPr>
                <w:rFonts w:cstheme="minorHAnsi"/>
              </w:rPr>
              <w:t xml:space="preserve">Initially, I felt anxious and sometimes inadequate when families asked detailed questions about CHC funding, as I was unsure how to respond. This made me frustrated because I wanted to advocate effectively but lacked the necessary knowledge. In discharge planning, I often felt overwhelmed by these processes, questioning whether what I was saying was correct. Despite this, I felt motivated because I viewed these challenges as chances for growth. With supervision, I learned to see my experiences as part of the natural learning process in early practice. </w:t>
            </w:r>
          </w:p>
          <w:p w14:paraId="535D70CF" w14:textId="77777777" w:rsidR="00747F0E" w:rsidRPr="00154268" w:rsidRDefault="00747F0E" w:rsidP="00747F0E">
            <w:pPr>
              <w:rPr>
                <w:rFonts w:cstheme="minorHAnsi"/>
              </w:rPr>
            </w:pPr>
            <w:r w:rsidRPr="00154268">
              <w:rPr>
                <w:rFonts w:cstheme="minorHAnsi"/>
              </w:rPr>
              <w:t xml:space="preserve">These experiences had both positive and negative elements. On the positive side, they helped build my resilience and showed me the value of reflective supervision, where I could discuss my concerns and receive constructive feedback (Carpenter et al., 2015). I also gained insight into the emotional and practical challenges families face, which reinforced the importance of empathy and clear communication. On the negative side, my limited knowledge of the CHC process shook my confidence, and during discharge planning, I found myself less assertive in MDT discussions. As a result, I did not consistently influence decisions as effectively as I could have. </w:t>
            </w:r>
          </w:p>
          <w:p w14:paraId="42BDA119" w14:textId="77777777" w:rsidR="00747F0E" w:rsidRPr="00154268" w:rsidRDefault="00747F0E" w:rsidP="00747F0E">
            <w:pPr>
              <w:rPr>
                <w:rFonts w:cstheme="minorHAnsi"/>
              </w:rPr>
            </w:pPr>
          </w:p>
          <w:p w14:paraId="7FDA0522" w14:textId="77777777" w:rsidR="00747F0E" w:rsidRPr="00154268" w:rsidRDefault="00747F0E" w:rsidP="00747F0E">
            <w:pPr>
              <w:rPr>
                <w:rFonts w:cstheme="minorHAnsi"/>
              </w:rPr>
            </w:pPr>
            <w:r w:rsidRPr="00154268">
              <w:rPr>
                <w:rFonts w:cstheme="minorHAnsi"/>
              </w:rPr>
              <w:t xml:space="preserve">Using Gibbs’ model prompted me to explore why I found these areas challenging. My struggles with the CHC framework were due to limited exposure during my training and the differences between training in England and working in Wales. In discharge planning, the hospice context added complexity, as discharges often involve sensitive discussions about prognosis, family expectations, and limited community resources. Best practice guidelines show that effective discharge planning reduces readmissions, supports families, and ensures continuity of care (NICE, 2021). My reflection revealed that while I possessed the interpersonal skills to help families, I needed to enhance my ability to negotiate and challenge in MDTs, ensuring that patient and carer needs were heard and addressed. </w:t>
            </w:r>
          </w:p>
          <w:p w14:paraId="6A03ED5F" w14:textId="77777777" w:rsidR="00747F0E" w:rsidRPr="00154268" w:rsidRDefault="00747F0E" w:rsidP="00747F0E">
            <w:pPr>
              <w:rPr>
                <w:rFonts w:cstheme="minorHAnsi"/>
              </w:rPr>
            </w:pPr>
            <w:r w:rsidRPr="00154268">
              <w:rPr>
                <w:rFonts w:cstheme="minorHAnsi"/>
              </w:rPr>
              <w:t>Reflecting critically, I realise that these challenges were not failures, but opportunities to refine my practice. They emphasised the importance of ongoing professional learning and the value of supervision in exploring and discussing complex situations. I concluded that to grow as a practitioner, I must combine analytical skills, like understanding the CHC framework, with the confidence to advocate in MDTs and apply judgment in complex, ethically challenging situations.</w:t>
            </w:r>
          </w:p>
          <w:p w14:paraId="33B657AA" w14:textId="77777777" w:rsidR="00747F0E" w:rsidRPr="00154268" w:rsidRDefault="00747F0E" w:rsidP="00747F0E">
            <w:pPr>
              <w:rPr>
                <w:rFonts w:cstheme="minorHAnsi"/>
              </w:rPr>
            </w:pPr>
            <w:r w:rsidRPr="00154268">
              <w:rPr>
                <w:rFonts w:cstheme="minorHAnsi"/>
              </w:rPr>
              <w:t>Using Gibbs’ final stage, I have developed a plan for my professional growth, which I will discuss during supervision sessions throughout the year. To support the application of analysis in assessments that inform interventions, I will pursue specific training on the CHC framework, including workshops and shadowing experienced colleagues. Additionally, I will use supervision to reflect on assessments, focusing on evidence analysis and decision-making. To boost my confidence, I will conduct my own research on a case-by-case basis to process information more effectively.</w:t>
            </w:r>
          </w:p>
          <w:p w14:paraId="754DDBC9" w14:textId="77777777" w:rsidR="00747F0E" w:rsidRPr="00154268" w:rsidRDefault="00747F0E" w:rsidP="00747F0E">
            <w:pPr>
              <w:rPr>
                <w:rFonts w:cstheme="minorHAnsi"/>
              </w:rPr>
            </w:pPr>
            <w:r w:rsidRPr="00154268">
              <w:rPr>
                <w:rFonts w:cstheme="minorHAnsi"/>
              </w:rPr>
              <w:lastRenderedPageBreak/>
              <w:t>When working with individuals in need of care and support, their caregivers, and other professionals, I aim to engage in MDT meetings during discharge planning actively. I will ensure that family voices are heard, along with professional input, while strengthening my understanding of community resources. Utilising supervision will enable me to analyse ethically complex cases, focusing on how to balance compassion with professional judgment.</w:t>
            </w:r>
          </w:p>
          <w:p w14:paraId="46F5B5B7" w14:textId="77777777" w:rsidR="00747F0E" w:rsidRPr="00154268" w:rsidRDefault="00747F0E" w:rsidP="00747F0E">
            <w:pPr>
              <w:rPr>
                <w:rFonts w:cstheme="minorHAnsi"/>
              </w:rPr>
            </w:pPr>
            <w:r w:rsidRPr="00154268">
              <w:rPr>
                <w:rFonts w:cstheme="minorHAnsi"/>
              </w:rPr>
              <w:t>Through these steps, I aim to close knowledge gaps, boost my confidence, and become a more skilled, reflective practitioner. By applying Gibbs’ model, I have moved beyond simply describing challenges to analysing their causes and creating a clear growth plan. This approach helps me stay accountable to my professional development goals and to the people and families I support.</w:t>
            </w:r>
          </w:p>
          <w:p w14:paraId="2E04A2EF" w14:textId="77777777" w:rsidR="004F0E93" w:rsidRDefault="004F0E93" w:rsidP="002D6B34">
            <w:pPr>
              <w:jc w:val="both"/>
              <w:rPr>
                <w:i/>
                <w:iCs/>
              </w:rPr>
            </w:pPr>
          </w:p>
          <w:p w14:paraId="21B7DEFB" w14:textId="6905CFE5" w:rsidR="00747F0E" w:rsidRPr="00747F0E" w:rsidRDefault="00747F0E" w:rsidP="002D6B34">
            <w:pPr>
              <w:jc w:val="both"/>
              <w:rPr>
                <w:b/>
                <w:bCs/>
                <w:i/>
                <w:iCs/>
              </w:rPr>
            </w:pPr>
            <w:r w:rsidRPr="00747F0E">
              <w:rPr>
                <w:b/>
                <w:bCs/>
                <w:i/>
                <w:iCs/>
              </w:rPr>
              <w:t xml:space="preserve">Word Count: </w:t>
            </w:r>
            <w:r>
              <w:rPr>
                <w:b/>
                <w:bCs/>
                <w:i/>
                <w:iCs/>
              </w:rPr>
              <w:t>756</w:t>
            </w: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0C65319" w14:textId="77777777" w:rsidR="00B930D3" w:rsidRDefault="00B930D3" w:rsidP="002D6B34">
            <w:pPr>
              <w:jc w:val="both"/>
            </w:pPr>
          </w:p>
          <w:p w14:paraId="0A38B8BF" w14:textId="77777777" w:rsidR="00747F0E" w:rsidRDefault="00747F0E" w:rsidP="002D6B34">
            <w:pPr>
              <w:jc w:val="both"/>
            </w:pPr>
          </w:p>
          <w:p w14:paraId="3AD2472B" w14:textId="77777777" w:rsidR="00747F0E" w:rsidRPr="000C10D6" w:rsidRDefault="00747F0E" w:rsidP="00747F0E">
            <w:pPr>
              <w:rPr>
                <w:rFonts w:eastAsia="Times New Roman" w:cstheme="minorHAnsi"/>
                <w:color w:val="000000"/>
                <w:lang w:eastAsia="en-GB"/>
              </w:rPr>
            </w:pPr>
            <w:r w:rsidRPr="000C10D6">
              <w:rPr>
                <w:rFonts w:eastAsia="Times New Roman" w:cstheme="minorHAnsi"/>
                <w:color w:val="000000"/>
                <w:lang w:eastAsia="en-GB"/>
              </w:rPr>
              <w:t>Transitioning into professional Social Work practice as a newly qualified Social Worker has required me to reflect critically on learning, supervision, and development to apply knowledge within increasingly complex and collaborative practice. A key area I previously identified for growth was Continuing Healthcare (CHC) and discharge planning, particularly in building confidence and understanding CHC processing to clearly and effectively communicate with patients and their families, as well as participating in discharge planning meetings and complex discharge cases. To structure this reflection, I will draw upon Gibbs’ Reflective Cycle (1988), which enables learning through six stages: description, feelings, evaluation, analysis, conclusion, and action planning.</w:t>
            </w:r>
          </w:p>
          <w:p w14:paraId="30011DE1" w14:textId="77777777" w:rsidR="00747F0E" w:rsidRPr="000C10D6" w:rsidRDefault="00747F0E" w:rsidP="00747F0E">
            <w:pPr>
              <w:rPr>
                <w:rFonts w:eastAsia="Times New Roman" w:cstheme="minorHAnsi"/>
                <w:color w:val="000000"/>
                <w:lang w:eastAsia="en-GB"/>
              </w:rPr>
            </w:pPr>
            <w:r w:rsidRPr="000C10D6">
              <w:rPr>
                <w:rFonts w:eastAsia="Times New Roman" w:cstheme="minorHAnsi"/>
                <w:color w:val="000000"/>
                <w:lang w:eastAsia="en-GB"/>
              </w:rPr>
              <w:t>According to Gibbs (1988), the first stage involves describing the situation. In my current role, I have encountered several discharges from the ward, where CHC eligibility assessments played a central role in determining future care and support. These cases often required balancing the expectations of families, the perspectives of health colleagues, and national policy frameworks. While I had some familiarity with the Welsh CHC Framework (Welsh Government, 2021), I lacked confidence in applying the eligibility criteria</w:t>
            </w:r>
            <w:r w:rsidRPr="00154268">
              <w:rPr>
                <w:rFonts w:eastAsia="Times New Roman" w:cstheme="minorHAnsi"/>
                <w:color w:val="000000"/>
                <w:lang w:eastAsia="en-GB"/>
              </w:rPr>
              <w:t>.</w:t>
            </w:r>
            <w:r w:rsidRPr="000C10D6">
              <w:rPr>
                <w:rFonts w:eastAsia="Times New Roman" w:cstheme="minorHAnsi"/>
                <w:color w:val="000000"/>
                <w:lang w:eastAsia="en-GB"/>
              </w:rPr>
              <w:t xml:space="preserve"> </w:t>
            </w:r>
            <w:r w:rsidRPr="00154268">
              <w:rPr>
                <w:rFonts w:eastAsia="Times New Roman" w:cstheme="minorHAnsi"/>
                <w:color w:val="000000"/>
                <w:lang w:eastAsia="en-GB"/>
              </w:rPr>
              <w:t>I</w:t>
            </w:r>
            <w:r w:rsidRPr="000C10D6">
              <w:rPr>
                <w:rFonts w:eastAsia="Times New Roman" w:cstheme="minorHAnsi"/>
                <w:color w:val="000000"/>
                <w:lang w:eastAsia="en-GB"/>
              </w:rPr>
              <w:t xml:space="preserve"> was less knowledgeable about the English National Framework (Department of Health and Social Care, 2022). Through supervision, I </w:t>
            </w:r>
            <w:r w:rsidRPr="00154268">
              <w:rPr>
                <w:rFonts w:eastAsia="Times New Roman" w:cstheme="minorHAnsi"/>
                <w:color w:val="000000"/>
                <w:lang w:eastAsia="en-GB"/>
              </w:rPr>
              <w:t>recognised</w:t>
            </w:r>
            <w:r w:rsidRPr="000C10D6">
              <w:rPr>
                <w:rFonts w:eastAsia="Times New Roman" w:cstheme="minorHAnsi"/>
                <w:color w:val="000000"/>
                <w:lang w:eastAsia="en-GB"/>
              </w:rPr>
              <w:t xml:space="preserve"> this gap and s</w:t>
            </w:r>
            <w:r w:rsidRPr="00154268">
              <w:rPr>
                <w:rFonts w:eastAsia="Times New Roman" w:cstheme="minorHAnsi"/>
                <w:color w:val="000000"/>
                <w:lang w:eastAsia="en-GB"/>
              </w:rPr>
              <w:t>aw</w:t>
            </w:r>
            <w:r w:rsidRPr="000C10D6">
              <w:rPr>
                <w:rFonts w:eastAsia="Times New Roman" w:cstheme="minorHAnsi"/>
                <w:color w:val="000000"/>
                <w:lang w:eastAsia="en-GB"/>
              </w:rPr>
              <w:t xml:space="preserve"> if there was any training available to support my learning needs. Unfortunately, training in this area was </w:t>
            </w:r>
            <w:r w:rsidRPr="00154268">
              <w:rPr>
                <w:rFonts w:eastAsia="Times New Roman" w:cstheme="minorHAnsi"/>
                <w:color w:val="000000"/>
                <w:lang w:eastAsia="en-GB"/>
              </w:rPr>
              <w:t>challenging</w:t>
            </w:r>
            <w:r w:rsidRPr="000C10D6">
              <w:rPr>
                <w:rFonts w:eastAsia="Times New Roman" w:cstheme="minorHAnsi"/>
                <w:color w:val="000000"/>
                <w:lang w:eastAsia="en-GB"/>
              </w:rPr>
              <w:t xml:space="preserve"> to find, so I conducted my own research on a case-by-case basis and was able to </w:t>
            </w:r>
            <w:r w:rsidRPr="00154268">
              <w:rPr>
                <w:rFonts w:eastAsia="Times New Roman" w:cstheme="minorHAnsi"/>
                <w:color w:val="000000"/>
                <w:lang w:eastAsia="en-GB"/>
              </w:rPr>
              <w:t>gather</w:t>
            </w:r>
            <w:r w:rsidRPr="000C10D6">
              <w:rPr>
                <w:rFonts w:eastAsia="Times New Roman" w:cstheme="minorHAnsi"/>
                <w:color w:val="000000"/>
                <w:lang w:eastAsia="en-GB"/>
              </w:rPr>
              <w:t xml:space="preserve"> the relevant information needed, expanding my knowledge as I went along. </w:t>
            </w:r>
          </w:p>
          <w:p w14:paraId="35E411BD" w14:textId="77777777" w:rsidR="00747F0E" w:rsidRPr="000C10D6" w:rsidRDefault="00747F0E" w:rsidP="00747F0E">
            <w:pPr>
              <w:rPr>
                <w:rFonts w:eastAsia="Times New Roman" w:cstheme="minorHAnsi"/>
                <w:color w:val="000000"/>
                <w:lang w:eastAsia="en-GB"/>
              </w:rPr>
            </w:pPr>
            <w:r w:rsidRPr="000C10D6">
              <w:rPr>
                <w:rFonts w:eastAsia="Times New Roman" w:cstheme="minorHAnsi"/>
                <w:color w:val="000000"/>
                <w:lang w:eastAsia="en-GB"/>
              </w:rPr>
              <w:t>The second stage of the Gibbs cycle explores emotions. Initially, I felt anxious and uncertain when explaining CHC and communicating this. I worried that being unable to explain the process clearly to families would undermine trust and credibility. </w:t>
            </w:r>
          </w:p>
          <w:p w14:paraId="098940B4" w14:textId="77777777" w:rsidR="00747F0E" w:rsidRPr="000C10D6" w:rsidRDefault="00747F0E" w:rsidP="00747F0E">
            <w:pPr>
              <w:rPr>
                <w:rFonts w:eastAsia="Times New Roman" w:cstheme="minorHAnsi"/>
                <w:color w:val="000000"/>
                <w:lang w:eastAsia="en-GB"/>
              </w:rPr>
            </w:pPr>
            <w:r w:rsidRPr="000C10D6">
              <w:rPr>
                <w:rFonts w:eastAsia="Times New Roman" w:cstheme="minorHAnsi"/>
                <w:color w:val="000000"/>
                <w:lang w:eastAsia="en-GB"/>
              </w:rPr>
              <w:t xml:space="preserve">Over time, my feelings began to shift. Shadowing colleagues provided me with greater clarity, and I was also able to ask questions of other team members. Positive feedback from patients and their families, expressing their gratitude, reassured me that I was developing </w:t>
            </w:r>
            <w:r w:rsidRPr="00154268">
              <w:rPr>
                <w:rFonts w:eastAsia="Times New Roman" w:cstheme="minorHAnsi"/>
                <w:color w:val="000000"/>
                <w:lang w:eastAsia="en-GB"/>
              </w:rPr>
              <w:t>practical</w:t>
            </w:r>
            <w:r w:rsidRPr="000C10D6">
              <w:rPr>
                <w:rFonts w:eastAsia="Times New Roman" w:cstheme="minorHAnsi"/>
                <w:color w:val="000000"/>
                <w:lang w:eastAsia="en-GB"/>
              </w:rPr>
              <w:t xml:space="preserve"> communication skills and </w:t>
            </w:r>
            <w:r w:rsidRPr="00154268">
              <w:rPr>
                <w:rFonts w:eastAsia="Times New Roman" w:cstheme="minorHAnsi"/>
                <w:color w:val="000000"/>
                <w:lang w:eastAsia="en-GB"/>
              </w:rPr>
              <w:t>conveying</w:t>
            </w:r>
            <w:r w:rsidRPr="000C10D6">
              <w:rPr>
                <w:rFonts w:eastAsia="Times New Roman" w:cstheme="minorHAnsi"/>
                <w:color w:val="000000"/>
                <w:lang w:eastAsia="en-GB"/>
              </w:rPr>
              <w:t xml:space="preserve"> my message clearly. Nonetheless, I remain aware of a lack of confidence when comparing cross-border frameworks and aim to enhance my professional development by accessing available training and continuing to research and engage in discussions with colleagues. </w:t>
            </w:r>
          </w:p>
          <w:p w14:paraId="7183DFFA" w14:textId="77777777" w:rsidR="00747F0E" w:rsidRPr="000C10D6" w:rsidRDefault="00747F0E" w:rsidP="00747F0E">
            <w:pPr>
              <w:rPr>
                <w:rFonts w:eastAsia="Times New Roman" w:cstheme="minorHAnsi"/>
                <w:color w:val="000000"/>
                <w:lang w:eastAsia="en-GB"/>
              </w:rPr>
            </w:pPr>
            <w:r w:rsidRPr="000C10D6">
              <w:rPr>
                <w:rFonts w:eastAsia="Times New Roman" w:cstheme="minorHAnsi"/>
                <w:color w:val="000000"/>
                <w:lang w:eastAsia="en-GB"/>
              </w:rPr>
              <w:t xml:space="preserve">The evaluation stage in Gibbs’ model involves reviewing what was effective and what was less effective about the experience. On the positive side, supervision has been invaluable, providing a structured space to debrief after complex cases, discuss support, and evaluate </w:t>
            </w:r>
            <w:r w:rsidRPr="000C10D6">
              <w:rPr>
                <w:rFonts w:eastAsia="Times New Roman" w:cstheme="minorHAnsi"/>
                <w:color w:val="000000"/>
                <w:lang w:eastAsia="en-GB"/>
              </w:rPr>
              <w:lastRenderedPageBreak/>
              <w:t>my decision-making (</w:t>
            </w:r>
            <w:proofErr w:type="spellStart"/>
            <w:r w:rsidRPr="000C10D6">
              <w:rPr>
                <w:rFonts w:eastAsia="Times New Roman" w:cstheme="minorHAnsi"/>
                <w:color w:val="000000"/>
                <w:lang w:eastAsia="en-GB"/>
              </w:rPr>
              <w:t>Kadushin</w:t>
            </w:r>
            <w:proofErr w:type="spellEnd"/>
            <w:r w:rsidRPr="000C10D6">
              <w:rPr>
                <w:rFonts w:eastAsia="Times New Roman" w:cstheme="minorHAnsi"/>
                <w:color w:val="000000"/>
                <w:lang w:eastAsia="en-GB"/>
              </w:rPr>
              <w:t xml:space="preserve"> and Harkness, 2014). I have also valued the insight from colleagues, which has confirmed that my communication with families has improved, and that patients and carers also feel confident in asking questions and are reassured. Training has deepened my knowledge of the Welsh CHC framework, particularly its emphasis on holistic, person-centred assessment.</w:t>
            </w:r>
          </w:p>
          <w:p w14:paraId="6B346890" w14:textId="77777777" w:rsidR="00747F0E" w:rsidRPr="000C10D6" w:rsidRDefault="00747F0E" w:rsidP="00747F0E">
            <w:pPr>
              <w:rPr>
                <w:rFonts w:eastAsia="Times New Roman" w:cstheme="minorHAnsi"/>
                <w:color w:val="000000"/>
                <w:lang w:eastAsia="en-GB"/>
              </w:rPr>
            </w:pPr>
            <w:r w:rsidRPr="000C10D6">
              <w:rPr>
                <w:rFonts w:eastAsia="Times New Roman" w:cstheme="minorHAnsi"/>
                <w:color w:val="000000"/>
                <w:lang w:eastAsia="en-GB"/>
              </w:rPr>
              <w:t>In addition, collaborative working has strengthened my collaborative practice. I have become more confident in working with healthcare colleagues, caregivers, and families, ensuring that diverse perspectives are included in decision-making. Families have commented positively on my ability to explain processes in accessible language, which has encouraged me to continue developing this skill.</w:t>
            </w:r>
          </w:p>
          <w:p w14:paraId="549C47FC" w14:textId="77777777" w:rsidR="00747F0E" w:rsidRPr="000C10D6" w:rsidRDefault="00747F0E" w:rsidP="00747F0E">
            <w:pPr>
              <w:rPr>
                <w:rFonts w:eastAsia="Times New Roman" w:cstheme="minorHAnsi"/>
                <w:color w:val="000000"/>
                <w:lang w:eastAsia="en-GB"/>
              </w:rPr>
            </w:pPr>
            <w:r w:rsidRPr="000C10D6">
              <w:rPr>
                <w:rFonts w:eastAsia="Times New Roman" w:cstheme="minorHAnsi"/>
                <w:color w:val="000000"/>
                <w:lang w:eastAsia="en-GB"/>
              </w:rPr>
              <w:t xml:space="preserve">However, challenges remain. My knowledge of the English framework remains limited, which restricts my ability to contextualise practice for families with cross-border experiences. I also find it </w:t>
            </w:r>
            <w:r w:rsidRPr="00154268">
              <w:rPr>
                <w:rFonts w:eastAsia="Times New Roman" w:cstheme="minorHAnsi"/>
                <w:color w:val="000000"/>
                <w:lang w:eastAsia="en-GB"/>
              </w:rPr>
              <w:t>challenging</w:t>
            </w:r>
            <w:r w:rsidRPr="000C10D6">
              <w:rPr>
                <w:rFonts w:eastAsia="Times New Roman" w:cstheme="minorHAnsi"/>
                <w:color w:val="000000"/>
                <w:lang w:eastAsia="en-GB"/>
              </w:rPr>
              <w:t xml:space="preserve"> to apply professional judgement when evidence is contested or ambiguous, which suggests further development is needed in analytical reasoning.</w:t>
            </w:r>
          </w:p>
          <w:p w14:paraId="0A826924" w14:textId="77777777" w:rsidR="00747F0E" w:rsidRDefault="00747F0E" w:rsidP="00747F0E">
            <w:pPr>
              <w:rPr>
                <w:rFonts w:eastAsia="Times New Roman" w:cstheme="minorHAnsi"/>
                <w:color w:val="000000"/>
                <w:lang w:eastAsia="en-GB"/>
              </w:rPr>
            </w:pPr>
            <w:r w:rsidRPr="000C10D6">
              <w:rPr>
                <w:rFonts w:eastAsia="Times New Roman" w:cstheme="minorHAnsi"/>
                <w:color w:val="000000"/>
                <w:lang w:eastAsia="en-GB"/>
              </w:rPr>
              <w:t xml:space="preserve">Gibbs’ (1988) analysis stage requires deeper consideration of what has been learned. CHC and discharge planning demand advanced analytical skills, </w:t>
            </w:r>
            <w:r w:rsidRPr="00154268">
              <w:rPr>
                <w:rFonts w:eastAsia="Times New Roman" w:cstheme="minorHAnsi"/>
                <w:color w:val="000000"/>
                <w:lang w:eastAsia="en-GB"/>
              </w:rPr>
              <w:t>straightforward</w:t>
            </w:r>
            <w:r w:rsidRPr="000C10D6">
              <w:rPr>
                <w:rFonts w:eastAsia="Times New Roman" w:cstheme="minorHAnsi"/>
                <w:color w:val="000000"/>
                <w:lang w:eastAsia="en-GB"/>
              </w:rPr>
              <w:t xml:space="preserve"> interpretation of guidance, and strong partnership working. In Wales, CHC assessments are based on joint decision-making between multidisciplinary teams</w:t>
            </w:r>
            <w:r w:rsidRPr="00154268">
              <w:rPr>
                <w:rFonts w:eastAsia="Times New Roman" w:cstheme="minorHAnsi"/>
                <w:color w:val="000000"/>
                <w:lang w:eastAsia="en-GB"/>
              </w:rPr>
              <w:t>.</w:t>
            </w:r>
            <w:r w:rsidRPr="000C10D6">
              <w:rPr>
                <w:rFonts w:eastAsia="Times New Roman" w:cstheme="minorHAnsi"/>
                <w:color w:val="000000"/>
                <w:lang w:eastAsia="en-GB"/>
              </w:rPr>
              <w:t xml:space="preserve"> </w:t>
            </w:r>
            <w:r w:rsidRPr="00154268">
              <w:rPr>
                <w:rFonts w:eastAsia="Times New Roman" w:cstheme="minorHAnsi"/>
                <w:color w:val="000000"/>
                <w:lang w:eastAsia="en-GB"/>
              </w:rPr>
              <w:t>In contrast,</w:t>
            </w:r>
            <w:r w:rsidRPr="000C10D6">
              <w:rPr>
                <w:rFonts w:eastAsia="Times New Roman" w:cstheme="minorHAnsi"/>
                <w:color w:val="000000"/>
                <w:lang w:eastAsia="en-GB"/>
              </w:rPr>
              <w:t xml:space="preserve"> the English framework relies on the “primary health need” test, underpinned by extensive case law (Department of Health and Social Care, 2022). Both systems require professionals to balance health and social care perspectives, but the differing structures highlight the importance of contextual knowledge. In Gibbs’ (1988) conclusion stage, I can recognise </w:t>
            </w:r>
            <w:r w:rsidRPr="00154268">
              <w:rPr>
                <w:rFonts w:eastAsia="Times New Roman" w:cstheme="minorHAnsi"/>
                <w:color w:val="000000"/>
                <w:lang w:eastAsia="en-GB"/>
              </w:rPr>
              <w:t>evident</w:t>
            </w:r>
            <w:r w:rsidRPr="000C10D6">
              <w:rPr>
                <w:rFonts w:eastAsia="Times New Roman" w:cstheme="minorHAnsi"/>
                <w:color w:val="000000"/>
                <w:lang w:eastAsia="en-GB"/>
              </w:rPr>
              <w:t xml:space="preserve"> progress since Task 1, Part a. I am now more confident in explaining CHC processes, participating in discharge meetings, despite </w:t>
            </w:r>
            <w:r w:rsidRPr="00154268">
              <w:rPr>
                <w:rFonts w:eastAsia="Times New Roman" w:cstheme="minorHAnsi"/>
                <w:color w:val="000000"/>
                <w:lang w:eastAsia="en-GB"/>
              </w:rPr>
              <w:t>acknowledg</w:t>
            </w:r>
            <w:r w:rsidRPr="000C10D6">
              <w:rPr>
                <w:rFonts w:eastAsia="Times New Roman" w:cstheme="minorHAnsi"/>
                <w:color w:val="000000"/>
                <w:lang w:eastAsia="en-GB"/>
              </w:rPr>
              <w:t>ing that in a Hospice environment, they may not always be required, and engaging collaboratively with colleagues. Training and supervision have provided a strong foundation for this development, while feedback from families has strengthened my communication skills. However, I must continue to consolidate my comparative knowledge of the Welsh and English frameworks and build confidence in applying professional judgement. </w:t>
            </w:r>
          </w:p>
          <w:p w14:paraId="4D2DECAA" w14:textId="77777777" w:rsidR="00747F0E" w:rsidRDefault="00747F0E" w:rsidP="00747F0E">
            <w:pPr>
              <w:rPr>
                <w:rFonts w:eastAsia="Times New Roman" w:cstheme="minorHAnsi"/>
                <w:color w:val="000000"/>
                <w:lang w:eastAsia="en-GB"/>
              </w:rPr>
            </w:pPr>
          </w:p>
          <w:p w14:paraId="3E9A4DAD" w14:textId="14E2E35E" w:rsidR="00747F0E" w:rsidRPr="000C10D6" w:rsidRDefault="00747F0E" w:rsidP="00747F0E">
            <w:pPr>
              <w:rPr>
                <w:rFonts w:eastAsia="Times New Roman" w:cstheme="minorHAnsi"/>
                <w:b/>
                <w:bCs/>
                <w:color w:val="000000"/>
                <w:lang w:eastAsia="en-GB"/>
              </w:rPr>
            </w:pPr>
            <w:r w:rsidRPr="00747F0E">
              <w:rPr>
                <w:rFonts w:eastAsia="Times New Roman" w:cstheme="minorHAnsi"/>
                <w:b/>
                <w:bCs/>
                <w:color w:val="000000"/>
                <w:lang w:eastAsia="en-GB"/>
              </w:rPr>
              <w:t>Word Count: 738</w:t>
            </w:r>
          </w:p>
          <w:p w14:paraId="70BA0C19" w14:textId="77777777" w:rsidR="00747F0E" w:rsidRPr="005E17F1" w:rsidRDefault="00747F0E" w:rsidP="002D6B34">
            <w:pPr>
              <w:jc w:val="both"/>
            </w:pPr>
          </w:p>
        </w:tc>
      </w:tr>
    </w:tbl>
    <w:p w14:paraId="3E5F404D" w14:textId="77777777" w:rsidR="00000000" w:rsidRDefault="00000000"/>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F0E93"/>
    <w:rsid w:val="00653641"/>
    <w:rsid w:val="00747F0E"/>
    <w:rsid w:val="007C6082"/>
    <w:rsid w:val="007F346B"/>
    <w:rsid w:val="00943FDB"/>
    <w:rsid w:val="009A4CCD"/>
    <w:rsid w:val="009F21E6"/>
    <w:rsid w:val="00A73D0B"/>
    <w:rsid w:val="00AB232D"/>
    <w:rsid w:val="00B930D3"/>
    <w:rsid w:val="00C0499C"/>
    <w:rsid w:val="00C243FA"/>
    <w:rsid w:val="00C86002"/>
    <w:rsid w:val="00CB2131"/>
    <w:rsid w:val="00D27A91"/>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2031</Words>
  <Characters>11578</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Microsoft Office User</cp:lastModifiedBy>
  <cp:revision>2</cp:revision>
  <cp:lastPrinted>2023-02-14T11:26:00Z</cp:lastPrinted>
  <dcterms:created xsi:type="dcterms:W3CDTF">2025-10-07T15:07:00Z</dcterms:created>
  <dcterms:modified xsi:type="dcterms:W3CDTF">2025-10-07T15:07:00Z</dcterms:modified>
</cp:coreProperties>
</file>