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011C1" w:rsidRDefault="009011C1">
      <w:pPr>
        <w:rPr>
          <w:noProof/>
          <w:lang w:eastAsia="en-GB"/>
        </w:rPr>
      </w:pPr>
    </w:p>
    <w:p w:rsidR="009011C1" w:rsidRDefault="009011C1">
      <w:r>
        <w:rPr>
          <w:noProof/>
          <w:lang w:eastAsia="en-GB"/>
        </w:rPr>
        <mc:AlternateContent>
          <mc:Choice Requires="wps">
            <w:drawing>
              <wp:anchor distT="0" distB="0" distL="114300" distR="114300" simplePos="0" relativeHeight="251659264" behindDoc="0" locked="0" layoutInCell="1" allowOverlap="1" wp14:anchorId="094725DE" wp14:editId="09846203">
                <wp:simplePos x="0" y="0"/>
                <wp:positionH relativeFrom="column">
                  <wp:posOffset>0</wp:posOffset>
                </wp:positionH>
                <wp:positionV relativeFrom="paragraph">
                  <wp:posOffset>6801485</wp:posOffset>
                </wp:positionV>
                <wp:extent cx="5734050" cy="1628775"/>
                <wp:effectExtent l="0" t="0" r="0" b="9525"/>
                <wp:wrapNone/>
                <wp:docPr id="2" name="Text Box 2"/>
                <wp:cNvGraphicFramePr/>
                <a:graphic xmlns:a="http://schemas.openxmlformats.org/drawingml/2006/main">
                  <a:graphicData uri="http://schemas.microsoft.com/office/word/2010/wordprocessingShape">
                    <wps:wsp>
                      <wps:cNvSpPr txBox="1"/>
                      <wps:spPr>
                        <a:xfrm>
                          <a:off x="0" y="0"/>
                          <a:ext cx="5734050" cy="162877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9011C1" w:rsidRPr="009011C1" w:rsidRDefault="009011C1" w:rsidP="009011C1">
                            <w:pPr>
                              <w:jc w:val="center"/>
                              <w:rPr>
                                <w:b/>
                              </w:rPr>
                            </w:pPr>
                            <w:r w:rsidRPr="009011C1">
                              <w:rPr>
                                <w:b/>
                              </w:rPr>
                              <w:t>An analysis of</w:t>
                            </w:r>
                          </w:p>
                          <w:p w:rsidR="00FE753F" w:rsidRPr="009011C1" w:rsidRDefault="009011C1" w:rsidP="009011C1">
                            <w:pPr>
                              <w:jc w:val="center"/>
                              <w:rPr>
                                <w:b/>
                                <w:u w:val="single"/>
                              </w:rPr>
                            </w:pPr>
                            <w:r w:rsidRPr="009011C1">
                              <w:rPr>
                                <w:b/>
                                <w:u w:val="single"/>
                              </w:rPr>
                              <w:t>DULCE ET DECORUM EST</w:t>
                            </w:r>
                          </w:p>
                          <w:p w:rsidR="009011C1" w:rsidRPr="009011C1" w:rsidRDefault="009011C1" w:rsidP="009011C1">
                            <w:pPr>
                              <w:jc w:val="center"/>
                              <w:rPr>
                                <w:b/>
                              </w:rPr>
                            </w:pPr>
                            <w:r w:rsidRPr="009011C1">
                              <w:rPr>
                                <w:b/>
                              </w:rPr>
                              <w:t>Claire Mann</w:t>
                            </w:r>
                          </w:p>
                          <w:p w:rsidR="009011C1" w:rsidRPr="009011C1" w:rsidRDefault="009011C1" w:rsidP="009011C1">
                            <w:pPr>
                              <w:jc w:val="center"/>
                              <w:rPr>
                                <w:b/>
                              </w:rPr>
                            </w:pPr>
                            <w:r w:rsidRPr="009011C1">
                              <w:rPr>
                                <w:b/>
                              </w:rPr>
                              <w:t>1602593</w:t>
                            </w:r>
                          </w:p>
                          <w:p w:rsidR="009011C1" w:rsidRPr="009011C1" w:rsidRDefault="009011C1" w:rsidP="009011C1">
                            <w:pPr>
                              <w:jc w:val="center"/>
                              <w:rPr>
                                <w:b/>
                              </w:rPr>
                            </w:pPr>
                            <w:r w:rsidRPr="009011C1">
                              <w:rPr>
                                <w:b/>
                              </w:rPr>
                              <w:t>HPHI5004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0;margin-top:535.55pt;width:451.5pt;height:128.2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" fillcolor="white [3201]" stroked="f" strokeweight=".5pt">
                <v:textbox>
                  <w:txbxContent>
                    <w:p w:rsidR="009011C1" w:rsidRPr="009011C1" w:rsidRDefault="009011C1" w:rsidP="009011C1">
                      <w:pPr>
                        <w:jc w:val="center"/>
                        <w:rPr>
                          <w:b/>
                        </w:rPr>
                      </w:pPr>
                      <w:r w:rsidRPr="009011C1">
                        <w:rPr>
                          <w:b/>
                        </w:rPr>
                        <w:t>An analysis of</w:t>
                      </w:r>
                    </w:p>
                    <w:p w:rsidR="00FE753F" w:rsidRPr="009011C1" w:rsidRDefault="009011C1" w:rsidP="009011C1">
                      <w:pPr>
                        <w:jc w:val="center"/>
                        <w:rPr>
                          <w:b/>
                          <w:u w:val="single"/>
                        </w:rPr>
                      </w:pPr>
                      <w:r w:rsidRPr="009011C1">
                        <w:rPr>
                          <w:b/>
                          <w:u w:val="single"/>
                        </w:rPr>
                        <w:t>DULCE ET DECORUM EST</w:t>
                      </w:r>
                    </w:p>
                    <w:p w:rsidR="009011C1" w:rsidRPr="009011C1" w:rsidRDefault="009011C1" w:rsidP="009011C1">
                      <w:pPr>
                        <w:jc w:val="center"/>
                        <w:rPr>
                          <w:b/>
                        </w:rPr>
                      </w:pPr>
                      <w:r w:rsidRPr="009011C1">
                        <w:rPr>
                          <w:b/>
                        </w:rPr>
                        <w:t>Claire Mann</w:t>
                      </w:r>
                    </w:p>
                    <w:p w:rsidR="009011C1" w:rsidRPr="009011C1" w:rsidRDefault="009011C1" w:rsidP="009011C1">
                      <w:pPr>
                        <w:jc w:val="center"/>
                        <w:rPr>
                          <w:b/>
                        </w:rPr>
                      </w:pPr>
                      <w:r w:rsidRPr="009011C1">
                        <w:rPr>
                          <w:b/>
                        </w:rPr>
                        <w:t>1602593</w:t>
                      </w:r>
                    </w:p>
                    <w:p w:rsidR="009011C1" w:rsidRPr="009011C1" w:rsidRDefault="009011C1" w:rsidP="009011C1">
                      <w:pPr>
                        <w:jc w:val="center"/>
                        <w:rPr>
                          <w:b/>
                        </w:rPr>
                      </w:pPr>
                      <w:r w:rsidRPr="009011C1">
                        <w:rPr>
                          <w:b/>
                        </w:rPr>
                        <w:t>HPHI5004</w:t>
                      </w:r>
                    </w:p>
                  </w:txbxContent>
                </v:textbox>
              </v:shape>
            </w:pict>
          </mc:Fallback>
        </mc:AlternateContent>
      </w:r>
      <w:r w:rsidR="00FE753F">
        <w:rPr>
          <w:noProof/>
          <w:lang w:eastAsia="en-GB"/>
        </w:rPr>
        <w:drawing>
          <wp:inline distT="0" distB="0" distL="0" distR="0" wp14:anchorId="36B0BA16" wp14:editId="34DFA789">
            <wp:extent cx="5731510" cy="6696710"/>
            <wp:effectExtent l="0" t="0" r="254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ilfred owen pic.webp"/>
                    <pic:cNvPicPr/>
                  </pic:nvPicPr>
                  <pic:blipFill>
                    <a:blip r:embed="rId8">
                      <a:extLst>
                        <a:ext uri="{28A0092B-C50C-407E-A947-70E740481C1C}">
                          <a14:useLocalDpi xmlns:a14="http://schemas.microsoft.com/office/drawing/2010/main" val="0"/>
                        </a:ext>
                      </a:extLst>
                    </a:blip>
                    <a:stretch>
                      <a:fillRect/>
                    </a:stretch>
                  </pic:blipFill>
                  <pic:spPr>
                    <a:xfrm>
                      <a:off x="0" y="0"/>
                      <a:ext cx="5731510" cy="6696710"/>
                    </a:xfrm>
                    <a:prstGeom prst="rect">
                      <a:avLst/>
                    </a:prstGeom>
                  </pic:spPr>
                </pic:pic>
              </a:graphicData>
            </a:graphic>
          </wp:inline>
        </w:drawing>
      </w:r>
    </w:p>
    <w:p w:rsidR="009011C1" w:rsidRPr="009011C1" w:rsidRDefault="009011C1" w:rsidP="009011C1"/>
    <w:p w:rsidR="009011C1" w:rsidRPr="009011C1" w:rsidRDefault="009011C1" w:rsidP="009011C1"/>
    <w:p w:rsidR="009011C1" w:rsidRPr="009011C1" w:rsidRDefault="009011C1" w:rsidP="009011C1"/>
    <w:p w:rsidR="009011C1" w:rsidRPr="009011C1" w:rsidRDefault="009011C1" w:rsidP="009011C1"/>
    <w:p w:rsidR="00EC396B" w:rsidRDefault="009011C1" w:rsidP="009011C1">
      <w:pPr>
        <w:tabs>
          <w:tab w:val="left" w:pos="6255"/>
        </w:tabs>
      </w:pPr>
      <w:r>
        <w:tab/>
      </w:r>
    </w:p>
    <w:p w:rsidR="009011C1" w:rsidRDefault="005E18F1" w:rsidP="00261849">
      <w:pPr>
        <w:tabs>
          <w:tab w:val="left" w:pos="6255"/>
        </w:tabs>
        <w:spacing w:line="480" w:lineRule="auto"/>
      </w:pPr>
      <w:r>
        <w:lastRenderedPageBreak/>
        <w:t>For</w:t>
      </w:r>
      <w:r w:rsidR="009011C1">
        <w:t xml:space="preserve"> this document report I will be analysing the poem ‘Dulce et Decorum Est’ by Wilfred Owen.  It is considered one of his best poems and expresses clearly to the reader his revulsion towa</w:t>
      </w:r>
      <w:r>
        <w:t>rds war.  The poem was d</w:t>
      </w:r>
      <w:r w:rsidR="009011C1">
        <w:t>rafted a</w:t>
      </w:r>
      <w:r>
        <w:t xml:space="preserve">t </w:t>
      </w:r>
      <w:proofErr w:type="spellStart"/>
      <w:r>
        <w:t>Craiglockhart</w:t>
      </w:r>
      <w:proofErr w:type="spellEnd"/>
      <w:r>
        <w:t xml:space="preserve"> War Hospital, Edinburgh in 1917, while he was</w:t>
      </w:r>
      <w:r w:rsidR="00E22F63">
        <w:t xml:space="preserve"> recovering from shell shock after a period of fighting in the Battle of the Somme.</w:t>
      </w:r>
      <w:r w:rsidR="00316076">
        <w:t xml:space="preserve">  He was 24 years old at the time.</w:t>
      </w:r>
    </w:p>
    <w:p w:rsidR="00E22F63" w:rsidRDefault="00E22F63" w:rsidP="00261849">
      <w:pPr>
        <w:tabs>
          <w:tab w:val="left" w:pos="6255"/>
        </w:tabs>
        <w:spacing w:line="480" w:lineRule="auto"/>
      </w:pPr>
    </w:p>
    <w:p w:rsidR="00E22F63" w:rsidRDefault="00E22F63" w:rsidP="00261849">
      <w:pPr>
        <w:tabs>
          <w:tab w:val="left" w:pos="6255"/>
        </w:tabs>
        <w:spacing w:line="480" w:lineRule="auto"/>
      </w:pPr>
      <w:r>
        <w:t xml:space="preserve">The title of the poem is Latin and is taken from </w:t>
      </w:r>
      <w:r>
        <w:rPr>
          <w:i/>
        </w:rPr>
        <w:t xml:space="preserve">Odes </w:t>
      </w:r>
      <w:r w:rsidR="00E1754C">
        <w:t xml:space="preserve">III </w:t>
      </w:r>
      <w:r>
        <w:t>by Horace.</w:t>
      </w:r>
      <w:r>
        <w:rPr>
          <w:rStyle w:val="FootnoteReference"/>
        </w:rPr>
        <w:footnoteReference w:id="1"/>
      </w:r>
      <w:r w:rsidR="00E1754C">
        <w:t xml:space="preserve"> It translates too “It is sweet and right” and it appears twice in the poem.  Owen closes the poem with the same phrase ‘Dulce et decorum </w:t>
      </w:r>
      <w:proofErr w:type="spellStart"/>
      <w:r w:rsidR="00E1754C">
        <w:t>est</w:t>
      </w:r>
      <w:proofErr w:type="spellEnd"/>
      <w:r w:rsidR="00E1754C">
        <w:t xml:space="preserve"> Pro patria </w:t>
      </w:r>
      <w:proofErr w:type="spellStart"/>
      <w:r w:rsidR="00E1754C">
        <w:t>mori</w:t>
      </w:r>
      <w:proofErr w:type="spellEnd"/>
      <w:r w:rsidR="00E1754C">
        <w:t>’ meaning “It is sweet and right to die for your country”</w:t>
      </w:r>
      <w:r w:rsidR="0006645F">
        <w:t xml:space="preserve"> and in essence is a grotesque lie, at a time when Horace’s sentiment was considered a noble truth.</w:t>
      </w:r>
      <w:r w:rsidR="0006645F">
        <w:rPr>
          <w:rStyle w:val="FootnoteReference"/>
        </w:rPr>
        <w:footnoteReference w:id="2"/>
      </w:r>
    </w:p>
    <w:p w:rsidR="00261849" w:rsidRDefault="00261849" w:rsidP="00261849">
      <w:pPr>
        <w:tabs>
          <w:tab w:val="left" w:pos="6255"/>
        </w:tabs>
        <w:spacing w:line="480" w:lineRule="auto"/>
      </w:pPr>
    </w:p>
    <w:p w:rsidR="00261849" w:rsidRDefault="00316076" w:rsidP="00261849">
      <w:pPr>
        <w:tabs>
          <w:tab w:val="left" w:pos="6255"/>
        </w:tabs>
        <w:spacing w:line="480" w:lineRule="auto"/>
      </w:pPr>
      <w:r>
        <w:t>The poem consists of four unequal</w:t>
      </w:r>
      <w:r w:rsidR="00261849">
        <w:t xml:space="preserve"> stanzas</w:t>
      </w:r>
      <w:r>
        <w:t xml:space="preserve">, the first two set the scene, the third is short </w:t>
      </w:r>
      <w:r w:rsidR="00D51821">
        <w:t>and focuses on the aftermath while in t</w:t>
      </w:r>
      <w:r>
        <w:t>he fourth stanza Owen attacks those at home- his intention certainly an admirable one- to “show” the horror to an all-too-uncomprehending audience on the home front.</w:t>
      </w:r>
      <w:r>
        <w:rPr>
          <w:rStyle w:val="FootnoteReference"/>
        </w:rPr>
        <w:footnoteReference w:id="3"/>
      </w:r>
    </w:p>
    <w:p w:rsidR="008F4F88" w:rsidRDefault="008F4F88" w:rsidP="00261849">
      <w:pPr>
        <w:tabs>
          <w:tab w:val="left" w:pos="6255"/>
        </w:tabs>
        <w:spacing w:line="480" w:lineRule="auto"/>
      </w:pPr>
    </w:p>
    <w:p w:rsidR="0038188E" w:rsidRDefault="008F4F88" w:rsidP="00261849">
      <w:pPr>
        <w:tabs>
          <w:tab w:val="left" w:pos="6255"/>
        </w:tabs>
        <w:spacing w:line="480" w:lineRule="auto"/>
      </w:pPr>
      <w:r>
        <w:t>Owen</w:t>
      </w:r>
      <w:r w:rsidR="00D51821">
        <w:t xml:space="preserve"> begins the poem describing how</w:t>
      </w:r>
      <w:r>
        <w:t xml:space="preserve"> he and his fellow soldiers, struggle along, doubled over, exhausted</w:t>
      </w:r>
      <w:r w:rsidR="00574753">
        <w:t>,</w:t>
      </w:r>
      <w:r>
        <w:t xml:space="preserve"> under their uniforms resembling sacks.  Turning their backs on the area known as </w:t>
      </w:r>
      <w:r w:rsidR="001E6825">
        <w:t>“</w:t>
      </w:r>
      <w:r w:rsidR="00D51821">
        <w:t>No Man’s Land</w:t>
      </w:r>
      <w:r w:rsidR="001E6825">
        <w:t>”</w:t>
      </w:r>
      <w:r>
        <w:t xml:space="preserve"> </w:t>
      </w:r>
      <w:r w:rsidR="00574753">
        <w:t xml:space="preserve">as the army retreat </w:t>
      </w:r>
      <w:r>
        <w:t>wanting only to rest.</w:t>
      </w:r>
      <w:r>
        <w:rPr>
          <w:rStyle w:val="FootnoteReference"/>
        </w:rPr>
        <w:footnoteReference w:id="4"/>
      </w:r>
      <w:r w:rsidR="00574753">
        <w:t xml:space="preserve">  So exhausted they appear asleep, limpi</w:t>
      </w:r>
      <w:r w:rsidR="00414FF8">
        <w:t>ng</w:t>
      </w:r>
      <w:r w:rsidR="00D51821">
        <w:t>,</w:t>
      </w:r>
      <w:r w:rsidR="00414FF8">
        <w:t xml:space="preserve"> as some have lost their boots</w:t>
      </w:r>
      <w:r w:rsidR="00574753">
        <w:t xml:space="preserve">.  His use of the words blood shod and </w:t>
      </w:r>
      <w:r w:rsidR="00D277FA">
        <w:t>lame;</w:t>
      </w:r>
      <w:r w:rsidR="00574753">
        <w:t xml:space="preserve"> both terms associated with horses </w:t>
      </w:r>
      <w:r w:rsidR="00CA37C6">
        <w:t>and depict a scene of young men worn into decrepitude under the stress of battle.</w:t>
      </w:r>
      <w:r w:rsidR="00CA37C6">
        <w:rPr>
          <w:rStyle w:val="FootnoteReference"/>
        </w:rPr>
        <w:footnoteReference w:id="5"/>
      </w:r>
      <w:r w:rsidR="00D277FA">
        <w:t xml:space="preserve">  However another suggestion for this is that they appear to be</w:t>
      </w:r>
      <w:r w:rsidR="0038188E">
        <w:t xml:space="preserve"> sleep walking to their doom, like t</w:t>
      </w:r>
      <w:r w:rsidR="00D277FA">
        <w:t xml:space="preserve">he blind </w:t>
      </w:r>
      <w:r w:rsidR="00D277FA">
        <w:lastRenderedPageBreak/>
        <w:t>leading the</w:t>
      </w:r>
      <w:r w:rsidR="0038188E">
        <w:t xml:space="preserve"> blind.  This according to the Bible means “all shall fall into the ditch”.</w:t>
      </w:r>
      <w:r w:rsidR="00D277FA">
        <w:rPr>
          <w:rStyle w:val="FootnoteReference"/>
        </w:rPr>
        <w:footnoteReference w:id="6"/>
      </w:r>
      <w:r w:rsidR="0038188E">
        <w:t xml:space="preserve">  The men appear drunk with fatigue, so tired they are incapable, unable to hear the noise from </w:t>
      </w:r>
      <w:r w:rsidR="001E6825">
        <w:t xml:space="preserve">the </w:t>
      </w:r>
      <w:r w:rsidR="0038188E">
        <w:t xml:space="preserve">explosive shells in the distance, </w:t>
      </w:r>
      <w:r w:rsidR="001E6825">
        <w:t xml:space="preserve">yet, </w:t>
      </w:r>
      <w:r w:rsidR="0038188E">
        <w:t xml:space="preserve">having no idea of the horror they are about to endure, as the shells release gas. </w:t>
      </w:r>
    </w:p>
    <w:p w:rsidR="0038188E" w:rsidRDefault="0038188E" w:rsidP="00261849">
      <w:pPr>
        <w:tabs>
          <w:tab w:val="left" w:pos="6255"/>
        </w:tabs>
        <w:spacing w:line="480" w:lineRule="auto"/>
      </w:pPr>
    </w:p>
    <w:p w:rsidR="008F4F88" w:rsidRDefault="0038188E" w:rsidP="00261849">
      <w:pPr>
        <w:tabs>
          <w:tab w:val="left" w:pos="6255"/>
        </w:tabs>
        <w:spacing w:line="480" w:lineRule="auto"/>
      </w:pPr>
      <w:r>
        <w:t>In the second</w:t>
      </w:r>
      <w:r w:rsidR="001E6825">
        <w:t xml:space="preserve"> and third</w:t>
      </w:r>
      <w:r>
        <w:t xml:space="preserve"> stanza</w:t>
      </w:r>
      <w:r w:rsidR="001E6825">
        <w:t>s</w:t>
      </w:r>
      <w:r>
        <w:t xml:space="preserve"> th</w:t>
      </w:r>
      <w:r w:rsidR="00313D13">
        <w:t xml:space="preserve">e action is controlled through the </w:t>
      </w:r>
      <w:r>
        <w:t>skilful use of p</w:t>
      </w:r>
      <w:r w:rsidR="005B6FC5">
        <w:t>unctuation, stalling</w:t>
      </w:r>
      <w:r>
        <w:t xml:space="preserve"> the reader</w:t>
      </w:r>
      <w:r w:rsidR="00313D13">
        <w:t>, creating the impression that the events are occurring in slow motion.</w:t>
      </w:r>
      <w:r>
        <w:t xml:space="preserve"> </w:t>
      </w:r>
      <w:r w:rsidR="00313D13">
        <w:rPr>
          <w:rStyle w:val="FootnoteReference"/>
        </w:rPr>
        <w:footnoteReference w:id="7"/>
      </w:r>
      <w:r w:rsidR="005B6FC5">
        <w:t xml:space="preserve">  As the air is filled with gas, which by the symptoms is believed to be chlorine or phosgene</w:t>
      </w:r>
      <w:r w:rsidR="005B6FC5">
        <w:rPr>
          <w:rStyle w:val="FootnoteReference"/>
        </w:rPr>
        <w:footnoteReference w:id="8"/>
      </w:r>
      <w:r w:rsidR="0086410A">
        <w:t xml:space="preserve"> the soldiers franticly fumble trying to fit on their clumsy gas masks.  They don’t </w:t>
      </w:r>
      <w:r w:rsidR="00122946">
        <w:t>all succeed, Owen is aware one of his friends has failed and he can hear him yelling, as he experiences the burning sensation like walking through flames, or of chalky white lime eating through his skin.  He tries to help, but is unable to see clearly through the celluloid windows</w:t>
      </w:r>
      <w:r w:rsidR="00122946">
        <w:rPr>
          <w:rStyle w:val="FootnoteReference"/>
        </w:rPr>
        <w:footnoteReference w:id="9"/>
      </w:r>
      <w:r w:rsidR="00122946">
        <w:t xml:space="preserve"> of his gas mask and he watches his colleague drown in a green haze as the gases thicken.</w:t>
      </w:r>
      <w:r w:rsidR="00B0124F">
        <w:t xml:space="preserve">  Knowing this will haunt him for the rest of his life, every night as he sleeps he will be faced with graphic flashbacks</w:t>
      </w:r>
      <w:r w:rsidR="000B7F80">
        <w:t>,</w:t>
      </w:r>
      <w:r w:rsidR="00B0124F">
        <w:t xml:space="preserve"> emphasizing the damage is not purely physical but psychological</w:t>
      </w:r>
      <w:r w:rsidR="000B7F80">
        <w:t xml:space="preserve"> too</w:t>
      </w:r>
      <w:r w:rsidR="00B0124F">
        <w:t>.</w:t>
      </w:r>
      <w:r w:rsidR="000B7F80">
        <w:rPr>
          <w:rStyle w:val="FootnoteReference"/>
        </w:rPr>
        <w:footnoteReference w:id="10"/>
      </w:r>
      <w:r w:rsidR="002E239F">
        <w:t xml:space="preserve">  </w:t>
      </w:r>
    </w:p>
    <w:p w:rsidR="002E239F" w:rsidRDefault="002E239F" w:rsidP="00261849">
      <w:pPr>
        <w:tabs>
          <w:tab w:val="left" w:pos="6255"/>
        </w:tabs>
        <w:spacing w:line="480" w:lineRule="auto"/>
      </w:pPr>
    </w:p>
    <w:p w:rsidR="001E6825" w:rsidRDefault="002E239F" w:rsidP="00261849">
      <w:pPr>
        <w:tabs>
          <w:tab w:val="left" w:pos="6255"/>
        </w:tabs>
        <w:spacing w:line="480" w:lineRule="auto"/>
      </w:pPr>
      <w:r>
        <w:t xml:space="preserve">The third stanza directly </w:t>
      </w:r>
      <w:r w:rsidR="00770D5D">
        <w:t>addresses the</w:t>
      </w:r>
      <w:r>
        <w:t xml:space="preserve"> audience, using the second person “you” primarily believed to be Jessie Pope of </w:t>
      </w:r>
      <w:r>
        <w:rPr>
          <w:i/>
        </w:rPr>
        <w:t>Punch</w:t>
      </w:r>
      <w:r w:rsidR="00D51821">
        <w:t xml:space="preserve">, a </w:t>
      </w:r>
      <w:r w:rsidR="00770D5D">
        <w:t>journalist</w:t>
      </w:r>
      <w:r>
        <w:t xml:space="preserve"> and poet</w:t>
      </w:r>
      <w:r w:rsidR="00770D5D">
        <w:t xml:space="preserve">, </w:t>
      </w:r>
      <w:r>
        <w:t>who espoused ji</w:t>
      </w:r>
      <w:r w:rsidR="00770D5D">
        <w:t>ngoistic enthusiasm for the war.</w:t>
      </w:r>
      <w:r>
        <w:rPr>
          <w:rStyle w:val="FootnoteReference"/>
        </w:rPr>
        <w:footnoteReference w:id="11"/>
      </w:r>
      <w:r w:rsidR="00770D5D">
        <w:t xml:space="preserve"> Owen quickly changes pace, where at the start</w:t>
      </w:r>
      <w:r w:rsidR="001E6825">
        <w:t xml:space="preserve"> of the poem </w:t>
      </w:r>
      <w:r w:rsidR="00770D5D">
        <w:t xml:space="preserve"> the soldiers were blind, and deaf; now it is the audien</w:t>
      </w:r>
      <w:r w:rsidR="00CA305B">
        <w:t xml:space="preserve">ce-the public back home- that are both deaf and blind to the devastation the soldiers </w:t>
      </w:r>
      <w:r w:rsidR="00CA305B">
        <w:lastRenderedPageBreak/>
        <w:t>face and are unable to pace, or “walk in their shoes”.</w:t>
      </w:r>
      <w:r w:rsidR="00CA305B">
        <w:rPr>
          <w:rStyle w:val="FootnoteReference"/>
        </w:rPr>
        <w:footnoteReference w:id="12"/>
      </w:r>
      <w:r w:rsidR="00C70D50">
        <w:t xml:space="preserve">  Owen is asking the audience how they would cope with what he has experienced.  Flinging your friends body like a carcass into the back of the wagon, knowing he had no chance of survival.  As you walk behind you watch the victims eyes flicker, rolling backwards into his skull.  </w:t>
      </w:r>
    </w:p>
    <w:p w:rsidR="002E239F" w:rsidRDefault="001E0162" w:rsidP="00261849">
      <w:pPr>
        <w:tabs>
          <w:tab w:val="left" w:pos="6255"/>
        </w:tabs>
        <w:spacing w:line="480" w:lineRule="auto"/>
      </w:pPr>
      <w:r>
        <w:rPr>
          <w:noProof/>
          <w:lang w:eastAsia="en-GB"/>
        </w:rPr>
        <w:drawing>
          <wp:anchor distT="0" distB="0" distL="114300" distR="114300" simplePos="0" relativeHeight="251660288" behindDoc="0" locked="0" layoutInCell="1" allowOverlap="1" wp14:anchorId="032B0425" wp14:editId="244ABCF6">
            <wp:simplePos x="0" y="0"/>
            <wp:positionH relativeFrom="column">
              <wp:align>center</wp:align>
            </wp:positionH>
            <wp:positionV relativeFrom="paragraph">
              <wp:posOffset>1614170</wp:posOffset>
            </wp:positionV>
            <wp:extent cx="3743960" cy="4726305"/>
            <wp:effectExtent l="0" t="0" r="889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he-scream.jpg"/>
                    <pic:cNvPicPr/>
                  </pic:nvPicPr>
                  <pic:blipFill>
                    <a:blip r:embed="rId9">
                      <a:extLst>
                        <a:ext uri="{28A0092B-C50C-407E-A947-70E740481C1C}">
                          <a14:useLocalDpi xmlns:a14="http://schemas.microsoft.com/office/drawing/2010/main" val="0"/>
                        </a:ext>
                      </a:extLst>
                    </a:blip>
                    <a:stretch>
                      <a:fillRect/>
                    </a:stretch>
                  </pic:blipFill>
                  <pic:spPr>
                    <a:xfrm>
                      <a:off x="0" y="0"/>
                      <a:ext cx="3744000" cy="4726800"/>
                    </a:xfrm>
                    <a:prstGeom prst="rect">
                      <a:avLst/>
                    </a:prstGeom>
                  </pic:spPr>
                </pic:pic>
              </a:graphicData>
            </a:graphic>
            <wp14:sizeRelH relativeFrom="page">
              <wp14:pctWidth>0</wp14:pctWidth>
            </wp14:sizeRelH>
            <wp14:sizeRelV relativeFrom="page">
              <wp14:pctHeight>0</wp14:pctHeight>
            </wp14:sizeRelV>
          </wp:anchor>
        </w:drawing>
      </w:r>
      <w:r w:rsidR="00C70D50">
        <w:t xml:space="preserve">I believe the illustration in David </w:t>
      </w:r>
      <w:proofErr w:type="gramStart"/>
      <w:r w:rsidR="00C70D50">
        <w:t>Roberts</w:t>
      </w:r>
      <w:proofErr w:type="gramEnd"/>
      <w:r w:rsidR="00C70D50">
        <w:t xml:space="preserve"> book “Out in the Dark”</w:t>
      </w:r>
      <w:r w:rsidR="001E6825">
        <w:rPr>
          <w:rStyle w:val="FootnoteReference"/>
        </w:rPr>
        <w:footnoteReference w:id="13"/>
      </w:r>
      <w:r w:rsidR="009D51EC">
        <w:t xml:space="preserve"> is a good representation of how</w:t>
      </w:r>
      <w:r w:rsidR="00D51821">
        <w:t xml:space="preserve"> Owen wanted his audience to imagine the soldiers face, However I do wonder if his</w:t>
      </w:r>
      <w:r w:rsidR="009D51EC">
        <w:t xml:space="preserve"> inspiration</w:t>
      </w:r>
      <w:r>
        <w:t xml:space="preserve"> when writing the poem</w:t>
      </w:r>
      <w:r w:rsidR="009D51EC">
        <w:t xml:space="preserve"> may well have come from the composition by Norwegian exp</w:t>
      </w:r>
      <w:r w:rsidR="00316076">
        <w:t>ressionist ar</w:t>
      </w:r>
      <w:bookmarkStart w:id="0" w:name="_GoBack"/>
      <w:bookmarkEnd w:id="0"/>
      <w:r w:rsidR="00316076">
        <w:t xml:space="preserve">tist </w:t>
      </w:r>
      <w:proofErr w:type="spellStart"/>
      <w:r w:rsidR="00316076">
        <w:t>Edvard</w:t>
      </w:r>
      <w:proofErr w:type="spellEnd"/>
      <w:r w:rsidR="00316076">
        <w:t xml:space="preserve"> Munch.</w:t>
      </w:r>
    </w:p>
    <w:p w:rsidR="009D51EC" w:rsidRDefault="00316076" w:rsidP="00C52123">
      <w:pPr>
        <w:tabs>
          <w:tab w:val="left" w:pos="2220"/>
        </w:tabs>
        <w:spacing w:line="480" w:lineRule="auto"/>
      </w:pPr>
      <w:r>
        <w:tab/>
      </w:r>
      <w:r>
        <w:tab/>
      </w:r>
      <w:r>
        <w:tab/>
      </w:r>
      <w:proofErr w:type="gramStart"/>
      <w:r w:rsidRPr="00316076">
        <w:t>“</w:t>
      </w:r>
      <w:proofErr w:type="spellStart"/>
      <w:r w:rsidRPr="00316076">
        <w:t>TheScream</w:t>
      </w:r>
      <w:proofErr w:type="spellEnd"/>
      <w:r w:rsidRPr="00316076">
        <w:t>” (1893).</w:t>
      </w:r>
      <w:proofErr w:type="gramEnd"/>
    </w:p>
    <w:p w:rsidR="00C52123" w:rsidRDefault="00C52123" w:rsidP="00C52123">
      <w:pPr>
        <w:tabs>
          <w:tab w:val="left" w:pos="2220"/>
        </w:tabs>
        <w:spacing w:line="480" w:lineRule="auto"/>
      </w:pPr>
    </w:p>
    <w:p w:rsidR="001E0162" w:rsidRDefault="001E0162" w:rsidP="00C52123">
      <w:pPr>
        <w:tabs>
          <w:tab w:val="left" w:pos="2220"/>
        </w:tabs>
        <w:spacing w:line="480" w:lineRule="auto"/>
      </w:pPr>
      <w:r>
        <w:t xml:space="preserve">The graphic descriptions continue, as he vividly describes the sound of corrupted lungs expelling blood, and the soldier gargling on it as the wagon jolts over the un-even terrain.  Referring back to animals with the chewing of the cud </w:t>
      </w:r>
      <w:r w:rsidR="001E6825">
        <w:t>could signify</w:t>
      </w:r>
      <w:r>
        <w:t xml:space="preserve"> Owen will forever “regurgitate”</w:t>
      </w:r>
      <w:r w:rsidR="001E6825">
        <w:t xml:space="preserve"> the image of this horror. Or perhaps he is echoing “those who die as cattle” </w:t>
      </w:r>
      <w:r w:rsidR="00566C8F">
        <w:t>from an</w:t>
      </w:r>
      <w:r w:rsidR="00C5019F">
        <w:t xml:space="preserve"> </w:t>
      </w:r>
      <w:r w:rsidR="00566C8F">
        <w:t>‘</w:t>
      </w:r>
      <w:r w:rsidR="00C5019F">
        <w:t>Anthem for Doomed Youth</w:t>
      </w:r>
      <w:r w:rsidR="00566C8F">
        <w:t>’</w:t>
      </w:r>
      <w:r w:rsidR="00C5019F">
        <w:t>.</w:t>
      </w:r>
    </w:p>
    <w:p w:rsidR="00566C8F" w:rsidRDefault="00566C8F" w:rsidP="00C52123">
      <w:pPr>
        <w:tabs>
          <w:tab w:val="left" w:pos="2220"/>
        </w:tabs>
        <w:spacing w:line="480" w:lineRule="auto"/>
      </w:pPr>
    </w:p>
    <w:p w:rsidR="00566C8F" w:rsidRDefault="00566C8F" w:rsidP="00C52123">
      <w:pPr>
        <w:tabs>
          <w:tab w:val="left" w:pos="2220"/>
        </w:tabs>
        <w:spacing w:line="480" w:lineRule="auto"/>
      </w:pPr>
      <w:r>
        <w:t xml:space="preserve">The sores on youthful tongues would lead the reader to believe he was referring to the physical sores acquired as a consequence of the gas attack.  </w:t>
      </w:r>
      <w:proofErr w:type="spellStart"/>
      <w:r>
        <w:t>Merryn</w:t>
      </w:r>
      <w:proofErr w:type="spellEnd"/>
      <w:r>
        <w:t xml:space="preserve"> Williams in her book suggests he is describing the symptoms of a venereal disease, possibly syphilis, another peculiarly intimate and shaming type of pain.</w:t>
      </w:r>
      <w:r>
        <w:rPr>
          <w:rStyle w:val="FootnoteReference"/>
        </w:rPr>
        <w:footnoteReference w:id="14"/>
      </w:r>
      <w:r>
        <w:t xml:space="preserve"> </w:t>
      </w:r>
    </w:p>
    <w:p w:rsidR="00BE7E82" w:rsidRDefault="00566C8F" w:rsidP="00C52123">
      <w:pPr>
        <w:tabs>
          <w:tab w:val="left" w:pos="2220"/>
        </w:tabs>
        <w:spacing w:line="480" w:lineRule="auto"/>
      </w:pPr>
      <w:r>
        <w:t xml:space="preserve">The poem finally closes </w:t>
      </w:r>
      <w:r w:rsidR="00BE7E82">
        <w:t xml:space="preserve">with reference </w:t>
      </w:r>
      <w:r>
        <w:t>to “My Friend”</w:t>
      </w:r>
      <w:r w:rsidR="00BE7E82">
        <w:t xml:space="preserve"> asking that the enthusiasm for war stops.  Stop encouraging young, innocent children, who are desperate for glory.  To experience all that has been described throughout the poem, throwing away their lives for the ‘Old lie’</w:t>
      </w:r>
      <w:r w:rsidR="005B14FF">
        <w:t>.</w:t>
      </w:r>
      <w:r w:rsidR="00BE7E82">
        <w:t xml:space="preserve"> </w:t>
      </w:r>
    </w:p>
    <w:p w:rsidR="00566C8F" w:rsidRDefault="00BE7E82" w:rsidP="00C52123">
      <w:pPr>
        <w:tabs>
          <w:tab w:val="left" w:pos="2220"/>
        </w:tabs>
        <w:spacing w:line="480" w:lineRule="auto"/>
        <w:rPr>
          <w:lang w:val="fr-FR"/>
        </w:rPr>
      </w:pPr>
      <w:proofErr w:type="spellStart"/>
      <w:r w:rsidRPr="00BE7E82">
        <w:rPr>
          <w:lang w:val="fr-FR"/>
        </w:rPr>
        <w:t>Dulce</w:t>
      </w:r>
      <w:proofErr w:type="spellEnd"/>
      <w:r w:rsidRPr="00BE7E82">
        <w:rPr>
          <w:lang w:val="fr-FR"/>
        </w:rPr>
        <w:t xml:space="preserve"> et </w:t>
      </w:r>
      <w:proofErr w:type="spellStart"/>
      <w:r w:rsidRPr="00BE7E82">
        <w:rPr>
          <w:lang w:val="fr-FR"/>
        </w:rPr>
        <w:t>Decorum</w:t>
      </w:r>
      <w:proofErr w:type="spellEnd"/>
      <w:r w:rsidRPr="00BE7E82">
        <w:rPr>
          <w:lang w:val="fr-FR"/>
        </w:rPr>
        <w:t xml:space="preserve"> est Pro </w:t>
      </w:r>
      <w:proofErr w:type="spellStart"/>
      <w:r w:rsidRPr="00BE7E82">
        <w:rPr>
          <w:lang w:val="fr-FR"/>
        </w:rPr>
        <w:t>patria</w:t>
      </w:r>
      <w:proofErr w:type="spellEnd"/>
      <w:r w:rsidRPr="00BE7E82">
        <w:rPr>
          <w:lang w:val="fr-FR"/>
        </w:rPr>
        <w:t xml:space="preserve"> mori.</w:t>
      </w:r>
    </w:p>
    <w:p w:rsidR="00BE7E82" w:rsidRDefault="00BE7E82" w:rsidP="00C52123">
      <w:pPr>
        <w:tabs>
          <w:tab w:val="left" w:pos="2220"/>
        </w:tabs>
        <w:spacing w:line="480" w:lineRule="auto"/>
        <w:rPr>
          <w:lang w:val="fr-FR"/>
        </w:rPr>
      </w:pPr>
    </w:p>
    <w:p w:rsidR="00BE7E82" w:rsidRDefault="00BE7E82" w:rsidP="00C52123">
      <w:pPr>
        <w:tabs>
          <w:tab w:val="left" w:pos="2220"/>
        </w:tabs>
        <w:spacing w:line="480" w:lineRule="auto"/>
      </w:pPr>
      <w:r w:rsidRPr="00BE7E82">
        <w:t>Wilfr</w:t>
      </w:r>
      <w:r w:rsidR="00935420">
        <w:t>ed Owen died the following year</w:t>
      </w:r>
      <w:r w:rsidR="00660E55">
        <w:t xml:space="preserve"> aged just 25. On 4 November 1918 he was killed while attempting to lead his men ac</w:t>
      </w:r>
      <w:r w:rsidR="00D51821">
        <w:t xml:space="preserve">ross the </w:t>
      </w:r>
      <w:proofErr w:type="spellStart"/>
      <w:r w:rsidR="00D51821">
        <w:t>Sambre</w:t>
      </w:r>
      <w:proofErr w:type="spellEnd"/>
      <w:r w:rsidR="00D51821">
        <w:t>-Oise Canal near</w:t>
      </w:r>
      <w:r w:rsidR="00660E55">
        <w:t xml:space="preserve"> </w:t>
      </w:r>
      <w:proofErr w:type="spellStart"/>
      <w:r w:rsidR="00660E55">
        <w:t>Ors</w:t>
      </w:r>
      <w:proofErr w:type="spellEnd"/>
      <w:r w:rsidR="00660E55">
        <w:t>, France.  Just one week before the Armistice was declared.  Virtually unknown as a poet in his lifetime, Owens single volume of poems were published after his death, by Siegfried Sassoon in 1920</w:t>
      </w:r>
      <w:r w:rsidR="005B14FF">
        <w:t>.  Aware his work could do nothing to help his own generation; he succeeded in warning future generations. His poetic legacy lives on having a major impact on attitudes to war and his work will remain central to any discussion of war poetry.</w:t>
      </w:r>
    </w:p>
    <w:p w:rsidR="005B14FF" w:rsidRPr="005B14FF" w:rsidRDefault="005B14FF" w:rsidP="005B14FF">
      <w:pPr>
        <w:jc w:val="center"/>
        <w:rPr>
          <w:b/>
          <w:u w:val="single"/>
        </w:rPr>
      </w:pPr>
      <w:r w:rsidRPr="005B14FF">
        <w:rPr>
          <w:b/>
          <w:u w:val="single"/>
        </w:rPr>
        <w:lastRenderedPageBreak/>
        <w:t>BIBLIOGRAPHY</w:t>
      </w:r>
    </w:p>
    <w:p w:rsidR="005B14FF" w:rsidRPr="005B14FF" w:rsidRDefault="005B14FF" w:rsidP="005B14FF">
      <w:pPr>
        <w:rPr>
          <w:b/>
          <w:u w:val="single"/>
        </w:rPr>
      </w:pPr>
      <w:r w:rsidRPr="005B14FF">
        <w:rPr>
          <w:b/>
          <w:u w:val="single"/>
        </w:rPr>
        <w:t>BOOKS</w:t>
      </w:r>
    </w:p>
    <w:p w:rsidR="005B14FF" w:rsidRPr="005B14FF" w:rsidRDefault="005B14FF" w:rsidP="005B14FF">
      <w:pPr>
        <w:rPr>
          <w:color w:val="000000"/>
          <w:sz w:val="29"/>
          <w:szCs w:val="29"/>
          <w:shd w:val="clear" w:color="auto" w:fill="FFFFFF"/>
        </w:rPr>
      </w:pPr>
      <w:r w:rsidRPr="005B14FF">
        <w:rPr>
          <w:color w:val="000000"/>
          <w:sz w:val="29"/>
          <w:szCs w:val="29"/>
          <w:shd w:val="clear" w:color="auto" w:fill="FFFFFF"/>
        </w:rPr>
        <w:t>Wilfred Owen, </w:t>
      </w:r>
      <w:proofErr w:type="gramStart"/>
      <w:r w:rsidRPr="005B14FF">
        <w:rPr>
          <w:i/>
          <w:iCs/>
          <w:color w:val="000000"/>
          <w:sz w:val="29"/>
          <w:szCs w:val="29"/>
          <w:shd w:val="clear" w:color="auto" w:fill="FFFFFF"/>
        </w:rPr>
        <w:t>The</w:t>
      </w:r>
      <w:proofErr w:type="gramEnd"/>
      <w:r w:rsidRPr="005B14FF">
        <w:rPr>
          <w:i/>
          <w:iCs/>
          <w:color w:val="000000"/>
          <w:sz w:val="29"/>
          <w:szCs w:val="29"/>
          <w:shd w:val="clear" w:color="auto" w:fill="FFFFFF"/>
        </w:rPr>
        <w:t xml:space="preserve"> War Poems</w:t>
      </w:r>
      <w:r w:rsidRPr="005B14FF">
        <w:rPr>
          <w:color w:val="000000"/>
          <w:sz w:val="29"/>
          <w:szCs w:val="29"/>
          <w:shd w:val="clear" w:color="auto" w:fill="FFFFFF"/>
        </w:rPr>
        <w:t xml:space="preserve">, ed. by Jon </w:t>
      </w:r>
      <w:proofErr w:type="spellStart"/>
      <w:r w:rsidRPr="005B14FF">
        <w:rPr>
          <w:color w:val="000000"/>
          <w:sz w:val="29"/>
          <w:szCs w:val="29"/>
          <w:shd w:val="clear" w:color="auto" w:fill="FFFFFF"/>
        </w:rPr>
        <w:t>Stallworthy</w:t>
      </w:r>
      <w:proofErr w:type="spellEnd"/>
      <w:r w:rsidRPr="005B14FF">
        <w:rPr>
          <w:color w:val="000000"/>
          <w:sz w:val="29"/>
          <w:szCs w:val="29"/>
          <w:shd w:val="clear" w:color="auto" w:fill="FFFFFF"/>
        </w:rPr>
        <w:t xml:space="preserve"> (London: </w:t>
      </w:r>
      <w:proofErr w:type="spellStart"/>
      <w:r w:rsidRPr="005B14FF">
        <w:rPr>
          <w:color w:val="000000"/>
          <w:sz w:val="29"/>
          <w:szCs w:val="29"/>
          <w:shd w:val="clear" w:color="auto" w:fill="FFFFFF"/>
        </w:rPr>
        <w:t>Chatto</w:t>
      </w:r>
      <w:proofErr w:type="spellEnd"/>
      <w:r w:rsidRPr="005B14FF">
        <w:rPr>
          <w:color w:val="000000"/>
          <w:sz w:val="29"/>
          <w:szCs w:val="29"/>
          <w:shd w:val="clear" w:color="auto" w:fill="FFFFFF"/>
        </w:rPr>
        <w:t xml:space="preserve"> &amp; </w:t>
      </w:r>
      <w:proofErr w:type="spellStart"/>
      <w:r w:rsidRPr="005B14FF">
        <w:rPr>
          <w:color w:val="000000"/>
          <w:sz w:val="29"/>
          <w:szCs w:val="29"/>
          <w:shd w:val="clear" w:color="auto" w:fill="FFFFFF"/>
        </w:rPr>
        <w:t>Windus</w:t>
      </w:r>
      <w:proofErr w:type="spellEnd"/>
      <w:r w:rsidRPr="005B14FF">
        <w:rPr>
          <w:color w:val="000000"/>
          <w:sz w:val="29"/>
          <w:szCs w:val="29"/>
          <w:shd w:val="clear" w:color="auto" w:fill="FFFFFF"/>
        </w:rPr>
        <w:t>, 1994)</w:t>
      </w:r>
    </w:p>
    <w:p w:rsidR="005B14FF" w:rsidRPr="005B14FF" w:rsidRDefault="005B14FF" w:rsidP="005B14FF">
      <w:pPr>
        <w:rPr>
          <w:color w:val="000000"/>
          <w:sz w:val="29"/>
          <w:szCs w:val="29"/>
          <w:shd w:val="clear" w:color="auto" w:fill="FFFFFF"/>
        </w:rPr>
      </w:pPr>
      <w:r w:rsidRPr="005B14FF">
        <w:rPr>
          <w:color w:val="000000"/>
          <w:sz w:val="29"/>
          <w:szCs w:val="29"/>
          <w:shd w:val="clear" w:color="auto" w:fill="FFFFFF"/>
        </w:rPr>
        <w:t>E.L. Black, </w:t>
      </w:r>
      <w:r w:rsidRPr="005B14FF">
        <w:rPr>
          <w:i/>
          <w:iCs/>
          <w:color w:val="000000"/>
          <w:sz w:val="29"/>
          <w:szCs w:val="29"/>
          <w:shd w:val="clear" w:color="auto" w:fill="FFFFFF"/>
        </w:rPr>
        <w:t xml:space="preserve">Nine Modern Poets </w:t>
      </w:r>
      <w:proofErr w:type="gramStart"/>
      <w:r w:rsidRPr="005B14FF">
        <w:rPr>
          <w:i/>
          <w:iCs/>
          <w:color w:val="000000"/>
          <w:sz w:val="29"/>
          <w:szCs w:val="29"/>
          <w:shd w:val="clear" w:color="auto" w:fill="FFFFFF"/>
        </w:rPr>
        <w:t>An</w:t>
      </w:r>
      <w:proofErr w:type="gramEnd"/>
      <w:r w:rsidRPr="005B14FF">
        <w:rPr>
          <w:i/>
          <w:iCs/>
          <w:color w:val="000000"/>
          <w:sz w:val="29"/>
          <w:szCs w:val="29"/>
          <w:shd w:val="clear" w:color="auto" w:fill="FFFFFF"/>
        </w:rPr>
        <w:t xml:space="preserve"> Anthology</w:t>
      </w:r>
      <w:r w:rsidRPr="005B14FF">
        <w:rPr>
          <w:color w:val="000000"/>
          <w:sz w:val="29"/>
          <w:szCs w:val="29"/>
          <w:shd w:val="clear" w:color="auto" w:fill="FFFFFF"/>
        </w:rPr>
        <w:t> (London and Basingstoke: Macmillan Education Limited, 1966)</w:t>
      </w:r>
    </w:p>
    <w:p w:rsidR="005B14FF" w:rsidRPr="005B14FF" w:rsidRDefault="005B14FF" w:rsidP="005B14FF">
      <w:pPr>
        <w:rPr>
          <w:color w:val="000000"/>
          <w:sz w:val="29"/>
          <w:szCs w:val="29"/>
          <w:shd w:val="clear" w:color="auto" w:fill="FFFFFF"/>
        </w:rPr>
      </w:pPr>
      <w:proofErr w:type="spellStart"/>
      <w:r w:rsidRPr="005B14FF">
        <w:rPr>
          <w:color w:val="000000"/>
          <w:sz w:val="29"/>
          <w:szCs w:val="29"/>
          <w:shd w:val="clear" w:color="auto" w:fill="FFFFFF"/>
        </w:rPr>
        <w:t>Merryn</w:t>
      </w:r>
      <w:proofErr w:type="spellEnd"/>
      <w:r w:rsidRPr="005B14FF">
        <w:rPr>
          <w:color w:val="000000"/>
          <w:sz w:val="29"/>
          <w:szCs w:val="29"/>
          <w:shd w:val="clear" w:color="auto" w:fill="FFFFFF"/>
        </w:rPr>
        <w:t xml:space="preserve"> Williams, </w:t>
      </w:r>
      <w:r w:rsidRPr="005B14FF">
        <w:rPr>
          <w:i/>
          <w:iCs/>
          <w:color w:val="000000"/>
          <w:sz w:val="29"/>
          <w:szCs w:val="29"/>
          <w:shd w:val="clear" w:color="auto" w:fill="FFFFFF"/>
        </w:rPr>
        <w:t>Wilfred Owen</w:t>
      </w:r>
      <w:r w:rsidRPr="005B14FF">
        <w:rPr>
          <w:color w:val="000000"/>
          <w:sz w:val="29"/>
          <w:szCs w:val="29"/>
          <w:shd w:val="clear" w:color="auto" w:fill="FFFFFF"/>
        </w:rPr>
        <w:t>, ed. by John Powell Ward (Bridgend: Poetry Wales Press, 1993)</w:t>
      </w:r>
    </w:p>
    <w:p w:rsidR="005B14FF" w:rsidRPr="005B14FF" w:rsidRDefault="005B14FF" w:rsidP="005B14FF">
      <w:pPr>
        <w:rPr>
          <w:color w:val="000000"/>
          <w:sz w:val="29"/>
          <w:szCs w:val="29"/>
          <w:shd w:val="clear" w:color="auto" w:fill="FFFFFF"/>
        </w:rPr>
      </w:pPr>
      <w:r w:rsidRPr="005B14FF">
        <w:rPr>
          <w:color w:val="000000"/>
          <w:sz w:val="29"/>
          <w:szCs w:val="29"/>
          <w:shd w:val="clear" w:color="auto" w:fill="FFFFFF"/>
        </w:rPr>
        <w:t>David Roberts, </w:t>
      </w:r>
      <w:r w:rsidRPr="005B14FF">
        <w:rPr>
          <w:i/>
          <w:iCs/>
          <w:color w:val="000000"/>
          <w:sz w:val="29"/>
          <w:szCs w:val="29"/>
          <w:shd w:val="clear" w:color="auto" w:fill="FFFFFF"/>
        </w:rPr>
        <w:t>Out in the Dark Poetry of the First World War in context and with basic notes</w:t>
      </w:r>
      <w:r w:rsidRPr="005B14FF">
        <w:rPr>
          <w:color w:val="000000"/>
          <w:sz w:val="29"/>
          <w:szCs w:val="29"/>
          <w:shd w:val="clear" w:color="auto" w:fill="FFFFFF"/>
        </w:rPr>
        <w:t xml:space="preserve"> (West </w:t>
      </w:r>
      <w:proofErr w:type="gramStart"/>
      <w:r w:rsidRPr="005B14FF">
        <w:rPr>
          <w:color w:val="000000"/>
          <w:sz w:val="29"/>
          <w:szCs w:val="29"/>
          <w:shd w:val="clear" w:color="auto" w:fill="FFFFFF"/>
        </w:rPr>
        <w:t>Sussex :</w:t>
      </w:r>
      <w:proofErr w:type="gramEnd"/>
      <w:r w:rsidRPr="005B14FF">
        <w:rPr>
          <w:color w:val="000000"/>
          <w:sz w:val="29"/>
          <w:szCs w:val="29"/>
          <w:shd w:val="clear" w:color="auto" w:fill="FFFFFF"/>
        </w:rPr>
        <w:t xml:space="preserve"> Saxon Books, 1998)</w:t>
      </w:r>
    </w:p>
    <w:p w:rsidR="005B14FF" w:rsidRPr="005B14FF" w:rsidRDefault="005B14FF" w:rsidP="005B14FF">
      <w:r w:rsidRPr="005B14FF">
        <w:rPr>
          <w:color w:val="000000"/>
          <w:sz w:val="29"/>
          <w:szCs w:val="29"/>
          <w:shd w:val="clear" w:color="auto" w:fill="FFFFFF"/>
        </w:rPr>
        <w:t>Arthur E. Lane, </w:t>
      </w:r>
      <w:r w:rsidRPr="005B14FF">
        <w:rPr>
          <w:i/>
          <w:iCs/>
          <w:color w:val="000000"/>
          <w:sz w:val="29"/>
          <w:szCs w:val="29"/>
          <w:shd w:val="clear" w:color="auto" w:fill="FFFFFF"/>
        </w:rPr>
        <w:t>An Adequate Response The war poetry of Wilfred Owen and Siegfried Sassoon</w:t>
      </w:r>
      <w:r w:rsidRPr="005B14FF">
        <w:rPr>
          <w:color w:val="000000"/>
          <w:sz w:val="29"/>
          <w:szCs w:val="29"/>
          <w:shd w:val="clear" w:color="auto" w:fill="FFFFFF"/>
        </w:rPr>
        <w:t> (Detroit: Wayne State University Press, 1972)</w:t>
      </w:r>
    </w:p>
    <w:p w:rsidR="005B14FF" w:rsidRPr="005B14FF" w:rsidRDefault="005B14FF" w:rsidP="005B14FF"/>
    <w:p w:rsidR="005B14FF" w:rsidRPr="005B14FF" w:rsidRDefault="005B14FF" w:rsidP="005B14FF">
      <w:pPr>
        <w:rPr>
          <w:b/>
          <w:u w:val="single"/>
        </w:rPr>
      </w:pPr>
      <w:r w:rsidRPr="005B14FF">
        <w:rPr>
          <w:b/>
          <w:u w:val="single"/>
        </w:rPr>
        <w:t>JOURNALS</w:t>
      </w:r>
    </w:p>
    <w:p w:rsidR="005B14FF" w:rsidRPr="005B14FF" w:rsidRDefault="005B14FF" w:rsidP="005B14FF">
      <w:pPr>
        <w:rPr>
          <w:color w:val="000000"/>
          <w:sz w:val="29"/>
          <w:szCs w:val="29"/>
          <w:shd w:val="clear" w:color="auto" w:fill="FFFFFF"/>
        </w:rPr>
      </w:pPr>
      <w:r w:rsidRPr="005B14FF">
        <w:rPr>
          <w:color w:val="000000"/>
          <w:sz w:val="29"/>
          <w:szCs w:val="29"/>
          <w:shd w:val="clear" w:color="auto" w:fill="FFFFFF"/>
        </w:rPr>
        <w:t xml:space="preserve">Stephen Benz, 'The Poet as </w:t>
      </w:r>
      <w:proofErr w:type="spellStart"/>
      <w:r w:rsidRPr="005B14FF">
        <w:rPr>
          <w:color w:val="000000"/>
          <w:sz w:val="29"/>
          <w:szCs w:val="29"/>
          <w:shd w:val="clear" w:color="auto" w:fill="FFFFFF"/>
        </w:rPr>
        <w:t>Rhetor</w:t>
      </w:r>
      <w:proofErr w:type="spellEnd"/>
      <w:r w:rsidRPr="005B14FF">
        <w:rPr>
          <w:color w:val="000000"/>
          <w:sz w:val="29"/>
          <w:szCs w:val="29"/>
          <w:shd w:val="clear" w:color="auto" w:fill="FFFFFF"/>
        </w:rPr>
        <w:t>', </w:t>
      </w:r>
      <w:r w:rsidRPr="005B14FF">
        <w:rPr>
          <w:i/>
          <w:iCs/>
          <w:color w:val="000000"/>
          <w:sz w:val="29"/>
          <w:szCs w:val="29"/>
          <w:shd w:val="clear" w:color="auto" w:fill="FFFFFF"/>
        </w:rPr>
        <w:t>Journal of Modern Literature</w:t>
      </w:r>
      <w:r w:rsidRPr="005B14FF">
        <w:rPr>
          <w:color w:val="000000"/>
          <w:sz w:val="29"/>
          <w:szCs w:val="29"/>
          <w:shd w:val="clear" w:color="auto" w:fill="FFFFFF"/>
        </w:rPr>
        <w:t>, 41.3, (2018), 24</w:t>
      </w:r>
    </w:p>
    <w:p w:rsidR="005B14FF" w:rsidRPr="005B14FF" w:rsidRDefault="005B14FF" w:rsidP="005B14FF">
      <w:pPr>
        <w:rPr>
          <w:color w:val="000000"/>
          <w:sz w:val="29"/>
          <w:szCs w:val="29"/>
          <w:shd w:val="clear" w:color="auto" w:fill="FFFFFF"/>
        </w:rPr>
      </w:pPr>
      <w:r w:rsidRPr="005B14FF">
        <w:rPr>
          <w:color w:val="000000"/>
          <w:sz w:val="29"/>
          <w:szCs w:val="29"/>
          <w:shd w:val="clear" w:color="auto" w:fill="FFFFFF"/>
        </w:rPr>
        <w:t>William Kevin Penny, 'A tragic harp: Ritual, irony and myth in the war poetry of Wilfred Owen', </w:t>
      </w:r>
      <w:r w:rsidRPr="005B14FF">
        <w:rPr>
          <w:i/>
          <w:iCs/>
          <w:color w:val="000000"/>
          <w:sz w:val="29"/>
          <w:szCs w:val="29"/>
          <w:shd w:val="clear" w:color="auto" w:fill="FFFFFF"/>
        </w:rPr>
        <w:t>Language and Literature</w:t>
      </w:r>
      <w:r w:rsidRPr="005B14FF">
        <w:rPr>
          <w:color w:val="000000"/>
          <w:sz w:val="29"/>
          <w:szCs w:val="29"/>
          <w:shd w:val="clear" w:color="auto" w:fill="FFFFFF"/>
        </w:rPr>
        <w:t>, (2011)</w:t>
      </w:r>
    </w:p>
    <w:p w:rsidR="005B14FF" w:rsidRPr="005B14FF" w:rsidRDefault="005B14FF" w:rsidP="005B14FF">
      <w:pPr>
        <w:rPr>
          <w:color w:val="000000"/>
          <w:sz w:val="29"/>
          <w:szCs w:val="29"/>
          <w:shd w:val="clear" w:color="auto" w:fill="FFFFFF"/>
        </w:rPr>
      </w:pPr>
    </w:p>
    <w:p w:rsidR="005B14FF" w:rsidRPr="005B14FF" w:rsidRDefault="005B14FF" w:rsidP="005B14FF">
      <w:pPr>
        <w:rPr>
          <w:b/>
          <w:color w:val="000000"/>
          <w:u w:val="single"/>
          <w:shd w:val="clear" w:color="auto" w:fill="FFFFFF"/>
        </w:rPr>
      </w:pPr>
      <w:r w:rsidRPr="005B14FF">
        <w:rPr>
          <w:b/>
          <w:color w:val="000000"/>
          <w:u w:val="single"/>
          <w:shd w:val="clear" w:color="auto" w:fill="FFFFFF"/>
        </w:rPr>
        <w:t>WEBSITES</w:t>
      </w:r>
    </w:p>
    <w:p w:rsidR="005B14FF" w:rsidRPr="005B14FF" w:rsidRDefault="005B14FF" w:rsidP="005B14FF">
      <w:r w:rsidRPr="005B14FF">
        <w:rPr>
          <w:color w:val="000000"/>
          <w:sz w:val="29"/>
          <w:szCs w:val="29"/>
          <w:shd w:val="clear" w:color="auto" w:fill="FFFFFF"/>
        </w:rPr>
        <w:t xml:space="preserve">British </w:t>
      </w:r>
      <w:proofErr w:type="gramStart"/>
      <w:r w:rsidRPr="005B14FF">
        <w:rPr>
          <w:color w:val="000000"/>
          <w:sz w:val="29"/>
          <w:szCs w:val="29"/>
          <w:shd w:val="clear" w:color="auto" w:fill="FFFFFF"/>
        </w:rPr>
        <w:t>Library,</w:t>
      </w:r>
      <w:proofErr w:type="gramEnd"/>
      <w:r w:rsidRPr="005B14FF">
        <w:rPr>
          <w:color w:val="000000"/>
          <w:sz w:val="29"/>
          <w:szCs w:val="29"/>
          <w:shd w:val="clear" w:color="auto" w:fill="FFFFFF"/>
        </w:rPr>
        <w:t> </w:t>
      </w:r>
      <w:r w:rsidRPr="005B14FF">
        <w:rPr>
          <w:i/>
          <w:iCs/>
          <w:color w:val="000000"/>
          <w:sz w:val="29"/>
          <w:szCs w:val="29"/>
          <w:shd w:val="clear" w:color="auto" w:fill="FFFFFF"/>
        </w:rPr>
        <w:t>Works: Dulce et Decorum Est</w:t>
      </w:r>
      <w:r w:rsidRPr="005B14FF">
        <w:rPr>
          <w:color w:val="000000"/>
          <w:sz w:val="29"/>
          <w:szCs w:val="29"/>
          <w:shd w:val="clear" w:color="auto" w:fill="FFFFFF"/>
        </w:rPr>
        <w:t> () &lt;https://www.bl.uk/works/dulce-et-decorum-est&gt;</w:t>
      </w:r>
    </w:p>
    <w:p w:rsidR="005B14FF" w:rsidRPr="00BE7E82" w:rsidRDefault="005B14FF" w:rsidP="00C52123">
      <w:pPr>
        <w:tabs>
          <w:tab w:val="left" w:pos="2220"/>
        </w:tabs>
        <w:spacing w:line="480" w:lineRule="auto"/>
      </w:pPr>
    </w:p>
    <w:sectPr w:rsidR="005B14FF" w:rsidRPr="00BE7E82" w:rsidSect="00D149E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96248" w:rsidRDefault="00796248" w:rsidP="009011C1">
      <w:pPr>
        <w:spacing w:after="0" w:line="240" w:lineRule="auto"/>
      </w:pPr>
      <w:r>
        <w:separator/>
      </w:r>
    </w:p>
  </w:endnote>
  <w:endnote w:type="continuationSeparator" w:id="0">
    <w:p w:rsidR="00796248" w:rsidRDefault="00796248" w:rsidP="009011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96248" w:rsidRDefault="00796248" w:rsidP="009011C1">
      <w:pPr>
        <w:spacing w:after="0" w:line="240" w:lineRule="auto"/>
      </w:pPr>
      <w:r>
        <w:separator/>
      </w:r>
    </w:p>
  </w:footnote>
  <w:footnote w:type="continuationSeparator" w:id="0">
    <w:p w:rsidR="00796248" w:rsidRDefault="00796248" w:rsidP="009011C1">
      <w:pPr>
        <w:spacing w:after="0" w:line="240" w:lineRule="auto"/>
      </w:pPr>
      <w:r>
        <w:continuationSeparator/>
      </w:r>
    </w:p>
  </w:footnote>
  <w:footnote w:id="1">
    <w:p w:rsidR="00E22F63" w:rsidRDefault="00E22F63">
      <w:pPr>
        <w:pStyle w:val="FootnoteText"/>
      </w:pPr>
      <w:r>
        <w:rPr>
          <w:rStyle w:val="FootnoteReference"/>
        </w:rPr>
        <w:footnoteRef/>
      </w:r>
      <w:r>
        <w:t xml:space="preserve"> </w:t>
      </w:r>
      <w:r w:rsidRPr="00E22F63">
        <w:t xml:space="preserve">Wilfred Owen, </w:t>
      </w:r>
      <w:proofErr w:type="gramStart"/>
      <w:r w:rsidRPr="00E22F63">
        <w:t>The</w:t>
      </w:r>
      <w:proofErr w:type="gramEnd"/>
      <w:r w:rsidRPr="00E22F63">
        <w:t xml:space="preserve"> War Poems, ed. by Jon </w:t>
      </w:r>
      <w:proofErr w:type="spellStart"/>
      <w:r w:rsidRPr="00E22F63">
        <w:t>Stallworthy</w:t>
      </w:r>
      <w:proofErr w:type="spellEnd"/>
      <w:r w:rsidRPr="00E22F63">
        <w:t xml:space="preserve"> (London: </w:t>
      </w:r>
      <w:proofErr w:type="spellStart"/>
      <w:r w:rsidRPr="00E22F63">
        <w:t>Chatto</w:t>
      </w:r>
      <w:proofErr w:type="spellEnd"/>
      <w:r w:rsidRPr="00E22F63">
        <w:t xml:space="preserve"> &amp; </w:t>
      </w:r>
      <w:proofErr w:type="spellStart"/>
      <w:r w:rsidRPr="00E22F63">
        <w:t>Windus</w:t>
      </w:r>
      <w:proofErr w:type="spellEnd"/>
      <w:r w:rsidRPr="00E22F63">
        <w:t>, 1994), p. 29.</w:t>
      </w:r>
    </w:p>
  </w:footnote>
  <w:footnote w:id="2">
    <w:p w:rsidR="0006645F" w:rsidRDefault="0006645F">
      <w:pPr>
        <w:pStyle w:val="FootnoteText"/>
      </w:pPr>
      <w:r>
        <w:rPr>
          <w:rStyle w:val="FootnoteReference"/>
        </w:rPr>
        <w:footnoteRef/>
      </w:r>
      <w:r>
        <w:t xml:space="preserve"> </w:t>
      </w:r>
      <w:r w:rsidRPr="0006645F">
        <w:t xml:space="preserve">Stephen Benz, 'The Poet as </w:t>
      </w:r>
      <w:proofErr w:type="spellStart"/>
      <w:r w:rsidRPr="0006645F">
        <w:t>Rhetor</w:t>
      </w:r>
      <w:proofErr w:type="spellEnd"/>
      <w:r w:rsidRPr="0006645F">
        <w:t>', Journal of Modern Literature, 41.3, (2018), 24 (p. 4).</w:t>
      </w:r>
    </w:p>
  </w:footnote>
  <w:footnote w:id="3">
    <w:p w:rsidR="00316076" w:rsidRDefault="00316076">
      <w:pPr>
        <w:pStyle w:val="FootnoteText"/>
      </w:pPr>
      <w:r>
        <w:rPr>
          <w:rStyle w:val="FootnoteReference"/>
        </w:rPr>
        <w:footnoteRef/>
      </w:r>
      <w:r>
        <w:t xml:space="preserve"> </w:t>
      </w:r>
      <w:r w:rsidRPr="00316076">
        <w:t>Arthur E. Lane, An Adequate Response The war poetry of Wilfred Owen and Siegfried Sassoon (Detroit: Wayne State University Press, 1972), p. 134.</w:t>
      </w:r>
    </w:p>
  </w:footnote>
  <w:footnote w:id="4">
    <w:p w:rsidR="008F4F88" w:rsidRDefault="008F4F88">
      <w:pPr>
        <w:pStyle w:val="FootnoteText"/>
      </w:pPr>
      <w:r>
        <w:rPr>
          <w:rStyle w:val="FootnoteReference"/>
        </w:rPr>
        <w:footnoteRef/>
      </w:r>
      <w:r>
        <w:t xml:space="preserve"> </w:t>
      </w:r>
      <w:proofErr w:type="spellStart"/>
      <w:r w:rsidRPr="008F4F88">
        <w:t>Merryn</w:t>
      </w:r>
      <w:proofErr w:type="spellEnd"/>
      <w:r w:rsidRPr="008F4F88">
        <w:t xml:space="preserve"> Williams, Wilfred Owen, ed. by John Powell Ward (Bridgend: Poetry Wales Press, 1993), p. 79.</w:t>
      </w:r>
    </w:p>
  </w:footnote>
  <w:footnote w:id="5">
    <w:p w:rsidR="00CA37C6" w:rsidRDefault="00CA37C6">
      <w:pPr>
        <w:pStyle w:val="FootnoteText"/>
      </w:pPr>
      <w:r>
        <w:rPr>
          <w:rStyle w:val="FootnoteReference"/>
        </w:rPr>
        <w:footnoteRef/>
      </w:r>
      <w:r>
        <w:t xml:space="preserve"> </w:t>
      </w:r>
      <w:r w:rsidRPr="00CA37C6">
        <w:t xml:space="preserve">William Kevin Penny, 'A tragic harp: Ritual, irony and myth in the war poetry of Wilfred </w:t>
      </w:r>
      <w:r>
        <w:t>Owen', Language and Literature</w:t>
      </w:r>
      <w:r w:rsidRPr="00CA37C6">
        <w:t xml:space="preserve">, (2011), </w:t>
      </w:r>
      <w:r>
        <w:t xml:space="preserve">15 </w:t>
      </w:r>
      <w:r w:rsidRPr="00CA37C6">
        <w:t>(p. 165).</w:t>
      </w:r>
    </w:p>
  </w:footnote>
  <w:footnote w:id="6">
    <w:p w:rsidR="00D277FA" w:rsidRDefault="00D277FA">
      <w:pPr>
        <w:pStyle w:val="FootnoteText"/>
      </w:pPr>
      <w:r>
        <w:rPr>
          <w:rStyle w:val="FootnoteReference"/>
        </w:rPr>
        <w:footnoteRef/>
      </w:r>
      <w:r>
        <w:t xml:space="preserve"> </w:t>
      </w:r>
      <w:r w:rsidR="0038188E">
        <w:t>Ibid., p. 79</w:t>
      </w:r>
    </w:p>
  </w:footnote>
  <w:footnote w:id="7">
    <w:p w:rsidR="00313D13" w:rsidRDefault="00313D13">
      <w:pPr>
        <w:pStyle w:val="FootnoteText"/>
      </w:pPr>
      <w:r>
        <w:rPr>
          <w:rStyle w:val="FootnoteReference"/>
        </w:rPr>
        <w:footnoteRef/>
      </w:r>
      <w:r>
        <w:t xml:space="preserve"> Ibid., p. 165</w:t>
      </w:r>
    </w:p>
  </w:footnote>
  <w:footnote w:id="8">
    <w:p w:rsidR="005B6FC5" w:rsidRDefault="005B6FC5">
      <w:pPr>
        <w:pStyle w:val="FootnoteText"/>
      </w:pPr>
      <w:r>
        <w:rPr>
          <w:rStyle w:val="FootnoteReference"/>
        </w:rPr>
        <w:footnoteRef/>
      </w:r>
      <w:r>
        <w:t xml:space="preserve"> </w:t>
      </w:r>
      <w:r w:rsidRPr="005B6FC5">
        <w:t>David Roberts, Out in the Dark Poetry of the First World War in context and with basic notes (West Sussex : Saxon Books, 1998), p. 161.</w:t>
      </w:r>
    </w:p>
  </w:footnote>
  <w:footnote w:id="9">
    <w:p w:rsidR="00122946" w:rsidRDefault="00122946">
      <w:pPr>
        <w:pStyle w:val="FootnoteText"/>
      </w:pPr>
      <w:r>
        <w:rPr>
          <w:rStyle w:val="FootnoteReference"/>
        </w:rPr>
        <w:footnoteRef/>
      </w:r>
      <w:r>
        <w:t xml:space="preserve"> </w:t>
      </w:r>
      <w:r w:rsidR="00B0124F" w:rsidRPr="00B0124F">
        <w:t xml:space="preserve">Wilfred Owen, </w:t>
      </w:r>
      <w:proofErr w:type="gramStart"/>
      <w:r w:rsidR="00B0124F" w:rsidRPr="00B0124F">
        <w:t>The</w:t>
      </w:r>
      <w:proofErr w:type="gramEnd"/>
      <w:r w:rsidR="00B0124F" w:rsidRPr="00B0124F">
        <w:t xml:space="preserve"> War Poems, ed. by Jon </w:t>
      </w:r>
      <w:proofErr w:type="spellStart"/>
      <w:r w:rsidR="00B0124F" w:rsidRPr="00B0124F">
        <w:t>Stallworthy</w:t>
      </w:r>
      <w:proofErr w:type="spellEnd"/>
      <w:r w:rsidR="00B0124F" w:rsidRPr="00B0124F">
        <w:t xml:space="preserve"> (Londo</w:t>
      </w:r>
      <w:r w:rsidR="00B0124F">
        <w:t xml:space="preserve">n: </w:t>
      </w:r>
      <w:proofErr w:type="spellStart"/>
      <w:r w:rsidR="00B0124F">
        <w:t>Chatto</w:t>
      </w:r>
      <w:proofErr w:type="spellEnd"/>
      <w:r w:rsidR="00B0124F">
        <w:t xml:space="preserve"> &amp; </w:t>
      </w:r>
      <w:proofErr w:type="spellStart"/>
      <w:r w:rsidR="00B0124F">
        <w:t>Windus</w:t>
      </w:r>
      <w:proofErr w:type="spellEnd"/>
      <w:r w:rsidR="00B0124F">
        <w:t>, 1994), p. 30</w:t>
      </w:r>
      <w:r w:rsidR="00B0124F" w:rsidRPr="00B0124F">
        <w:t>.</w:t>
      </w:r>
    </w:p>
  </w:footnote>
  <w:footnote w:id="10">
    <w:p w:rsidR="000B7F80" w:rsidRDefault="000B7F80">
      <w:pPr>
        <w:pStyle w:val="FootnoteText"/>
      </w:pPr>
      <w:r>
        <w:rPr>
          <w:rStyle w:val="FootnoteReference"/>
        </w:rPr>
        <w:footnoteRef/>
      </w:r>
      <w:r>
        <w:t xml:space="preserve"> </w:t>
      </w:r>
      <w:r w:rsidRPr="000B7F80">
        <w:t>Britis</w:t>
      </w:r>
      <w:r w:rsidR="00367246">
        <w:t xml:space="preserve">h </w:t>
      </w:r>
      <w:proofErr w:type="gramStart"/>
      <w:r w:rsidR="00367246">
        <w:t>Library,</w:t>
      </w:r>
      <w:proofErr w:type="gramEnd"/>
      <w:r w:rsidR="00367246">
        <w:t xml:space="preserve"> Works: Dulce et Deco</w:t>
      </w:r>
      <w:r w:rsidRPr="000B7F80">
        <w:t>rum Est () &lt;https://www.bl.uk/works/dulce-et-decorum-est&gt; [accessed 2 November 2019].</w:t>
      </w:r>
    </w:p>
  </w:footnote>
  <w:footnote w:id="11">
    <w:p w:rsidR="002E239F" w:rsidRDefault="002E239F">
      <w:pPr>
        <w:pStyle w:val="FootnoteText"/>
      </w:pPr>
      <w:r>
        <w:rPr>
          <w:rStyle w:val="FootnoteReference"/>
        </w:rPr>
        <w:footnoteRef/>
      </w:r>
      <w:r>
        <w:t xml:space="preserve"> </w:t>
      </w:r>
      <w:r w:rsidRPr="002E239F">
        <w:t>Britis</w:t>
      </w:r>
      <w:r w:rsidR="00367246">
        <w:t xml:space="preserve">h </w:t>
      </w:r>
      <w:proofErr w:type="gramStart"/>
      <w:r w:rsidR="00367246">
        <w:t>Library,</w:t>
      </w:r>
      <w:proofErr w:type="gramEnd"/>
      <w:r w:rsidR="00367246">
        <w:t xml:space="preserve"> Works: Dulce et Deco</w:t>
      </w:r>
      <w:r w:rsidRPr="002E239F">
        <w:t>rum Est () &lt;https://www.bl.uk/works/dulce-et-decorum-est&gt; [accessed 2 November 2019].</w:t>
      </w:r>
    </w:p>
  </w:footnote>
  <w:footnote w:id="12">
    <w:p w:rsidR="00CA305B" w:rsidRDefault="00CA305B">
      <w:pPr>
        <w:pStyle w:val="FootnoteText"/>
      </w:pPr>
      <w:r>
        <w:rPr>
          <w:rStyle w:val="FootnoteReference"/>
        </w:rPr>
        <w:footnoteRef/>
      </w:r>
      <w:r>
        <w:t xml:space="preserve"> </w:t>
      </w:r>
      <w:r w:rsidRPr="00CA305B">
        <w:t xml:space="preserve">Stephen Benz, 'The Poet as </w:t>
      </w:r>
      <w:proofErr w:type="spellStart"/>
      <w:r w:rsidRPr="00CA305B">
        <w:t>Rhetor</w:t>
      </w:r>
      <w:proofErr w:type="spellEnd"/>
      <w:r w:rsidRPr="00CA305B">
        <w:t>', Journal of Modern Li</w:t>
      </w:r>
      <w:r>
        <w:t>terature, 41.3, (2018), 24 (p. 15</w:t>
      </w:r>
      <w:r w:rsidRPr="00CA305B">
        <w:t>).</w:t>
      </w:r>
    </w:p>
  </w:footnote>
  <w:footnote w:id="13">
    <w:p w:rsidR="001E6825" w:rsidRDefault="001E6825">
      <w:pPr>
        <w:pStyle w:val="FootnoteText"/>
      </w:pPr>
      <w:r>
        <w:rPr>
          <w:rStyle w:val="FootnoteReference"/>
        </w:rPr>
        <w:footnoteRef/>
      </w:r>
      <w:r>
        <w:t xml:space="preserve"> Illustration found on p.160</w:t>
      </w:r>
    </w:p>
  </w:footnote>
  <w:footnote w:id="14">
    <w:p w:rsidR="00566C8F" w:rsidRDefault="00566C8F">
      <w:pPr>
        <w:pStyle w:val="FootnoteText"/>
      </w:pPr>
      <w:r>
        <w:rPr>
          <w:rStyle w:val="FootnoteReference"/>
        </w:rPr>
        <w:footnoteRef/>
      </w:r>
      <w:r>
        <w:t xml:space="preserve"> </w:t>
      </w:r>
      <w:proofErr w:type="spellStart"/>
      <w:r w:rsidRPr="00566C8F">
        <w:t>Merryn</w:t>
      </w:r>
      <w:proofErr w:type="spellEnd"/>
      <w:r w:rsidRPr="00566C8F">
        <w:t xml:space="preserve"> Williams, Wilfred Owen, ed. by John Powell Ward (Bridgend: Poetry Wales Press, 1993), p. 79.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E753F"/>
    <w:rsid w:val="0006645F"/>
    <w:rsid w:val="000A77B6"/>
    <w:rsid w:val="000B7F80"/>
    <w:rsid w:val="00122946"/>
    <w:rsid w:val="001E0162"/>
    <w:rsid w:val="001E6825"/>
    <w:rsid w:val="002144F8"/>
    <w:rsid w:val="00261849"/>
    <w:rsid w:val="002E239F"/>
    <w:rsid w:val="00313D13"/>
    <w:rsid w:val="00316076"/>
    <w:rsid w:val="00367246"/>
    <w:rsid w:val="0038188E"/>
    <w:rsid w:val="00414FF8"/>
    <w:rsid w:val="00566C8F"/>
    <w:rsid w:val="00574753"/>
    <w:rsid w:val="00585533"/>
    <w:rsid w:val="005B14FF"/>
    <w:rsid w:val="005B6FC5"/>
    <w:rsid w:val="005E18F1"/>
    <w:rsid w:val="00626985"/>
    <w:rsid w:val="00660E55"/>
    <w:rsid w:val="00770D5D"/>
    <w:rsid w:val="00796248"/>
    <w:rsid w:val="0086410A"/>
    <w:rsid w:val="008F4F88"/>
    <w:rsid w:val="009011C1"/>
    <w:rsid w:val="00935420"/>
    <w:rsid w:val="009D51EC"/>
    <w:rsid w:val="00B0124F"/>
    <w:rsid w:val="00B5067C"/>
    <w:rsid w:val="00B81674"/>
    <w:rsid w:val="00BE7E82"/>
    <w:rsid w:val="00C01F1E"/>
    <w:rsid w:val="00C5019F"/>
    <w:rsid w:val="00C52123"/>
    <w:rsid w:val="00C70D50"/>
    <w:rsid w:val="00CA305B"/>
    <w:rsid w:val="00CA37C6"/>
    <w:rsid w:val="00CA6A8E"/>
    <w:rsid w:val="00D149EB"/>
    <w:rsid w:val="00D277FA"/>
    <w:rsid w:val="00D51821"/>
    <w:rsid w:val="00DA03E3"/>
    <w:rsid w:val="00E1754C"/>
    <w:rsid w:val="00E22F63"/>
    <w:rsid w:val="00EC396B"/>
    <w:rsid w:val="00FE75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E75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753F"/>
    <w:rPr>
      <w:rFonts w:ascii="Tahoma" w:hAnsi="Tahoma" w:cs="Tahoma"/>
      <w:sz w:val="16"/>
      <w:szCs w:val="16"/>
    </w:rPr>
  </w:style>
  <w:style w:type="paragraph" w:styleId="Header">
    <w:name w:val="header"/>
    <w:basedOn w:val="Normal"/>
    <w:link w:val="HeaderChar"/>
    <w:uiPriority w:val="99"/>
    <w:unhideWhenUsed/>
    <w:rsid w:val="009011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11C1"/>
  </w:style>
  <w:style w:type="paragraph" w:styleId="Footer">
    <w:name w:val="footer"/>
    <w:basedOn w:val="Normal"/>
    <w:link w:val="FooterChar"/>
    <w:uiPriority w:val="99"/>
    <w:unhideWhenUsed/>
    <w:rsid w:val="009011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11C1"/>
  </w:style>
  <w:style w:type="paragraph" w:styleId="FootnoteText">
    <w:name w:val="footnote text"/>
    <w:basedOn w:val="Normal"/>
    <w:link w:val="FootnoteTextChar"/>
    <w:uiPriority w:val="99"/>
    <w:semiHidden/>
    <w:unhideWhenUsed/>
    <w:rsid w:val="00E22F6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22F63"/>
    <w:rPr>
      <w:sz w:val="20"/>
      <w:szCs w:val="20"/>
    </w:rPr>
  </w:style>
  <w:style w:type="character" w:styleId="FootnoteReference">
    <w:name w:val="footnote reference"/>
    <w:basedOn w:val="DefaultParagraphFont"/>
    <w:uiPriority w:val="99"/>
    <w:semiHidden/>
    <w:unhideWhenUsed/>
    <w:rsid w:val="00E22F63"/>
    <w:rPr>
      <w:vertAlign w:val="superscript"/>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E75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753F"/>
    <w:rPr>
      <w:rFonts w:ascii="Tahoma" w:hAnsi="Tahoma" w:cs="Tahoma"/>
      <w:sz w:val="16"/>
      <w:szCs w:val="16"/>
    </w:rPr>
  </w:style>
  <w:style w:type="paragraph" w:styleId="Header">
    <w:name w:val="header"/>
    <w:basedOn w:val="Normal"/>
    <w:link w:val="HeaderChar"/>
    <w:uiPriority w:val="99"/>
    <w:unhideWhenUsed/>
    <w:rsid w:val="009011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11C1"/>
  </w:style>
  <w:style w:type="paragraph" w:styleId="Footer">
    <w:name w:val="footer"/>
    <w:basedOn w:val="Normal"/>
    <w:link w:val="FooterChar"/>
    <w:uiPriority w:val="99"/>
    <w:unhideWhenUsed/>
    <w:rsid w:val="009011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11C1"/>
  </w:style>
  <w:style w:type="paragraph" w:styleId="FootnoteText">
    <w:name w:val="footnote text"/>
    <w:basedOn w:val="Normal"/>
    <w:link w:val="FootnoteTextChar"/>
    <w:uiPriority w:val="99"/>
    <w:semiHidden/>
    <w:unhideWhenUsed/>
    <w:rsid w:val="00E22F6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22F63"/>
    <w:rPr>
      <w:sz w:val="20"/>
      <w:szCs w:val="20"/>
    </w:rPr>
  </w:style>
  <w:style w:type="character" w:styleId="FootnoteReference">
    <w:name w:val="footnote reference"/>
    <w:basedOn w:val="DefaultParagraphFont"/>
    <w:uiPriority w:val="99"/>
    <w:semiHidden/>
    <w:unhideWhenUsed/>
    <w:rsid w:val="00E22F6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C82CC3F-BAEE-4AC6-B4F6-84D9C13D5F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968</Words>
  <Characters>5524</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6480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Dell</cp:lastModifiedBy>
  <cp:revision>2</cp:revision>
  <cp:lastPrinted>2019-11-07T11:30:00Z</cp:lastPrinted>
  <dcterms:created xsi:type="dcterms:W3CDTF">2019-11-15T14:00:00Z</dcterms:created>
  <dcterms:modified xsi:type="dcterms:W3CDTF">2019-11-15T14:00:00Z</dcterms:modified>
</cp:coreProperties>
</file>