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854A5" w14:textId="01604D61" w:rsidR="00124F89" w:rsidRPr="00124F89" w:rsidRDefault="00B539F6">
      <w:pPr>
        <w:rPr>
          <w:i/>
          <w:iCs/>
          <w:sz w:val="28"/>
          <w:szCs w:val="28"/>
          <w:u w:val="single"/>
        </w:rPr>
      </w:pPr>
      <w:r w:rsidRPr="00B539F6">
        <w:rPr>
          <w:i/>
          <w:iCs/>
          <w:sz w:val="28"/>
          <w:szCs w:val="28"/>
          <w:u w:val="single"/>
        </w:rPr>
        <w:t xml:space="preserve">How did Arab – Israeli tensions during the 1960s and 1970s influence </w:t>
      </w:r>
      <w:r w:rsidR="00124F89">
        <w:rPr>
          <w:i/>
          <w:iCs/>
          <w:sz w:val="28"/>
          <w:szCs w:val="28"/>
          <w:u w:val="single"/>
        </w:rPr>
        <w:t xml:space="preserve">US and </w:t>
      </w:r>
      <w:r w:rsidRPr="00B539F6">
        <w:rPr>
          <w:i/>
          <w:iCs/>
          <w:sz w:val="28"/>
          <w:szCs w:val="28"/>
          <w:u w:val="single"/>
        </w:rPr>
        <w:t>Soviet policy in the Middle – East?</w:t>
      </w:r>
    </w:p>
    <w:p w14:paraId="405C11D4" w14:textId="47288509" w:rsidR="00F635ED" w:rsidRDefault="00F635ED">
      <w:pPr>
        <w:rPr>
          <w:sz w:val="20"/>
          <w:szCs w:val="20"/>
        </w:rPr>
      </w:pPr>
      <w:r w:rsidRPr="00F635ED">
        <w:rPr>
          <w:sz w:val="20"/>
          <w:szCs w:val="20"/>
        </w:rPr>
        <w:t xml:space="preserve">Since the formation of the State of Israel in 1948, tensions between the Arabs and Israelis have played a crucial role in the politics of the region. The presence of the superpower nations of the US and Soviet Union prove to have escalated tensions further. With regards to the 1960s and 1970s, to a degree it could be argued that the most crucial influence on US and Soviet policy in the Middle East regarding the tensions was the Soviet Union forming alliances in the region against the Israelis, and against the common enemy, the West. Renowned political journalist, Peter Mansfield, explains in his book, </w:t>
      </w:r>
      <w:r w:rsidRPr="00F635ED">
        <w:rPr>
          <w:i/>
          <w:iCs/>
          <w:sz w:val="20"/>
          <w:szCs w:val="20"/>
        </w:rPr>
        <w:t>The Middle East: A Political and Economic Survey</w:t>
      </w:r>
      <w:r w:rsidRPr="00F635ED">
        <w:rPr>
          <w:sz w:val="20"/>
          <w:szCs w:val="20"/>
        </w:rPr>
        <w:t xml:space="preserve">, how and why this alliance formed, and of the ultimate impact it would have on the tensions. Adding on to this, it could additionally be argued that the most significant influence on the superpowers’ policy was rather the American alliance with Israel, and its increased support of Israel during this period. Henry Cattan explains in </w:t>
      </w:r>
      <w:r w:rsidRPr="00F635ED">
        <w:rPr>
          <w:i/>
          <w:iCs/>
          <w:sz w:val="20"/>
          <w:szCs w:val="20"/>
        </w:rPr>
        <w:t>The Palestine Question</w:t>
      </w:r>
      <w:r w:rsidRPr="00F635ED">
        <w:rPr>
          <w:sz w:val="20"/>
          <w:szCs w:val="20"/>
        </w:rPr>
        <w:t xml:space="preserve"> the drastic nature of US escalation in aid to Israel, and of the impact this had on regional politics. Furthermore, American reliance on oil from the Middle East arguably had the most decisive impacts, as this placed America in a vulnerable position and ultimately intentionally impacted on its policy regarding Israel. Infamous historian and biographer, Robert Lacey, exposes this in his book </w:t>
      </w:r>
      <w:r w:rsidRPr="00F635ED">
        <w:rPr>
          <w:i/>
          <w:iCs/>
          <w:sz w:val="20"/>
          <w:szCs w:val="20"/>
        </w:rPr>
        <w:t>The Kingdom</w:t>
      </w:r>
      <w:r w:rsidRPr="00F635ED">
        <w:rPr>
          <w:sz w:val="20"/>
          <w:szCs w:val="20"/>
        </w:rPr>
        <w:t xml:space="preserve">. Importantly, US and Soviet conflict in the Middle East surrounding the purchase of oil make it clear that the superpowers were fighting the Cold War in the region, and from their perspective Arab – Israeli tensions were, to a large extent, from their perspective another proxy war. Michael Adams, infamous British journalist for The Guardian as their Middle East correspondent, explains the US – Soviet tensions over oil in his book, </w:t>
      </w:r>
      <w:r w:rsidRPr="00F635ED">
        <w:rPr>
          <w:i/>
          <w:iCs/>
          <w:sz w:val="20"/>
          <w:szCs w:val="20"/>
        </w:rPr>
        <w:t>The Middle East</w:t>
      </w:r>
      <w:r w:rsidRPr="00F635ED">
        <w:rPr>
          <w:sz w:val="20"/>
          <w:szCs w:val="20"/>
        </w:rPr>
        <w:t xml:space="preserve">, as too does author John A. Berry in </w:t>
      </w:r>
      <w:r w:rsidRPr="00F635ED">
        <w:rPr>
          <w:i/>
          <w:iCs/>
          <w:sz w:val="20"/>
          <w:szCs w:val="20"/>
        </w:rPr>
        <w:t>Middle East Journal</w:t>
      </w:r>
      <w:r w:rsidRPr="00F635ED">
        <w:rPr>
          <w:sz w:val="20"/>
          <w:szCs w:val="20"/>
        </w:rPr>
        <w:t>. Overall, it is clear that were it not for the ongoing Cold War between the superpowers, Arab – Israeli tensions during the 1960s and 1970s would not have had an influence on US and Soviet policy in the Middle East, and as such it is the USSR’s expansion of the Cold War into the region that is the cause of the superpowers’ involvement.</w:t>
      </w:r>
    </w:p>
    <w:p w14:paraId="42E0E76A" w14:textId="139B1AB3" w:rsidR="00113AA8" w:rsidRDefault="003B37BD">
      <w:pPr>
        <w:rPr>
          <w:sz w:val="20"/>
          <w:szCs w:val="20"/>
        </w:rPr>
      </w:pPr>
      <w:r>
        <w:rPr>
          <w:sz w:val="20"/>
          <w:szCs w:val="20"/>
        </w:rPr>
        <w:t xml:space="preserve">It could be argued that the biggest influence of Arab – Israeli tensions during the 1960s and 1970s on US and Soviet policy in the Middle East was to become involved in the region in order to expand their respective spheres of influence; were it not for the ongoing Cold War neither the US nor the USSR would have been as involved anywhere near to the extent that they were. As superpowers, both wanted to have influence as far and wide as possible, and as such became involved in Arab – Israeli tensions to have more allies. This can be observed when examining the Soviet alliance with Arab nations. </w:t>
      </w:r>
      <w:r w:rsidR="00B539F6" w:rsidRPr="00B539F6">
        <w:rPr>
          <w:sz w:val="20"/>
          <w:szCs w:val="20"/>
        </w:rPr>
        <w:t>When explaining how Soviet-Arab alliances formed in the years after World War 2, Mansfield writes that “since 1947, a number of changes had taken place in the situation in the Middle East. In 1948, the Soviet Union had been one of the first countries to recognize the new state of Israel, and it seemed for a time that the Soviet Government saw a better future in friendship with Israel than with the Arab countries</w:t>
      </w:r>
      <w:r>
        <w:rPr>
          <w:sz w:val="20"/>
          <w:szCs w:val="20"/>
        </w:rPr>
        <w:t>.” … “</w:t>
      </w:r>
      <w:r w:rsidR="00B539F6" w:rsidRPr="00B539F6">
        <w:rPr>
          <w:sz w:val="20"/>
          <w:szCs w:val="20"/>
        </w:rPr>
        <w:t>By the early 1950s, however, there had been considerable Soviet rethinking; anti-Western and neutralist tendencies had increased in the Arab countries</w:t>
      </w:r>
      <w:r>
        <w:rPr>
          <w:sz w:val="20"/>
          <w:szCs w:val="20"/>
        </w:rPr>
        <w:t>.”</w:t>
      </w:r>
      <w:r w:rsidR="006E0B81">
        <w:rPr>
          <w:rStyle w:val="FootnoteReference"/>
          <w:sz w:val="20"/>
          <w:szCs w:val="20"/>
        </w:rPr>
        <w:footnoteReference w:id="1"/>
      </w:r>
      <w:r w:rsidR="00B539F6" w:rsidRPr="00B539F6">
        <w:rPr>
          <w:sz w:val="20"/>
          <w:szCs w:val="20"/>
        </w:rPr>
        <w:t xml:space="preserve"> It is thus clear that the Soviet Union recognized an opportunity to form an alliance with a common enemy, and subsequently abandoned its support of Israel when it became clear that backing </w:t>
      </w:r>
      <w:r>
        <w:rPr>
          <w:sz w:val="20"/>
          <w:szCs w:val="20"/>
        </w:rPr>
        <w:t>Israels</w:t>
      </w:r>
      <w:r w:rsidR="00B539F6" w:rsidRPr="00B539F6">
        <w:rPr>
          <w:sz w:val="20"/>
          <w:szCs w:val="20"/>
        </w:rPr>
        <w:t xml:space="preserve"> enemy would prove more favourable in the long run. Mansfield then explains how the Soviet Union adapted its foreign policy as much as possible in order to acquire as many allies as they could in the Middle East. “From the beginning of 1959, the Soviet Government concentrated on improving its relations with all the Moslem States in the Middle East irrespective of the ideological attitudes of their leadership. While Soviet propaganda continued to encourage hostility towards the West, this was not required as a pre-condition of Soviet friendship. After two years’ hesitation, the Soviet Government finally agreed to provide financial and technical aid in the building of the Aswan High Dam. This alone greatly increased Soviet influence and prestige in Egypt.” … “Soviet relations with Iraq, which had been bad after the overthrow of Kassem’s regime in February 1963, began to improve at the end of that year, in spite of reported executions of thousands of Iraqi Communists.” … “Following talks in Moscow in August 1963, the Soviet and Jordanian governments agreed to establish diplomatic relations, and after years of hostile criticism Soviet commentators began in 1964 to take a favourable view of Jordan’s economic plans.” </w:t>
      </w:r>
      <w:r w:rsidR="00E20F6C">
        <w:rPr>
          <w:sz w:val="20"/>
          <w:szCs w:val="20"/>
        </w:rPr>
        <w:t xml:space="preserve">(p.106) </w:t>
      </w:r>
      <w:r w:rsidR="00B539F6" w:rsidRPr="00B539F6">
        <w:rPr>
          <w:sz w:val="20"/>
          <w:szCs w:val="20"/>
        </w:rPr>
        <w:t xml:space="preserve">From here, in order to completely entrench its alliance with the Arab states, the Soviet Union naturally </w:t>
      </w:r>
      <w:r w:rsidR="00B539F6" w:rsidRPr="00B539F6">
        <w:rPr>
          <w:sz w:val="20"/>
          <w:szCs w:val="20"/>
        </w:rPr>
        <w:lastRenderedPageBreak/>
        <w:t>developed hostility towards the state of Israel. “Soviet commentators, who had kept silent on the subject of Arab unity since 1959, came out in favour of the conference of Arab Heads of State held in Cairo in January 1964 as ‘the most representative conference of Arab leaders in history.” … “In April 1966 the Soviet Government agreed to provide three-fifths of the 250-million dollar Euphrates Dam and hydro-electric project and a few weeks later participated in a joint Soviet-Syrian communique which stated that ‘the two sides affirmed their solidarity with the Palestine Arabs, and supported their lawful rights in the just struggle against Zionism, which is used by the Imperialist forces to aggravate tensions in the Near and Middle East.’</w:t>
      </w:r>
      <w:r>
        <w:rPr>
          <w:sz w:val="20"/>
          <w:szCs w:val="20"/>
        </w:rPr>
        <w:t>” … “</w:t>
      </w:r>
      <w:r w:rsidR="00B539F6" w:rsidRPr="00B539F6">
        <w:rPr>
          <w:sz w:val="20"/>
          <w:szCs w:val="20"/>
        </w:rPr>
        <w:t>During the ensuring year, the Soviet Government lost no opportunity of condemning Israeli aggressiveness and association with the West, and of applauding any indication of Arab unity.’”</w:t>
      </w:r>
      <w:r w:rsidR="00E273F8">
        <w:rPr>
          <w:rStyle w:val="FootnoteReference"/>
          <w:sz w:val="20"/>
          <w:szCs w:val="20"/>
        </w:rPr>
        <w:footnoteReference w:id="2"/>
      </w:r>
      <w:r w:rsidR="00B539F6" w:rsidRPr="00B539F6">
        <w:rPr>
          <w:sz w:val="20"/>
          <w:szCs w:val="20"/>
        </w:rPr>
        <w:t xml:space="preserve"> Despite originally having supported the formation of Israel, the Soviet Union, realizing that Israel had significantly warm relation with the West, began supporting Arab nations, in what was a pragmatic foreign policy, in order to formulate a concrete alliance with the nations in question to fight a common foe.</w:t>
      </w:r>
      <w:r>
        <w:rPr>
          <w:sz w:val="20"/>
          <w:szCs w:val="20"/>
        </w:rPr>
        <w:t xml:space="preserve"> The Soviet Union had the long-term objective of winning the Cold War, and as such was forming allies for this goal.</w:t>
      </w:r>
      <w:r w:rsidR="00B539F6" w:rsidRPr="00B539F6">
        <w:rPr>
          <w:sz w:val="20"/>
          <w:szCs w:val="20"/>
        </w:rPr>
        <w:t xml:space="preserve"> Therefore, Arab-Israeli tensions influenced Soviet foreign policy so that by the early to mid-1960s the Soviet Union w</w:t>
      </w:r>
      <w:r w:rsidR="00113AA8">
        <w:rPr>
          <w:sz w:val="20"/>
          <w:szCs w:val="20"/>
        </w:rPr>
        <w:t>as</w:t>
      </w:r>
      <w:r w:rsidR="00B539F6" w:rsidRPr="00B539F6">
        <w:rPr>
          <w:sz w:val="20"/>
          <w:szCs w:val="20"/>
        </w:rPr>
        <w:t xml:space="preserve"> forming alliances with Arab nations and hostile towards Israel.</w:t>
      </w:r>
    </w:p>
    <w:p w14:paraId="47D01874" w14:textId="30D15103" w:rsidR="00906C1A" w:rsidRDefault="00113AA8">
      <w:pPr>
        <w:rPr>
          <w:sz w:val="20"/>
          <w:szCs w:val="20"/>
        </w:rPr>
      </w:pPr>
      <w:r>
        <w:rPr>
          <w:sz w:val="20"/>
          <w:szCs w:val="20"/>
        </w:rPr>
        <w:t xml:space="preserve">In addition to this, it could simultaneously be argued that US support for Israel </w:t>
      </w:r>
      <w:r w:rsidR="00BE2566">
        <w:rPr>
          <w:sz w:val="20"/>
          <w:szCs w:val="20"/>
        </w:rPr>
        <w:t>was</w:t>
      </w:r>
      <w:r>
        <w:rPr>
          <w:sz w:val="20"/>
          <w:szCs w:val="20"/>
        </w:rPr>
        <w:t xml:space="preserve"> not merely geo-political</w:t>
      </w:r>
      <w:r w:rsidR="00BE2566">
        <w:rPr>
          <w:sz w:val="20"/>
          <w:szCs w:val="20"/>
        </w:rPr>
        <w:t xml:space="preserve"> to begin with</w:t>
      </w:r>
      <w:r>
        <w:rPr>
          <w:sz w:val="20"/>
          <w:szCs w:val="20"/>
        </w:rPr>
        <w:t>, but devotion to Israel, and that it is this which is the biggest influence of US policy in the Middle East</w:t>
      </w:r>
      <w:r w:rsidR="00BE2566">
        <w:rPr>
          <w:sz w:val="20"/>
          <w:szCs w:val="20"/>
        </w:rPr>
        <w:t>, only to subsequently be replaced by the greed of democracy and the Cold War</w:t>
      </w:r>
      <w:r>
        <w:rPr>
          <w:sz w:val="20"/>
          <w:szCs w:val="20"/>
        </w:rPr>
        <w:t xml:space="preserve">. </w:t>
      </w:r>
      <w:r w:rsidR="00BB55A7" w:rsidRPr="00BB55A7">
        <w:rPr>
          <w:sz w:val="20"/>
          <w:szCs w:val="20"/>
        </w:rPr>
        <w:t>The US, feeling deep sympathy towards the Jewish community for crimes committed against them during the Second World War, strongly support</w:t>
      </w:r>
      <w:r w:rsidR="00F87C06">
        <w:rPr>
          <w:sz w:val="20"/>
          <w:szCs w:val="20"/>
        </w:rPr>
        <w:t>ed</w:t>
      </w:r>
      <w:r w:rsidR="00BB55A7" w:rsidRPr="00BB55A7">
        <w:rPr>
          <w:sz w:val="20"/>
          <w:szCs w:val="20"/>
        </w:rPr>
        <w:t xml:space="preserve"> the creation of a Jewish homeland in order to prevent such </w:t>
      </w:r>
      <w:r w:rsidR="00BE2566">
        <w:rPr>
          <w:sz w:val="20"/>
          <w:szCs w:val="20"/>
        </w:rPr>
        <w:t>injustices</w:t>
      </w:r>
      <w:r w:rsidR="00BB55A7" w:rsidRPr="00BB55A7">
        <w:rPr>
          <w:sz w:val="20"/>
          <w:szCs w:val="20"/>
        </w:rPr>
        <w:t xml:space="preserve"> from occurring again. Mansfield writes of this that, “United States’ concern with Israel’s problems was largely isolated from its rivalry with the Soviet Union in the Middle East. American support for Israel reflects a deep personal commitment on the part of millions of Americans of all faiths – a commitment which is partial atonement for American inactivity during the holocaust suffered by European Jews under the Nazis.</w:t>
      </w:r>
      <w:r>
        <w:rPr>
          <w:sz w:val="20"/>
          <w:szCs w:val="20"/>
        </w:rPr>
        <w:t>”</w:t>
      </w:r>
      <w:r w:rsidR="00887E0C">
        <w:rPr>
          <w:rStyle w:val="FootnoteReference"/>
          <w:sz w:val="20"/>
          <w:szCs w:val="20"/>
        </w:rPr>
        <w:footnoteReference w:id="3"/>
      </w:r>
      <w:r w:rsidR="00983183">
        <w:rPr>
          <w:sz w:val="20"/>
          <w:szCs w:val="20"/>
        </w:rPr>
        <w:t xml:space="preserve"> </w:t>
      </w:r>
      <w:r w:rsidR="00BB55A7" w:rsidRPr="00BB55A7">
        <w:rPr>
          <w:sz w:val="20"/>
          <w:szCs w:val="20"/>
        </w:rPr>
        <w:t xml:space="preserve">As a result of World War </w:t>
      </w:r>
      <w:r w:rsidR="00BE2566">
        <w:rPr>
          <w:sz w:val="20"/>
          <w:szCs w:val="20"/>
        </w:rPr>
        <w:t>II</w:t>
      </w:r>
      <w:r w:rsidR="00BB55A7" w:rsidRPr="00BB55A7">
        <w:rPr>
          <w:sz w:val="20"/>
          <w:szCs w:val="20"/>
        </w:rPr>
        <w:t>, the American political climate was transformed</w:t>
      </w:r>
      <w:r w:rsidR="00F87C06">
        <w:rPr>
          <w:sz w:val="20"/>
          <w:szCs w:val="20"/>
        </w:rPr>
        <w:t>, and f</w:t>
      </w:r>
      <w:r w:rsidR="00BB55A7" w:rsidRPr="00BB55A7">
        <w:rPr>
          <w:sz w:val="20"/>
          <w:szCs w:val="20"/>
        </w:rPr>
        <w:t xml:space="preserve">rom the defeat of Nazism, Americans overwhelmingly wanted to continue to fight persecution, </w:t>
      </w:r>
      <w:r w:rsidR="00BE2566">
        <w:rPr>
          <w:sz w:val="20"/>
          <w:szCs w:val="20"/>
        </w:rPr>
        <w:t>and t</w:t>
      </w:r>
      <w:r w:rsidR="00BB55A7" w:rsidRPr="00BB55A7">
        <w:rPr>
          <w:sz w:val="20"/>
          <w:szCs w:val="20"/>
        </w:rPr>
        <w:t>hrough protecting Israel, America sees itself as continuing to protect the Jewish community from oppression.</w:t>
      </w:r>
      <w:r>
        <w:rPr>
          <w:sz w:val="20"/>
          <w:szCs w:val="20"/>
        </w:rPr>
        <w:t xml:space="preserve"> However, adding on to this, </w:t>
      </w:r>
      <w:r w:rsidR="00BB55A7" w:rsidRPr="00BB55A7">
        <w:rPr>
          <w:sz w:val="20"/>
          <w:szCs w:val="20"/>
        </w:rPr>
        <w:t>it is crucial to take into consideration the electoral power of the Jewish vote during US presidential elections</w:t>
      </w:r>
      <w:r w:rsidR="00BE2566">
        <w:rPr>
          <w:sz w:val="20"/>
          <w:szCs w:val="20"/>
        </w:rPr>
        <w:t>; t</w:t>
      </w:r>
      <w:r w:rsidR="00BB55A7" w:rsidRPr="00BB55A7">
        <w:rPr>
          <w:sz w:val="20"/>
          <w:szCs w:val="20"/>
        </w:rPr>
        <w:t xml:space="preserve">o be a so-called </w:t>
      </w:r>
      <w:r>
        <w:rPr>
          <w:sz w:val="20"/>
          <w:szCs w:val="20"/>
        </w:rPr>
        <w:t>‘</w:t>
      </w:r>
      <w:r w:rsidR="00BB55A7" w:rsidRPr="00BB55A7">
        <w:rPr>
          <w:sz w:val="20"/>
          <w:szCs w:val="20"/>
        </w:rPr>
        <w:t>friend of Israel</w:t>
      </w:r>
      <w:r>
        <w:rPr>
          <w:sz w:val="20"/>
          <w:szCs w:val="20"/>
        </w:rPr>
        <w:t>’</w:t>
      </w:r>
      <w:r w:rsidR="00BB55A7" w:rsidRPr="00BB55A7">
        <w:rPr>
          <w:sz w:val="20"/>
          <w:szCs w:val="20"/>
        </w:rPr>
        <w:t xml:space="preserve"> </w:t>
      </w:r>
      <w:r w:rsidR="00F87C06">
        <w:rPr>
          <w:sz w:val="20"/>
          <w:szCs w:val="20"/>
        </w:rPr>
        <w:t>is</w:t>
      </w:r>
      <w:r w:rsidR="00BB55A7" w:rsidRPr="00BB55A7">
        <w:rPr>
          <w:sz w:val="20"/>
          <w:szCs w:val="20"/>
        </w:rPr>
        <w:t xml:space="preserve"> considered a guaranteed win from the Jewish-American community at the ballot box. Cattan explains this on page 226 and 227, where he states that, “until the mid-1960s, American economic assistance to Israel was minimal and military aid was virtually non-existent. In 1950 the US even refused Israel’s request for arms. The situation, however, soon changed under the Johnson Administration. From $40 million in US assistance in fiscal year 1964 under the Kennedy Administration, both US military and economic aid shot upward. George W. Ball, former Under-Secretary of State, remarks that ‘in the fiscal year 1966 alone, we provided more military assistance to Israel than we have cumulatively provided during all the years since its establishment as a nation … President Johnson, responding to domestic pressures and the urging of political friends, transformed the fundamental American - Israeli politico-military relationship.</w:t>
      </w:r>
      <w:r>
        <w:rPr>
          <w:sz w:val="20"/>
          <w:szCs w:val="20"/>
        </w:rPr>
        <w:t>’” … “T</w:t>
      </w:r>
      <w:r w:rsidR="00BB55A7" w:rsidRPr="00BB55A7">
        <w:rPr>
          <w:sz w:val="20"/>
          <w:szCs w:val="20"/>
        </w:rPr>
        <w:t xml:space="preserve">o win the support of the Jewish electorate, each President has boasted of his role in increasing aid to Israel.” </w:t>
      </w:r>
      <w:r w:rsidR="00F87C06">
        <w:rPr>
          <w:sz w:val="20"/>
          <w:szCs w:val="20"/>
        </w:rPr>
        <w:t xml:space="preserve">The extent of this drastic change can be observed when Cattan states that </w:t>
      </w:r>
      <w:r w:rsidR="00BB55A7" w:rsidRPr="00BB55A7">
        <w:rPr>
          <w:sz w:val="20"/>
          <w:szCs w:val="20"/>
        </w:rPr>
        <w:t>“US military aid to Israel for the 13 years from 1948 to 1961 amounted to less than one million dollars and economic aid amounted to barely half a million dollars; then, in the twenty-two years from 1962 through 1984, military aid rose to a total of over $18 billion while economic aid reached almost $9 billion.”</w:t>
      </w:r>
      <w:r w:rsidR="001479D3">
        <w:rPr>
          <w:rStyle w:val="FootnoteReference"/>
          <w:sz w:val="20"/>
          <w:szCs w:val="20"/>
        </w:rPr>
        <w:footnoteReference w:id="4"/>
      </w:r>
      <w:r w:rsidR="00185303">
        <w:rPr>
          <w:sz w:val="20"/>
          <w:szCs w:val="20"/>
        </w:rPr>
        <w:t xml:space="preserve"> </w:t>
      </w:r>
      <w:r w:rsidR="00F87C06">
        <w:rPr>
          <w:sz w:val="20"/>
          <w:szCs w:val="20"/>
        </w:rPr>
        <w:t xml:space="preserve">It is evident that the 1960s proved to be pivotal in the transformation of US aid to Israel. There are a multitude of reasons as to why this was the case. </w:t>
      </w:r>
      <w:r>
        <w:rPr>
          <w:sz w:val="20"/>
          <w:szCs w:val="20"/>
        </w:rPr>
        <w:t>Firstly, f</w:t>
      </w:r>
      <w:r w:rsidR="00BB55A7" w:rsidRPr="00BB55A7">
        <w:rPr>
          <w:sz w:val="20"/>
          <w:szCs w:val="20"/>
        </w:rPr>
        <w:t>ollowing the end of white supremacist legislation during the Jim Crow era with the passage of the</w:t>
      </w:r>
      <w:r w:rsidR="0045166D">
        <w:rPr>
          <w:sz w:val="20"/>
          <w:szCs w:val="20"/>
        </w:rPr>
        <w:t xml:space="preserve"> Voting Rights Act of 1965</w:t>
      </w:r>
      <w:r w:rsidR="00BB55A7" w:rsidRPr="00BB55A7">
        <w:rPr>
          <w:sz w:val="20"/>
          <w:szCs w:val="20"/>
        </w:rPr>
        <w:t>,</w:t>
      </w:r>
      <w:r w:rsidR="00C83AB3">
        <w:rPr>
          <w:rStyle w:val="FootnoteReference"/>
          <w:sz w:val="20"/>
          <w:szCs w:val="20"/>
        </w:rPr>
        <w:footnoteReference w:id="5"/>
      </w:r>
      <w:r w:rsidR="00BB55A7" w:rsidRPr="00BB55A7">
        <w:rPr>
          <w:sz w:val="20"/>
          <w:szCs w:val="20"/>
        </w:rPr>
        <w:t xml:space="preserve"> racial minorities now had the equal </w:t>
      </w:r>
      <w:r w:rsidR="00BE2566">
        <w:rPr>
          <w:sz w:val="20"/>
          <w:szCs w:val="20"/>
        </w:rPr>
        <w:t>right to vote</w:t>
      </w:r>
      <w:r w:rsidR="00BB55A7" w:rsidRPr="00BB55A7">
        <w:rPr>
          <w:sz w:val="20"/>
          <w:szCs w:val="20"/>
        </w:rPr>
        <w:t xml:space="preserve">. US presidential candidates now observed the voting-power of these groups, and, </w:t>
      </w:r>
      <w:r w:rsidR="00BB55A7" w:rsidRPr="00BB55A7">
        <w:rPr>
          <w:sz w:val="20"/>
          <w:szCs w:val="20"/>
        </w:rPr>
        <w:lastRenderedPageBreak/>
        <w:t>although Jewish Americans</w:t>
      </w:r>
      <w:r w:rsidR="00F87C06">
        <w:rPr>
          <w:sz w:val="20"/>
          <w:szCs w:val="20"/>
        </w:rPr>
        <w:t xml:space="preserve"> </w:t>
      </w:r>
      <w:r w:rsidR="00BB55A7" w:rsidRPr="00BB55A7">
        <w:rPr>
          <w:sz w:val="20"/>
          <w:szCs w:val="20"/>
        </w:rPr>
        <w:t xml:space="preserve">already had the equal right to vote, </w:t>
      </w:r>
      <w:r w:rsidR="00F87C06">
        <w:rPr>
          <w:sz w:val="20"/>
          <w:szCs w:val="20"/>
        </w:rPr>
        <w:t>politicians</w:t>
      </w:r>
      <w:r w:rsidR="00BB55A7" w:rsidRPr="00BB55A7">
        <w:rPr>
          <w:sz w:val="20"/>
          <w:szCs w:val="20"/>
        </w:rPr>
        <w:t xml:space="preserve"> began to appeal to minority issues more generally in order to be more electable. </w:t>
      </w:r>
      <w:r w:rsidR="00BB55A7" w:rsidRPr="00BE2566">
        <w:rPr>
          <w:sz w:val="20"/>
          <w:szCs w:val="20"/>
        </w:rPr>
        <w:t xml:space="preserve">As such, US aid increases to Israel during the 1960s can </w:t>
      </w:r>
      <w:r w:rsidR="00BE2566">
        <w:rPr>
          <w:sz w:val="20"/>
          <w:szCs w:val="20"/>
        </w:rPr>
        <w:t>partially</w:t>
      </w:r>
      <w:r w:rsidR="00BB55A7" w:rsidRPr="00BE2566">
        <w:rPr>
          <w:sz w:val="20"/>
          <w:szCs w:val="20"/>
        </w:rPr>
        <w:t xml:space="preserve"> be viewed through the light of US presidents attempting to garner votes</w:t>
      </w:r>
      <w:r w:rsidR="00906C1A" w:rsidRPr="00906C1A">
        <w:rPr>
          <w:color w:val="FF0000"/>
          <w:sz w:val="20"/>
          <w:szCs w:val="20"/>
        </w:rPr>
        <w:t xml:space="preserve">. </w:t>
      </w:r>
      <w:r w:rsidR="00906C1A">
        <w:rPr>
          <w:sz w:val="20"/>
          <w:szCs w:val="20"/>
        </w:rPr>
        <w:t xml:space="preserve">Secondly, during the 1960s the Cold War was escalating, following the building of the Berlin Wall, the Cuban Missile Crisis, and American entry into the Vietnam war. As Soviet influence was escalating in the neighbouring Arab countries, in order to establish dominance in the region, US aid increased substantially in order to undermine the Soviet Union in the region. </w:t>
      </w:r>
      <w:r w:rsidR="00BE2566">
        <w:rPr>
          <w:sz w:val="20"/>
          <w:szCs w:val="20"/>
        </w:rPr>
        <w:t xml:space="preserve">This means that aid increase can additionally also be viewed through the light of Cold War politics. </w:t>
      </w:r>
      <w:r w:rsidR="00BB55A7" w:rsidRPr="00BE2566">
        <w:rPr>
          <w:sz w:val="20"/>
          <w:szCs w:val="20"/>
        </w:rPr>
        <w:t>This thus means that US support for Israel initially came about due to strong desires by the US to protect Jews from injustice, and then substantially increased during the 1960s in order for US presidential candidates to be popular with the Jewish community</w:t>
      </w:r>
      <w:r w:rsidR="008729F4">
        <w:rPr>
          <w:sz w:val="20"/>
          <w:szCs w:val="20"/>
        </w:rPr>
        <w:t xml:space="preserve"> by pledging to escalate this assistance</w:t>
      </w:r>
      <w:r w:rsidR="00BE2566" w:rsidRPr="00BE2566">
        <w:rPr>
          <w:sz w:val="20"/>
          <w:szCs w:val="20"/>
        </w:rPr>
        <w:t xml:space="preserve">, as well as in order to undermine the Soviets. </w:t>
      </w:r>
      <w:r w:rsidR="00BE2566">
        <w:rPr>
          <w:sz w:val="20"/>
          <w:szCs w:val="20"/>
        </w:rPr>
        <w:t>Therefore,</w:t>
      </w:r>
      <w:r w:rsidR="00906C1A">
        <w:rPr>
          <w:sz w:val="20"/>
          <w:szCs w:val="20"/>
        </w:rPr>
        <w:t xml:space="preserve"> Arab – Israeli tensions during the 1960s and 1970s did not influence US and Soviet policy in the Middle East as, although US influence in the Middle East originated from a desire to help the Jews, it was ultimately replaced with </w:t>
      </w:r>
      <w:r w:rsidR="00BE2566">
        <w:rPr>
          <w:sz w:val="20"/>
          <w:szCs w:val="20"/>
        </w:rPr>
        <w:t>American politics</w:t>
      </w:r>
      <w:r w:rsidR="00906C1A">
        <w:rPr>
          <w:sz w:val="20"/>
          <w:szCs w:val="20"/>
        </w:rPr>
        <w:t xml:space="preserve"> and </w:t>
      </w:r>
      <w:r w:rsidR="00BE2566">
        <w:rPr>
          <w:sz w:val="20"/>
          <w:szCs w:val="20"/>
        </w:rPr>
        <w:t>the Cold War</w:t>
      </w:r>
      <w:r w:rsidR="00906C1A">
        <w:rPr>
          <w:sz w:val="20"/>
          <w:szCs w:val="20"/>
        </w:rPr>
        <w:t xml:space="preserve">. </w:t>
      </w:r>
    </w:p>
    <w:p w14:paraId="73F1658F" w14:textId="408FA401" w:rsidR="00B539F6" w:rsidRDefault="00F87C06" w:rsidP="008D0151">
      <w:pPr>
        <w:rPr>
          <w:sz w:val="20"/>
          <w:szCs w:val="20"/>
        </w:rPr>
      </w:pPr>
      <w:r w:rsidRPr="00F87C06">
        <w:rPr>
          <w:sz w:val="20"/>
          <w:szCs w:val="20"/>
        </w:rPr>
        <w:t>Furthermore, it could be argued that the biggest influence of Arab – Israeli tensions during the 1960s and 1970s on US and Soviet policy in the Middle East was regarding the</w:t>
      </w:r>
      <w:r w:rsidR="008729F4">
        <w:rPr>
          <w:sz w:val="20"/>
          <w:szCs w:val="20"/>
        </w:rPr>
        <w:t xml:space="preserve"> US</w:t>
      </w:r>
      <w:r w:rsidRPr="00F87C06">
        <w:rPr>
          <w:sz w:val="20"/>
          <w:szCs w:val="20"/>
        </w:rPr>
        <w:t xml:space="preserve"> acquisition of oil</w:t>
      </w:r>
      <w:r w:rsidR="008729F4">
        <w:rPr>
          <w:sz w:val="20"/>
          <w:szCs w:val="20"/>
        </w:rPr>
        <w:t>, with Soviet policy being affected as a result to counteract this trade</w:t>
      </w:r>
      <w:r w:rsidRPr="00F87C06">
        <w:rPr>
          <w:sz w:val="20"/>
          <w:szCs w:val="20"/>
        </w:rPr>
        <w:t>. From the end of World War II, the US and its allies, Western Europe and Japan, had been reliant on Middle Eastern oil. Mansfield writes of this, on page 112, that, “the importance of the Middle East in world trade was” … significant … “accounting for 50 per cent of total exports, and when combined with North Africa, accounting for over two-thirds. Western Europe, with very little oil of its own, was already taking nearly half of its total imports from the Middle East and over one-third from North America; Japan imported over 80 percent of its needs from the Middle East alone.”</w:t>
      </w:r>
      <w:r w:rsidR="00525407">
        <w:rPr>
          <w:rStyle w:val="FootnoteReference"/>
          <w:sz w:val="20"/>
          <w:szCs w:val="20"/>
        </w:rPr>
        <w:footnoteReference w:id="6"/>
      </w:r>
      <w:r w:rsidRPr="00F87C06">
        <w:rPr>
          <w:sz w:val="20"/>
          <w:szCs w:val="20"/>
        </w:rPr>
        <w:t xml:space="preserve"> America and its allies were heavily reliant on the importation of Middle Eastern oil, and this trade was completely separate from Arab – Israeli tensions. Regardless, due to America’s support of Israel during these tensions, this trade would be heavily impacted. When the US opposed the Arabs during the Yom Kippur War in 1973, the Organization of Petroleum Exporting Countries placed a trade embargo on the US, drastically increasing the price of oil in America, and subsequently having a catastrophic impact on its economy. When its support of Israel damaged its economy, the US chose to compromise with a balance; Lacey states on page 417 that, in an attempt to end the embargo, US Secretary of State, Henry Kissinger, while negotiating with King Faisal of Saudi Arabia, said that America would be “even-handed” regarding the Arab – Israeli dispute.</w:t>
      </w:r>
      <w:r w:rsidR="002B797C">
        <w:rPr>
          <w:rStyle w:val="FootnoteReference"/>
          <w:sz w:val="20"/>
          <w:szCs w:val="20"/>
        </w:rPr>
        <w:footnoteReference w:id="7"/>
      </w:r>
      <w:r w:rsidRPr="00F87C06">
        <w:rPr>
          <w:sz w:val="20"/>
          <w:szCs w:val="20"/>
        </w:rPr>
        <w:t xml:space="preserve"> As such, Arab – Israeli tensions during the 1960s and 1970s had an impact on US policy in the Middle East, as by placing America in a vulnerable position, its support of Israel would be impacted. Oil proved to be crucial to America, both regarding Arab – Israeli tensions as well as the Cold War. American trade with Middle Eastern nations regarding oil would also proceed to have an impact on the Cold War, as the Soviet Union enacted a policy in an attempt to damage this trade to harm western Europe economically. On this subject, Adams writes that “Western European economies, increasingly dependent on American assistance and guidance, were planned on the basis of a continuous supply of Middle Eastern oil. Correspondingly, Soviet interests were directed toward weakening Western European economies and reducing their dependence on the United States. Thus a Soviet objective soon after the termination of World War II was not to gain possession of this vital resource but rather to deprive their opponents of it, thereby crippling them to the point where Soviet hegemony in Europe would be assured. Since the war, a constant objective of Western policies in the region has been to protect the uninterrupted flow of oil.”</w:t>
      </w:r>
      <w:r w:rsidR="00A0242A">
        <w:rPr>
          <w:rStyle w:val="FootnoteReference"/>
          <w:sz w:val="20"/>
          <w:szCs w:val="20"/>
        </w:rPr>
        <w:footnoteReference w:id="8"/>
      </w:r>
      <w:r w:rsidRPr="00F87C06">
        <w:rPr>
          <w:sz w:val="20"/>
          <w:szCs w:val="20"/>
        </w:rPr>
        <w:t xml:space="preserve"> Berry adds to this by stating that, “by the middle 1960s, Soviet oil exports to the West had reached their peak. European countries such as Italy, Austria, West Germany and Greece imported oil at reduced prices from the USSR in those years, as did Japan. The Western oil companies became alarmed at this apparent ‘oil offensive’” …. Notably, this ‘offensive’ had the potential to undermine Western national security. “Western observers also feared that the USSR sought a political gain from this economic offensive, namely replacement of Western oil operations by Soviet ones in the uncommitted nations in order to gain political influence.”</w:t>
      </w:r>
      <w:r w:rsidR="0013104D">
        <w:rPr>
          <w:rStyle w:val="FootnoteReference"/>
          <w:sz w:val="20"/>
          <w:szCs w:val="20"/>
        </w:rPr>
        <w:footnoteReference w:id="9"/>
      </w:r>
      <w:r w:rsidRPr="00F87C06">
        <w:rPr>
          <w:sz w:val="20"/>
          <w:szCs w:val="20"/>
        </w:rPr>
        <w:t xml:space="preserve"> US and Soviet tensions regarding the American purchase of Middle Eastern oil illustrate </w:t>
      </w:r>
      <w:r w:rsidRPr="00F87C06">
        <w:rPr>
          <w:sz w:val="20"/>
          <w:szCs w:val="20"/>
        </w:rPr>
        <w:lastRenderedPageBreak/>
        <w:t>that tensions, in the 1960s, surrounding the Middle East existed which were independent of the Arab and Israeli feud. The US and USSR were not impacted by Arab – Israeli tensions regarding oil as they were already in the midst of a global Cold War, whereas the US and Arab nations were impacted because the Arab – Israeli tensions were central to Arab – US tensions. As a result of which came disastrous economic problems. Therefore, Arab – Israeli tensions during the 1960s and 1970s influenced US policy in the Middle East in areas which were independent of the conflict, but which were impacted due to America’s role in supporting Israel. Soviet policy surrounding America and the Middle East additionally occurred in the 1960s and 1970s, however these were not related to the Arab – Israeli tensions.</w:t>
      </w:r>
    </w:p>
    <w:p w14:paraId="0F0CF86C" w14:textId="6EE09627" w:rsidR="00A10B16" w:rsidRDefault="00A10B16" w:rsidP="008D0151">
      <w:pPr>
        <w:rPr>
          <w:sz w:val="20"/>
          <w:szCs w:val="20"/>
        </w:rPr>
      </w:pPr>
      <w:r>
        <w:rPr>
          <w:sz w:val="20"/>
          <w:szCs w:val="20"/>
        </w:rPr>
        <w:t xml:space="preserve">In conclusion, the Cold War was pivotal to the superpowers’ involvement in the Middle East during the 1960s and 1970s. However, how the two sides were influenced by Arab – Israeli tensions was very different. First and foremost, the USSR took advantage of the tensions to adapt its policy in the Middle East in order to form alliances. Subsequently America, feeling threatened by the Arab alliance with the Soviet Union thus reacted accordingly. The US claiming to continue its historic fight to help the Jews by escalating assistance to Israel ibn the Arab – Israeli tensions, with the added benefit of securing electoral victories from the Jewish community, was American propaganda to paint themselves as being on the correct side of history, as they were during the Second World War. The Soviet Union, creating an alliance between itself and the Arab nations was thus a more crucial influence of superpower policy in the Middle East, as it set in motion the chain of events which led the US to become significantly further involved. Consequently, as a direct result of Americas support of Israel, Arab – Israeli tensions would lead to an impact on trade between the US and Arab nations, influencing America to alter its policy. This can again be attributed to Soviet influence on Arab nations, as were it not for this, America wouldn’t be as concerned regarding events in the Middle East. The fact that the US and USSR were fighting ‘behind the scenes’ over the sale of oil further illustrates that they were more concerned with each other’s presence in the Middle East rather than Arab – Israeli tensions. </w:t>
      </w:r>
      <w:r w:rsidR="00DE577F">
        <w:rPr>
          <w:sz w:val="20"/>
          <w:szCs w:val="20"/>
        </w:rPr>
        <w:t xml:space="preserve">It is as such clear that Cold War tensions underlined all US and Soviet policy in the Middle-East, with Arab – Israeli tensions acting as an escalation of hostilities between the superpowers. </w:t>
      </w:r>
    </w:p>
    <w:p w14:paraId="5B60C3E3" w14:textId="77777777" w:rsidR="0013104D" w:rsidRDefault="0013104D" w:rsidP="008D0151">
      <w:pPr>
        <w:rPr>
          <w:sz w:val="20"/>
          <w:szCs w:val="20"/>
        </w:rPr>
      </w:pPr>
    </w:p>
    <w:p w14:paraId="1E3F4946" w14:textId="77777777" w:rsidR="0013104D" w:rsidRDefault="0013104D" w:rsidP="008D0151">
      <w:pPr>
        <w:rPr>
          <w:sz w:val="20"/>
          <w:szCs w:val="20"/>
        </w:rPr>
      </w:pPr>
    </w:p>
    <w:p w14:paraId="56D50E79" w14:textId="77777777" w:rsidR="0013104D" w:rsidRDefault="0013104D" w:rsidP="008D0151">
      <w:pPr>
        <w:rPr>
          <w:sz w:val="20"/>
          <w:szCs w:val="20"/>
        </w:rPr>
      </w:pPr>
    </w:p>
    <w:p w14:paraId="7B68F877" w14:textId="77777777" w:rsidR="0013104D" w:rsidRDefault="0013104D" w:rsidP="008D0151">
      <w:pPr>
        <w:rPr>
          <w:sz w:val="20"/>
          <w:szCs w:val="20"/>
        </w:rPr>
      </w:pPr>
    </w:p>
    <w:p w14:paraId="7440DAC7" w14:textId="77777777" w:rsidR="0013104D" w:rsidRDefault="0013104D" w:rsidP="008D0151">
      <w:pPr>
        <w:rPr>
          <w:sz w:val="20"/>
          <w:szCs w:val="20"/>
        </w:rPr>
      </w:pPr>
    </w:p>
    <w:p w14:paraId="202ACB2B" w14:textId="77777777" w:rsidR="0013104D" w:rsidRDefault="0013104D" w:rsidP="008D0151">
      <w:pPr>
        <w:rPr>
          <w:sz w:val="20"/>
          <w:szCs w:val="20"/>
        </w:rPr>
      </w:pPr>
    </w:p>
    <w:p w14:paraId="19234BED" w14:textId="77777777" w:rsidR="0013104D" w:rsidRDefault="0013104D" w:rsidP="008D0151">
      <w:pPr>
        <w:rPr>
          <w:sz w:val="20"/>
          <w:szCs w:val="20"/>
        </w:rPr>
      </w:pPr>
    </w:p>
    <w:p w14:paraId="65FC5F05" w14:textId="77777777" w:rsidR="0013104D" w:rsidRDefault="0013104D" w:rsidP="008D0151">
      <w:pPr>
        <w:rPr>
          <w:sz w:val="20"/>
          <w:szCs w:val="20"/>
        </w:rPr>
      </w:pPr>
    </w:p>
    <w:p w14:paraId="3A21AA30" w14:textId="77777777" w:rsidR="0013104D" w:rsidRDefault="0013104D" w:rsidP="008D0151">
      <w:pPr>
        <w:rPr>
          <w:sz w:val="20"/>
          <w:szCs w:val="20"/>
        </w:rPr>
      </w:pPr>
    </w:p>
    <w:p w14:paraId="3D684BB1" w14:textId="77777777" w:rsidR="0013104D" w:rsidRDefault="0013104D" w:rsidP="008D0151">
      <w:pPr>
        <w:rPr>
          <w:sz w:val="20"/>
          <w:szCs w:val="20"/>
        </w:rPr>
      </w:pPr>
    </w:p>
    <w:p w14:paraId="7D68E829" w14:textId="77777777" w:rsidR="0013104D" w:rsidRDefault="0013104D" w:rsidP="008D0151">
      <w:pPr>
        <w:rPr>
          <w:sz w:val="20"/>
          <w:szCs w:val="20"/>
        </w:rPr>
      </w:pPr>
    </w:p>
    <w:p w14:paraId="5F9CB9F3" w14:textId="1AE7B79B" w:rsidR="001173C8" w:rsidRDefault="001173C8" w:rsidP="008D0151">
      <w:pPr>
        <w:rPr>
          <w:sz w:val="20"/>
          <w:szCs w:val="20"/>
        </w:rPr>
      </w:pPr>
    </w:p>
    <w:p w14:paraId="09A8DF17" w14:textId="77777777" w:rsidR="001173C8" w:rsidRDefault="001173C8" w:rsidP="008D0151">
      <w:pPr>
        <w:rPr>
          <w:sz w:val="20"/>
          <w:szCs w:val="20"/>
        </w:rPr>
      </w:pPr>
    </w:p>
    <w:p w14:paraId="6A4A73B1" w14:textId="77777777" w:rsidR="0013104D" w:rsidRDefault="0013104D" w:rsidP="008D0151">
      <w:pPr>
        <w:rPr>
          <w:sz w:val="20"/>
          <w:szCs w:val="20"/>
        </w:rPr>
      </w:pPr>
    </w:p>
    <w:p w14:paraId="52E29876" w14:textId="77777777" w:rsidR="0013104D" w:rsidRDefault="0013104D" w:rsidP="008D0151">
      <w:pPr>
        <w:rPr>
          <w:sz w:val="20"/>
          <w:szCs w:val="20"/>
        </w:rPr>
      </w:pPr>
    </w:p>
    <w:p w14:paraId="7E8A6CD2" w14:textId="77777777" w:rsidR="00A36234" w:rsidRDefault="00A36234" w:rsidP="008D0151">
      <w:pPr>
        <w:rPr>
          <w:sz w:val="20"/>
          <w:szCs w:val="20"/>
        </w:rPr>
      </w:pPr>
    </w:p>
    <w:p w14:paraId="46AFCD79" w14:textId="77777777" w:rsidR="0013104D" w:rsidRDefault="0013104D" w:rsidP="008D0151">
      <w:pPr>
        <w:rPr>
          <w:sz w:val="20"/>
          <w:szCs w:val="20"/>
        </w:rPr>
      </w:pPr>
    </w:p>
    <w:p w14:paraId="2D881A9C" w14:textId="59FFD589" w:rsidR="00124F89" w:rsidRDefault="00124F89" w:rsidP="008D0151">
      <w:pPr>
        <w:rPr>
          <w:sz w:val="20"/>
          <w:szCs w:val="20"/>
        </w:rPr>
      </w:pPr>
      <w:r>
        <w:rPr>
          <w:sz w:val="20"/>
          <w:szCs w:val="20"/>
        </w:rPr>
        <w:lastRenderedPageBreak/>
        <w:t>Bibliography</w:t>
      </w:r>
    </w:p>
    <w:p w14:paraId="44F4FF4A" w14:textId="1F812814" w:rsidR="006017C4" w:rsidRDefault="006017C4" w:rsidP="008D0151">
      <w:pPr>
        <w:rPr>
          <w:sz w:val="20"/>
          <w:szCs w:val="20"/>
        </w:rPr>
      </w:pPr>
      <w:r w:rsidRPr="006017C4">
        <w:rPr>
          <w:sz w:val="20"/>
          <w:szCs w:val="20"/>
        </w:rPr>
        <w:t xml:space="preserve">Adams, Michael, </w:t>
      </w:r>
      <w:r w:rsidRPr="006017C4">
        <w:rPr>
          <w:i/>
          <w:iCs/>
          <w:sz w:val="20"/>
          <w:szCs w:val="20"/>
        </w:rPr>
        <w:t>The Middle East</w:t>
      </w:r>
      <w:r w:rsidRPr="006017C4">
        <w:rPr>
          <w:sz w:val="20"/>
          <w:szCs w:val="20"/>
        </w:rPr>
        <w:t xml:space="preserve"> (USA: Facts on File Publications, 1988)</w:t>
      </w:r>
    </w:p>
    <w:p w14:paraId="47088725" w14:textId="2DA1671F" w:rsidR="006017C4" w:rsidRDefault="006017C4" w:rsidP="008D0151">
      <w:pPr>
        <w:rPr>
          <w:sz w:val="20"/>
          <w:szCs w:val="20"/>
        </w:rPr>
      </w:pPr>
      <w:r w:rsidRPr="006017C4">
        <w:rPr>
          <w:sz w:val="20"/>
          <w:szCs w:val="20"/>
        </w:rPr>
        <w:t xml:space="preserve">Berry, John A., </w:t>
      </w:r>
      <w:r w:rsidRPr="006017C4">
        <w:rPr>
          <w:i/>
          <w:iCs/>
          <w:sz w:val="20"/>
          <w:szCs w:val="20"/>
        </w:rPr>
        <w:t>Middle East Journal</w:t>
      </w:r>
      <w:r w:rsidRPr="006017C4">
        <w:rPr>
          <w:sz w:val="20"/>
          <w:szCs w:val="20"/>
        </w:rPr>
        <w:t xml:space="preserve"> (Washington DC: Middle East Institute, 1972)</w:t>
      </w:r>
    </w:p>
    <w:p w14:paraId="0A5BDD49" w14:textId="4C1106A3" w:rsidR="00DA075B" w:rsidRDefault="006017C4" w:rsidP="008D0151">
      <w:pPr>
        <w:rPr>
          <w:sz w:val="20"/>
          <w:szCs w:val="20"/>
        </w:rPr>
      </w:pPr>
      <w:r w:rsidRPr="006017C4">
        <w:rPr>
          <w:sz w:val="20"/>
          <w:szCs w:val="20"/>
        </w:rPr>
        <w:t xml:space="preserve">Cattan, Henry, </w:t>
      </w:r>
      <w:r w:rsidRPr="006017C4">
        <w:rPr>
          <w:i/>
          <w:iCs/>
          <w:sz w:val="20"/>
          <w:szCs w:val="20"/>
        </w:rPr>
        <w:t>The Palestine Question</w:t>
      </w:r>
      <w:r w:rsidRPr="006017C4">
        <w:rPr>
          <w:sz w:val="20"/>
          <w:szCs w:val="20"/>
        </w:rPr>
        <w:t xml:space="preserve"> (USA: Croom Helm, 1988)</w:t>
      </w:r>
    </w:p>
    <w:p w14:paraId="1ACB88D3" w14:textId="24A2C392" w:rsidR="00BC4D6C" w:rsidRPr="00BC4D6C" w:rsidRDefault="00BC4D6C" w:rsidP="008D0151">
      <w:pPr>
        <w:rPr>
          <w:sz w:val="20"/>
          <w:szCs w:val="20"/>
        </w:rPr>
      </w:pPr>
      <w:r>
        <w:rPr>
          <w:sz w:val="20"/>
          <w:szCs w:val="20"/>
        </w:rPr>
        <w:t xml:space="preserve">Cohn – Sherbok, Dan, and </w:t>
      </w:r>
      <w:r w:rsidR="00FB3FCB">
        <w:rPr>
          <w:sz w:val="20"/>
          <w:szCs w:val="20"/>
        </w:rPr>
        <w:t xml:space="preserve">Dawound </w:t>
      </w:r>
      <w:r>
        <w:rPr>
          <w:sz w:val="20"/>
          <w:szCs w:val="20"/>
        </w:rPr>
        <w:t xml:space="preserve">El – Alami, </w:t>
      </w:r>
      <w:r>
        <w:rPr>
          <w:i/>
          <w:iCs/>
          <w:sz w:val="20"/>
          <w:szCs w:val="20"/>
        </w:rPr>
        <w:t>The Palestine – Israeli Conflict</w:t>
      </w:r>
      <w:r>
        <w:rPr>
          <w:sz w:val="20"/>
          <w:szCs w:val="20"/>
        </w:rPr>
        <w:t xml:space="preserve"> (Oxford: Oneworld Publications, 2001)</w:t>
      </w:r>
    </w:p>
    <w:p w14:paraId="3822F8CE" w14:textId="1A04BABE" w:rsidR="00BC4D6C" w:rsidRDefault="00BC4D6C" w:rsidP="008D0151">
      <w:pPr>
        <w:rPr>
          <w:sz w:val="20"/>
          <w:szCs w:val="20"/>
        </w:rPr>
      </w:pPr>
      <w:r>
        <w:rPr>
          <w:sz w:val="20"/>
          <w:szCs w:val="20"/>
        </w:rPr>
        <w:t xml:space="preserve">Dodd, C. H., and </w:t>
      </w:r>
      <w:r w:rsidR="00FB3FCB">
        <w:rPr>
          <w:sz w:val="20"/>
          <w:szCs w:val="20"/>
        </w:rPr>
        <w:t xml:space="preserve">M. E. </w:t>
      </w:r>
      <w:r>
        <w:rPr>
          <w:sz w:val="20"/>
          <w:szCs w:val="20"/>
        </w:rPr>
        <w:t xml:space="preserve">Sales, </w:t>
      </w:r>
      <w:r>
        <w:rPr>
          <w:i/>
          <w:iCs/>
          <w:sz w:val="20"/>
          <w:szCs w:val="20"/>
        </w:rPr>
        <w:t xml:space="preserve">Israel and the Arab World </w:t>
      </w:r>
      <w:r>
        <w:rPr>
          <w:sz w:val="20"/>
          <w:szCs w:val="20"/>
        </w:rPr>
        <w:t>(London: Routledge &amp; Kegan Paul, 1970)</w:t>
      </w:r>
    </w:p>
    <w:p w14:paraId="648B6FF0" w14:textId="19C90552" w:rsidR="00BC4D6C" w:rsidRPr="00BC4D6C" w:rsidRDefault="00BC4D6C" w:rsidP="008D0151">
      <w:pPr>
        <w:rPr>
          <w:sz w:val="20"/>
          <w:szCs w:val="20"/>
        </w:rPr>
      </w:pPr>
      <w:r>
        <w:rPr>
          <w:sz w:val="20"/>
          <w:szCs w:val="20"/>
        </w:rPr>
        <w:t xml:space="preserve">Fraser, T. G., </w:t>
      </w:r>
      <w:r>
        <w:rPr>
          <w:i/>
          <w:iCs/>
          <w:sz w:val="20"/>
          <w:szCs w:val="20"/>
        </w:rPr>
        <w:t>The Middle East, 1914 – 1979</w:t>
      </w:r>
      <w:r>
        <w:rPr>
          <w:sz w:val="20"/>
          <w:szCs w:val="20"/>
        </w:rPr>
        <w:t xml:space="preserve"> (London: Edward Arnold</w:t>
      </w:r>
      <w:r w:rsidR="00AC396A">
        <w:rPr>
          <w:sz w:val="20"/>
          <w:szCs w:val="20"/>
        </w:rPr>
        <w:t xml:space="preserve"> Publishers</w:t>
      </w:r>
      <w:r>
        <w:rPr>
          <w:sz w:val="20"/>
          <w:szCs w:val="20"/>
        </w:rPr>
        <w:t>, 1980)</w:t>
      </w:r>
    </w:p>
    <w:p w14:paraId="0DDC0529" w14:textId="65D07D18" w:rsidR="00124F89" w:rsidRDefault="00124F89" w:rsidP="008D0151">
      <w:pPr>
        <w:rPr>
          <w:sz w:val="20"/>
          <w:szCs w:val="20"/>
        </w:rPr>
      </w:pPr>
      <w:r>
        <w:rPr>
          <w:sz w:val="20"/>
          <w:szCs w:val="20"/>
        </w:rPr>
        <w:t xml:space="preserve">Lacey, Robert, </w:t>
      </w:r>
      <w:r>
        <w:rPr>
          <w:i/>
          <w:iCs/>
          <w:sz w:val="20"/>
          <w:szCs w:val="20"/>
        </w:rPr>
        <w:t>The Kingdom</w:t>
      </w:r>
      <w:r>
        <w:rPr>
          <w:sz w:val="20"/>
          <w:szCs w:val="20"/>
        </w:rPr>
        <w:t xml:space="preserve"> (USA: Harcourt Brace Jovanovich, 1981)</w:t>
      </w:r>
    </w:p>
    <w:p w14:paraId="78CECB16" w14:textId="5CAE840F" w:rsidR="00124F89" w:rsidRDefault="00124F89" w:rsidP="008D0151">
      <w:pPr>
        <w:rPr>
          <w:sz w:val="20"/>
          <w:szCs w:val="20"/>
        </w:rPr>
      </w:pPr>
      <w:r>
        <w:rPr>
          <w:sz w:val="20"/>
          <w:szCs w:val="20"/>
        </w:rPr>
        <w:t xml:space="preserve">Mansfield, Peter, </w:t>
      </w:r>
      <w:r>
        <w:rPr>
          <w:i/>
          <w:iCs/>
          <w:sz w:val="20"/>
          <w:szCs w:val="20"/>
        </w:rPr>
        <w:t>The Middle East: A Political and Economic Survey</w:t>
      </w:r>
      <w:r>
        <w:rPr>
          <w:sz w:val="20"/>
          <w:szCs w:val="20"/>
        </w:rPr>
        <w:t>, 4</w:t>
      </w:r>
      <w:r w:rsidRPr="00124F89">
        <w:rPr>
          <w:sz w:val="20"/>
          <w:szCs w:val="20"/>
          <w:vertAlign w:val="superscript"/>
        </w:rPr>
        <w:t>th</w:t>
      </w:r>
      <w:r>
        <w:rPr>
          <w:sz w:val="20"/>
          <w:szCs w:val="20"/>
        </w:rPr>
        <w:t xml:space="preserve"> edition (London: Oxford University Press, 2013)</w:t>
      </w:r>
    </w:p>
    <w:p w14:paraId="651C48AF" w14:textId="1C002F85" w:rsidR="006017C4" w:rsidRPr="00BA42BB" w:rsidRDefault="006017C4" w:rsidP="008D0151">
      <w:pPr>
        <w:rPr>
          <w:sz w:val="20"/>
          <w:szCs w:val="20"/>
        </w:rPr>
      </w:pPr>
      <w:r w:rsidRPr="006017C4">
        <w:rPr>
          <w:sz w:val="20"/>
          <w:szCs w:val="20"/>
        </w:rPr>
        <w:t xml:space="preserve">National Archives, </w:t>
      </w:r>
      <w:r w:rsidRPr="006017C4">
        <w:rPr>
          <w:i/>
          <w:iCs/>
          <w:sz w:val="20"/>
          <w:szCs w:val="20"/>
        </w:rPr>
        <w:t>Voting Rights Act 1965</w:t>
      </w:r>
      <w:r w:rsidRPr="006017C4">
        <w:rPr>
          <w:sz w:val="20"/>
          <w:szCs w:val="20"/>
        </w:rPr>
        <w:t xml:space="preserve"> (2022) &lt; </w:t>
      </w:r>
      <w:hyperlink r:id="rId7" w:anchor=":~:text=This%20act%20was%20signed%20into,as%20a%20prerequisite%20to%20voting" w:history="1">
        <w:r w:rsidRPr="008E5CAE">
          <w:rPr>
            <w:rStyle w:val="Hyperlink"/>
            <w:sz w:val="20"/>
            <w:szCs w:val="20"/>
          </w:rPr>
          <w:t>https://www.archives.gov/milestone-documents/voting-rights-act#:~:text=This%20act%20was%20signed%20into,as%20a%20prerequisite%20to%20voting</w:t>
        </w:r>
      </w:hyperlink>
      <w:r w:rsidRPr="006017C4">
        <w:rPr>
          <w:sz w:val="20"/>
          <w:szCs w:val="20"/>
        </w:rPr>
        <w:t>.</w:t>
      </w:r>
      <w:r>
        <w:rPr>
          <w:sz w:val="20"/>
          <w:szCs w:val="20"/>
        </w:rPr>
        <w:t xml:space="preserve"> </w:t>
      </w:r>
      <w:r w:rsidRPr="006017C4">
        <w:rPr>
          <w:sz w:val="20"/>
          <w:szCs w:val="20"/>
        </w:rPr>
        <w:t>&gt; [accessed 10/11/2023]</w:t>
      </w:r>
    </w:p>
    <w:sectPr w:rsidR="006017C4" w:rsidRPr="00BA42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336C8" w14:textId="77777777" w:rsidR="00F87C06" w:rsidRDefault="00F87C06" w:rsidP="00F87C06">
      <w:pPr>
        <w:spacing w:after="0" w:line="240" w:lineRule="auto"/>
      </w:pPr>
      <w:r>
        <w:separator/>
      </w:r>
    </w:p>
  </w:endnote>
  <w:endnote w:type="continuationSeparator" w:id="0">
    <w:p w14:paraId="190E7BFC" w14:textId="77777777" w:rsidR="00F87C06" w:rsidRDefault="00F87C06" w:rsidP="00F87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94743" w14:textId="77777777" w:rsidR="00F87C06" w:rsidRDefault="00F87C06" w:rsidP="00F87C06">
      <w:pPr>
        <w:spacing w:after="0" w:line="240" w:lineRule="auto"/>
      </w:pPr>
      <w:r>
        <w:separator/>
      </w:r>
    </w:p>
  </w:footnote>
  <w:footnote w:type="continuationSeparator" w:id="0">
    <w:p w14:paraId="0A9C76FC" w14:textId="77777777" w:rsidR="00F87C06" w:rsidRDefault="00F87C06" w:rsidP="00F87C06">
      <w:pPr>
        <w:spacing w:after="0" w:line="240" w:lineRule="auto"/>
      </w:pPr>
      <w:r>
        <w:continuationSeparator/>
      </w:r>
    </w:p>
  </w:footnote>
  <w:footnote w:id="1">
    <w:p w14:paraId="5AA1F0EC" w14:textId="0DB1DCFD" w:rsidR="006E0B81" w:rsidRPr="006E0B81" w:rsidRDefault="006E0B81">
      <w:pPr>
        <w:pStyle w:val="FootnoteText"/>
      </w:pPr>
      <w:r>
        <w:rPr>
          <w:rStyle w:val="FootnoteReference"/>
        </w:rPr>
        <w:footnoteRef/>
      </w:r>
      <w:r>
        <w:t xml:space="preserve"> Peter Mansfield, </w:t>
      </w:r>
      <w:r>
        <w:rPr>
          <w:i/>
          <w:iCs/>
        </w:rPr>
        <w:t>The Middle East: A Political and Economic Survey</w:t>
      </w:r>
      <w:r>
        <w:t>, 4</w:t>
      </w:r>
      <w:r w:rsidRPr="006E0B81">
        <w:rPr>
          <w:vertAlign w:val="superscript"/>
        </w:rPr>
        <w:t>th</w:t>
      </w:r>
      <w:r>
        <w:t xml:space="preserve"> edition (London: Oxford University Press, 2013), p.103. </w:t>
      </w:r>
    </w:p>
  </w:footnote>
  <w:footnote w:id="2">
    <w:p w14:paraId="49EBB82C" w14:textId="391B79D6" w:rsidR="00E273F8" w:rsidRPr="00E273F8" w:rsidRDefault="00E273F8">
      <w:pPr>
        <w:pStyle w:val="FootnoteText"/>
      </w:pPr>
      <w:r>
        <w:rPr>
          <w:rStyle w:val="FootnoteReference"/>
        </w:rPr>
        <w:footnoteRef/>
      </w:r>
      <w:r>
        <w:t xml:space="preserve"> Mansfield, </w:t>
      </w:r>
      <w:r>
        <w:rPr>
          <w:i/>
          <w:iCs/>
        </w:rPr>
        <w:t>The Middle East</w:t>
      </w:r>
      <w:r>
        <w:t xml:space="preserve">, p.106, p.107 &amp; p.108. </w:t>
      </w:r>
    </w:p>
  </w:footnote>
  <w:footnote w:id="3">
    <w:p w14:paraId="0EB3E272" w14:textId="331A1922" w:rsidR="00887E0C" w:rsidRPr="00887E0C" w:rsidRDefault="00887E0C">
      <w:pPr>
        <w:pStyle w:val="FootnoteText"/>
      </w:pPr>
      <w:r>
        <w:rPr>
          <w:rStyle w:val="FootnoteReference"/>
        </w:rPr>
        <w:footnoteRef/>
      </w:r>
      <w:r>
        <w:t xml:space="preserve"> Mansfield, </w:t>
      </w:r>
      <w:r>
        <w:rPr>
          <w:i/>
          <w:iCs/>
        </w:rPr>
        <w:t>The Middle East</w:t>
      </w:r>
      <w:r>
        <w:t xml:space="preserve">, p.91. </w:t>
      </w:r>
    </w:p>
  </w:footnote>
  <w:footnote w:id="4">
    <w:p w14:paraId="728262B4" w14:textId="4456D06D" w:rsidR="001479D3" w:rsidRDefault="001479D3">
      <w:pPr>
        <w:pStyle w:val="FootnoteText"/>
      </w:pPr>
      <w:r>
        <w:rPr>
          <w:rStyle w:val="FootnoteReference"/>
        </w:rPr>
        <w:footnoteRef/>
      </w:r>
      <w:r>
        <w:t xml:space="preserve"> </w:t>
      </w:r>
      <w:r w:rsidRPr="001479D3">
        <w:t xml:space="preserve">Henry Cattan, </w:t>
      </w:r>
      <w:r w:rsidRPr="001479D3">
        <w:rPr>
          <w:i/>
          <w:iCs/>
        </w:rPr>
        <w:t>The Palestine Question</w:t>
      </w:r>
      <w:r w:rsidRPr="001479D3">
        <w:t xml:space="preserve"> (USA: Croom Helm, 1988), p.226 &amp; p.227.</w:t>
      </w:r>
    </w:p>
  </w:footnote>
  <w:footnote w:id="5">
    <w:p w14:paraId="691DB2BC" w14:textId="4E08999D" w:rsidR="00C83AB3" w:rsidRDefault="00C83AB3">
      <w:pPr>
        <w:pStyle w:val="FootnoteText"/>
      </w:pPr>
      <w:r>
        <w:rPr>
          <w:rStyle w:val="FootnoteReference"/>
        </w:rPr>
        <w:footnoteRef/>
      </w:r>
      <w:r>
        <w:t xml:space="preserve"> National Archives, </w:t>
      </w:r>
      <w:r w:rsidRPr="00C83AB3">
        <w:rPr>
          <w:i/>
          <w:iCs/>
        </w:rPr>
        <w:t>Voting Rights Act 1965</w:t>
      </w:r>
      <w:r>
        <w:t xml:space="preserve"> (2022) &lt; </w:t>
      </w:r>
      <w:hyperlink r:id="rId1" w:anchor=":~:text=This%20act%20was%20signed%20into,as%20a%20prerequisite%20to%20voting" w:history="1">
        <w:r w:rsidRPr="008E5CAE">
          <w:rPr>
            <w:rStyle w:val="Hyperlink"/>
          </w:rPr>
          <w:t>https://www.archives.gov/milestone-documents/voting-rights-act#:~:text=This%20act%20was%20signed%20into,as%20a%20prerequisite%20to%20voting</w:t>
        </w:r>
      </w:hyperlink>
      <w:r w:rsidRPr="00C83AB3">
        <w:t>.</w:t>
      </w:r>
      <w:r>
        <w:t xml:space="preserve"> &gt; [accessed 10/11/2023]. </w:t>
      </w:r>
    </w:p>
  </w:footnote>
  <w:footnote w:id="6">
    <w:p w14:paraId="4486635E" w14:textId="668E37C7" w:rsidR="00525407" w:rsidRPr="00525407" w:rsidRDefault="00C83AB3">
      <w:pPr>
        <w:pStyle w:val="FootnoteText"/>
      </w:pPr>
      <w:r>
        <w:t xml:space="preserve"> </w:t>
      </w:r>
      <w:r w:rsidR="00525407">
        <w:rPr>
          <w:rStyle w:val="FootnoteReference"/>
        </w:rPr>
        <w:footnoteRef/>
      </w:r>
      <w:r w:rsidR="00525407">
        <w:t xml:space="preserve"> Mansfield, </w:t>
      </w:r>
      <w:r w:rsidR="00525407">
        <w:rPr>
          <w:i/>
          <w:iCs/>
        </w:rPr>
        <w:t>The Middle East</w:t>
      </w:r>
      <w:r w:rsidR="00525407">
        <w:t xml:space="preserve">, p.112. </w:t>
      </w:r>
    </w:p>
  </w:footnote>
  <w:footnote w:id="7">
    <w:p w14:paraId="01315D83" w14:textId="0843CB40" w:rsidR="002B797C" w:rsidRPr="002D2A58" w:rsidRDefault="002B797C">
      <w:pPr>
        <w:pStyle w:val="FootnoteText"/>
      </w:pPr>
      <w:r>
        <w:rPr>
          <w:rStyle w:val="FootnoteReference"/>
        </w:rPr>
        <w:footnoteRef/>
      </w:r>
      <w:r>
        <w:t xml:space="preserve"> </w:t>
      </w:r>
      <w:r w:rsidR="002D2A58">
        <w:t xml:space="preserve">Robert Lacey, </w:t>
      </w:r>
      <w:r w:rsidR="002D2A58">
        <w:rPr>
          <w:i/>
          <w:iCs/>
        </w:rPr>
        <w:t>The Kingdom</w:t>
      </w:r>
      <w:r w:rsidR="002D2A58">
        <w:t xml:space="preserve"> (USA: Harcourt Brace Jovanovich, 1981), p.417. </w:t>
      </w:r>
    </w:p>
  </w:footnote>
  <w:footnote w:id="8">
    <w:p w14:paraId="62118C94" w14:textId="77D3608C" w:rsidR="00A0242A" w:rsidRPr="00A0242A" w:rsidRDefault="00A0242A">
      <w:pPr>
        <w:pStyle w:val="FootnoteText"/>
      </w:pPr>
      <w:r>
        <w:rPr>
          <w:rStyle w:val="FootnoteReference"/>
        </w:rPr>
        <w:footnoteRef/>
      </w:r>
      <w:r>
        <w:t xml:space="preserve"> Michael Adams, </w:t>
      </w:r>
      <w:r>
        <w:rPr>
          <w:i/>
          <w:iCs/>
        </w:rPr>
        <w:t xml:space="preserve">The Middle East </w:t>
      </w:r>
      <w:r>
        <w:t xml:space="preserve">(USA: Facts on File Publications, 1988), p.633. </w:t>
      </w:r>
    </w:p>
  </w:footnote>
  <w:footnote w:id="9">
    <w:p w14:paraId="69FD8755" w14:textId="6CB681E5" w:rsidR="0013104D" w:rsidRPr="0013104D" w:rsidRDefault="0013104D">
      <w:pPr>
        <w:pStyle w:val="FootnoteText"/>
      </w:pPr>
      <w:r>
        <w:rPr>
          <w:rStyle w:val="FootnoteReference"/>
        </w:rPr>
        <w:footnoteRef/>
      </w:r>
      <w:r>
        <w:t xml:space="preserve"> John A. Berry, </w:t>
      </w:r>
      <w:r>
        <w:rPr>
          <w:i/>
          <w:iCs/>
        </w:rPr>
        <w:t xml:space="preserve">Middle East Journal </w:t>
      </w:r>
      <w:r>
        <w:t xml:space="preserve">(Washington DC: Middle East Institute, 1972), p.149.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9F6"/>
    <w:rsid w:val="000B3EB1"/>
    <w:rsid w:val="000D7F12"/>
    <w:rsid w:val="00113AA8"/>
    <w:rsid w:val="001173C8"/>
    <w:rsid w:val="00124F89"/>
    <w:rsid w:val="0013104D"/>
    <w:rsid w:val="001479D3"/>
    <w:rsid w:val="00185303"/>
    <w:rsid w:val="002006EE"/>
    <w:rsid w:val="00231754"/>
    <w:rsid w:val="002B797C"/>
    <w:rsid w:val="002D2A58"/>
    <w:rsid w:val="002F18EE"/>
    <w:rsid w:val="00316DBE"/>
    <w:rsid w:val="003B37BD"/>
    <w:rsid w:val="0045166D"/>
    <w:rsid w:val="00515F8C"/>
    <w:rsid w:val="00525407"/>
    <w:rsid w:val="00541BA6"/>
    <w:rsid w:val="005E37FE"/>
    <w:rsid w:val="006017C4"/>
    <w:rsid w:val="00613D57"/>
    <w:rsid w:val="0062516C"/>
    <w:rsid w:val="006A5192"/>
    <w:rsid w:val="006E0B81"/>
    <w:rsid w:val="007932D8"/>
    <w:rsid w:val="008729F4"/>
    <w:rsid w:val="00887E0C"/>
    <w:rsid w:val="008C7461"/>
    <w:rsid w:val="008D0151"/>
    <w:rsid w:val="00906C1A"/>
    <w:rsid w:val="00967E3B"/>
    <w:rsid w:val="00983183"/>
    <w:rsid w:val="009C26AE"/>
    <w:rsid w:val="009E5F65"/>
    <w:rsid w:val="00A0242A"/>
    <w:rsid w:val="00A10B16"/>
    <w:rsid w:val="00A36234"/>
    <w:rsid w:val="00A5647C"/>
    <w:rsid w:val="00A57E79"/>
    <w:rsid w:val="00AA34D5"/>
    <w:rsid w:val="00AA4DB9"/>
    <w:rsid w:val="00AC396A"/>
    <w:rsid w:val="00B539F6"/>
    <w:rsid w:val="00BA42BB"/>
    <w:rsid w:val="00BA55E7"/>
    <w:rsid w:val="00BB55A7"/>
    <w:rsid w:val="00BC4D6C"/>
    <w:rsid w:val="00BE2566"/>
    <w:rsid w:val="00C03907"/>
    <w:rsid w:val="00C83AB3"/>
    <w:rsid w:val="00CC0565"/>
    <w:rsid w:val="00DA075B"/>
    <w:rsid w:val="00DC07B3"/>
    <w:rsid w:val="00DE0AE8"/>
    <w:rsid w:val="00DE577F"/>
    <w:rsid w:val="00DE6E41"/>
    <w:rsid w:val="00E20F6C"/>
    <w:rsid w:val="00E273F8"/>
    <w:rsid w:val="00F102E8"/>
    <w:rsid w:val="00F320E8"/>
    <w:rsid w:val="00F635ED"/>
    <w:rsid w:val="00F87C06"/>
    <w:rsid w:val="00FB3FCB"/>
    <w:rsid w:val="00FF04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227999D"/>
  <w15:chartTrackingRefBased/>
  <w15:docId w15:val="{846418E2-D50D-4AAD-938C-36EADD38F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C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C06"/>
  </w:style>
  <w:style w:type="paragraph" w:styleId="Footer">
    <w:name w:val="footer"/>
    <w:basedOn w:val="Normal"/>
    <w:link w:val="FooterChar"/>
    <w:uiPriority w:val="99"/>
    <w:unhideWhenUsed/>
    <w:rsid w:val="00F87C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C06"/>
  </w:style>
  <w:style w:type="paragraph" w:styleId="FootnoteText">
    <w:name w:val="footnote text"/>
    <w:basedOn w:val="Normal"/>
    <w:link w:val="FootnoteTextChar"/>
    <w:uiPriority w:val="99"/>
    <w:semiHidden/>
    <w:unhideWhenUsed/>
    <w:rsid w:val="006E0B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0B81"/>
    <w:rPr>
      <w:sz w:val="20"/>
      <w:szCs w:val="20"/>
    </w:rPr>
  </w:style>
  <w:style w:type="character" w:styleId="FootnoteReference">
    <w:name w:val="footnote reference"/>
    <w:basedOn w:val="DefaultParagraphFont"/>
    <w:uiPriority w:val="99"/>
    <w:semiHidden/>
    <w:unhideWhenUsed/>
    <w:rsid w:val="006E0B81"/>
    <w:rPr>
      <w:vertAlign w:val="superscript"/>
    </w:rPr>
  </w:style>
  <w:style w:type="character" w:styleId="Hyperlink">
    <w:name w:val="Hyperlink"/>
    <w:basedOn w:val="DefaultParagraphFont"/>
    <w:uiPriority w:val="99"/>
    <w:unhideWhenUsed/>
    <w:rsid w:val="00C83AB3"/>
    <w:rPr>
      <w:color w:val="0563C1" w:themeColor="hyperlink"/>
      <w:u w:val="single"/>
    </w:rPr>
  </w:style>
  <w:style w:type="character" w:styleId="UnresolvedMention">
    <w:name w:val="Unresolved Mention"/>
    <w:basedOn w:val="DefaultParagraphFont"/>
    <w:uiPriority w:val="99"/>
    <w:semiHidden/>
    <w:unhideWhenUsed/>
    <w:rsid w:val="00C83A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rchives.gov/milestone-documents/voting-rights-ac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archives.gov/milestone-documents/voting-right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9A5D0-97B5-4B8C-B75C-DECFE7E68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2789</Words>
  <Characters>15900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Maties</dc:creator>
  <cp:keywords/>
  <dc:description/>
  <cp:lastModifiedBy>Alin Maties</cp:lastModifiedBy>
  <cp:revision>2</cp:revision>
  <cp:lastPrinted>2023-11-09T17:34:00Z</cp:lastPrinted>
  <dcterms:created xsi:type="dcterms:W3CDTF">2023-11-17T03:13:00Z</dcterms:created>
  <dcterms:modified xsi:type="dcterms:W3CDTF">2023-11-17T03:13:00Z</dcterms:modified>
</cp:coreProperties>
</file>