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C500C" w14:textId="4D31AEFE" w:rsidR="00C10664" w:rsidRPr="00496BC7" w:rsidRDefault="00C10664" w:rsidP="00EF1ABD">
      <w:pPr>
        <w:jc w:val="both"/>
        <w:rPr>
          <w:b/>
          <w:bCs/>
          <w:u w:val="single"/>
          <w:lang w:val="en-GB"/>
        </w:rPr>
      </w:pPr>
      <w:r w:rsidRPr="00496BC7">
        <w:rPr>
          <w:b/>
          <w:bCs/>
          <w:u w:val="single"/>
          <w:lang w:val="en-GB"/>
        </w:rPr>
        <w:t xml:space="preserve">AC 1.1 </w:t>
      </w:r>
    </w:p>
    <w:p w14:paraId="68E471D5" w14:textId="77777777" w:rsidR="00C10664" w:rsidRPr="00496BC7" w:rsidRDefault="00C10664" w:rsidP="00EF1ABD">
      <w:pPr>
        <w:jc w:val="both"/>
        <w:rPr>
          <w:lang w:val="en-GB"/>
        </w:rPr>
      </w:pPr>
      <w:r w:rsidRPr="00496BC7">
        <w:rPr>
          <w:lang w:val="en-GB"/>
        </w:rPr>
        <w:t>Thank you for raising this; it is much appreciated. While I completely understand your frustration, I would like to offer some perspective on why that time is well spent.</w:t>
      </w:r>
    </w:p>
    <w:p w14:paraId="1EEFE015" w14:textId="0E44FCF3" w:rsidR="00C10664" w:rsidRPr="00496BC7" w:rsidRDefault="00C10664" w:rsidP="00EF1ABD">
      <w:pPr>
        <w:jc w:val="both"/>
        <w:rPr>
          <w:lang w:val="en-GB"/>
        </w:rPr>
      </w:pPr>
      <w:r w:rsidRPr="00496BC7">
        <w:rPr>
          <w:lang w:val="en-GB"/>
        </w:rPr>
        <w:t>The aim of employment law is to regulate the relationship between employers and employees</w:t>
      </w:r>
      <w:r w:rsidR="00703A09" w:rsidRPr="00496BC7">
        <w:rPr>
          <w:lang w:val="en-GB"/>
        </w:rPr>
        <w:t xml:space="preserve"> </w:t>
      </w:r>
      <w:r w:rsidRPr="00496BC7">
        <w:t>(Daniels, 2025, p.1; CIPD, 2025</w:t>
      </w:r>
      <w:r w:rsidR="00703A09" w:rsidRPr="00496BC7">
        <w:t>e</w:t>
      </w:r>
      <w:r w:rsidRPr="00496BC7">
        <w:t xml:space="preserve">). On one hand, it restricts employers from treating their </w:t>
      </w:r>
      <w:r w:rsidRPr="00496BC7">
        <w:rPr>
          <w:lang w:val="en-GB"/>
        </w:rPr>
        <w:t xml:space="preserve">employees unfairly or </w:t>
      </w:r>
      <w:r w:rsidRPr="00496BC7">
        <w:t xml:space="preserve">exploiting them. </w:t>
      </w:r>
      <w:r w:rsidRPr="00496BC7">
        <w:rPr>
          <w:lang w:val="en-GB"/>
        </w:rPr>
        <w:t>On the other hand, employment law can also provide guidelines and protection for employers in both usual situations and times of crisis. Admittedly, the administrative weight of legal compliance, and the fact that you spend 20 per cent of your working time on employment relations issues cannot be overlooked. However, it is during unprecedented and challenging times that the value of that framework becomes most visible. A good example was the introduction of the Job Retention Scheme (JRS) following the outbreak of Covid-19. Businesses were unable to trade owing to various lockdowns, and many did not have a lay-off clause in their employment contracts. As a result, to protect both the employers and employees, the government paid eighty per cent of the salary of employees unable to work due to lockdown</w:t>
      </w:r>
      <w:r w:rsidR="00703A09" w:rsidRPr="00496BC7">
        <w:rPr>
          <w:lang w:val="en-GB"/>
        </w:rPr>
        <w:t xml:space="preserve"> </w:t>
      </w:r>
      <w:r w:rsidRPr="00496BC7">
        <w:t xml:space="preserve">(Daniels, 2025, p.2). This meant employees were able to keep their jobs while employers were able to comply with employment law. </w:t>
      </w:r>
      <w:r w:rsidRPr="00496BC7">
        <w:rPr>
          <w:lang w:val="en-GB"/>
        </w:rPr>
        <w:t>Without an established regulatory infrastructure, the consequences for both parties could have been considerably more severe.</w:t>
      </w:r>
    </w:p>
    <w:p w14:paraId="73744816" w14:textId="438C970F" w:rsidR="00C10664" w:rsidRPr="00496BC7" w:rsidRDefault="00C10664" w:rsidP="00EF1ABD">
      <w:pPr>
        <w:jc w:val="both"/>
      </w:pPr>
      <w:r w:rsidRPr="00496BC7">
        <w:t xml:space="preserve">More broadly, governments regulate the labour market to make it fair, promote flexibility, and create conditions that attract and retain talent (Armstrong and Taylor, 2023, p.541; BBC Bitesize, 2024). These objectives are central to people professionals. Time spent on employee relations issues ensures legal compliance, which is essential, as the risks of financial penalties and reputational damage could be significant </w:t>
      </w:r>
      <w:r w:rsidR="00044BEA" w:rsidRPr="00496BC7">
        <w:rPr>
          <w:color w:val="000000" w:themeColor="text1"/>
        </w:rPr>
        <w:t>(</w:t>
      </w:r>
      <w:r w:rsidRPr="00496BC7">
        <w:t xml:space="preserve">Taylor and Woodhams, 2022, p.13). </w:t>
      </w:r>
    </w:p>
    <w:p w14:paraId="4EFE789D" w14:textId="7B8448A8" w:rsidR="00C10664" w:rsidRPr="00496BC7" w:rsidRDefault="00C10664" w:rsidP="00EF1ABD">
      <w:pPr>
        <w:jc w:val="both"/>
      </w:pPr>
      <w:r w:rsidRPr="00496BC7">
        <w:t>It is also worth noting that employment law has changed significantly over the past 40 years (Smith and Baker, 2013, p.4; Taylor and Woodhams, 2022, p.13), such as the introduction of statutory rights for those with protected characteristics exhibits how regulation has evolved to reflect changing external factors</w:t>
      </w:r>
      <w:r w:rsidR="00044BEA" w:rsidRPr="00496BC7">
        <w:t xml:space="preserve"> </w:t>
      </w:r>
      <w:r w:rsidRPr="00496BC7">
        <w:t xml:space="preserve">(CIPD, 2025a). Keeping pace with that change is a professional responsibility, as outlined in the CIPD Profession map, not merely an administrative one. Overall, time spent on regulatory activity forms the foundation of providing good work (Taylor, 2017). </w:t>
      </w:r>
    </w:p>
    <w:p w14:paraId="28BC6FD6" w14:textId="77777777" w:rsidR="00C10664" w:rsidRPr="00496BC7" w:rsidRDefault="00C10664" w:rsidP="00EF1ABD">
      <w:pPr>
        <w:jc w:val="both"/>
      </w:pPr>
    </w:p>
    <w:p w14:paraId="578BD004" w14:textId="77777777" w:rsidR="00C10664" w:rsidRPr="00496BC7" w:rsidRDefault="00C10664" w:rsidP="00EF1ABD">
      <w:pPr>
        <w:jc w:val="both"/>
      </w:pPr>
    </w:p>
    <w:p w14:paraId="6B012A13" w14:textId="345DD29B" w:rsidR="00C10664" w:rsidRPr="00496BC7" w:rsidRDefault="00C10664" w:rsidP="00EF1ABD">
      <w:pPr>
        <w:jc w:val="both"/>
        <w:rPr>
          <w:b/>
          <w:bCs/>
          <w:u w:val="single"/>
        </w:rPr>
      </w:pPr>
      <w:r w:rsidRPr="00496BC7">
        <w:rPr>
          <w:b/>
          <w:bCs/>
          <w:u w:val="single"/>
        </w:rPr>
        <w:t>AC 1.2</w:t>
      </w:r>
    </w:p>
    <w:p w14:paraId="3FB5C785" w14:textId="4072F5A3" w:rsidR="00C10664" w:rsidRPr="00496BC7" w:rsidRDefault="00C10664" w:rsidP="00EF1ABD">
      <w:pPr>
        <w:jc w:val="both"/>
      </w:pPr>
      <w:r w:rsidRPr="00496BC7">
        <w:lastRenderedPageBreak/>
        <w:t xml:space="preserve">Legal professionals refer to 'good law' as a judgment that is legally binding, in force and has not been overruled by a judge from a higher </w:t>
      </w:r>
      <w:proofErr w:type="gramStart"/>
      <w:r w:rsidRPr="00496BC7">
        <w:t>court, and</w:t>
      </w:r>
      <w:proofErr w:type="gramEnd"/>
      <w:r w:rsidRPr="00496BC7">
        <w:t xml:space="preserve"> can be safely relied upon as an authority in current legal proceedings (</w:t>
      </w:r>
      <w:proofErr w:type="spellStart"/>
      <w:r w:rsidRPr="00496BC7">
        <w:t>Allbon</w:t>
      </w:r>
      <w:proofErr w:type="spellEnd"/>
      <w:r w:rsidRPr="00496BC7">
        <w:t xml:space="preserve"> and Kaur Dua, 2020, p.25). Pre-</w:t>
      </w:r>
      <w:proofErr w:type="gramStart"/>
      <w:r w:rsidRPr="00496BC7">
        <w:t>Brexit  judgments</w:t>
      </w:r>
      <w:proofErr w:type="gramEnd"/>
      <w:r w:rsidRPr="00496BC7">
        <w:t xml:space="preserve"> of the Court of Justice of the European Union (CJEU) broadly remain good law in the UK, having been preserved as retained law under the European Union (Withdrawal) Act 2018 (EUWA), and cannot be entirely disregarded</w:t>
      </w:r>
      <w:r w:rsidR="00044BEA" w:rsidRPr="00496BC7">
        <w:t xml:space="preserve"> </w:t>
      </w:r>
      <w:r w:rsidRPr="00496BC7">
        <w:t>(Pitt and Drew, 2022, p.27).</w:t>
      </w:r>
    </w:p>
    <w:p w14:paraId="3BB414BB" w14:textId="69FFE344" w:rsidR="00C10664" w:rsidRPr="00496BC7" w:rsidRDefault="00C10664" w:rsidP="00EF1ABD">
      <w:pPr>
        <w:jc w:val="both"/>
      </w:pPr>
      <w:r w:rsidRPr="00496BC7">
        <w:t xml:space="preserve">UK law is created from both statutes and common law (also known as case law). A decision becomes binding if interpreted by the most senior court in the relevant legal system, such as the Court of Appeal or the Supreme Court. However, a judgment stops to be good law if it is overruled by a superior court. For example, a decision made by an Employment Tribunal may </w:t>
      </w:r>
      <w:proofErr w:type="gramStart"/>
      <w:r w:rsidRPr="00496BC7">
        <w:t>be appealed</w:t>
      </w:r>
      <w:proofErr w:type="gramEnd"/>
      <w:r w:rsidRPr="00496BC7">
        <w:t xml:space="preserve"> to the Employment Appeal Tribunal (EAT). If the EAT overrules that decision, its ruling takes precedence and new case law is made (Daniels, 2025, pp.8-10).</w:t>
      </w:r>
    </w:p>
    <w:p w14:paraId="068C147E" w14:textId="0A32CDCB" w:rsidR="00C10664" w:rsidRPr="00496BC7" w:rsidRDefault="00C10664" w:rsidP="00EF1ABD">
      <w:pPr>
        <w:jc w:val="both"/>
      </w:pPr>
      <w:r w:rsidRPr="00496BC7">
        <w:t>The UK left the EU in 2020 following the implementation of the European Union (Withdrawal) Act 2018 (EUWA) and the European Union (Withdrawal Agreement) Act 2020. Most EU law obligations were enacted into British law under the European Communities Act 1972 and remain in force as 'retained law' (Pitt and Drew, 2022, p.27). Brexit therefore did not bring immediate changes to employment law. Under Section 6 of EUWA 2018, pre-exit ECJ judgments remain binding on lower UK courts and cannot simply be disregarded. However, the Court of Appeal and Supreme Court retain discretion to depart from pre-exit ECJ rulings where they consider it appropriate (CIPD, 2025</w:t>
      </w:r>
      <w:r w:rsidR="00044BEA" w:rsidRPr="00496BC7">
        <w:t>d</w:t>
      </w:r>
      <w:r w:rsidRPr="00496BC7">
        <w:t>).</w:t>
      </w:r>
    </w:p>
    <w:p w14:paraId="46FACEFC" w14:textId="2B54FF98" w:rsidR="00C10664" w:rsidRPr="00496BC7" w:rsidRDefault="00C10664" w:rsidP="00EF1ABD">
      <w:pPr>
        <w:jc w:val="both"/>
      </w:pPr>
      <w:r w:rsidRPr="00496BC7">
        <w:t xml:space="preserve">This was illustrated in </w:t>
      </w:r>
      <w:r w:rsidRPr="00496BC7">
        <w:rPr>
          <w:i/>
          <w:iCs/>
        </w:rPr>
        <w:t xml:space="preserve">Lipton v BA </w:t>
      </w:r>
      <w:proofErr w:type="spellStart"/>
      <w:r w:rsidRPr="00496BC7">
        <w:rPr>
          <w:i/>
          <w:iCs/>
        </w:rPr>
        <w:t>Cityflyer</w:t>
      </w:r>
      <w:proofErr w:type="spellEnd"/>
      <w:r w:rsidRPr="00496BC7">
        <w:rPr>
          <w:i/>
          <w:iCs/>
        </w:rPr>
        <w:t xml:space="preserve"> Ltd</w:t>
      </w:r>
      <w:r w:rsidRPr="00496BC7">
        <w:t xml:space="preserve"> [2024] UKSC 24, where the Supreme Court applied pre-Brexit CJEU case law on 'extraordinary circumstances' and followed the pre-exit ECJ interpretation, but confirmed that senior courts may depart from such rulings in future. From 1 January 2024, the Retained EU Law (Revocation and Reform) Act 2023 gave the UK Government greater freedom to amend or repeal EU-derived laws, though employment legislation remained largely unaffected (CIPD, 2025</w:t>
      </w:r>
      <w:r w:rsidR="00044BEA" w:rsidRPr="00496BC7">
        <w:t>d</w:t>
      </w:r>
      <w:r w:rsidRPr="00496BC7">
        <w:t>). ECJ judgments issued after 1 January 2021 carry persuasive value only and are not binding on UK courts. This creates uncertainty across policy areas regulated by assimilated law  (The Law Society, 2025), and the extent to which new CJEU judgments will influence British courts remains to be seen (Pitt and Drew, 2022, p.27), particularly given that the UK already has one of the most lightly regulated labour markets in the OECD in terms of employee protections (CIPD, 2021).</w:t>
      </w:r>
    </w:p>
    <w:p w14:paraId="161506E2" w14:textId="77777777" w:rsidR="00C10664" w:rsidRPr="00496BC7" w:rsidRDefault="00C10664" w:rsidP="00EF1ABD">
      <w:pPr>
        <w:jc w:val="both"/>
      </w:pPr>
    </w:p>
    <w:p w14:paraId="3655819E" w14:textId="77777777" w:rsidR="00822AD9" w:rsidRPr="00496BC7" w:rsidRDefault="00822AD9" w:rsidP="00EF1ABD">
      <w:pPr>
        <w:jc w:val="both"/>
      </w:pPr>
    </w:p>
    <w:p w14:paraId="43C114D8" w14:textId="77777777" w:rsidR="00044BEA" w:rsidRDefault="00044BEA" w:rsidP="00EF1ABD">
      <w:pPr>
        <w:jc w:val="both"/>
      </w:pPr>
    </w:p>
    <w:p w14:paraId="48EDCA71" w14:textId="77777777" w:rsidR="004E54B0" w:rsidRPr="00496BC7" w:rsidRDefault="004E54B0" w:rsidP="00EF1ABD">
      <w:pPr>
        <w:jc w:val="both"/>
      </w:pPr>
    </w:p>
    <w:p w14:paraId="6740258B" w14:textId="77777777" w:rsidR="00822AD9" w:rsidRPr="00496BC7" w:rsidRDefault="00822AD9" w:rsidP="00EF1ABD">
      <w:pPr>
        <w:jc w:val="both"/>
        <w:rPr>
          <w:b/>
          <w:bCs/>
          <w:u w:val="single"/>
        </w:rPr>
      </w:pPr>
      <w:r w:rsidRPr="00496BC7">
        <w:rPr>
          <w:b/>
          <w:bCs/>
          <w:u w:val="single"/>
        </w:rPr>
        <w:lastRenderedPageBreak/>
        <w:t>AC 2.1</w:t>
      </w:r>
    </w:p>
    <w:p w14:paraId="71BE4069" w14:textId="7E2A3768" w:rsidR="00822AD9" w:rsidRPr="00496BC7" w:rsidRDefault="00822AD9" w:rsidP="00EF1ABD">
      <w:pPr>
        <w:jc w:val="both"/>
        <w:rPr>
          <w:rFonts w:eastAsia="Arial" w:cs="Arial"/>
        </w:rPr>
      </w:pPr>
      <w:r w:rsidRPr="00496BC7">
        <w:t>The Equality Act 2010 (</w:t>
      </w:r>
      <w:proofErr w:type="spellStart"/>
      <w:r w:rsidRPr="00496BC7">
        <w:t>EqA</w:t>
      </w:r>
      <w:proofErr w:type="spellEnd"/>
      <w:r w:rsidRPr="00496BC7">
        <w:t xml:space="preserve"> 2010) harmonised discrimination law and identifies nine protected characteristics, including sex, which can be grounds for discrimination claims</w:t>
      </w:r>
      <w:r w:rsidR="00044BEA" w:rsidRPr="00496BC7">
        <w:t xml:space="preserve"> </w:t>
      </w:r>
      <w:r w:rsidRPr="00496BC7">
        <w:t>(Pitt and Drew, 2022, p.61). The Equality Act 2010 (Amendment) Regulations 2023 extended the remit further, covering circumstances where an employer voices an intent to discriminate during the recruitment process (Daniels, 2025, pp.115-116).</w:t>
      </w:r>
      <w:r w:rsidRPr="00496BC7">
        <w:rPr>
          <w:rFonts w:eastAsia="Arial" w:cs="Arial"/>
        </w:rPr>
        <w:t xml:space="preserve"> There are four types of prohibited conduct, in respect of which a claim may be brought before an Employment Tribunal: namely direct discrimination, indirect discrimination, harassment and victimisation </w:t>
      </w:r>
      <w:r w:rsidRPr="00496BC7">
        <w:t>(Armstrong and Taylor, 2023)</w:t>
      </w:r>
      <w:r w:rsidRPr="00496BC7">
        <w:rPr>
          <w:rFonts w:eastAsia="Arial" w:cs="Arial"/>
        </w:rPr>
        <w:t xml:space="preserve">. </w:t>
      </w:r>
    </w:p>
    <w:p w14:paraId="5A9825C3" w14:textId="3894644E" w:rsidR="00B4608E" w:rsidRPr="00496BC7" w:rsidRDefault="00B4608E" w:rsidP="00EF1ABD">
      <w:pPr>
        <w:jc w:val="both"/>
      </w:pPr>
      <w:r w:rsidRPr="00496BC7">
        <w:t xml:space="preserve">In the context of recruitment and selection, these principles mean that the job advertisement, person specification and interview process must not discriminate on the grounds of a protected characteristic. Daniels (2025, p.144) advises that an employer cannot refuse to appoint a candidate </w:t>
      </w:r>
      <w:proofErr w:type="gramStart"/>
      <w:r w:rsidRPr="00496BC7">
        <w:t>on the basis of</w:t>
      </w:r>
      <w:proofErr w:type="gramEnd"/>
      <w:r w:rsidRPr="00496BC7">
        <w:t xml:space="preserve"> their sex without a lawful reason.  </w:t>
      </w:r>
    </w:p>
    <w:p w14:paraId="3C26D340" w14:textId="4BF446EF" w:rsidR="00822AD9" w:rsidRPr="00496BC7" w:rsidRDefault="00822AD9" w:rsidP="00EF1ABD">
      <w:pPr>
        <w:jc w:val="both"/>
      </w:pPr>
      <w:r w:rsidRPr="00496BC7">
        <w:t xml:space="preserve">The exception is found in Schedule 9 of the </w:t>
      </w:r>
      <w:proofErr w:type="spellStart"/>
      <w:r w:rsidRPr="00496BC7">
        <w:t>EqA</w:t>
      </w:r>
      <w:proofErr w:type="spellEnd"/>
      <w:r w:rsidRPr="00496BC7">
        <w:t xml:space="preserve"> 2010, which provides for a Genuine Occupational Requirement (GOR). An employer may lawfully stipulate that a role must be carried out by a person of a particular sex, but only where three conditions are all met: it is a genuine requirement of the role, it is a proportionate means of achieving a legitimate aim, and it is reasonable to apply it in the particular case</w:t>
      </w:r>
      <w:r w:rsidRPr="00496BC7">
        <w:rPr>
          <w:color w:val="EE0000"/>
        </w:rPr>
        <w:t xml:space="preserve"> </w:t>
      </w:r>
      <w:r w:rsidRPr="00496BC7">
        <w:t>(Pitt and Drew, 2022, p.120). Tribunals interpret Schedule 9 strictly, and the burden of proof rests with the employer (Daniels, 2025, p.120).</w:t>
      </w:r>
    </w:p>
    <w:p w14:paraId="388308BB" w14:textId="2DD35E1A" w:rsidR="00822AD9" w:rsidRPr="00496BC7" w:rsidRDefault="00822AD9" w:rsidP="00EF1ABD">
      <w:pPr>
        <w:jc w:val="both"/>
      </w:pPr>
      <w:r w:rsidRPr="00496BC7">
        <w:t>The GOR is likely to apply where, for example, a female care assistant provides intimate personal care to female service users, where dignity and decency require it (Honeyball, 2014, p.281). In contrast, it will not apply where the reason is based on customer preference or a general assumption that one sex is better suited to the role. In Wylie v Dee &amp; Co (Menswear) Ltd (1978), the EAT rejected a GOR for a sales assistant role requiring men's inside leg measurements, finding the decency argument insufficient to justify the restriction (Taylor and Emir, 2012, p.309).</w:t>
      </w:r>
    </w:p>
    <w:p w14:paraId="15F2B68B" w14:textId="1AC464A7" w:rsidR="00822AD9" w:rsidRPr="00496BC7" w:rsidRDefault="00822AD9" w:rsidP="00EF1ABD">
      <w:pPr>
        <w:jc w:val="both"/>
      </w:pPr>
      <w:r w:rsidRPr="00496BC7">
        <w:t xml:space="preserve">Finally, under s.159 </w:t>
      </w:r>
      <w:proofErr w:type="spellStart"/>
      <w:r w:rsidRPr="00496BC7">
        <w:t>EqA</w:t>
      </w:r>
      <w:proofErr w:type="spellEnd"/>
      <w:r w:rsidRPr="00496BC7">
        <w:t xml:space="preserve"> 2010, positive action permits a protected characteristic to be used as a tiebreaker when two candidates are otherwise of equal merit — for example, selecting a female candidate to increase female representation in the workforce (</w:t>
      </w:r>
      <w:proofErr w:type="spellStart"/>
      <w:r w:rsidRPr="00496BC7">
        <w:t>Acas</w:t>
      </w:r>
      <w:proofErr w:type="spellEnd"/>
      <w:r w:rsidRPr="00496BC7">
        <w:t>, 2024</w:t>
      </w:r>
      <w:r w:rsidR="00044BEA" w:rsidRPr="00496BC7">
        <w:t>b</w:t>
      </w:r>
      <w:r w:rsidRPr="00496BC7">
        <w:t>).</w:t>
      </w:r>
    </w:p>
    <w:p w14:paraId="7C8832D3" w14:textId="77777777" w:rsidR="00822AD9" w:rsidRPr="00496BC7" w:rsidRDefault="00822AD9" w:rsidP="00EF1ABD">
      <w:pPr>
        <w:jc w:val="both"/>
      </w:pPr>
    </w:p>
    <w:p w14:paraId="0D2D9F90" w14:textId="289D101E" w:rsidR="007317A9" w:rsidRPr="00496BC7" w:rsidRDefault="007317A9" w:rsidP="00EF1ABD">
      <w:pPr>
        <w:jc w:val="both"/>
        <w:rPr>
          <w:b/>
          <w:bCs/>
          <w:u w:val="single"/>
        </w:rPr>
      </w:pPr>
      <w:r w:rsidRPr="00496BC7">
        <w:rPr>
          <w:b/>
          <w:bCs/>
          <w:u w:val="single"/>
        </w:rPr>
        <w:t>AC 2.2</w:t>
      </w:r>
    </w:p>
    <w:p w14:paraId="3DC74F5B" w14:textId="3E6F4127" w:rsidR="007317A9" w:rsidRPr="00496BC7" w:rsidRDefault="007317A9" w:rsidP="00EF1ABD">
      <w:pPr>
        <w:jc w:val="both"/>
        <w:rPr>
          <w:lang w:val="en-GB"/>
        </w:rPr>
      </w:pPr>
      <w:r w:rsidRPr="00496BC7">
        <w:t xml:space="preserve">The </w:t>
      </w:r>
      <w:proofErr w:type="spellStart"/>
      <w:r w:rsidRPr="00496BC7">
        <w:t>EqA</w:t>
      </w:r>
      <w:proofErr w:type="spellEnd"/>
      <w:r w:rsidRPr="00496BC7">
        <w:t xml:space="preserve"> 2010 requires that men and women receive equal pay for doing 'equal work'</w:t>
      </w:r>
      <w:r w:rsidR="00044BEA" w:rsidRPr="00496BC7">
        <w:t xml:space="preserve"> (</w:t>
      </w:r>
      <w:r w:rsidRPr="00496BC7">
        <w:t>ACAS</w:t>
      </w:r>
      <w:r w:rsidR="00044BEA" w:rsidRPr="00496BC7">
        <w:t xml:space="preserve">, </w:t>
      </w:r>
      <w:r w:rsidRPr="00496BC7">
        <w:t>2024</w:t>
      </w:r>
      <w:r w:rsidR="00044BEA" w:rsidRPr="00496BC7">
        <w:t>b</w:t>
      </w:r>
      <w:r w:rsidRPr="00496BC7">
        <w:t xml:space="preserve">). Equal work is concerned with three headings: like work, work related as equivalent </w:t>
      </w:r>
      <w:r w:rsidRPr="00496BC7">
        <w:lastRenderedPageBreak/>
        <w:t>and equal value. A claimant may bring a claim under any one of these three headings (Taylor and Emir, 2012, p.335; ACAS (2024</w:t>
      </w:r>
      <w:r w:rsidR="00064CEB" w:rsidRPr="00496BC7">
        <w:t>b</w:t>
      </w:r>
      <w:r w:rsidRPr="00496BC7">
        <w:t xml:space="preserve">). The equal pay clauses in the </w:t>
      </w:r>
      <w:proofErr w:type="spellStart"/>
      <w:r w:rsidRPr="00496BC7">
        <w:t>EqA</w:t>
      </w:r>
      <w:proofErr w:type="spellEnd"/>
      <w:r w:rsidRPr="00496BC7">
        <w:t xml:space="preserve"> 2010 apply to all terms and </w:t>
      </w:r>
      <w:proofErr w:type="gramStart"/>
      <w:r w:rsidRPr="00496BC7">
        <w:t>conditions of</w:t>
      </w:r>
      <w:proofErr w:type="gramEnd"/>
      <w:r w:rsidRPr="00496BC7">
        <w:t xml:space="preserve"> </w:t>
      </w:r>
      <w:proofErr w:type="spellStart"/>
      <w:r w:rsidRPr="00496BC7">
        <w:t>of</w:t>
      </w:r>
      <w:proofErr w:type="spellEnd"/>
      <w:r w:rsidRPr="00496BC7">
        <w:t xml:space="preserve"> the contract of employment (Daniels, 2025, p.132). </w:t>
      </w:r>
    </w:p>
    <w:p w14:paraId="7BC3E82D" w14:textId="1F3B9761" w:rsidR="007317A9" w:rsidRPr="00496BC7" w:rsidRDefault="007317A9" w:rsidP="00EF1ABD">
      <w:pPr>
        <w:jc w:val="both"/>
      </w:pPr>
      <w:r w:rsidRPr="00496BC7">
        <w:t xml:space="preserve">If you upgrade the pay of these two HCAs to the higher B grade while they still carry out the same duties and responsibilities, the remaining female HCAs may bring a claim to the Employment Tribunal under the "like work" heading. When making the claim, the claimant must identify a comparator who is a real-life male employee who is doing the same or broadly similar work. Like work cases are the most straightforward of the three headings (Taylor and Emir, 2012, pp.335-340). </w:t>
      </w:r>
    </w:p>
    <w:p w14:paraId="488C6A85" w14:textId="6EE01269" w:rsidR="007317A9" w:rsidRPr="00496BC7" w:rsidRDefault="007317A9" w:rsidP="00EF1ABD">
      <w:pPr>
        <w:jc w:val="both"/>
      </w:pPr>
      <w:r w:rsidRPr="00496BC7">
        <w:t xml:space="preserve">In some circumstances, a difference in pay might be allowed when it has nothing to do with someone’s sex. Under Section 69 </w:t>
      </w:r>
      <w:proofErr w:type="spellStart"/>
      <w:r w:rsidRPr="00496BC7">
        <w:t>EqA</w:t>
      </w:r>
      <w:proofErr w:type="spellEnd"/>
      <w:r w:rsidRPr="00496BC7">
        <w:t xml:space="preserve"> 2010, an employer may rely on a Genuine Material Factor (GMF) defense to justify a pay difference, </w:t>
      </w:r>
      <w:proofErr w:type="gramStart"/>
      <w:r w:rsidRPr="00496BC7">
        <w:t>provided that</w:t>
      </w:r>
      <w:proofErr w:type="gramEnd"/>
      <w:r w:rsidRPr="00496BC7">
        <w:t xml:space="preserve"> factor is not itself tainted by sex discrimination (Daniels, 2025, p.132). According to ACAS (2024</w:t>
      </w:r>
      <w:r w:rsidR="00064CEB" w:rsidRPr="00496BC7">
        <w:t>b</w:t>
      </w:r>
      <w:r w:rsidRPr="00496BC7">
        <w:t xml:space="preserve">), examples of a GMF may include somebody who is better qualified or their role is difficult to recruit, or employees who have different shift patterns. However, the use of left over research project would be unlikely to satisfy this requirement.  </w:t>
      </w:r>
    </w:p>
    <w:p w14:paraId="0C7FB770" w14:textId="2C9245F7" w:rsidR="007317A9" w:rsidRPr="00496BC7" w:rsidRDefault="007317A9" w:rsidP="00EF1ABD">
      <w:pPr>
        <w:jc w:val="both"/>
      </w:pPr>
      <w:r w:rsidRPr="00496BC7">
        <w:t xml:space="preserve">As eighty per cent of HCAs in the Trust are women and employed on Grade A, upgrading two male HCAs without acceptable justification would also risk a claim of indirect sex discrimination. </w:t>
      </w:r>
    </w:p>
    <w:p w14:paraId="1AACEDA6" w14:textId="77777777" w:rsidR="007317A9" w:rsidRPr="00496BC7" w:rsidRDefault="007317A9" w:rsidP="00EF1ABD">
      <w:pPr>
        <w:jc w:val="both"/>
      </w:pPr>
      <w:r w:rsidRPr="00496BC7">
        <w:t>Based on the above, I am afraid I am unable to approve this request, as doing so could expose the Trust to equal pay and discrimination claims. I would be happy to set aside some time to review our job grades and pay scales with you, to ensure any future regrading is objective, consistent, and legally defensible.</w:t>
      </w:r>
    </w:p>
    <w:p w14:paraId="7725C85A" w14:textId="77777777" w:rsidR="007317A9" w:rsidRPr="00496BC7" w:rsidRDefault="007317A9" w:rsidP="00EF1ABD">
      <w:pPr>
        <w:jc w:val="both"/>
      </w:pPr>
    </w:p>
    <w:p w14:paraId="53129D50" w14:textId="77777777" w:rsidR="007317A9" w:rsidRPr="00496BC7" w:rsidRDefault="007317A9" w:rsidP="00EF1ABD">
      <w:pPr>
        <w:jc w:val="both"/>
      </w:pPr>
    </w:p>
    <w:p w14:paraId="167E3561" w14:textId="1C4C58DF" w:rsidR="007317A9" w:rsidRPr="00496BC7" w:rsidRDefault="007317A9" w:rsidP="00EF1ABD">
      <w:pPr>
        <w:jc w:val="both"/>
        <w:rPr>
          <w:b/>
          <w:bCs/>
          <w:u w:val="single"/>
          <w:lang w:val="en-GB"/>
        </w:rPr>
      </w:pPr>
      <w:r w:rsidRPr="00496BC7">
        <w:rPr>
          <w:b/>
          <w:bCs/>
          <w:u w:val="single"/>
          <w:lang w:val="en-GB"/>
        </w:rPr>
        <w:t xml:space="preserve">AC 3.1 </w:t>
      </w:r>
    </w:p>
    <w:p w14:paraId="04EDD709" w14:textId="2E7D7E3E" w:rsidR="007317A9" w:rsidRPr="00496BC7" w:rsidRDefault="007317A9" w:rsidP="00EF1ABD">
      <w:pPr>
        <w:jc w:val="both"/>
      </w:pPr>
      <w:r w:rsidRPr="00496BC7">
        <w:t xml:space="preserve">It is not surprising that you have concerns in this area, situations involve change are one of the common examples of constructive dismissal Daniels (2025, p.182). For a constructive dismissal to be successful, the employee must </w:t>
      </w:r>
      <w:proofErr w:type="gramStart"/>
      <w:r w:rsidRPr="00496BC7">
        <w:t>demonstrate  that</w:t>
      </w:r>
      <w:proofErr w:type="gramEnd"/>
      <w:r w:rsidRPr="00496BC7">
        <w:t xml:space="preserve"> the employer has fundamentally breached the contract, that he resigned as a direct result of the breach, and there was no delay in the resignation. </w:t>
      </w:r>
    </w:p>
    <w:p w14:paraId="335F33F6" w14:textId="2BF3D773" w:rsidR="007317A9" w:rsidRPr="00496BC7" w:rsidRDefault="007317A9" w:rsidP="00EF1ABD">
      <w:pPr>
        <w:jc w:val="both"/>
      </w:pPr>
      <w:r w:rsidRPr="00496BC7">
        <w:t xml:space="preserve">Hours of work are ‘written </w:t>
      </w:r>
      <w:proofErr w:type="gramStart"/>
      <w:r w:rsidRPr="00496BC7">
        <w:t>particulars’ that</w:t>
      </w:r>
      <w:proofErr w:type="gramEnd"/>
      <w:r w:rsidRPr="00496BC7">
        <w:t xml:space="preserve"> must be included in a contract of employment and are legally binding (Armstrong and Taylor, 2023, p.530). A unilateral change to the working hours not accepted by the radiographer is therefore likely to constitute a repudiation </w:t>
      </w:r>
      <w:r w:rsidRPr="00496BC7">
        <w:lastRenderedPageBreak/>
        <w:t xml:space="preserve">of the contract, which could </w:t>
      </w:r>
      <w:proofErr w:type="gramStart"/>
      <w:r w:rsidRPr="00496BC7">
        <w:t>found</w:t>
      </w:r>
      <w:proofErr w:type="gramEnd"/>
      <w:r w:rsidRPr="00496BC7">
        <w:t xml:space="preserve"> a constructive dismissal claim (Lewis and Sargeant, 2017, p.206).</w:t>
      </w:r>
    </w:p>
    <w:p w14:paraId="665926FA" w14:textId="3980A392" w:rsidR="007317A9" w:rsidRPr="00496BC7" w:rsidRDefault="007317A9" w:rsidP="00EF1ABD">
      <w:pPr>
        <w:jc w:val="both"/>
      </w:pPr>
      <w:r w:rsidRPr="00496BC7">
        <w:t xml:space="preserve"> While an employer could include a flexibility clause to reserve the right to vary contractual terms, there remains an obligation to consult meaningfully before any change is imposed. If the radiographer was not consulted, or his objections were disregarded, and he subsequently resigned because he felt he had no option but to do so, he would have reasonable grounds to bring a claim before the Employment Tribunal. The Trust may be able to defend the change on the grounds of a legitimate business reason, though this would need to be clearly evidenced. It is also important to consider if the radiographer disagreed but continued to work in accordance with the new working hours without raising any protest for a significant period of time, it may be considered that the employee has accepted the changes to the contract by their actions Daniels (2025, pp.74-76).</w:t>
      </w:r>
    </w:p>
    <w:p w14:paraId="05393105" w14:textId="144F7DFC" w:rsidR="007317A9" w:rsidRPr="00496BC7" w:rsidRDefault="007317A9" w:rsidP="00EF1ABD">
      <w:pPr>
        <w:jc w:val="both"/>
      </w:pPr>
      <w:r w:rsidRPr="00496BC7">
        <w:t>Regarding eligibility, the radiographer would need to hold the legal status of employee and have worked for the Trust for a minimum of two years (</w:t>
      </w:r>
      <w:proofErr w:type="spellStart"/>
      <w:r w:rsidRPr="00496BC7">
        <w:t>Acas</w:t>
      </w:r>
      <w:proofErr w:type="spellEnd"/>
      <w:r w:rsidRPr="00496BC7">
        <w:t>, 2026; Armstrong and Taylor, 2023, p.532), unless his claim is founded on rights under the Working Time Regulations, in which case the qualifying period may not apply (Cushway, 2017, p.240). He must notify ACAS Early Conciliation within three months</w:t>
      </w:r>
      <w:proofErr w:type="gramStart"/>
      <w:r w:rsidRPr="00496BC7">
        <w:t>, less</w:t>
      </w:r>
      <w:proofErr w:type="gramEnd"/>
      <w:r w:rsidRPr="00496BC7">
        <w:t xml:space="preserve"> one day, of the effective date of termination, noting that this process pauses the limitation clock ACAS (2025). </w:t>
      </w:r>
    </w:p>
    <w:p w14:paraId="7E1A4B61" w14:textId="1116A5BB" w:rsidR="007317A9" w:rsidRPr="00496BC7" w:rsidRDefault="007317A9" w:rsidP="00EF1ABD">
      <w:pPr>
        <w:jc w:val="both"/>
      </w:pPr>
      <w:r w:rsidRPr="00496BC7">
        <w:t>I would recommend that we review the radiographer's contract of employment and all relevant correspondence as a matter of urgency and advise that the recent critical changes to the Employment Rights Act 2026, including a reduced qualifying period of six months, uncapped compensation and extended limitation periods to six months, make a review of our Disciplinary and Grievance policies equally pressing (R24 Management, 2026).</w:t>
      </w:r>
    </w:p>
    <w:p w14:paraId="3D779737" w14:textId="77777777" w:rsidR="00CB726D" w:rsidRPr="00496BC7" w:rsidRDefault="00CB726D" w:rsidP="00EF1ABD">
      <w:pPr>
        <w:jc w:val="both"/>
      </w:pPr>
    </w:p>
    <w:p w14:paraId="6FFDEB4C" w14:textId="2FF0F37F" w:rsidR="00F83A7B" w:rsidRPr="00496BC7" w:rsidRDefault="00F83A7B" w:rsidP="00EF1ABD">
      <w:pPr>
        <w:jc w:val="both"/>
        <w:rPr>
          <w:b/>
          <w:bCs/>
          <w:u w:val="single"/>
          <w:lang w:val="en-GB"/>
        </w:rPr>
      </w:pPr>
      <w:r w:rsidRPr="00496BC7">
        <w:rPr>
          <w:b/>
          <w:bCs/>
          <w:u w:val="single"/>
          <w:lang w:val="en-GB"/>
        </w:rPr>
        <w:t>AC 3.2</w:t>
      </w:r>
    </w:p>
    <w:p w14:paraId="4AE9FF12" w14:textId="410F5FBA" w:rsidR="00F83A7B" w:rsidRPr="00496BC7" w:rsidRDefault="00F83A7B" w:rsidP="00EF1ABD">
      <w:pPr>
        <w:jc w:val="both"/>
        <w:rPr>
          <w:color w:val="000000" w:themeColor="text1"/>
        </w:rPr>
      </w:pPr>
      <w:r w:rsidRPr="00496BC7">
        <w:t>Redundancy is one of the potentially fair reasons for dismissal listed in the Employment Rights Act 1996</w:t>
      </w:r>
      <w:r w:rsidRPr="00496BC7">
        <w:rPr>
          <w:color w:val="EE0000"/>
        </w:rPr>
        <w:t xml:space="preserve"> </w:t>
      </w:r>
      <w:r w:rsidRPr="00496BC7">
        <w:t>(Daniels, 2025, p.197). A redundancy is a dismissal that occurs when a role is no longer needed</w:t>
      </w:r>
      <w:r w:rsidRPr="00496BC7">
        <w:rPr>
          <w:rFonts w:ascii="Arial" w:hAnsi="Arial" w:cs="Arial"/>
        </w:rPr>
        <w:t> </w:t>
      </w:r>
      <w:r w:rsidRPr="00496BC7">
        <w:t>-</w:t>
      </w:r>
      <w:r w:rsidRPr="00496BC7">
        <w:rPr>
          <w:rFonts w:ascii="Arial" w:hAnsi="Arial" w:cs="Arial"/>
        </w:rPr>
        <w:t> </w:t>
      </w:r>
      <w:r w:rsidRPr="00496BC7">
        <w:t xml:space="preserve">it has become </w:t>
      </w:r>
      <w:proofErr w:type="gramStart"/>
      <w:r w:rsidRPr="00496BC7">
        <w:t>redundant  (</w:t>
      </w:r>
      <w:proofErr w:type="gramEnd"/>
      <w:r w:rsidRPr="00496BC7">
        <w:t>CIPD, 2024</w:t>
      </w:r>
      <w:r w:rsidR="006A7EF4" w:rsidRPr="00496BC7">
        <w:t>c</w:t>
      </w:r>
      <w:r w:rsidRPr="00496BC7">
        <w:t>). In practice, redundancy arises in one of three situations: a</w:t>
      </w:r>
      <w:r w:rsidRPr="00496BC7">
        <w:rPr>
          <w:color w:val="000000" w:themeColor="text1"/>
        </w:rPr>
        <w:t xml:space="preserve"> business is closing, a workplace is closing, or there is a diminishing need for employees to carry out work of a particular kind (Taylor and Emir, 2019, p.128</w:t>
      </w:r>
      <w:r w:rsidRPr="00496BC7">
        <w:t>).</w:t>
      </w:r>
    </w:p>
    <w:p w14:paraId="10520743" w14:textId="581F523E" w:rsidR="00F83A7B" w:rsidRPr="00496BC7" w:rsidRDefault="00F83A7B" w:rsidP="00EF1ABD">
      <w:pPr>
        <w:jc w:val="both"/>
      </w:pPr>
      <w:r w:rsidRPr="00496BC7">
        <w:t>It is paramount that the selection process is fair and objective. The selection pool should normally include all employees undertaking similar work within a particular department or at a relevant location (CIPD, 2024</w:t>
      </w:r>
      <w:r w:rsidR="006A7EF4" w:rsidRPr="00496BC7">
        <w:t>c</w:t>
      </w:r>
      <w:r w:rsidRPr="00496BC7">
        <w:t xml:space="preserve">). Selecting employees solely </w:t>
      </w:r>
      <w:proofErr w:type="gramStart"/>
      <w:r w:rsidRPr="00496BC7">
        <w:t>on the basis of</w:t>
      </w:r>
      <w:proofErr w:type="gramEnd"/>
      <w:r w:rsidRPr="00496BC7">
        <w:t xml:space="preserve"> poor </w:t>
      </w:r>
      <w:r w:rsidRPr="00496BC7">
        <w:lastRenderedPageBreak/>
        <w:t>performance, rather than because the role itself has become redundant, risks giving rise to unfair dismissal claims (Daniels, 2025, pp.202–203).</w:t>
      </w:r>
    </w:p>
    <w:p w14:paraId="6B4E88C0" w14:textId="5F7B6A90" w:rsidR="00F83A7B" w:rsidRPr="00496BC7" w:rsidRDefault="00F83A7B" w:rsidP="00EF1ABD">
      <w:pPr>
        <w:jc w:val="both"/>
        <w:rPr>
          <w:color w:val="000000" w:themeColor="text1"/>
        </w:rPr>
      </w:pPr>
      <w:r w:rsidRPr="00496BC7">
        <w:rPr>
          <w:color w:val="000000" w:themeColor="text1"/>
        </w:rPr>
        <w:t xml:space="preserve">There is a statutory duty to consult with affected employees before any redundancies take effect (Taylor and Emir, 2019, p.134). As fifty posts are to be lost within the directorate within a period of 90 days or less, we are required to collectively consult with a </w:t>
      </w:r>
      <w:proofErr w:type="spellStart"/>
      <w:r w:rsidRPr="00496BC7">
        <w:rPr>
          <w:color w:val="000000" w:themeColor="text1"/>
        </w:rPr>
        <w:t>recognised</w:t>
      </w:r>
      <w:proofErr w:type="spellEnd"/>
      <w:r w:rsidRPr="00496BC7">
        <w:rPr>
          <w:color w:val="000000" w:themeColor="text1"/>
        </w:rPr>
        <w:t xml:space="preserve"> trade union (Daniels, 2025, p.199). We are also required to notify the Government Insolvency Service in advance via the HR1 form. A meaningful period of consultation cannot begin until representatives have been provided with all required information regarding the proposed redundancies (Daniels, 2025, p.201). As between 20 and 99 redundancies are proposed, a minimum of 30 days' consultation must take place before the first dismissal takes effect. Failure to comply with these collective consultation obligations can result in a protective award of up to 90 days' actual pay per affected employee, which would represent a significant financial liability for the Trust (Daniels, 2025, p.201). Individual consultation must also take place with each potentially affected employee and may run concurrently with collective consultation (CIPD, 2024</w:t>
      </w:r>
      <w:r w:rsidR="0058288B" w:rsidRPr="00496BC7">
        <w:rPr>
          <w:color w:val="000000" w:themeColor="text1"/>
        </w:rPr>
        <w:t>c</w:t>
      </w:r>
      <w:r w:rsidRPr="00496BC7">
        <w:rPr>
          <w:color w:val="000000" w:themeColor="text1"/>
        </w:rPr>
        <w:t xml:space="preserve">). </w:t>
      </w:r>
    </w:p>
    <w:p w14:paraId="5D84D437" w14:textId="76FF8774" w:rsidR="00F83A7B" w:rsidRPr="00496BC7" w:rsidRDefault="00F83A7B" w:rsidP="00EF1ABD">
      <w:pPr>
        <w:jc w:val="both"/>
      </w:pPr>
      <w:r w:rsidRPr="00496BC7">
        <w:rPr>
          <w:color w:val="000000" w:themeColor="text1"/>
        </w:rPr>
        <w:t xml:space="preserve">Finally, employees who have been working for the Trust for at least two years are normally entitled to redundancy payment comprising statutory and any enhanced redundancy payment (Taylor and Emir, 2019, p.138). For those made redundant on or after 6 April 2026, weekly pay is capped at £751 </w:t>
      </w:r>
      <w:r w:rsidR="00565A38" w:rsidRPr="00496BC7">
        <w:rPr>
          <w:color w:val="000000" w:themeColor="text1"/>
        </w:rPr>
        <w:t>(</w:t>
      </w:r>
      <w:r w:rsidRPr="00496BC7">
        <w:t>UK</w:t>
      </w:r>
      <w:r w:rsidR="00565A38" w:rsidRPr="00496BC7">
        <w:t xml:space="preserve"> Government</w:t>
      </w:r>
      <w:r w:rsidRPr="00496BC7">
        <w:t>, 2026).</w:t>
      </w:r>
    </w:p>
    <w:p w14:paraId="4BCE3A51" w14:textId="5CEA48D8" w:rsidR="00F83A7B" w:rsidRPr="00496BC7" w:rsidRDefault="00063D2F" w:rsidP="00EF1ABD">
      <w:pPr>
        <w:jc w:val="both"/>
      </w:pPr>
      <w:r w:rsidRPr="00496BC7">
        <w:rPr>
          <w:color w:val="000000" w:themeColor="text1"/>
        </w:rPr>
        <w:t xml:space="preserve">I would strongly </w:t>
      </w:r>
      <w:r w:rsidR="00EF6F97" w:rsidRPr="00496BC7">
        <w:rPr>
          <w:color w:val="000000" w:themeColor="text1"/>
        </w:rPr>
        <w:t xml:space="preserve">advise against </w:t>
      </w:r>
      <w:r w:rsidR="00AD726B" w:rsidRPr="00496BC7">
        <w:rPr>
          <w:color w:val="000000" w:themeColor="text1"/>
        </w:rPr>
        <w:t>avoiding time spent on consultation, i</w:t>
      </w:r>
      <w:r w:rsidR="006914AC" w:rsidRPr="00496BC7">
        <w:rPr>
          <w:color w:val="000000" w:themeColor="text1"/>
        </w:rPr>
        <w:t>f redundanc</w:t>
      </w:r>
      <w:r w:rsidR="005F5971" w:rsidRPr="00496BC7">
        <w:rPr>
          <w:color w:val="000000" w:themeColor="text1"/>
        </w:rPr>
        <w:t xml:space="preserve">y </w:t>
      </w:r>
      <w:r w:rsidR="00565A38" w:rsidRPr="00496BC7">
        <w:rPr>
          <w:color w:val="000000" w:themeColor="text1"/>
        </w:rPr>
        <w:t>procedures</w:t>
      </w:r>
      <w:r w:rsidR="005F5971" w:rsidRPr="00496BC7">
        <w:rPr>
          <w:color w:val="000000" w:themeColor="text1"/>
        </w:rPr>
        <w:t xml:space="preserve"> </w:t>
      </w:r>
      <w:r w:rsidR="006914AC" w:rsidRPr="00496BC7">
        <w:rPr>
          <w:color w:val="000000" w:themeColor="text1"/>
        </w:rPr>
        <w:t xml:space="preserve">are </w:t>
      </w:r>
      <w:r w:rsidR="005F5971" w:rsidRPr="00496BC7">
        <w:rPr>
          <w:color w:val="000000" w:themeColor="text1"/>
        </w:rPr>
        <w:t xml:space="preserve">not followed </w:t>
      </w:r>
      <w:r w:rsidR="006914AC" w:rsidRPr="00496BC7">
        <w:rPr>
          <w:color w:val="000000" w:themeColor="text1"/>
        </w:rPr>
        <w:t xml:space="preserve">correctly, employees may be able to claim </w:t>
      </w:r>
      <w:r w:rsidR="00A24499" w:rsidRPr="00496BC7">
        <w:rPr>
          <w:color w:val="000000" w:themeColor="text1"/>
        </w:rPr>
        <w:t>for unfair dismissal</w:t>
      </w:r>
      <w:r w:rsidR="00694E02" w:rsidRPr="00496BC7">
        <w:rPr>
          <w:color w:val="000000" w:themeColor="text1"/>
        </w:rPr>
        <w:t xml:space="preserve"> </w:t>
      </w:r>
      <w:r w:rsidR="00694E02" w:rsidRPr="00496BC7">
        <w:t>CIPD (2024</w:t>
      </w:r>
      <w:r w:rsidR="00565A38" w:rsidRPr="00496BC7">
        <w:t>c</w:t>
      </w:r>
      <w:r w:rsidR="00694E02" w:rsidRPr="00496BC7">
        <w:t xml:space="preserve">). </w:t>
      </w:r>
      <w:r w:rsidR="00F83A7B" w:rsidRPr="00496BC7">
        <w:rPr>
          <w:color w:val="000000" w:themeColor="text1"/>
        </w:rPr>
        <w:t xml:space="preserve">I hope you find the information useful and I would strongly recommend that we meet at the earliest opportunity to ensure the correct procedures are followed to </w:t>
      </w:r>
      <w:proofErr w:type="spellStart"/>
      <w:r w:rsidR="00F83A7B" w:rsidRPr="00496BC7">
        <w:rPr>
          <w:color w:val="000000" w:themeColor="text1"/>
        </w:rPr>
        <w:t>minimise</w:t>
      </w:r>
      <w:proofErr w:type="spellEnd"/>
      <w:r w:rsidR="00F83A7B" w:rsidRPr="00496BC7">
        <w:rPr>
          <w:color w:val="000000" w:themeColor="text1"/>
        </w:rPr>
        <w:t xml:space="preserve"> the risk of unfair dismissal claims. </w:t>
      </w:r>
    </w:p>
    <w:p w14:paraId="41A00453" w14:textId="77777777" w:rsidR="00F83A7B" w:rsidRPr="00496BC7" w:rsidRDefault="00F83A7B" w:rsidP="00EF1ABD">
      <w:pPr>
        <w:jc w:val="both"/>
        <w:rPr>
          <w:color w:val="000000" w:themeColor="text1"/>
        </w:rPr>
      </w:pPr>
    </w:p>
    <w:p w14:paraId="4120886B" w14:textId="42B8EB35" w:rsidR="00CB726D" w:rsidRPr="00496BC7" w:rsidRDefault="00CB726D" w:rsidP="00EF1ABD">
      <w:pPr>
        <w:jc w:val="both"/>
        <w:rPr>
          <w:b/>
          <w:bCs/>
          <w:u w:val="single"/>
          <w:lang w:val="en-GB"/>
        </w:rPr>
      </w:pPr>
      <w:r w:rsidRPr="00496BC7">
        <w:rPr>
          <w:b/>
          <w:bCs/>
          <w:u w:val="single"/>
          <w:lang w:val="en-GB"/>
        </w:rPr>
        <w:t>AC 3.3</w:t>
      </w:r>
    </w:p>
    <w:p w14:paraId="5D9234E0" w14:textId="3932CEDB" w:rsidR="00CB726D" w:rsidRPr="00496BC7" w:rsidRDefault="00CB726D" w:rsidP="00EF1ABD">
      <w:pPr>
        <w:jc w:val="both"/>
      </w:pPr>
      <w:r w:rsidRPr="00496BC7">
        <w:t xml:space="preserve">The Transfer of Undertakings (Protection of Employment) Regulations 2006 (known as TUPE) applies when there is a transfer of an economic entity or a change of service provision (Daniels, 2025, p.215). When merging the two pharmacy operations, it is likely to constitute a business transfer, as the economic entity retains its identity after the merger. The employees in the new pharmacy will operate as an extended service to the </w:t>
      </w:r>
      <w:proofErr w:type="spellStart"/>
      <w:r w:rsidRPr="00496BC7">
        <w:t>neighbouring</w:t>
      </w:r>
      <w:proofErr w:type="spellEnd"/>
      <w:r w:rsidRPr="00496BC7">
        <w:t xml:space="preserve"> hospital, doing essentially the same business activities, and TUPE is therefore likely to apply CIPD (2024a).</w:t>
      </w:r>
    </w:p>
    <w:p w14:paraId="1278C8DD" w14:textId="6F33B80E" w:rsidR="00CB726D" w:rsidRPr="00496BC7" w:rsidRDefault="00CB726D" w:rsidP="00EF1ABD">
      <w:pPr>
        <w:jc w:val="both"/>
      </w:pPr>
      <w:r w:rsidRPr="00496BC7">
        <w:t xml:space="preserve">The aim of TUPE is to protect the interests of employees when the business changes ownership </w:t>
      </w:r>
      <w:r w:rsidRPr="00496BC7">
        <w:rPr>
          <w:color w:val="000000" w:themeColor="text1"/>
        </w:rPr>
        <w:t xml:space="preserve">(Taylor and Emir, 2019, p.406). When TUPE applies, </w:t>
      </w:r>
      <w:r w:rsidRPr="00496BC7">
        <w:t xml:space="preserve">transferred employees have </w:t>
      </w:r>
      <w:r w:rsidRPr="00496BC7">
        <w:lastRenderedPageBreak/>
        <w:t xml:space="preserve">protection against dismissal, </w:t>
      </w:r>
      <w:r w:rsidRPr="00496BC7">
        <w:rPr>
          <w:color w:val="000000" w:themeColor="text1"/>
        </w:rPr>
        <w:t xml:space="preserve">any dismissals connected to the transfer will be automatically unfair, and it is worth noting that this protection applies from day one, with no qualifying period required. Employees also have the </w:t>
      </w:r>
      <w:r w:rsidRPr="00496BC7">
        <w:t xml:space="preserve">protection of contractual terms; </w:t>
      </w:r>
      <w:r w:rsidRPr="00496BC7">
        <w:rPr>
          <w:color w:val="000000" w:themeColor="text1"/>
        </w:rPr>
        <w:t xml:space="preserve">all contractual rights are transferred from the outgoing pharmacy to the Trust. </w:t>
      </w:r>
      <w:r w:rsidRPr="00496BC7">
        <w:t>Furthermore, employees have the right to object or resign in certain circumstances.</w:t>
      </w:r>
      <w:r w:rsidRPr="00496BC7">
        <w:rPr>
          <w:color w:val="000000" w:themeColor="text1"/>
        </w:rPr>
        <w:t xml:space="preserve"> There can be no dismissal or variation of contractual terms and conditions as the result of a TUPE unless there is an </w:t>
      </w:r>
      <w:r w:rsidRPr="00496BC7">
        <w:t xml:space="preserve">economic, technical or organisational (ETO) reason for that change </w:t>
      </w:r>
      <w:proofErr w:type="gramStart"/>
      <w:r w:rsidRPr="00496BC7">
        <w:t>For</w:t>
      </w:r>
      <w:proofErr w:type="gramEnd"/>
      <w:r w:rsidRPr="00496BC7">
        <w:t xml:space="preserve"> example, a genuine </w:t>
      </w:r>
      <w:proofErr w:type="gramStart"/>
      <w:r w:rsidRPr="00496BC7">
        <w:t>restructure</w:t>
      </w:r>
      <w:proofErr w:type="gramEnd"/>
      <w:r w:rsidRPr="00496BC7">
        <w:t xml:space="preserve"> that would have occurred regardless of the transfer (Daniels, 2025, pp.211-212;</w:t>
      </w:r>
      <w:r w:rsidR="00BE6B64" w:rsidRPr="00496BC7">
        <w:t xml:space="preserve"> </w:t>
      </w:r>
      <w:r w:rsidRPr="00496BC7">
        <w:t>CIPD; 2025</w:t>
      </w:r>
      <w:r w:rsidR="00BE6B64" w:rsidRPr="00496BC7">
        <w:t>c</w:t>
      </w:r>
      <w:r w:rsidRPr="00496BC7">
        <w:t>).</w:t>
      </w:r>
    </w:p>
    <w:p w14:paraId="3EBE7F4E" w14:textId="470CCAAB" w:rsidR="00CB726D" w:rsidRPr="00496BC7" w:rsidRDefault="00CB726D" w:rsidP="00EF1ABD">
      <w:pPr>
        <w:jc w:val="both"/>
      </w:pPr>
      <w:r w:rsidRPr="00496BC7">
        <w:rPr>
          <w:color w:val="000000" w:themeColor="text1"/>
        </w:rPr>
        <w:t xml:space="preserve">As the receiving employer, the Trust takes over the rights, duties and obligations in relation to the transferred employees’ contracts and is not free to pick and choose whom it wishes to take on. Both the Trust and the outgoing employer must ensure that meaningful </w:t>
      </w:r>
      <w:r w:rsidR="00BE6B64" w:rsidRPr="00496BC7">
        <w:rPr>
          <w:color w:val="000000" w:themeColor="text1"/>
        </w:rPr>
        <w:t>c</w:t>
      </w:r>
      <w:r w:rsidR="00BE6B64" w:rsidRPr="00496BC7">
        <w:t>onsultations</w:t>
      </w:r>
      <w:r w:rsidRPr="00496BC7">
        <w:t xml:space="preserve"> must take place with the relevant employee representatives, covering key information such as the fact that a transfer is to take place and the reason for it. If this obligation is not met, the Trust may be liable for up to 13 weeks’ pay for each affected employee (Daniels, 2025, p.213). Following the transfer, the Trust also becomes liable for </w:t>
      </w:r>
      <w:r w:rsidRPr="00496BC7">
        <w:rPr>
          <w:color w:val="000000" w:themeColor="text1"/>
        </w:rPr>
        <w:t xml:space="preserve">all major rights such as contractual rights, discrimination claims, personal injury claims, and right to work checks </w:t>
      </w:r>
      <w:r w:rsidRPr="00496BC7">
        <w:t xml:space="preserve">However, any criminal liability of the old pharmacy, for example, criminal liability for health and safety breaches or under data protection laws, as well as occupational pension scheme rights do not transfer under TUPE </w:t>
      </w:r>
      <w:r w:rsidR="00BE6B64" w:rsidRPr="00496BC7">
        <w:rPr>
          <w:color w:val="000000" w:themeColor="text1"/>
        </w:rPr>
        <w:t>(</w:t>
      </w:r>
      <w:r w:rsidRPr="00496BC7">
        <w:rPr>
          <w:color w:val="000000" w:themeColor="text1"/>
        </w:rPr>
        <w:t>C</w:t>
      </w:r>
      <w:r w:rsidRPr="00496BC7">
        <w:t>IPD</w:t>
      </w:r>
      <w:r w:rsidR="00BE6B64" w:rsidRPr="00496BC7">
        <w:t xml:space="preserve">, </w:t>
      </w:r>
      <w:r w:rsidRPr="00496BC7">
        <w:t>2025</w:t>
      </w:r>
      <w:r w:rsidR="00BE6B64" w:rsidRPr="00496BC7">
        <w:t>c</w:t>
      </w:r>
      <w:r w:rsidRPr="00496BC7">
        <w:t>).</w:t>
      </w:r>
    </w:p>
    <w:p w14:paraId="162B53B7" w14:textId="77777777" w:rsidR="00CB726D" w:rsidRPr="00496BC7" w:rsidRDefault="00CB726D" w:rsidP="00EF1ABD">
      <w:pPr>
        <w:jc w:val="both"/>
        <w:rPr>
          <w:color w:val="000000" w:themeColor="text1"/>
        </w:rPr>
      </w:pPr>
    </w:p>
    <w:p w14:paraId="3CFA2F62" w14:textId="3C44F2EF" w:rsidR="006C1434" w:rsidRPr="00496BC7" w:rsidRDefault="006C1434" w:rsidP="00EF1ABD">
      <w:pPr>
        <w:jc w:val="both"/>
        <w:rPr>
          <w:b/>
          <w:bCs/>
          <w:u w:val="single"/>
          <w:lang w:val="en-GB"/>
        </w:rPr>
      </w:pPr>
      <w:r w:rsidRPr="00496BC7">
        <w:rPr>
          <w:b/>
          <w:bCs/>
          <w:u w:val="single"/>
          <w:lang w:val="en-GB"/>
        </w:rPr>
        <w:t>AC 4.1</w:t>
      </w:r>
    </w:p>
    <w:p w14:paraId="60D5E3BE" w14:textId="46A4B62F" w:rsidR="006C1434" w:rsidRPr="00496BC7" w:rsidRDefault="006C1434" w:rsidP="00EF1ABD">
      <w:pPr>
        <w:jc w:val="both"/>
        <w:rPr>
          <w:color w:val="000000" w:themeColor="text1"/>
        </w:rPr>
      </w:pPr>
      <w:r w:rsidRPr="00496BC7">
        <w:rPr>
          <w:color w:val="000000" w:themeColor="text1"/>
        </w:rPr>
        <w:t>In compliance with the Working Time Regulations 1998, almost all workers, except those who are self-employed, are legally entitled to 5.6 weeks’ paid holiday each year</w:t>
      </w:r>
      <w:r w:rsidRPr="00496BC7">
        <w:t xml:space="preserve"> (Department for Business and Trade, 2020). The UK Government </w:t>
      </w:r>
      <w:r w:rsidR="00BE6B64" w:rsidRPr="00496BC7">
        <w:t>(</w:t>
      </w:r>
      <w:r w:rsidRPr="00496BC7">
        <w:t xml:space="preserve">2026) defines a ‘week’ from Sunday to Saturday. An employer can only use another seven-day period if it is how the worker’s pay is calculated. For irregular hours workers such as </w:t>
      </w:r>
      <w:r w:rsidRPr="00496BC7">
        <w:rPr>
          <w:rFonts w:cs="Arial"/>
        </w:rPr>
        <w:t>nurse bank staff, holiday pay is based on their average pay over the previous 52 weeks</w:t>
      </w:r>
      <w:r w:rsidRPr="00496BC7">
        <w:rPr>
          <w:rFonts w:cs="Arial"/>
          <w:color w:val="EE0000"/>
        </w:rPr>
        <w:t xml:space="preserve"> </w:t>
      </w:r>
      <w:r w:rsidRPr="00496BC7">
        <w:rPr>
          <w:rFonts w:cs="Arial"/>
        </w:rPr>
        <w:t xml:space="preserve">ACAS (2026a). Only weeks in which the worker was paid should be counted. If they have not worked during a particular week, you should count back one week until the rate is based on fifty-two weeks. You can count back a maximum of 104 weeks in total. If a nurse bank staff member has less than 52 weeks of pay, use the average pay rate for the weeks they have worked </w:t>
      </w:r>
      <w:r w:rsidRPr="00496BC7">
        <w:rPr>
          <w:rFonts w:cs="Arial"/>
          <w:color w:val="000000" w:themeColor="text1"/>
        </w:rPr>
        <w:t>(</w:t>
      </w:r>
      <w:r w:rsidRPr="00496BC7">
        <w:rPr>
          <w:rFonts w:cs="Arial"/>
        </w:rPr>
        <w:t>UK</w:t>
      </w:r>
      <w:r w:rsidR="00BE6B64" w:rsidRPr="00496BC7">
        <w:rPr>
          <w:rFonts w:cs="Arial"/>
        </w:rPr>
        <w:t xml:space="preserve"> Government</w:t>
      </w:r>
      <w:r w:rsidRPr="00496BC7">
        <w:rPr>
          <w:rFonts w:cs="Arial"/>
        </w:rPr>
        <w:t xml:space="preserve">, 2026). It is worth noting that the rate should include not only basic pay but also regular overtime, commission, and any other allowances that are routinely </w:t>
      </w:r>
      <w:r w:rsidRPr="00496BC7">
        <w:rPr>
          <w:rFonts w:cs="Arial"/>
          <w:color w:val="000000" w:themeColor="text1"/>
        </w:rPr>
        <w:t xml:space="preserve">paid </w:t>
      </w:r>
      <w:r w:rsidR="00747E66" w:rsidRPr="00496BC7">
        <w:rPr>
          <w:color w:val="000000" w:themeColor="text1"/>
        </w:rPr>
        <w:t>(</w:t>
      </w:r>
      <w:r w:rsidRPr="00496BC7">
        <w:rPr>
          <w:color w:val="000000" w:themeColor="text1"/>
        </w:rPr>
        <w:t>ACAS</w:t>
      </w:r>
      <w:r w:rsidR="00747E66" w:rsidRPr="00496BC7">
        <w:rPr>
          <w:color w:val="000000" w:themeColor="text1"/>
        </w:rPr>
        <w:t xml:space="preserve">, </w:t>
      </w:r>
      <w:r w:rsidRPr="00496BC7">
        <w:t>2026</w:t>
      </w:r>
      <w:r w:rsidR="000974CA" w:rsidRPr="00496BC7">
        <w:t>a</w:t>
      </w:r>
      <w:r w:rsidRPr="00496BC7">
        <w:t>).</w:t>
      </w:r>
    </w:p>
    <w:p w14:paraId="6C470DE6" w14:textId="15EAF081" w:rsidR="006C1434" w:rsidRPr="00496BC7" w:rsidRDefault="006C1434" w:rsidP="00EF1ABD">
      <w:pPr>
        <w:tabs>
          <w:tab w:val="num" w:pos="720"/>
        </w:tabs>
        <w:jc w:val="both"/>
        <w:rPr>
          <w:rFonts w:cs="Arial"/>
        </w:rPr>
      </w:pPr>
      <w:r w:rsidRPr="00496BC7">
        <w:rPr>
          <w:rFonts w:cs="Arial"/>
        </w:rPr>
        <w:lastRenderedPageBreak/>
        <w:t xml:space="preserve">You can also choose to use rolled-up holiday pay, whereby holiday pay is spread across the year and paid alongside normal wages rather than during periods of leave (ACAS, 2026b). This method is particularly suitable for casual nurse bank staff with irregular hours. </w:t>
      </w:r>
      <w:r w:rsidRPr="00496BC7">
        <w:t>When paying rolled-up holiday, you would need to ensure it is calculated at a rate of at least 12.07% of the worker's total pay in a 'pay period' – a pay period is how often someone gets paid, for example weekly or monthly; pay it at the same time you pay for the work the worker has done in that pay period, and show it as a separate payment on the worker's pay slip. For example, if a worker is paid £100 for the month, their rolled-up holiday pay would be at least £12.07, their total pay for the pay period would therefore be £112.07.</w:t>
      </w:r>
    </w:p>
    <w:p w14:paraId="2FD9723A" w14:textId="5DA4A449" w:rsidR="006C1434" w:rsidRPr="00496BC7" w:rsidRDefault="006C1434" w:rsidP="00EF1ABD">
      <w:pPr>
        <w:jc w:val="both"/>
        <w:rPr>
          <w:rFonts w:cs="Arial"/>
        </w:rPr>
      </w:pPr>
      <w:r w:rsidRPr="00496BC7">
        <w:rPr>
          <w:rFonts w:cs="Arial"/>
        </w:rPr>
        <w:t xml:space="preserve">I would also recommend using the holiday pay entitlement calculator on the Government’s official website which would be a helpful tool when reviewing individual cases </w:t>
      </w:r>
      <w:r w:rsidR="00747E66" w:rsidRPr="00496BC7">
        <w:rPr>
          <w:rFonts w:cs="Arial"/>
        </w:rPr>
        <w:t>(</w:t>
      </w:r>
      <w:r w:rsidRPr="00496BC7">
        <w:t xml:space="preserve">UK </w:t>
      </w:r>
      <w:r w:rsidR="00ED742D" w:rsidRPr="00496BC7">
        <w:t xml:space="preserve">Government, </w:t>
      </w:r>
      <w:r w:rsidRPr="00496BC7">
        <w:t xml:space="preserve">2026a). </w:t>
      </w:r>
    </w:p>
    <w:p w14:paraId="43FFF882" w14:textId="77777777" w:rsidR="006C1434" w:rsidRPr="00992390" w:rsidRDefault="006C1434" w:rsidP="00EF1ABD">
      <w:pPr>
        <w:jc w:val="both"/>
        <w:rPr>
          <w:color w:val="000000" w:themeColor="text1"/>
        </w:rPr>
      </w:pPr>
      <w:r w:rsidRPr="00992390">
        <w:rPr>
          <w:color w:val="000000" w:themeColor="text1"/>
        </w:rPr>
        <w:t>If you have any questions, please feel free to contact me. I would be happy to review their holiday pay.</w:t>
      </w:r>
    </w:p>
    <w:p w14:paraId="330A00A3" w14:textId="77777777" w:rsidR="00A54D94" w:rsidRPr="00992390" w:rsidRDefault="00A54D94" w:rsidP="00EF1ABD">
      <w:pPr>
        <w:jc w:val="both"/>
        <w:rPr>
          <w:color w:val="000000" w:themeColor="text1"/>
        </w:rPr>
      </w:pPr>
    </w:p>
    <w:p w14:paraId="46448E42" w14:textId="21C7391F" w:rsidR="00A54D94" w:rsidRPr="00496BC7" w:rsidRDefault="00A54D94" w:rsidP="00EF1ABD">
      <w:pPr>
        <w:jc w:val="both"/>
        <w:rPr>
          <w:b/>
          <w:bCs/>
          <w:u w:val="single"/>
          <w:lang w:val="en-GB"/>
        </w:rPr>
      </w:pPr>
      <w:r w:rsidRPr="00496BC7">
        <w:rPr>
          <w:b/>
          <w:bCs/>
          <w:u w:val="single"/>
          <w:lang w:val="en-GB"/>
        </w:rPr>
        <w:t>AC 4.2</w:t>
      </w:r>
    </w:p>
    <w:p w14:paraId="5EE1EB87" w14:textId="77777777" w:rsidR="00A54D94" w:rsidRPr="003333FE" w:rsidRDefault="00A54D94" w:rsidP="00EF1ABD">
      <w:pPr>
        <w:jc w:val="both"/>
        <w:rPr>
          <w:color w:val="000000" w:themeColor="text1"/>
        </w:rPr>
      </w:pPr>
      <w:r w:rsidRPr="003333FE">
        <w:rPr>
          <w:color w:val="000000" w:themeColor="text1"/>
        </w:rPr>
        <w:t>Hi,</w:t>
      </w:r>
    </w:p>
    <w:p w14:paraId="1C158E09" w14:textId="77777777" w:rsidR="00A54D94" w:rsidRPr="003333FE" w:rsidRDefault="00A54D94" w:rsidP="00EF1ABD">
      <w:pPr>
        <w:jc w:val="both"/>
        <w:rPr>
          <w:color w:val="000000" w:themeColor="text1"/>
        </w:rPr>
      </w:pPr>
    </w:p>
    <w:p w14:paraId="6ED6BF28" w14:textId="54FEFAC6" w:rsidR="00A54D94" w:rsidRPr="003333FE" w:rsidRDefault="00A54D94" w:rsidP="00EF1ABD">
      <w:pPr>
        <w:jc w:val="both"/>
        <w:rPr>
          <w:color w:val="000000" w:themeColor="text1"/>
        </w:rPr>
      </w:pPr>
      <w:proofErr w:type="gramStart"/>
      <w:r w:rsidRPr="003333FE">
        <w:rPr>
          <w:color w:val="000000" w:themeColor="text1"/>
        </w:rPr>
        <w:t>First of all</w:t>
      </w:r>
      <w:proofErr w:type="gramEnd"/>
      <w:r w:rsidRPr="003333FE">
        <w:rPr>
          <w:color w:val="000000" w:themeColor="text1"/>
        </w:rPr>
        <w:t>, huge congratulations on your pregnancy!</w:t>
      </w:r>
    </w:p>
    <w:p w14:paraId="55FD8AFD" w14:textId="78584671" w:rsidR="00A54D94" w:rsidRPr="003333FE" w:rsidRDefault="00A54D94" w:rsidP="00EF1ABD">
      <w:pPr>
        <w:jc w:val="both"/>
        <w:rPr>
          <w:color w:val="000000" w:themeColor="text1"/>
        </w:rPr>
      </w:pPr>
      <w:r w:rsidRPr="003333FE">
        <w:rPr>
          <w:color w:val="000000" w:themeColor="text1"/>
        </w:rPr>
        <w:t>All women are entitled to maternity leave (ML) from day one of their employment. ML consists of Ordinary Maternity Leave (OML) of 26 weeks and Additional Maternity Leave (AML) for a further 26 weeks, giving a total of 52 weeks (Daniels, 2025, pp.101- 102). The first two weeks immediately after the childbirth are compulsory maternity leave, which is part of OML Maternity Action (2026a). To qualify, you must notify us in writing no later than the 15</w:t>
      </w:r>
      <w:r w:rsidRPr="003333FE">
        <w:rPr>
          <w:color w:val="000000" w:themeColor="text1"/>
          <w:vertAlign w:val="superscript"/>
        </w:rPr>
        <w:t>th</w:t>
      </w:r>
      <w:r w:rsidRPr="003333FE">
        <w:rPr>
          <w:color w:val="000000" w:themeColor="text1"/>
        </w:rPr>
        <w:t xml:space="preserve"> week before your Expected Week of Childbirth (EWC) confirming your EWC and the date on which you wish to commence your OML (Daniels, 2025, p.102). </w:t>
      </w:r>
    </w:p>
    <w:p w14:paraId="2E37EBA8" w14:textId="1161E3CF" w:rsidR="00A54D94" w:rsidRPr="003333FE" w:rsidRDefault="00A54D94" w:rsidP="00EF1ABD">
      <w:pPr>
        <w:jc w:val="both"/>
        <w:rPr>
          <w:color w:val="000000" w:themeColor="text1"/>
        </w:rPr>
      </w:pPr>
      <w:r w:rsidRPr="003333FE">
        <w:rPr>
          <w:color w:val="000000" w:themeColor="text1"/>
        </w:rPr>
        <w:t>In terms of pay, if you have worked for the NHS continuously for 26 weeks, you would be entitled to Statutory Maternity Pay (SMP) of £194.32 per week for 2026/27. If you have worked continuously for at least 12 months by the beginning of the 11th week before your due date, you would also be entitled to Enhanced Maternity Pay (EMP) which includes full pay for weeks one to eight (Maternity Pay Calculator, 2026; CIPD (2026</w:t>
      </w:r>
      <w:r w:rsidR="0027164E" w:rsidRPr="003333FE">
        <w:rPr>
          <w:color w:val="000000" w:themeColor="text1"/>
        </w:rPr>
        <w:t>c</w:t>
      </w:r>
      <w:r w:rsidRPr="003333FE">
        <w:rPr>
          <w:color w:val="000000" w:themeColor="text1"/>
        </w:rPr>
        <w:t>). Your statutory and contractual rights are preserved throughout, in practice it means you continue to accrue annual leave and continuity of service (Daniels, 2025, p. 102)</w:t>
      </w:r>
    </w:p>
    <w:p w14:paraId="026BC328" w14:textId="4C1E09CA" w:rsidR="00A54D94" w:rsidRPr="003333FE" w:rsidRDefault="00A54D94" w:rsidP="00EF1ABD">
      <w:pPr>
        <w:jc w:val="both"/>
        <w:rPr>
          <w:color w:val="000000" w:themeColor="text1"/>
        </w:rPr>
      </w:pPr>
      <w:r w:rsidRPr="003333FE">
        <w:rPr>
          <w:color w:val="000000" w:themeColor="text1"/>
        </w:rPr>
        <w:lastRenderedPageBreak/>
        <w:t>Shared Parental Leave (</w:t>
      </w:r>
      <w:proofErr w:type="spellStart"/>
      <w:r w:rsidRPr="003333FE">
        <w:rPr>
          <w:color w:val="000000" w:themeColor="text1"/>
        </w:rPr>
        <w:t>ShPL</w:t>
      </w:r>
      <w:proofErr w:type="spellEnd"/>
      <w:r w:rsidRPr="003333FE">
        <w:rPr>
          <w:color w:val="000000" w:themeColor="text1"/>
        </w:rPr>
        <w:t>) allows you and your partner to share up to 50 weeks of leave between you in blocks, and both parents can take leave at the same time. To qualify, both parents must have at least 26 weeks’ continuous service up to the 15th week before the EWC CIPD (2026</w:t>
      </w:r>
      <w:r w:rsidR="0027164E" w:rsidRPr="003333FE">
        <w:rPr>
          <w:color w:val="000000" w:themeColor="text1"/>
        </w:rPr>
        <w:t>c</w:t>
      </w:r>
      <w:r w:rsidRPr="003333FE">
        <w:rPr>
          <w:color w:val="000000" w:themeColor="text1"/>
        </w:rPr>
        <w:t xml:space="preserve">). However, </w:t>
      </w:r>
      <w:proofErr w:type="spellStart"/>
      <w:r w:rsidRPr="003333FE">
        <w:rPr>
          <w:color w:val="000000" w:themeColor="text1"/>
        </w:rPr>
        <w:t>ShPL</w:t>
      </w:r>
      <w:proofErr w:type="spellEnd"/>
      <w:r w:rsidRPr="003333FE">
        <w:rPr>
          <w:color w:val="000000" w:themeColor="text1"/>
        </w:rPr>
        <w:t xml:space="preserve"> is paid at the statutory rate only, so if you are entitled to EMP, you would be better off financially on ML. Moreover, you would also be protected from pregnancy discrimination This protected period ends at the end of maternity leave but does not extend to a period of </w:t>
      </w:r>
      <w:proofErr w:type="spellStart"/>
      <w:r w:rsidRPr="003333FE">
        <w:rPr>
          <w:color w:val="000000" w:themeColor="text1"/>
        </w:rPr>
        <w:t>ShPL</w:t>
      </w:r>
      <w:proofErr w:type="spellEnd"/>
      <w:r w:rsidRPr="003333FE">
        <w:rPr>
          <w:color w:val="000000" w:themeColor="text1"/>
        </w:rPr>
        <w:t xml:space="preserve"> Maternity Action (2026b).</w:t>
      </w:r>
    </w:p>
    <w:p w14:paraId="28CE6F4D" w14:textId="7F305ED0" w:rsidR="00A54D94" w:rsidRPr="003333FE" w:rsidRDefault="00A54D94" w:rsidP="00EF1ABD">
      <w:pPr>
        <w:jc w:val="both"/>
        <w:rPr>
          <w:color w:val="000000" w:themeColor="text1"/>
        </w:rPr>
      </w:pPr>
      <w:r w:rsidRPr="003333FE">
        <w:rPr>
          <w:color w:val="000000" w:themeColor="text1"/>
        </w:rPr>
        <w:t xml:space="preserve">To </w:t>
      </w:r>
      <w:proofErr w:type="spellStart"/>
      <w:r w:rsidRPr="003333FE">
        <w:rPr>
          <w:color w:val="000000" w:themeColor="text1"/>
        </w:rPr>
        <w:t>summarise</w:t>
      </w:r>
      <w:proofErr w:type="spellEnd"/>
      <w:r w:rsidRPr="003333FE">
        <w:rPr>
          <w:color w:val="000000" w:themeColor="text1"/>
        </w:rPr>
        <w:t xml:space="preserve">, you are likely to be better off financially on ML if you are entitled to EMP with stronger discrimination protection. However, if you and your partner wish to share care flexibly, </w:t>
      </w:r>
      <w:proofErr w:type="spellStart"/>
      <w:r w:rsidRPr="003333FE">
        <w:rPr>
          <w:color w:val="000000" w:themeColor="text1"/>
        </w:rPr>
        <w:t>ShPL</w:t>
      </w:r>
      <w:proofErr w:type="spellEnd"/>
      <w:r w:rsidRPr="003333FE">
        <w:rPr>
          <w:color w:val="000000" w:themeColor="text1"/>
        </w:rPr>
        <w:t xml:space="preserve"> may be worth considering if you are both eligible.</w:t>
      </w:r>
    </w:p>
    <w:p w14:paraId="1290A296" w14:textId="77777777" w:rsidR="00A54D94" w:rsidRPr="003333FE" w:rsidRDefault="00A54D94" w:rsidP="00EF1ABD">
      <w:pPr>
        <w:jc w:val="both"/>
        <w:rPr>
          <w:color w:val="000000" w:themeColor="text1"/>
        </w:rPr>
      </w:pPr>
      <w:r w:rsidRPr="003333FE">
        <w:rPr>
          <w:color w:val="000000" w:themeColor="text1"/>
        </w:rPr>
        <w:t>I would be happy to schedule a meeting to discuss this further if that would be helpful.</w:t>
      </w:r>
    </w:p>
    <w:p w14:paraId="7AAB38DA" w14:textId="77777777" w:rsidR="00A54D94" w:rsidRPr="00496BC7" w:rsidRDefault="00A54D94" w:rsidP="00EF1ABD">
      <w:pPr>
        <w:jc w:val="both"/>
      </w:pPr>
    </w:p>
    <w:p w14:paraId="003E8FA1" w14:textId="6E4D4979" w:rsidR="004A6358" w:rsidRPr="00496BC7" w:rsidRDefault="004A6358" w:rsidP="00EF1ABD">
      <w:pPr>
        <w:jc w:val="both"/>
        <w:rPr>
          <w:b/>
          <w:bCs/>
          <w:u w:val="single"/>
          <w:lang w:val="en-GB"/>
        </w:rPr>
      </w:pPr>
      <w:r w:rsidRPr="00496BC7">
        <w:rPr>
          <w:b/>
          <w:bCs/>
          <w:u w:val="single"/>
          <w:lang w:val="en-GB"/>
        </w:rPr>
        <w:t>AC 4.3</w:t>
      </w:r>
    </w:p>
    <w:p w14:paraId="35219A8C" w14:textId="57F33EE3" w:rsidR="004A6358" w:rsidRPr="00496BC7" w:rsidRDefault="004A6358" w:rsidP="00EF1ABD">
      <w:pPr>
        <w:jc w:val="both"/>
        <w:rPr>
          <w:color w:val="000000" w:themeColor="text1"/>
        </w:rPr>
      </w:pPr>
      <w:r w:rsidRPr="00496BC7">
        <w:rPr>
          <w:color w:val="000000" w:themeColor="text1"/>
        </w:rPr>
        <w:t xml:space="preserve">All employees have the right to request flexible </w:t>
      </w:r>
      <w:proofErr w:type="gramStart"/>
      <w:r w:rsidRPr="00496BC7">
        <w:rPr>
          <w:color w:val="000000" w:themeColor="text1"/>
        </w:rPr>
        <w:t>working</w:t>
      </w:r>
      <w:proofErr w:type="gramEnd"/>
      <w:r w:rsidRPr="00496BC7">
        <w:rPr>
          <w:color w:val="000000" w:themeColor="text1"/>
        </w:rPr>
        <w:t xml:space="preserve"> from day one of their employment, </w:t>
      </w:r>
      <w:r w:rsidR="00B71272" w:rsidRPr="00496BC7">
        <w:t>under</w:t>
      </w:r>
      <w:r w:rsidRPr="00496BC7">
        <w:t xml:space="preserve"> the Employment Relations (Flexible Working) Act 2023 and the Flexible Working (Amendment) Regulations 2023 (Daniels, 2025, p.71). </w:t>
      </w:r>
      <w:r w:rsidR="00491989" w:rsidRPr="00496BC7">
        <w:t>Employees were required to have</w:t>
      </w:r>
      <w:r w:rsidR="002560CA" w:rsidRPr="00496BC7">
        <w:t xml:space="preserve"> 26 weeks’ continued service before making a request prior to the change. </w:t>
      </w:r>
      <w:r w:rsidRPr="00496BC7">
        <w:t xml:space="preserve">Employees can make up to two requests in any 12-month period. </w:t>
      </w:r>
    </w:p>
    <w:p w14:paraId="649F397F" w14:textId="66BAFC08" w:rsidR="004A6358" w:rsidRPr="00496BC7" w:rsidRDefault="004A6358" w:rsidP="00EF1ABD">
      <w:pPr>
        <w:jc w:val="both"/>
      </w:pPr>
      <w:r w:rsidRPr="00496BC7">
        <w:t xml:space="preserve">Upon receiving the request, the Trust must consult the administrative officer before </w:t>
      </w:r>
      <w:proofErr w:type="gramStart"/>
      <w:r w:rsidRPr="00496BC7">
        <w:t>making a decision</w:t>
      </w:r>
      <w:proofErr w:type="gramEnd"/>
      <w:r w:rsidRPr="00496BC7">
        <w:t xml:space="preserve">. While the administrative officer does not have the legal right to be accompanied at the consultation meeting, it is good practice to allow it (Daniels, 2025, p.72). The Trust must reach a decision within two months of receiving the request, including any time needed for appeal. </w:t>
      </w:r>
      <w:r w:rsidRPr="00496BC7">
        <w:rPr>
          <w:color w:val="EE0000"/>
        </w:rPr>
        <w:t xml:space="preserve"> </w:t>
      </w:r>
      <w:r w:rsidRPr="00496BC7">
        <w:t>ACAS (2024a) advise</w:t>
      </w:r>
      <w:r w:rsidR="00C628D4" w:rsidRPr="00496BC7">
        <w:t>s</w:t>
      </w:r>
      <w:r w:rsidRPr="00496BC7">
        <w:t xml:space="preserve"> that a request must not be rejected without consulting the employee. </w:t>
      </w:r>
    </w:p>
    <w:p w14:paraId="4B6D9F38" w14:textId="628D6E21" w:rsidR="004A6358" w:rsidRPr="00496BC7" w:rsidRDefault="004A6358" w:rsidP="00EF1ABD">
      <w:pPr>
        <w:jc w:val="both"/>
      </w:pPr>
      <w:r w:rsidRPr="00496BC7">
        <w:t xml:space="preserve">There are eight statutory grounds on which the Trust may lawfully refuse a flexible working request, including a detrimental impact on quality, performance, or the ability to meet </w:t>
      </w:r>
      <w:r w:rsidR="00942743" w:rsidRPr="00496BC7">
        <w:t xml:space="preserve">customer </w:t>
      </w:r>
      <w:r w:rsidRPr="00496BC7">
        <w:t xml:space="preserve">demand.  </w:t>
      </w:r>
      <w:r w:rsidR="00815228" w:rsidRPr="00496BC7">
        <w:t>It is the Trust’s responsibility to demonstrate</w:t>
      </w:r>
      <w:r w:rsidR="00F30BDB" w:rsidRPr="00496BC7">
        <w:t xml:space="preserve"> that one or more of these grounds apply here, the reason must be evidenced clearly. </w:t>
      </w:r>
    </w:p>
    <w:p w14:paraId="601E2922" w14:textId="13D7FAD2" w:rsidR="004A6358" w:rsidRPr="00496BC7" w:rsidRDefault="004A6358" w:rsidP="00EF1ABD">
      <w:pPr>
        <w:jc w:val="both"/>
      </w:pPr>
      <w:r w:rsidRPr="00496BC7">
        <w:t xml:space="preserve">A general concern that if this request is approved, it might encourage other staff to make similar requests does not constitute valid legal grounds for refusal. If the Trust fails to follow the correct procedure, </w:t>
      </w:r>
      <w:proofErr w:type="gramStart"/>
      <w:r w:rsidRPr="00496BC7">
        <w:t>an</w:t>
      </w:r>
      <w:proofErr w:type="gramEnd"/>
      <w:r w:rsidRPr="00496BC7">
        <w:t xml:space="preserve"> Employment Tribunal may award compensation of up to eight weeks' pay. It is also worth noting that if the said officer has caring responsibilities, a refusal could result in indirect sex discrimination. It is evident in Commotion Ltd v Rutty (2006) ICR 290, where the Employment Appeal Tribunal found that the employer’s view of flexible </w:t>
      </w:r>
      <w:r w:rsidRPr="00496BC7">
        <w:lastRenderedPageBreak/>
        <w:t>working would have a detrimental impact on teamworking had not been substantiated (Daniels, 2025, p.72).</w:t>
      </w:r>
    </w:p>
    <w:p w14:paraId="001CF4CB" w14:textId="0A8F99F4" w:rsidR="004A6358" w:rsidRPr="00496BC7" w:rsidRDefault="004A6358" w:rsidP="00EF1ABD">
      <w:pPr>
        <w:jc w:val="both"/>
      </w:pPr>
      <w:r w:rsidRPr="00496BC7">
        <w:t>I would advise meeting with the administrative officer to understand her reasons for the request and to explore whether a compromise is possible</w:t>
      </w:r>
      <w:r w:rsidR="004024A7" w:rsidRPr="00496BC7">
        <w:t>, f</w:t>
      </w:r>
      <w:r w:rsidRPr="00496BC7">
        <w:t xml:space="preserve">or example, one or two days working from home per week. Not only would this approach </w:t>
      </w:r>
      <w:proofErr w:type="spellStart"/>
      <w:r w:rsidRPr="00496BC7">
        <w:t>minimise</w:t>
      </w:r>
      <w:proofErr w:type="spellEnd"/>
      <w:r w:rsidRPr="00496BC7">
        <w:t xml:space="preserve"> the risk of a tribunal claim, but it could also help the Trust to attract and retain the right people CIPD (2024b).</w:t>
      </w:r>
    </w:p>
    <w:p w14:paraId="71E7B163" w14:textId="77777777" w:rsidR="004A6358" w:rsidRPr="00496BC7" w:rsidRDefault="004A6358" w:rsidP="00EF1ABD">
      <w:pPr>
        <w:jc w:val="both"/>
      </w:pPr>
    </w:p>
    <w:p w14:paraId="60BE0621" w14:textId="77777777" w:rsidR="005E2E02" w:rsidRPr="00857F9D" w:rsidRDefault="005E2E02" w:rsidP="005E2E02">
      <w:pPr>
        <w:widowControl w:val="0"/>
        <w:autoSpaceDE w:val="0"/>
        <w:autoSpaceDN w:val="0"/>
        <w:adjustRightInd w:val="0"/>
        <w:spacing w:after="240" w:line="360" w:lineRule="auto"/>
        <w:rPr>
          <w:b/>
          <w:bCs/>
          <w:lang w:val="en-GB"/>
        </w:rPr>
      </w:pPr>
      <w:r w:rsidRPr="00857F9D">
        <w:rPr>
          <w:b/>
          <w:bCs/>
          <w:lang w:val="en-GB"/>
        </w:rPr>
        <w:t>Reference list</w:t>
      </w:r>
    </w:p>
    <w:p w14:paraId="5D5A2950" w14:textId="23C1BB2E" w:rsidR="008259D3" w:rsidRPr="008B6F23" w:rsidRDefault="005E2E02" w:rsidP="008259D3">
      <w:pPr>
        <w:widowControl w:val="0"/>
        <w:autoSpaceDE w:val="0"/>
        <w:autoSpaceDN w:val="0"/>
        <w:adjustRightInd w:val="0"/>
        <w:spacing w:after="240" w:line="360" w:lineRule="auto"/>
        <w:rPr>
          <w:rFonts w:cs="Times New Roman"/>
          <w:kern w:val="0"/>
        </w:rPr>
      </w:pPr>
      <w:r w:rsidRPr="00E50D3C">
        <w:rPr>
          <w:lang w:val="en-GB"/>
        </w:rPr>
        <w:t xml:space="preserve">ACAS (2024). Equal Pay and the Law. [online] ACAS. Available at: </w:t>
      </w:r>
      <w:hyperlink r:id="rId5" w:history="1">
        <w:r w:rsidRPr="00E50D3C">
          <w:rPr>
            <w:lang w:val="en-GB"/>
          </w:rPr>
          <w:t>https://www.acas.org.uk/equal-pay/equal-pay-law</w:t>
        </w:r>
      </w:hyperlink>
      <w:r w:rsidR="008259D3">
        <w:rPr>
          <w:lang w:val="en-GB"/>
        </w:rPr>
        <w:t xml:space="preserve"> </w:t>
      </w:r>
      <w:r w:rsidR="008259D3" w:rsidRPr="008B6F23">
        <w:rPr>
          <w:rFonts w:cs="Times New Roman"/>
          <w:kern w:val="0"/>
        </w:rPr>
        <w:t>[Accessed 21 Ma</w:t>
      </w:r>
      <w:r w:rsidR="008259D3">
        <w:rPr>
          <w:rFonts w:cs="Times New Roman"/>
          <w:kern w:val="0"/>
        </w:rPr>
        <w:t>y</w:t>
      </w:r>
      <w:r w:rsidR="00857F9D">
        <w:rPr>
          <w:rFonts w:cs="Times New Roman"/>
          <w:kern w:val="0"/>
        </w:rPr>
        <w:t xml:space="preserve"> </w:t>
      </w:r>
      <w:r w:rsidR="008259D3" w:rsidRPr="008B6F23">
        <w:rPr>
          <w:rFonts w:cs="Times New Roman"/>
          <w:kern w:val="0"/>
        </w:rPr>
        <w:t>2026].</w:t>
      </w:r>
    </w:p>
    <w:p w14:paraId="5088331D" w14:textId="114EBDC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ACAS (2025). Employment Tribunal Time Limits. [online] </w:t>
      </w:r>
      <w:proofErr w:type="spellStart"/>
      <w:r w:rsidRPr="00E50D3C">
        <w:rPr>
          <w:lang w:val="en-GB"/>
        </w:rPr>
        <w:t>Acas</w:t>
      </w:r>
      <w:proofErr w:type="spellEnd"/>
      <w:r w:rsidRPr="00E50D3C">
        <w:rPr>
          <w:lang w:val="en-GB"/>
        </w:rPr>
        <w:t xml:space="preserve">. Available at: </w:t>
      </w:r>
      <w:hyperlink r:id="rId6" w:history="1">
        <w:r w:rsidRPr="00E50D3C">
          <w:rPr>
            <w:lang w:val="en-GB"/>
          </w:rPr>
          <w:t>https://www.acas.org.uk/employment-tribunal-time-limits</w:t>
        </w:r>
      </w:hyperlink>
      <w:r w:rsidR="008259D3">
        <w:rPr>
          <w:lang w:val="en-GB"/>
        </w:rPr>
        <w:t xml:space="preserve"> </w:t>
      </w:r>
      <w:r w:rsidR="008259D3" w:rsidRPr="008B6F23">
        <w:rPr>
          <w:rFonts w:cs="Times New Roman"/>
          <w:kern w:val="0"/>
        </w:rPr>
        <w:t xml:space="preserve">[Accessed </w:t>
      </w:r>
      <w:r w:rsidR="008259D3">
        <w:rPr>
          <w:rFonts w:cs="Times New Roman"/>
          <w:kern w:val="0"/>
        </w:rPr>
        <w:t>8</w:t>
      </w:r>
      <w:r w:rsidR="008259D3" w:rsidRPr="008B6F23">
        <w:rPr>
          <w:rFonts w:cs="Times New Roman"/>
          <w:kern w:val="0"/>
        </w:rPr>
        <w:t xml:space="preserve"> Ma</w:t>
      </w:r>
      <w:r w:rsidR="008259D3">
        <w:rPr>
          <w:rFonts w:cs="Times New Roman"/>
          <w:kern w:val="0"/>
        </w:rPr>
        <w:t>y</w:t>
      </w:r>
      <w:r w:rsidR="008259D3" w:rsidRPr="008B6F23">
        <w:rPr>
          <w:rFonts w:cs="Times New Roman"/>
          <w:kern w:val="0"/>
        </w:rPr>
        <w:t xml:space="preserve"> 2026].</w:t>
      </w:r>
    </w:p>
    <w:p w14:paraId="141DCF8E"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ACAS (2026a). Holiday Pay - Irregular Hours and </w:t>
      </w:r>
      <w:proofErr w:type="gramStart"/>
      <w:r w:rsidRPr="00E50D3C">
        <w:rPr>
          <w:lang w:val="en-GB"/>
        </w:rPr>
        <w:t>part</w:t>
      </w:r>
      <w:proofErr w:type="gramEnd"/>
      <w:r w:rsidRPr="00E50D3C">
        <w:rPr>
          <w:lang w:val="en-GB"/>
        </w:rPr>
        <w:t xml:space="preserve">-year Workers. [online] </w:t>
      </w:r>
      <w:proofErr w:type="spellStart"/>
      <w:r w:rsidRPr="00E50D3C">
        <w:rPr>
          <w:lang w:val="en-GB"/>
        </w:rPr>
        <w:t>Acas</w:t>
      </w:r>
      <w:proofErr w:type="spellEnd"/>
      <w:r w:rsidRPr="00E50D3C">
        <w:rPr>
          <w:lang w:val="en-GB"/>
        </w:rPr>
        <w:t xml:space="preserve">. Available at: </w:t>
      </w:r>
      <w:hyperlink r:id="rId7" w:history="1">
        <w:r w:rsidRPr="00E50D3C">
          <w:rPr>
            <w:lang w:val="en-GB"/>
          </w:rPr>
          <w:t>https://www.acas.org.uk/irregular-hours-and-part-year-workers/calculating-holiday-pay</w:t>
        </w:r>
      </w:hyperlink>
      <w:r w:rsidRPr="00E50D3C">
        <w:rPr>
          <w:lang w:val="en-GB"/>
        </w:rPr>
        <w:t xml:space="preserve"> [Accessed 6 May 2026].</w:t>
      </w:r>
    </w:p>
    <w:p w14:paraId="56B04344"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ACAS (2026b). Rolled-up Holiday Pay - Irregular Hours and </w:t>
      </w:r>
      <w:proofErr w:type="gramStart"/>
      <w:r w:rsidRPr="00E50D3C">
        <w:rPr>
          <w:lang w:val="en-GB"/>
        </w:rPr>
        <w:t>part</w:t>
      </w:r>
      <w:proofErr w:type="gramEnd"/>
      <w:r w:rsidRPr="00E50D3C">
        <w:rPr>
          <w:lang w:val="en-GB"/>
        </w:rPr>
        <w:t xml:space="preserve">-year Workers. [online] </w:t>
      </w:r>
      <w:proofErr w:type="spellStart"/>
      <w:r w:rsidRPr="00E50D3C">
        <w:rPr>
          <w:lang w:val="en-GB"/>
        </w:rPr>
        <w:t>Acas</w:t>
      </w:r>
      <w:proofErr w:type="spellEnd"/>
      <w:r w:rsidRPr="00E50D3C">
        <w:rPr>
          <w:lang w:val="en-GB"/>
        </w:rPr>
        <w:t xml:space="preserve">. Available at: </w:t>
      </w:r>
      <w:hyperlink r:id="rId8" w:history="1">
        <w:r w:rsidRPr="00E50D3C">
          <w:rPr>
            <w:lang w:val="en-GB"/>
          </w:rPr>
          <w:t>https://www.acas.org.uk/irregular-hours-and-part-year-workers/rolled-up-holiday-pay</w:t>
        </w:r>
      </w:hyperlink>
      <w:r w:rsidRPr="00E50D3C">
        <w:rPr>
          <w:lang w:val="en-GB"/>
        </w:rPr>
        <w:t xml:space="preserve"> [Accessed 6 May 2026].</w:t>
      </w:r>
    </w:p>
    <w:p w14:paraId="431168E3" w14:textId="63380706" w:rsidR="005E2E02" w:rsidRPr="00E50D3C" w:rsidRDefault="005E2E02" w:rsidP="005E2E02">
      <w:pPr>
        <w:widowControl w:val="0"/>
        <w:autoSpaceDE w:val="0"/>
        <w:autoSpaceDN w:val="0"/>
        <w:adjustRightInd w:val="0"/>
        <w:spacing w:after="240" w:line="360" w:lineRule="auto"/>
        <w:rPr>
          <w:lang w:val="en-GB"/>
        </w:rPr>
      </w:pPr>
      <w:proofErr w:type="spellStart"/>
      <w:r w:rsidRPr="00E50D3C">
        <w:rPr>
          <w:lang w:val="en-GB"/>
        </w:rPr>
        <w:t>Acas</w:t>
      </w:r>
      <w:proofErr w:type="spellEnd"/>
      <w:r w:rsidRPr="00E50D3C">
        <w:rPr>
          <w:lang w:val="en-GB"/>
        </w:rPr>
        <w:t xml:space="preserve"> (2024a). </w:t>
      </w:r>
      <w:proofErr w:type="spellStart"/>
      <w:r w:rsidRPr="00E50D3C">
        <w:rPr>
          <w:lang w:val="en-GB"/>
        </w:rPr>
        <w:t>Acas</w:t>
      </w:r>
      <w:proofErr w:type="spellEnd"/>
      <w:r w:rsidRPr="00E50D3C">
        <w:rPr>
          <w:lang w:val="en-GB"/>
        </w:rPr>
        <w:t xml:space="preserve"> Code of Practice on Flexible Working Requests | </w:t>
      </w:r>
      <w:proofErr w:type="spellStart"/>
      <w:r w:rsidRPr="00E50D3C">
        <w:rPr>
          <w:lang w:val="en-GB"/>
        </w:rPr>
        <w:t>Acas</w:t>
      </w:r>
      <w:proofErr w:type="spellEnd"/>
      <w:r w:rsidRPr="00E50D3C">
        <w:rPr>
          <w:lang w:val="en-GB"/>
        </w:rPr>
        <w:t xml:space="preserve">. [online] Acas.org.uk. Available at: </w:t>
      </w:r>
      <w:hyperlink r:id="rId9" w:history="1">
        <w:r w:rsidRPr="00E50D3C">
          <w:rPr>
            <w:lang w:val="en-GB"/>
          </w:rPr>
          <w:t>https://www.acas.org.uk/acas-code-of-practice-on-flexible-working-requests</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0DF1967F" w14:textId="6D57FAA9" w:rsidR="005E2E02" w:rsidRPr="00E50D3C" w:rsidRDefault="005E2E02" w:rsidP="005E2E02">
      <w:pPr>
        <w:widowControl w:val="0"/>
        <w:autoSpaceDE w:val="0"/>
        <w:autoSpaceDN w:val="0"/>
        <w:adjustRightInd w:val="0"/>
        <w:spacing w:after="240" w:line="360" w:lineRule="auto"/>
        <w:rPr>
          <w:lang w:val="en-GB"/>
        </w:rPr>
      </w:pPr>
      <w:proofErr w:type="spellStart"/>
      <w:r w:rsidRPr="00E50D3C">
        <w:rPr>
          <w:lang w:val="en-GB"/>
        </w:rPr>
        <w:t>Acas</w:t>
      </w:r>
      <w:proofErr w:type="spellEnd"/>
      <w:r w:rsidRPr="00E50D3C">
        <w:rPr>
          <w:lang w:val="en-GB"/>
        </w:rPr>
        <w:t xml:space="preserve"> (2024b). Using protected characteristics - Recruitment - </w:t>
      </w:r>
      <w:proofErr w:type="spellStart"/>
      <w:r w:rsidRPr="00E50D3C">
        <w:rPr>
          <w:lang w:val="en-GB"/>
        </w:rPr>
        <w:t>Acas</w:t>
      </w:r>
      <w:proofErr w:type="spellEnd"/>
      <w:r w:rsidRPr="00E50D3C">
        <w:rPr>
          <w:lang w:val="en-GB"/>
        </w:rPr>
        <w:t xml:space="preserve">. [online] </w:t>
      </w:r>
      <w:proofErr w:type="spellStart"/>
      <w:r w:rsidRPr="00E50D3C">
        <w:rPr>
          <w:lang w:val="en-GB"/>
        </w:rPr>
        <w:t>Acas</w:t>
      </w:r>
      <w:proofErr w:type="spellEnd"/>
      <w:r w:rsidRPr="00E50D3C">
        <w:rPr>
          <w:lang w:val="en-GB"/>
        </w:rPr>
        <w:t xml:space="preserve">. Available at: </w:t>
      </w:r>
      <w:hyperlink r:id="rId10" w:history="1">
        <w:r w:rsidRPr="00E50D3C">
          <w:rPr>
            <w:lang w:val="en-GB"/>
          </w:rPr>
          <w:t>https://www.acas.org.uk/recruitment/using-protected-characteristics</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Pr>
          <w:rFonts w:cs="Times New Roman"/>
          <w:kern w:val="0"/>
        </w:rPr>
        <w:t xml:space="preserve"> </w:t>
      </w:r>
      <w:r w:rsidR="00516871" w:rsidRPr="008B6F23">
        <w:rPr>
          <w:rFonts w:cs="Times New Roman"/>
          <w:kern w:val="0"/>
        </w:rPr>
        <w:t>2026].</w:t>
      </w:r>
    </w:p>
    <w:p w14:paraId="08274B4D" w14:textId="51EEFD40" w:rsidR="005E2E02" w:rsidRPr="00E50D3C" w:rsidRDefault="005E2E02" w:rsidP="005E2E02">
      <w:pPr>
        <w:widowControl w:val="0"/>
        <w:autoSpaceDE w:val="0"/>
        <w:autoSpaceDN w:val="0"/>
        <w:adjustRightInd w:val="0"/>
        <w:spacing w:after="240" w:line="360" w:lineRule="auto"/>
        <w:rPr>
          <w:lang w:val="en-GB"/>
        </w:rPr>
      </w:pPr>
      <w:proofErr w:type="spellStart"/>
      <w:r w:rsidRPr="00E50D3C">
        <w:rPr>
          <w:lang w:val="en-GB"/>
        </w:rPr>
        <w:t>Acas</w:t>
      </w:r>
      <w:proofErr w:type="spellEnd"/>
      <w:r w:rsidRPr="00E50D3C">
        <w:rPr>
          <w:lang w:val="en-GB"/>
        </w:rPr>
        <w:t xml:space="preserve"> (2026). Constructive Dismissal. [online] www.acas.org.uk. Available at: </w:t>
      </w:r>
      <w:hyperlink r:id="rId11" w:history="1">
        <w:r w:rsidRPr="00E50D3C">
          <w:rPr>
            <w:lang w:val="en-GB"/>
          </w:rPr>
          <w:t>https://www.acas.org.uk/dismissals/constructive-dismissal</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66806F2F" w14:textId="35693907" w:rsidR="005E2E02" w:rsidRPr="00E50D3C" w:rsidRDefault="005E2E02" w:rsidP="005E2E02">
      <w:pPr>
        <w:widowControl w:val="0"/>
        <w:autoSpaceDE w:val="0"/>
        <w:autoSpaceDN w:val="0"/>
        <w:adjustRightInd w:val="0"/>
        <w:spacing w:after="240" w:line="360" w:lineRule="auto"/>
        <w:rPr>
          <w:lang w:val="en-GB"/>
        </w:rPr>
      </w:pPr>
      <w:proofErr w:type="spellStart"/>
      <w:r w:rsidRPr="00E50D3C">
        <w:rPr>
          <w:lang w:val="en-GB"/>
        </w:rPr>
        <w:lastRenderedPageBreak/>
        <w:t>Allbon</w:t>
      </w:r>
      <w:proofErr w:type="spellEnd"/>
      <w:r w:rsidRPr="00E50D3C">
        <w:rPr>
          <w:lang w:val="en-GB"/>
        </w:rPr>
        <w:t xml:space="preserve">, E. and Kaur Dua, S. (2020). Elliott and </w:t>
      </w:r>
      <w:proofErr w:type="spellStart"/>
      <w:r w:rsidRPr="00E50D3C">
        <w:rPr>
          <w:lang w:val="en-GB"/>
        </w:rPr>
        <w:t>Quinn</w:t>
      </w:r>
      <w:r w:rsidRPr="00E50D3C">
        <w:rPr>
          <w:rFonts w:ascii="Arial" w:hAnsi="Arial" w:cs="Arial"/>
          <w:lang w:val="en-GB"/>
        </w:rPr>
        <w:t>ʹ</w:t>
      </w:r>
      <w:r w:rsidRPr="00E50D3C">
        <w:rPr>
          <w:lang w:val="en-GB"/>
        </w:rPr>
        <w:t>s</w:t>
      </w:r>
      <w:proofErr w:type="spellEnd"/>
      <w:r w:rsidRPr="00E50D3C">
        <w:rPr>
          <w:lang w:val="en-GB"/>
        </w:rPr>
        <w:t xml:space="preserve"> English Legal System. [online] Harlow, United </w:t>
      </w:r>
      <w:proofErr w:type="gramStart"/>
      <w:r w:rsidRPr="00E50D3C">
        <w:rPr>
          <w:lang w:val="en-GB"/>
        </w:rPr>
        <w:t>Kingdom ;</w:t>
      </w:r>
      <w:proofErr w:type="gramEnd"/>
      <w:r w:rsidRPr="00E50D3C">
        <w:rPr>
          <w:lang w:val="en-GB"/>
        </w:rPr>
        <w:t xml:space="preserve"> New York: Pearson Education Limited. Available at: </w:t>
      </w:r>
      <w:hyperlink r:id="rId12" w:history="1">
        <w:r w:rsidRPr="00E50D3C">
          <w:rPr>
            <w:lang w:val="en-GB"/>
          </w:rPr>
          <w:t>https://r3-vlebooks-com.uwtsd.idm.oclc.org/Reader?ean=9781292309378</w:t>
        </w:r>
      </w:hyperlink>
      <w:r w:rsidRPr="00E50D3C">
        <w:rPr>
          <w:lang w:val="en-GB"/>
        </w:rPr>
        <w:t xml:space="preserve"> [Accessed 5 </w:t>
      </w:r>
      <w:r w:rsidR="00516871">
        <w:rPr>
          <w:lang w:val="en-GB"/>
        </w:rPr>
        <w:t>May</w:t>
      </w:r>
      <w:r w:rsidRPr="00E50D3C">
        <w:rPr>
          <w:lang w:val="en-GB"/>
        </w:rPr>
        <w:t xml:space="preserve"> 2026].</w:t>
      </w:r>
    </w:p>
    <w:p w14:paraId="68365056"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Armstrong, M. and Taylor, S. (2023). Armstrong’s Handbook of Human Resource Management Practice: </w:t>
      </w:r>
      <w:proofErr w:type="gramStart"/>
      <w:r w:rsidRPr="00E50D3C">
        <w:rPr>
          <w:lang w:val="en-GB"/>
        </w:rPr>
        <w:t>a</w:t>
      </w:r>
      <w:proofErr w:type="gramEnd"/>
      <w:r w:rsidRPr="00E50D3C">
        <w:rPr>
          <w:lang w:val="en-GB"/>
        </w:rPr>
        <w:t xml:space="preserve"> Guide to the Theory and Practice of People Management. 16th ed. London: Kogan Page.</w:t>
      </w:r>
    </w:p>
    <w:p w14:paraId="06B4F386" w14:textId="5E111F6A" w:rsidR="005E2E02" w:rsidRPr="00E50D3C" w:rsidRDefault="005E2E02" w:rsidP="005E2E02">
      <w:pPr>
        <w:widowControl w:val="0"/>
        <w:autoSpaceDE w:val="0"/>
        <w:autoSpaceDN w:val="0"/>
        <w:adjustRightInd w:val="0"/>
        <w:spacing w:after="240" w:line="360" w:lineRule="auto"/>
        <w:rPr>
          <w:lang w:val="en-GB"/>
        </w:rPr>
      </w:pPr>
      <w:proofErr w:type="gramStart"/>
      <w:r w:rsidRPr="00E50D3C">
        <w:rPr>
          <w:lang w:val="en-GB"/>
        </w:rPr>
        <w:t>Baska ,</w:t>
      </w:r>
      <w:proofErr w:type="gramEnd"/>
      <w:r w:rsidRPr="00E50D3C">
        <w:rPr>
          <w:lang w:val="en-GB"/>
        </w:rPr>
        <w:t xml:space="preserve"> M. (2019). Size of UK’s Gig Economy Doubles in Three Years. [online] www.peoplemanagement.co.uk. Available at: </w:t>
      </w:r>
      <w:hyperlink r:id="rId13" w:history="1">
        <w:r w:rsidRPr="00E50D3C">
          <w:rPr>
            <w:lang w:val="en-GB"/>
          </w:rPr>
          <w:t>https://www.peoplemanagement.co.uk/article/1742487/size-of-uk-gig-economy-doubles-in-three-years</w:t>
        </w:r>
      </w:hyperlink>
      <w:r w:rsidR="00516871">
        <w:rPr>
          <w:lang w:val="en-GB"/>
        </w:rPr>
        <w:t xml:space="preserve"> </w:t>
      </w:r>
      <w:r w:rsidR="00516871" w:rsidRPr="008B6F23">
        <w:rPr>
          <w:rFonts w:cs="Times New Roman"/>
          <w:kern w:val="0"/>
        </w:rPr>
        <w:t>[Accessed 2</w:t>
      </w:r>
      <w:r w:rsidR="00516871">
        <w:rPr>
          <w:rFonts w:cs="Times New Roman"/>
          <w:kern w:val="0"/>
        </w:rPr>
        <w:t>8</w:t>
      </w:r>
      <w:r w:rsidR="00516871" w:rsidRPr="008B6F23">
        <w:rPr>
          <w:rFonts w:cs="Times New Roman"/>
          <w:kern w:val="0"/>
        </w:rPr>
        <w:t xml:space="preserve"> Ma</w:t>
      </w:r>
      <w:r w:rsidR="00516871">
        <w:rPr>
          <w:rFonts w:cs="Times New Roman"/>
          <w:kern w:val="0"/>
        </w:rPr>
        <w:t>y</w:t>
      </w:r>
      <w:r w:rsidR="00516871" w:rsidRPr="008B6F23">
        <w:rPr>
          <w:rFonts w:cs="Times New Roman"/>
          <w:kern w:val="0"/>
        </w:rPr>
        <w:t xml:space="preserve"> 2026].</w:t>
      </w:r>
    </w:p>
    <w:p w14:paraId="66EF0DF4" w14:textId="7C4AD66D"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BBC Bitesize (2024). What Is Employment law? - BBC Bitesize. [online] BBC Bitesize. Available at: </w:t>
      </w:r>
      <w:hyperlink r:id="rId14" w:history="1">
        <w:r w:rsidRPr="00E50D3C">
          <w:rPr>
            <w:lang w:val="en-GB"/>
          </w:rPr>
          <w:t>https://www.bbc.co.uk/bitesize/articles/zqvgmbk#zfw73qt</w:t>
        </w:r>
      </w:hyperlink>
      <w:r w:rsidR="00516871">
        <w:rPr>
          <w:lang w:val="en-GB"/>
        </w:rPr>
        <w:t xml:space="preserve"> </w:t>
      </w:r>
      <w:r w:rsidR="00516871" w:rsidRPr="008B6F23">
        <w:rPr>
          <w:rFonts w:cs="Times New Roman"/>
          <w:kern w:val="0"/>
        </w:rPr>
        <w:t xml:space="preserve">[Accessed </w:t>
      </w:r>
      <w:r w:rsidR="00516871">
        <w:rPr>
          <w:rFonts w:cs="Times New Roman"/>
          <w:kern w:val="0"/>
        </w:rPr>
        <w:t>16</w:t>
      </w:r>
      <w:r w:rsidR="00516871" w:rsidRPr="008B6F23">
        <w:rPr>
          <w:rFonts w:cs="Times New Roman"/>
          <w:kern w:val="0"/>
        </w:rPr>
        <w:t xml:space="preserve"> Ma</w:t>
      </w:r>
      <w:r w:rsidR="00516871">
        <w:rPr>
          <w:rFonts w:cs="Times New Roman"/>
          <w:kern w:val="0"/>
        </w:rPr>
        <w:t>y</w:t>
      </w:r>
      <w:r w:rsidR="00516871">
        <w:rPr>
          <w:rFonts w:cs="Times New Roman"/>
          <w:kern w:val="0"/>
        </w:rPr>
        <w:t xml:space="preserve"> </w:t>
      </w:r>
      <w:r w:rsidR="00516871" w:rsidRPr="008B6F23">
        <w:rPr>
          <w:rFonts w:cs="Times New Roman"/>
          <w:kern w:val="0"/>
        </w:rPr>
        <w:t>2026].</w:t>
      </w:r>
    </w:p>
    <w:p w14:paraId="7BF74545" w14:textId="6A215B1B"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(2021). CIPD: UK Employment Law Already Strikes the Right Balance for Employers and Workers. [online] CIPD. Available at: </w:t>
      </w:r>
      <w:hyperlink r:id="rId15" w:history="1">
        <w:r w:rsidRPr="00E50D3C">
          <w:rPr>
            <w:lang w:val="en-GB"/>
          </w:rPr>
          <w:t>https://www.cipd.org/uk/about/press-releases/150121uk-employment-law-strikes-right-balance/</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58295D07" w14:textId="07FF59B6"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(2024a). CIPD | a Guide to TUPE Transfers. [online] CIPD. Available at: </w:t>
      </w:r>
      <w:hyperlink r:id="rId16" w:history="1">
        <w:r w:rsidRPr="00E50D3C">
          <w:rPr>
            <w:lang w:val="en-GB"/>
          </w:rPr>
          <w:t>https://www.cipd.org/uk/knowledge/guides/tupe-guide/</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Pr>
          <w:rFonts w:cs="Times New Roman"/>
          <w:kern w:val="0"/>
        </w:rPr>
        <w:t xml:space="preserve"> </w:t>
      </w:r>
      <w:r w:rsidR="00516871" w:rsidRPr="008B6F23">
        <w:rPr>
          <w:rFonts w:cs="Times New Roman"/>
          <w:kern w:val="0"/>
        </w:rPr>
        <w:t>2026].</w:t>
      </w:r>
    </w:p>
    <w:p w14:paraId="45E2C436" w14:textId="3E616193"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(2024b). CIPD | Flexible Working Uptake | CIPD Viewpoint. [online] CIPD. Available at: </w:t>
      </w:r>
      <w:hyperlink r:id="rId17" w:history="1">
        <w:r w:rsidRPr="00E50D3C">
          <w:rPr>
            <w:lang w:val="en-GB"/>
          </w:rPr>
          <w:t>https://www.cipd.org/uk/views-and-insights/cipd-viewpoint/flexible-working-update/</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278E3053" w14:textId="4895510D"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(2024c). CIPD | Information on Redundancy. [online] CIPD. Available at: </w:t>
      </w:r>
      <w:hyperlink r:id="rId18" w:history="1">
        <w:r w:rsidRPr="00E50D3C">
          <w:rPr>
            <w:lang w:val="en-GB"/>
          </w:rPr>
          <w:t>https://www.cipd.org/uk/knowledge/employment-law/redundancy/</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14E0986D" w14:textId="49E3F0AF"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(2025a). CIPD | Employment Law in the UK: How It Is Made. [online] CIPD. Available </w:t>
      </w:r>
      <w:r w:rsidRPr="00E50D3C">
        <w:rPr>
          <w:lang w:val="en-GB"/>
        </w:rPr>
        <w:lastRenderedPageBreak/>
        <w:t xml:space="preserve">at: </w:t>
      </w:r>
      <w:hyperlink r:id="rId19" w:history="1">
        <w:r w:rsidRPr="00E50D3C">
          <w:rPr>
            <w:lang w:val="en-GB"/>
          </w:rPr>
          <w:t>https://www.cipd.org/uk/knowledge/employment-law/employment-law-uk-how-made/</w:t>
        </w:r>
      </w:hyperlink>
      <w:r w:rsidR="00516871">
        <w:rPr>
          <w:lang w:val="en-GB"/>
        </w:rPr>
        <w:t xml:space="preserve"> </w:t>
      </w:r>
      <w:r w:rsidR="00516871" w:rsidRPr="008B6F23">
        <w:rPr>
          <w:rFonts w:cs="Times New Roman"/>
          <w:kern w:val="0"/>
        </w:rPr>
        <w:t xml:space="preserve">[Accessed </w:t>
      </w:r>
      <w:r w:rsidR="00516871">
        <w:rPr>
          <w:rFonts w:cs="Times New Roman"/>
          <w:kern w:val="0"/>
        </w:rPr>
        <w:t xml:space="preserve">12 </w:t>
      </w:r>
      <w:r w:rsidR="00516871" w:rsidRPr="008B6F23">
        <w:rPr>
          <w:rFonts w:cs="Times New Roman"/>
          <w:kern w:val="0"/>
        </w:rPr>
        <w:t>Ma</w:t>
      </w:r>
      <w:r w:rsidR="00516871">
        <w:rPr>
          <w:rFonts w:cs="Times New Roman"/>
          <w:kern w:val="0"/>
        </w:rPr>
        <w:t>y</w:t>
      </w:r>
      <w:r w:rsidR="00516871">
        <w:rPr>
          <w:rFonts w:cs="Times New Roman"/>
          <w:kern w:val="0"/>
        </w:rPr>
        <w:t xml:space="preserve"> </w:t>
      </w:r>
      <w:r w:rsidR="00516871" w:rsidRPr="008B6F23">
        <w:rPr>
          <w:rFonts w:cs="Times New Roman"/>
          <w:kern w:val="0"/>
        </w:rPr>
        <w:t>2026].</w:t>
      </w:r>
    </w:p>
    <w:p w14:paraId="074450E3" w14:textId="16857C2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(2025b). CIPD | Flexible and hybrid working: Employment law. [online] CIPD. Available at: </w:t>
      </w:r>
      <w:hyperlink r:id="rId20" w:history="1">
        <w:r w:rsidRPr="00E50D3C">
          <w:rPr>
            <w:lang w:val="en-GB"/>
          </w:rPr>
          <w:t>https://www.cipd.org/uk/knowledge/employment-law/flexible-working/</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62DFCC49" w14:textId="1385F6ED"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(2025c). CIPD | Information on TUPE. [online] CIPD. Available at: </w:t>
      </w:r>
      <w:hyperlink r:id="rId21" w:history="1">
        <w:r w:rsidRPr="00E50D3C">
          <w:rPr>
            <w:lang w:val="en-GB"/>
          </w:rPr>
          <w:t>https://www.cipd.org/uk/knowledge/employment-law/tupe/</w:t>
        </w:r>
      </w:hyperlink>
      <w:r w:rsidR="00516871">
        <w:rPr>
          <w:lang w:val="en-GB"/>
        </w:rPr>
        <w:t xml:space="preserve"> </w:t>
      </w:r>
      <w:r w:rsidR="00516871" w:rsidRPr="008B6F23">
        <w:rPr>
          <w:rFonts w:cs="Times New Roman"/>
          <w:kern w:val="0"/>
        </w:rPr>
        <w:t>[Accessed 2</w:t>
      </w:r>
      <w:r w:rsidR="00516871">
        <w:rPr>
          <w:rFonts w:cs="Times New Roman"/>
          <w:kern w:val="0"/>
        </w:rPr>
        <w:t>8</w:t>
      </w:r>
      <w:r w:rsidR="00516871" w:rsidRPr="008B6F23">
        <w:rPr>
          <w:rFonts w:cs="Times New Roman"/>
          <w:kern w:val="0"/>
        </w:rPr>
        <w:t xml:space="preserve"> Ma</w:t>
      </w:r>
      <w:r w:rsidR="00516871">
        <w:rPr>
          <w:rFonts w:cs="Times New Roman"/>
          <w:kern w:val="0"/>
        </w:rPr>
        <w:t>y</w:t>
      </w:r>
      <w:r w:rsidR="00516871" w:rsidRPr="008B6F23">
        <w:rPr>
          <w:rFonts w:cs="Times New Roman"/>
          <w:kern w:val="0"/>
        </w:rPr>
        <w:t xml:space="preserve"> 2026].</w:t>
      </w:r>
    </w:p>
    <w:p w14:paraId="3EACF2B9" w14:textId="5B8B8BFB"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(2025d). CIPD | the UK’s Relationship with EU Employment Law post-Brexit. [online] CIPD. Available at: </w:t>
      </w:r>
      <w:hyperlink r:id="rId22" w:history="1">
        <w:r w:rsidRPr="00E50D3C">
          <w:rPr>
            <w:lang w:val="en-GB"/>
          </w:rPr>
          <w:t>https://www.cipd.org/uk/knowledge/employment-law/uk-employment-law-eu/</w:t>
        </w:r>
      </w:hyperlink>
      <w:r w:rsidR="00516871">
        <w:rPr>
          <w:lang w:val="en-GB"/>
        </w:rPr>
        <w:t xml:space="preserve"> </w:t>
      </w:r>
      <w:r w:rsidR="00516871" w:rsidRPr="008B6F23">
        <w:rPr>
          <w:rFonts w:cs="Times New Roman"/>
          <w:kern w:val="0"/>
        </w:rPr>
        <w:t>[Accessed 2</w:t>
      </w:r>
      <w:r w:rsidR="00516871">
        <w:rPr>
          <w:rFonts w:cs="Times New Roman"/>
          <w:kern w:val="0"/>
        </w:rPr>
        <w:t>8</w:t>
      </w:r>
      <w:r w:rsidR="00516871" w:rsidRPr="008B6F23">
        <w:rPr>
          <w:rFonts w:cs="Times New Roman"/>
          <w:kern w:val="0"/>
        </w:rPr>
        <w:t xml:space="preserve"> Ma</w:t>
      </w:r>
      <w:r w:rsidR="00516871">
        <w:rPr>
          <w:rFonts w:cs="Times New Roman"/>
          <w:kern w:val="0"/>
        </w:rPr>
        <w:t>y</w:t>
      </w:r>
      <w:r w:rsidR="00516871" w:rsidRPr="008B6F23">
        <w:rPr>
          <w:rFonts w:cs="Times New Roman"/>
          <w:kern w:val="0"/>
        </w:rPr>
        <w:t xml:space="preserve"> 2026].</w:t>
      </w:r>
    </w:p>
    <w:p w14:paraId="0BE873C2" w14:textId="75807168"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(2025e). Employment Law. [online] CIPD. Available at: </w:t>
      </w:r>
      <w:hyperlink r:id="rId23" w:history="1">
        <w:r w:rsidRPr="00E50D3C">
          <w:rPr>
            <w:lang w:val="en-GB"/>
          </w:rPr>
          <w:t>https://www.cipd.org/uk/knowledge/employment-law/</w:t>
        </w:r>
      </w:hyperlink>
      <w:r w:rsidR="00516871">
        <w:rPr>
          <w:lang w:val="en-GB"/>
        </w:rPr>
        <w:t xml:space="preserve"> </w:t>
      </w:r>
      <w:r w:rsidR="00516871" w:rsidRPr="008B6F23">
        <w:rPr>
          <w:rFonts w:cs="Times New Roman"/>
          <w:kern w:val="0"/>
        </w:rPr>
        <w:t xml:space="preserve">[Accessed </w:t>
      </w:r>
      <w:r w:rsidR="00516871">
        <w:rPr>
          <w:rFonts w:cs="Times New Roman"/>
          <w:kern w:val="0"/>
        </w:rPr>
        <w:t>12</w:t>
      </w:r>
      <w:r w:rsidR="00516871" w:rsidRPr="008B6F23">
        <w:rPr>
          <w:rFonts w:cs="Times New Roman"/>
          <w:kern w:val="0"/>
        </w:rPr>
        <w:t xml:space="preserve"> Ma</w:t>
      </w:r>
      <w:r w:rsidR="00516871">
        <w:rPr>
          <w:rFonts w:cs="Times New Roman"/>
          <w:kern w:val="0"/>
        </w:rPr>
        <w:t>y</w:t>
      </w:r>
      <w:r w:rsidR="00516871" w:rsidRPr="008B6F23">
        <w:rPr>
          <w:rFonts w:cs="Times New Roman"/>
          <w:kern w:val="0"/>
        </w:rPr>
        <w:t xml:space="preserve"> 2026].</w:t>
      </w:r>
    </w:p>
    <w:p w14:paraId="6FAD9711" w14:textId="355ABFE5"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(2026a). CIPD | Flexible Working Practices | Factsheets. [online] CIPD. Available at: </w:t>
      </w:r>
      <w:hyperlink r:id="rId24" w:history="1">
        <w:r w:rsidRPr="00E50D3C">
          <w:rPr>
            <w:lang w:val="en-GB"/>
          </w:rPr>
          <w:t>https://www.cipd.org/uk/knowledge/factsheets/flexible-working-factsheet/</w:t>
        </w:r>
      </w:hyperlink>
      <w:r w:rsidR="00516871">
        <w:rPr>
          <w:lang w:val="en-GB"/>
        </w:rPr>
        <w:t xml:space="preserve"> </w:t>
      </w:r>
      <w:r w:rsidR="00516871" w:rsidRPr="008B6F23">
        <w:rPr>
          <w:rFonts w:cs="Times New Roman"/>
          <w:kern w:val="0"/>
        </w:rPr>
        <w:t>[Accessed 21 Ma</w:t>
      </w:r>
      <w:r w:rsidR="00516871">
        <w:rPr>
          <w:rFonts w:cs="Times New Roman"/>
          <w:kern w:val="0"/>
        </w:rPr>
        <w:t>y</w:t>
      </w:r>
      <w:r w:rsidR="00516871" w:rsidRPr="008B6F23">
        <w:rPr>
          <w:rFonts w:cs="Times New Roman"/>
          <w:kern w:val="0"/>
        </w:rPr>
        <w:t xml:space="preserve"> 2026].</w:t>
      </w:r>
    </w:p>
    <w:p w14:paraId="71894CDA" w14:textId="28BB528D"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(2026b). Maternity &amp; Parental Rights. [online] CIPD. Available at: </w:t>
      </w:r>
      <w:hyperlink r:id="rId25" w:history="1">
        <w:r w:rsidRPr="00E50D3C">
          <w:rPr>
            <w:lang w:val="en-GB"/>
          </w:rPr>
          <w:t>https://www.cipd.org/uk/knowledge/employment-law/maternity-paternity-rights/</w:t>
        </w:r>
      </w:hyperlink>
      <w:r w:rsidR="00516871">
        <w:rPr>
          <w:lang w:val="en-GB"/>
        </w:rPr>
        <w:t xml:space="preserve"> </w:t>
      </w:r>
      <w:r w:rsidR="00516871" w:rsidRPr="008B6F23">
        <w:rPr>
          <w:rFonts w:cs="Times New Roman"/>
          <w:kern w:val="0"/>
        </w:rPr>
        <w:t xml:space="preserve">[Accessed </w:t>
      </w:r>
      <w:r w:rsidR="00516871">
        <w:rPr>
          <w:rFonts w:cs="Times New Roman"/>
          <w:kern w:val="0"/>
        </w:rPr>
        <w:t>8</w:t>
      </w:r>
      <w:r w:rsidR="00516871" w:rsidRPr="008B6F23">
        <w:rPr>
          <w:rFonts w:cs="Times New Roman"/>
          <w:kern w:val="0"/>
        </w:rPr>
        <w:t xml:space="preserve"> Ma</w:t>
      </w:r>
      <w:r w:rsidR="00516871">
        <w:rPr>
          <w:rFonts w:cs="Times New Roman"/>
          <w:kern w:val="0"/>
        </w:rPr>
        <w:t>y</w:t>
      </w:r>
      <w:r w:rsidR="00516871" w:rsidRPr="008B6F23">
        <w:rPr>
          <w:rFonts w:cs="Times New Roman"/>
          <w:kern w:val="0"/>
        </w:rPr>
        <w:t xml:space="preserve"> 2026].</w:t>
      </w:r>
    </w:p>
    <w:p w14:paraId="3B5633C4" w14:textId="2895CE63"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CIPD (2026c). Maternity, Paternity and Adoption Rights. [online] CIPD. Available at: </w:t>
      </w:r>
      <w:hyperlink r:id="rId26" w:history="1">
        <w:r w:rsidRPr="00E50D3C">
          <w:rPr>
            <w:lang w:val="en-GB"/>
          </w:rPr>
          <w:t>https://www.cipd.org/uk/knowledge/factsheets/maternity-paternity-rights-factsheet/</w:t>
        </w:r>
      </w:hyperlink>
      <w:r w:rsidR="00857F9D">
        <w:rPr>
          <w:lang w:val="en-GB"/>
        </w:rPr>
        <w:t xml:space="preserve"> </w:t>
      </w:r>
      <w:r w:rsidR="00857F9D" w:rsidRPr="008B6F23">
        <w:rPr>
          <w:rFonts w:cs="Times New Roman"/>
          <w:kern w:val="0"/>
        </w:rPr>
        <w:t>[Accessed 2</w:t>
      </w:r>
      <w:r w:rsidR="00857F9D">
        <w:rPr>
          <w:rFonts w:cs="Times New Roman"/>
          <w:kern w:val="0"/>
        </w:rPr>
        <w:t>2</w:t>
      </w:r>
      <w:r w:rsidR="00857F9D" w:rsidRPr="008B6F23">
        <w:rPr>
          <w:rFonts w:cs="Times New Roman"/>
          <w:kern w:val="0"/>
        </w:rPr>
        <w:t xml:space="preserve"> Ma</w:t>
      </w:r>
      <w:r w:rsidR="00857F9D">
        <w:rPr>
          <w:rFonts w:cs="Times New Roman"/>
          <w:kern w:val="0"/>
        </w:rPr>
        <w:t>y</w:t>
      </w:r>
      <w:r w:rsidR="00857F9D" w:rsidRPr="008B6F23">
        <w:rPr>
          <w:rFonts w:cs="Times New Roman"/>
          <w:kern w:val="0"/>
        </w:rPr>
        <w:t>. 2026].</w:t>
      </w:r>
    </w:p>
    <w:p w14:paraId="750CC7AF"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Cushway, B. (2017). The employer’s handbook, 2017-</w:t>
      </w:r>
      <w:proofErr w:type="gramStart"/>
      <w:r w:rsidRPr="00E50D3C">
        <w:rPr>
          <w:lang w:val="en-GB"/>
        </w:rPr>
        <w:t>18 :</w:t>
      </w:r>
      <w:proofErr w:type="gramEnd"/>
      <w:r w:rsidRPr="00E50D3C">
        <w:rPr>
          <w:lang w:val="en-GB"/>
        </w:rPr>
        <w:t xml:space="preserve"> an Essential Guide to Employment law, Personnel Policies and Procedures. London: Kogan Page.</w:t>
      </w:r>
    </w:p>
    <w:p w14:paraId="06556A7B"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Daniels, K. (2025). Introduction to Employment </w:t>
      </w:r>
      <w:proofErr w:type="gramStart"/>
      <w:r w:rsidRPr="00E50D3C">
        <w:rPr>
          <w:lang w:val="en-GB"/>
        </w:rPr>
        <w:t>Law :</w:t>
      </w:r>
      <w:proofErr w:type="gramEnd"/>
      <w:r w:rsidRPr="00E50D3C">
        <w:rPr>
          <w:lang w:val="en-GB"/>
        </w:rPr>
        <w:t xml:space="preserve"> Fundamentals for HR and Business </w:t>
      </w:r>
      <w:r w:rsidRPr="00E50D3C">
        <w:rPr>
          <w:lang w:val="en-GB"/>
        </w:rPr>
        <w:lastRenderedPageBreak/>
        <w:t>Students. 7th ed. London: Kogan Page, Limited.</w:t>
      </w:r>
    </w:p>
    <w:p w14:paraId="15E2A55C" w14:textId="18020DD0"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Department for Business and Trade (2020). Calculating holiday pay for workers without fixed hours or pay. [online] GOV.UK. Available at: </w:t>
      </w:r>
      <w:hyperlink r:id="rId27" w:history="1">
        <w:r w:rsidRPr="00E50D3C">
          <w:rPr>
            <w:lang w:val="en-GB"/>
          </w:rPr>
          <w:t>https://www.gov.uk/government/publications/calculating-holiday-pay-for-workers-without-fixed-hours-or-pay</w:t>
        </w:r>
      </w:hyperlink>
      <w:r w:rsidR="00857F9D">
        <w:rPr>
          <w:lang w:val="en-GB"/>
        </w:rPr>
        <w:t xml:space="preserve"> </w:t>
      </w:r>
      <w:r w:rsidR="00857F9D" w:rsidRPr="008B6F23">
        <w:rPr>
          <w:rFonts w:cs="Times New Roman"/>
          <w:kern w:val="0"/>
        </w:rPr>
        <w:t>[Accessed 2</w:t>
      </w:r>
      <w:r w:rsidR="00857F9D">
        <w:rPr>
          <w:rFonts w:cs="Times New Roman"/>
          <w:kern w:val="0"/>
        </w:rPr>
        <w:t>5</w:t>
      </w:r>
      <w:r w:rsidR="00857F9D" w:rsidRPr="008B6F23">
        <w:rPr>
          <w:rFonts w:cs="Times New Roman"/>
          <w:kern w:val="0"/>
        </w:rPr>
        <w:t xml:space="preserve"> Ma</w:t>
      </w:r>
      <w:r w:rsidR="00857F9D">
        <w:rPr>
          <w:rFonts w:cs="Times New Roman"/>
          <w:kern w:val="0"/>
        </w:rPr>
        <w:t>y</w:t>
      </w:r>
      <w:r w:rsidR="00857F9D">
        <w:rPr>
          <w:rFonts w:cs="Times New Roman"/>
          <w:kern w:val="0"/>
        </w:rPr>
        <w:t xml:space="preserve"> </w:t>
      </w:r>
      <w:r w:rsidR="00857F9D" w:rsidRPr="008B6F23">
        <w:rPr>
          <w:rFonts w:cs="Times New Roman"/>
          <w:kern w:val="0"/>
        </w:rPr>
        <w:t>2026].</w:t>
      </w:r>
    </w:p>
    <w:p w14:paraId="32EE8880" w14:textId="0E4CC6C3" w:rsidR="005E2E02" w:rsidRPr="00E50D3C" w:rsidRDefault="005E2E02" w:rsidP="005E2E02">
      <w:pPr>
        <w:widowControl w:val="0"/>
        <w:autoSpaceDE w:val="0"/>
        <w:autoSpaceDN w:val="0"/>
        <w:adjustRightInd w:val="0"/>
        <w:spacing w:after="240" w:line="360" w:lineRule="auto"/>
        <w:rPr>
          <w:lang w:val="en-GB"/>
        </w:rPr>
      </w:pPr>
      <w:r w:rsidRPr="00E50D3C">
        <w:rPr>
          <w:lang w:val="en-GB"/>
        </w:rPr>
        <w:t>UK</w:t>
      </w:r>
      <w:r w:rsidR="00857F9D">
        <w:rPr>
          <w:lang w:val="en-GB"/>
        </w:rPr>
        <w:t xml:space="preserve"> Government</w:t>
      </w:r>
      <w:r w:rsidRPr="00E50D3C">
        <w:rPr>
          <w:lang w:val="en-GB"/>
        </w:rPr>
        <w:t xml:space="preserve"> (2026a). Calculate Holiday Entitlement. [online] GOV.UK. Available at: </w:t>
      </w:r>
      <w:hyperlink r:id="rId28" w:history="1">
        <w:r w:rsidRPr="00E50D3C">
          <w:rPr>
            <w:lang w:val="en-GB"/>
          </w:rPr>
          <w:t>https://www.gov.uk/calculate-your-holiday-entitlement</w:t>
        </w:r>
      </w:hyperlink>
      <w:r w:rsidR="00857F9D">
        <w:rPr>
          <w:lang w:val="en-GB"/>
        </w:rPr>
        <w:t xml:space="preserve"> </w:t>
      </w:r>
      <w:r w:rsidR="00857F9D" w:rsidRPr="008B6F23">
        <w:rPr>
          <w:rFonts w:cs="Times New Roman"/>
          <w:kern w:val="0"/>
        </w:rPr>
        <w:t>[Accessed 2</w:t>
      </w:r>
      <w:r w:rsidR="00857F9D">
        <w:rPr>
          <w:rFonts w:cs="Times New Roman"/>
          <w:kern w:val="0"/>
        </w:rPr>
        <w:t>5</w:t>
      </w:r>
      <w:r w:rsidR="00857F9D" w:rsidRPr="008B6F23">
        <w:rPr>
          <w:rFonts w:cs="Times New Roman"/>
          <w:kern w:val="0"/>
        </w:rPr>
        <w:t xml:space="preserve"> Ma</w:t>
      </w:r>
      <w:r w:rsidR="00857F9D">
        <w:rPr>
          <w:rFonts w:cs="Times New Roman"/>
          <w:kern w:val="0"/>
        </w:rPr>
        <w:t xml:space="preserve">y </w:t>
      </w:r>
      <w:r w:rsidR="00857F9D" w:rsidRPr="008B6F23">
        <w:rPr>
          <w:rFonts w:cs="Times New Roman"/>
          <w:kern w:val="0"/>
        </w:rPr>
        <w:t>2026].</w:t>
      </w:r>
    </w:p>
    <w:p w14:paraId="03F75452" w14:textId="76786C26" w:rsidR="005E2E02" w:rsidRPr="00E50D3C" w:rsidRDefault="00857F9D" w:rsidP="005E2E02">
      <w:pPr>
        <w:widowControl w:val="0"/>
        <w:autoSpaceDE w:val="0"/>
        <w:autoSpaceDN w:val="0"/>
        <w:adjustRightInd w:val="0"/>
        <w:spacing w:after="240" w:line="360" w:lineRule="auto"/>
        <w:rPr>
          <w:lang w:val="en-GB"/>
        </w:rPr>
      </w:pPr>
      <w:r w:rsidRPr="00E50D3C">
        <w:rPr>
          <w:lang w:val="en-GB"/>
        </w:rPr>
        <w:t>UK</w:t>
      </w:r>
      <w:r>
        <w:rPr>
          <w:lang w:val="en-GB"/>
        </w:rPr>
        <w:t xml:space="preserve"> Government</w:t>
      </w:r>
      <w:r w:rsidRPr="00E50D3C">
        <w:rPr>
          <w:lang w:val="en-GB"/>
        </w:rPr>
        <w:t xml:space="preserve"> </w:t>
      </w:r>
      <w:r w:rsidR="005E2E02" w:rsidRPr="00E50D3C">
        <w:rPr>
          <w:lang w:val="en-GB"/>
        </w:rPr>
        <w:t xml:space="preserve">(2026b). Redundancy: Your Rights. [online] GOV.UK. Available at: </w:t>
      </w:r>
      <w:hyperlink r:id="rId29" w:history="1">
        <w:r w:rsidR="005E2E02" w:rsidRPr="00E50D3C">
          <w:rPr>
            <w:lang w:val="en-GB"/>
          </w:rPr>
          <w:t>https://www.gov.uk/redundancy-your-rights/redundancy-pay</w:t>
        </w:r>
      </w:hyperlink>
      <w:r>
        <w:rPr>
          <w:lang w:val="en-GB"/>
        </w:rPr>
        <w:t xml:space="preserve"> </w:t>
      </w:r>
      <w:r w:rsidRPr="008B6F23">
        <w:rPr>
          <w:rFonts w:cs="Times New Roman"/>
          <w:kern w:val="0"/>
        </w:rPr>
        <w:t>[Accessed 2</w:t>
      </w:r>
      <w:r>
        <w:rPr>
          <w:rFonts w:cs="Times New Roman"/>
          <w:kern w:val="0"/>
        </w:rPr>
        <w:t>5</w:t>
      </w:r>
      <w:r w:rsidRPr="008B6F23">
        <w:rPr>
          <w:rFonts w:cs="Times New Roman"/>
          <w:kern w:val="0"/>
        </w:rPr>
        <w:t xml:space="preserve"> Ma</w:t>
      </w:r>
      <w:r>
        <w:rPr>
          <w:rFonts w:cs="Times New Roman"/>
          <w:kern w:val="0"/>
        </w:rPr>
        <w:t xml:space="preserve">y </w:t>
      </w:r>
      <w:r w:rsidRPr="008B6F23">
        <w:rPr>
          <w:rFonts w:cs="Times New Roman"/>
          <w:kern w:val="0"/>
        </w:rPr>
        <w:t>2026].</w:t>
      </w:r>
    </w:p>
    <w:p w14:paraId="426A7BA5" w14:textId="2F036652" w:rsidR="005E2E02" w:rsidRPr="00E50D3C" w:rsidRDefault="00857F9D" w:rsidP="005E2E02">
      <w:pPr>
        <w:widowControl w:val="0"/>
        <w:autoSpaceDE w:val="0"/>
        <w:autoSpaceDN w:val="0"/>
        <w:adjustRightInd w:val="0"/>
        <w:spacing w:after="240" w:line="360" w:lineRule="auto"/>
        <w:rPr>
          <w:lang w:val="en-GB"/>
        </w:rPr>
      </w:pPr>
      <w:r w:rsidRPr="00E50D3C">
        <w:rPr>
          <w:lang w:val="en-GB"/>
        </w:rPr>
        <w:t>UK</w:t>
      </w:r>
      <w:r>
        <w:rPr>
          <w:lang w:val="en-GB"/>
        </w:rPr>
        <w:t xml:space="preserve"> Government</w:t>
      </w:r>
      <w:r w:rsidRPr="00E50D3C">
        <w:rPr>
          <w:lang w:val="en-GB"/>
        </w:rPr>
        <w:t xml:space="preserve"> </w:t>
      </w:r>
      <w:r w:rsidR="005E2E02" w:rsidRPr="00E50D3C">
        <w:rPr>
          <w:lang w:val="en-GB"/>
        </w:rPr>
        <w:t xml:space="preserve">(2026). Holiday Entitlement. [online] GOV.UK. Available at: </w:t>
      </w:r>
      <w:hyperlink r:id="rId30" w:history="1">
        <w:r w:rsidR="005E2E02" w:rsidRPr="00E50D3C">
          <w:rPr>
            <w:lang w:val="en-GB"/>
          </w:rPr>
          <w:t>https://www.gov.uk/holiday-entitlement-rights/holiday-pay-the-basics</w:t>
        </w:r>
      </w:hyperlink>
      <w:r w:rsidR="005E2E02" w:rsidRPr="00E50D3C">
        <w:rPr>
          <w:lang w:val="en-GB"/>
        </w:rPr>
        <w:t xml:space="preserve"> [Accessed 8 May 2026].</w:t>
      </w:r>
    </w:p>
    <w:p w14:paraId="0A164914"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Honeyball, S. (2011). Employment law. </w:t>
      </w:r>
      <w:proofErr w:type="gramStart"/>
      <w:r w:rsidRPr="00E50D3C">
        <w:rPr>
          <w:lang w:val="en-GB"/>
        </w:rPr>
        <w:t>Basingstoke ;</w:t>
      </w:r>
      <w:proofErr w:type="gramEnd"/>
      <w:r w:rsidRPr="00E50D3C">
        <w:rPr>
          <w:lang w:val="en-GB"/>
        </w:rPr>
        <w:t xml:space="preserve"> New York: Palgrave Macmillan.</w:t>
      </w:r>
    </w:p>
    <w:p w14:paraId="13FE3978"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Honeyball, S. (2014). Honeyball &amp; Bowers’ textbook on employment law. 14th ed. Oxford, United Kingdom: Oxford University Press.</w:t>
      </w:r>
    </w:p>
    <w:p w14:paraId="1AEF62B9" w14:textId="417CF22A"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Indeed (2024). What Is Employment law? (Definition, Purpose and examples). [online] Indeed Career Guide. Available at: </w:t>
      </w:r>
      <w:hyperlink r:id="rId31" w:history="1">
        <w:r w:rsidRPr="00E50D3C">
          <w:rPr>
            <w:lang w:val="en-GB"/>
          </w:rPr>
          <w:t>https://uk.indeed.com/career-advice/career-development/what-is-employment-law</w:t>
        </w:r>
      </w:hyperlink>
      <w:r w:rsidR="00857F9D">
        <w:rPr>
          <w:lang w:val="en-GB"/>
        </w:rPr>
        <w:t xml:space="preserve"> </w:t>
      </w:r>
      <w:r w:rsidR="00857F9D" w:rsidRPr="008B6F23">
        <w:rPr>
          <w:rFonts w:cs="Times New Roman"/>
          <w:kern w:val="0"/>
        </w:rPr>
        <w:t xml:space="preserve">[Accessed </w:t>
      </w:r>
      <w:r w:rsidR="00857F9D">
        <w:rPr>
          <w:rFonts w:cs="Times New Roman"/>
          <w:kern w:val="0"/>
        </w:rPr>
        <w:t>5</w:t>
      </w:r>
      <w:r w:rsidR="00857F9D" w:rsidRPr="008B6F23">
        <w:rPr>
          <w:rFonts w:cs="Times New Roman"/>
          <w:kern w:val="0"/>
        </w:rPr>
        <w:t xml:space="preserve"> Ma</w:t>
      </w:r>
      <w:r w:rsidR="00857F9D">
        <w:rPr>
          <w:rFonts w:cs="Times New Roman"/>
          <w:kern w:val="0"/>
        </w:rPr>
        <w:t xml:space="preserve">y </w:t>
      </w:r>
      <w:r w:rsidR="00857F9D" w:rsidRPr="008B6F23">
        <w:rPr>
          <w:rFonts w:cs="Times New Roman"/>
          <w:kern w:val="0"/>
        </w:rPr>
        <w:t>2026].</w:t>
      </w:r>
    </w:p>
    <w:p w14:paraId="6CAB1A89" w14:textId="7DDD2548"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KPMG (2023). Retained EU Employment Law and holiday entitlement consultations. [online] KPMG. Available at: </w:t>
      </w:r>
      <w:hyperlink r:id="rId32" w:history="1">
        <w:r w:rsidRPr="00E50D3C">
          <w:rPr>
            <w:lang w:val="en-GB"/>
          </w:rPr>
          <w:t>https://kpmg.com/uk/en/insights/tax/tmd-retained-eu-employment-law-and-holiday-entitlement-consultations.html</w:t>
        </w:r>
      </w:hyperlink>
      <w:r w:rsidR="00857F9D">
        <w:rPr>
          <w:lang w:val="en-GB"/>
        </w:rPr>
        <w:t xml:space="preserve"> </w:t>
      </w:r>
      <w:r w:rsidR="00857F9D" w:rsidRPr="008B6F23">
        <w:rPr>
          <w:rFonts w:cs="Times New Roman"/>
          <w:kern w:val="0"/>
        </w:rPr>
        <w:t>[Accessed 2 Ma</w:t>
      </w:r>
      <w:r w:rsidR="00857F9D">
        <w:rPr>
          <w:rFonts w:cs="Times New Roman"/>
          <w:kern w:val="0"/>
        </w:rPr>
        <w:t xml:space="preserve">y </w:t>
      </w:r>
      <w:r w:rsidR="00857F9D" w:rsidRPr="008B6F23">
        <w:rPr>
          <w:rFonts w:cs="Times New Roman"/>
          <w:kern w:val="0"/>
        </w:rPr>
        <w:t>2026].</w:t>
      </w:r>
    </w:p>
    <w:p w14:paraId="7B25F6F9"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Lewis, D. and Sargeant, M. (2017). Employment </w:t>
      </w:r>
      <w:proofErr w:type="gramStart"/>
      <w:r w:rsidRPr="00E50D3C">
        <w:rPr>
          <w:lang w:val="en-GB"/>
        </w:rPr>
        <w:t>law :</w:t>
      </w:r>
      <w:proofErr w:type="gramEnd"/>
      <w:r w:rsidRPr="00E50D3C">
        <w:rPr>
          <w:lang w:val="en-GB"/>
        </w:rPr>
        <w:t xml:space="preserve"> the essentials. London: Chartered Institute </w:t>
      </w:r>
      <w:proofErr w:type="gramStart"/>
      <w:r w:rsidRPr="00E50D3C">
        <w:rPr>
          <w:lang w:val="en-GB"/>
        </w:rPr>
        <w:t>Of</w:t>
      </w:r>
      <w:proofErr w:type="gramEnd"/>
      <w:r w:rsidRPr="00E50D3C">
        <w:rPr>
          <w:lang w:val="en-GB"/>
        </w:rPr>
        <w:t xml:space="preserve"> Personnel </w:t>
      </w:r>
      <w:proofErr w:type="gramStart"/>
      <w:r w:rsidRPr="00E50D3C">
        <w:rPr>
          <w:lang w:val="en-GB"/>
        </w:rPr>
        <w:t>And</w:t>
      </w:r>
      <w:proofErr w:type="gramEnd"/>
      <w:r w:rsidRPr="00E50D3C">
        <w:rPr>
          <w:lang w:val="en-GB"/>
        </w:rPr>
        <w:t xml:space="preserve"> Development.</w:t>
      </w:r>
    </w:p>
    <w:p w14:paraId="7A809C60"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Lewis, D., Sargeant, M. and Schwab, B. (2023). Employment Law: the Essentials. 16th ed. </w:t>
      </w:r>
      <w:r w:rsidRPr="00E50D3C">
        <w:rPr>
          <w:lang w:val="en-GB"/>
        </w:rPr>
        <w:lastRenderedPageBreak/>
        <w:t>Kogan Page Publishers.</w:t>
      </w:r>
    </w:p>
    <w:p w14:paraId="32FBFAB3"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Management, P. (2026). How New Employee Rights Raise the Bar on Workplace Investigations. [online] Peoplemanagement.co.uk. Available at: </w:t>
      </w:r>
      <w:hyperlink r:id="rId33" w:history="1">
        <w:r w:rsidRPr="00E50D3C">
          <w:rPr>
            <w:lang w:val="en-GB"/>
          </w:rPr>
          <w:t>https://www.peoplemanagement.co.uk/article/1955691/new-employee-rights-raise-bar-workplace-investigations</w:t>
        </w:r>
      </w:hyperlink>
      <w:r w:rsidRPr="00E50D3C">
        <w:rPr>
          <w:lang w:val="en-GB"/>
        </w:rPr>
        <w:t xml:space="preserve"> [Accessed 28 Apr. 2026].</w:t>
      </w:r>
    </w:p>
    <w:p w14:paraId="07CD6731" w14:textId="7AFB8B22"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Maternity Action (2026a). Home. [online] Maternity Action. Available at: </w:t>
      </w:r>
      <w:hyperlink r:id="rId34" w:history="1">
        <w:r w:rsidRPr="00E50D3C">
          <w:rPr>
            <w:lang w:val="en-GB"/>
          </w:rPr>
          <w:t>https://maternityaction.org.uk/</w:t>
        </w:r>
      </w:hyperlink>
      <w:r w:rsidR="003E3943">
        <w:rPr>
          <w:lang w:val="en-GB"/>
        </w:rPr>
        <w:t xml:space="preserve"> </w:t>
      </w:r>
      <w:r w:rsidR="003E3943" w:rsidRPr="008B6F23">
        <w:rPr>
          <w:rFonts w:cs="Times New Roman"/>
          <w:kern w:val="0"/>
        </w:rPr>
        <w:t xml:space="preserve">[Accessed </w:t>
      </w:r>
      <w:r w:rsidR="003E3943">
        <w:rPr>
          <w:rFonts w:cs="Times New Roman"/>
          <w:kern w:val="0"/>
        </w:rPr>
        <w:t>1</w:t>
      </w:r>
      <w:r w:rsidR="003E3943" w:rsidRPr="008B6F23">
        <w:rPr>
          <w:rFonts w:cs="Times New Roman"/>
          <w:kern w:val="0"/>
        </w:rPr>
        <w:t xml:space="preserve"> Ma</w:t>
      </w:r>
      <w:r w:rsidR="003E3943">
        <w:rPr>
          <w:rFonts w:cs="Times New Roman"/>
          <w:kern w:val="0"/>
        </w:rPr>
        <w:t xml:space="preserve">y </w:t>
      </w:r>
      <w:r w:rsidR="003E3943" w:rsidRPr="008B6F23">
        <w:rPr>
          <w:rFonts w:cs="Times New Roman"/>
          <w:kern w:val="0"/>
        </w:rPr>
        <w:t>2026].</w:t>
      </w:r>
    </w:p>
    <w:p w14:paraId="6DFC852F" w14:textId="1F8C58EC"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Maternity Action (2026b). Shared parental leave and pay. [online] Maternity Action. Available at: </w:t>
      </w:r>
      <w:hyperlink r:id="rId35" w:history="1">
        <w:r w:rsidRPr="00E50D3C">
          <w:rPr>
            <w:lang w:val="en-GB"/>
          </w:rPr>
          <w:t>https://maternityaction.org.uk/advice/shared-parental-leave-and-pay/</w:t>
        </w:r>
      </w:hyperlink>
      <w:r w:rsidR="003E3943">
        <w:rPr>
          <w:lang w:val="en-GB"/>
        </w:rPr>
        <w:t xml:space="preserve"> </w:t>
      </w:r>
      <w:r w:rsidR="003E3943" w:rsidRPr="008B6F23">
        <w:rPr>
          <w:rFonts w:cs="Times New Roman"/>
          <w:kern w:val="0"/>
        </w:rPr>
        <w:t xml:space="preserve">[Accessed </w:t>
      </w:r>
      <w:r w:rsidR="003E3943">
        <w:rPr>
          <w:rFonts w:cs="Times New Roman"/>
          <w:kern w:val="0"/>
        </w:rPr>
        <w:t>1</w:t>
      </w:r>
      <w:r w:rsidR="003E3943" w:rsidRPr="008B6F23">
        <w:rPr>
          <w:rFonts w:cs="Times New Roman"/>
          <w:kern w:val="0"/>
        </w:rPr>
        <w:t>Ma</w:t>
      </w:r>
      <w:r w:rsidR="003E3943">
        <w:rPr>
          <w:rFonts w:cs="Times New Roman"/>
          <w:kern w:val="0"/>
        </w:rPr>
        <w:t xml:space="preserve">y </w:t>
      </w:r>
      <w:r w:rsidR="003E3943" w:rsidRPr="008B6F23">
        <w:rPr>
          <w:rFonts w:cs="Times New Roman"/>
          <w:kern w:val="0"/>
        </w:rPr>
        <w:t>2026].</w:t>
      </w:r>
    </w:p>
    <w:p w14:paraId="0B8E59BC"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Maternity Pay Calculator (2026). NHS Maternity Pay &amp; Leave: What NHS Staff Get in 2026/27. [online] Maternity Pay Calculator. Available at: </w:t>
      </w:r>
      <w:hyperlink r:id="rId36" w:history="1">
        <w:r w:rsidRPr="00E50D3C">
          <w:rPr>
            <w:lang w:val="en-GB"/>
          </w:rPr>
          <w:t>https://maternitypaycalculator.co.uk/guides/nhs-maternity-pay-and-leave/</w:t>
        </w:r>
      </w:hyperlink>
      <w:r w:rsidRPr="00E50D3C">
        <w:rPr>
          <w:lang w:val="en-GB"/>
        </w:rPr>
        <w:t xml:space="preserve"> [Accessed 11 May 2026].</w:t>
      </w:r>
    </w:p>
    <w:p w14:paraId="6F1525EF"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Pitt, G. and Drew, S. (2022). Pitt’s Employment Law. 12th ed. Thomson Reuters Sweet &amp; Maxwell.</w:t>
      </w:r>
    </w:p>
    <w:p w14:paraId="195D3B36"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Smith, I.T. and Baker, A. (2013). Smith &amp; Wood’s employment law. </w:t>
      </w:r>
      <w:proofErr w:type="spellStart"/>
      <w:proofErr w:type="gramStart"/>
      <w:r w:rsidRPr="00E50D3C">
        <w:rPr>
          <w:lang w:val="en-GB"/>
        </w:rPr>
        <w:t>Oxfordu.A</w:t>
      </w:r>
      <w:proofErr w:type="spellEnd"/>
      <w:r w:rsidRPr="00E50D3C">
        <w:rPr>
          <w:lang w:val="en-GB"/>
        </w:rPr>
        <w:t>.: Oxford</w:t>
      </w:r>
      <w:proofErr w:type="gramEnd"/>
      <w:r w:rsidRPr="00E50D3C">
        <w:rPr>
          <w:lang w:val="en-GB"/>
        </w:rPr>
        <w:t xml:space="preserve"> Univ. Press.</w:t>
      </w:r>
    </w:p>
    <w:p w14:paraId="28B543FC" w14:textId="40DA13F4"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Taylor, M. (2017). Good work: the Taylor Review of Modern Working Practices. [online] GOV.UK. Available at: </w:t>
      </w:r>
      <w:hyperlink r:id="rId37" w:history="1">
        <w:r w:rsidRPr="00E50D3C">
          <w:rPr>
            <w:lang w:val="en-GB"/>
          </w:rPr>
          <w:t>https://www.gov.uk/government/publications/good-work-the-taylor-review-of-modern-working-practices</w:t>
        </w:r>
      </w:hyperlink>
      <w:r w:rsidR="003E3943">
        <w:rPr>
          <w:lang w:val="en-GB"/>
        </w:rPr>
        <w:t xml:space="preserve"> </w:t>
      </w:r>
      <w:r w:rsidR="003E3943" w:rsidRPr="008B6F23">
        <w:rPr>
          <w:rFonts w:cs="Times New Roman"/>
          <w:kern w:val="0"/>
        </w:rPr>
        <w:t xml:space="preserve">[Accessed </w:t>
      </w:r>
      <w:r w:rsidR="003E3943">
        <w:rPr>
          <w:rFonts w:cs="Times New Roman"/>
          <w:kern w:val="0"/>
        </w:rPr>
        <w:t>8 April</w:t>
      </w:r>
      <w:r w:rsidR="003E3943">
        <w:rPr>
          <w:rFonts w:cs="Times New Roman"/>
          <w:kern w:val="0"/>
        </w:rPr>
        <w:t xml:space="preserve"> </w:t>
      </w:r>
      <w:r w:rsidR="003E3943" w:rsidRPr="008B6F23">
        <w:rPr>
          <w:rFonts w:cs="Times New Roman"/>
          <w:kern w:val="0"/>
        </w:rPr>
        <w:t>2026].</w:t>
      </w:r>
    </w:p>
    <w:p w14:paraId="4CFDEB52"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Taylor, S. and Emir, A. (2012). Employment </w:t>
      </w:r>
      <w:proofErr w:type="gramStart"/>
      <w:r w:rsidRPr="00E50D3C">
        <w:rPr>
          <w:lang w:val="en-GB"/>
        </w:rPr>
        <w:t>law :</w:t>
      </w:r>
      <w:proofErr w:type="gramEnd"/>
      <w:r w:rsidRPr="00E50D3C">
        <w:rPr>
          <w:lang w:val="en-GB"/>
        </w:rPr>
        <w:t xml:space="preserve"> an introduction. 3rd ed. Oxford: Oxford University Press.</w:t>
      </w:r>
    </w:p>
    <w:p w14:paraId="44397B49"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Taylor, S. and Emir, A. (2019). Employment Law: an Introduction. 5th ed. Oxford, United </w:t>
      </w:r>
      <w:r w:rsidRPr="00E50D3C">
        <w:rPr>
          <w:lang w:val="en-GB"/>
        </w:rPr>
        <w:lastRenderedPageBreak/>
        <w:t>Kingdom: Oxford University Press.</w:t>
      </w:r>
    </w:p>
    <w:p w14:paraId="6C3B78D5" w14:textId="77777777" w:rsidR="005E2E02" w:rsidRPr="00E50D3C" w:rsidRDefault="005E2E02" w:rsidP="005E2E02">
      <w:pPr>
        <w:widowControl w:val="0"/>
        <w:autoSpaceDE w:val="0"/>
        <w:autoSpaceDN w:val="0"/>
        <w:adjustRightInd w:val="0"/>
        <w:spacing w:after="240" w:line="360" w:lineRule="auto"/>
        <w:rPr>
          <w:lang w:val="en-GB"/>
        </w:rPr>
      </w:pPr>
      <w:r w:rsidRPr="00E50D3C">
        <w:rPr>
          <w:lang w:val="en-GB"/>
        </w:rPr>
        <w:t xml:space="preserve">Taylor, S. and Woodhams, C. (2022). Human resource </w:t>
      </w:r>
      <w:proofErr w:type="gramStart"/>
      <w:r w:rsidRPr="00E50D3C">
        <w:rPr>
          <w:lang w:val="en-GB"/>
        </w:rPr>
        <w:t>management :</w:t>
      </w:r>
      <w:proofErr w:type="gramEnd"/>
      <w:r w:rsidRPr="00E50D3C">
        <w:rPr>
          <w:lang w:val="en-GB"/>
        </w:rPr>
        <w:t xml:space="preserve"> people and organisations. 3rd ed. New York, Ny: Kogan Page Inc.</w:t>
      </w:r>
    </w:p>
    <w:p w14:paraId="013F7DFD" w14:textId="77777777" w:rsidR="003E3943" w:rsidRPr="00E50D3C" w:rsidRDefault="005E2E02" w:rsidP="003E3943">
      <w:pPr>
        <w:widowControl w:val="0"/>
        <w:autoSpaceDE w:val="0"/>
        <w:autoSpaceDN w:val="0"/>
        <w:adjustRightInd w:val="0"/>
        <w:spacing w:after="240" w:line="360" w:lineRule="auto"/>
        <w:rPr>
          <w:lang w:val="en-GB"/>
        </w:rPr>
      </w:pPr>
      <w:r w:rsidRPr="00E50D3C">
        <w:rPr>
          <w:lang w:val="en-GB"/>
        </w:rPr>
        <w:t xml:space="preserve">The Law Society (2025). Retained EU Law. [online] www.lawsociety.org.uk. Available at: </w:t>
      </w:r>
      <w:hyperlink r:id="rId38" w:history="1">
        <w:r w:rsidRPr="00E50D3C">
          <w:rPr>
            <w:lang w:val="en-GB"/>
          </w:rPr>
          <w:t>https://www.lawsociety.org.uk/topics/brexit/retained-eu-law</w:t>
        </w:r>
      </w:hyperlink>
      <w:r w:rsidR="003E3943">
        <w:rPr>
          <w:lang w:val="en-GB"/>
        </w:rPr>
        <w:t xml:space="preserve"> </w:t>
      </w:r>
      <w:r w:rsidR="003E3943" w:rsidRPr="008B6F23">
        <w:rPr>
          <w:rFonts w:cs="Times New Roman"/>
          <w:kern w:val="0"/>
        </w:rPr>
        <w:t xml:space="preserve">[Accessed </w:t>
      </w:r>
      <w:r w:rsidR="003E3943">
        <w:rPr>
          <w:rFonts w:cs="Times New Roman"/>
          <w:kern w:val="0"/>
        </w:rPr>
        <w:t xml:space="preserve">8 April </w:t>
      </w:r>
      <w:r w:rsidR="003E3943" w:rsidRPr="008B6F23">
        <w:rPr>
          <w:rFonts w:cs="Times New Roman"/>
          <w:kern w:val="0"/>
        </w:rPr>
        <w:t>2026].</w:t>
      </w:r>
    </w:p>
    <w:p w14:paraId="40977100" w14:textId="7BD0F4D9" w:rsidR="005E2E02" w:rsidRPr="00E50D3C" w:rsidRDefault="005E2E02" w:rsidP="005E2E02">
      <w:pPr>
        <w:widowControl w:val="0"/>
        <w:autoSpaceDE w:val="0"/>
        <w:autoSpaceDN w:val="0"/>
        <w:adjustRightInd w:val="0"/>
        <w:spacing w:after="240" w:line="360" w:lineRule="auto"/>
        <w:rPr>
          <w:lang w:val="en-GB"/>
        </w:rPr>
      </w:pPr>
    </w:p>
    <w:p w14:paraId="15B0FB3C" w14:textId="77777777" w:rsidR="00A54D94" w:rsidRPr="00E50D3C" w:rsidRDefault="00A54D94" w:rsidP="00EF1ABD">
      <w:pPr>
        <w:jc w:val="both"/>
        <w:rPr>
          <w:lang w:val="en-GB"/>
        </w:rPr>
      </w:pPr>
    </w:p>
    <w:p w14:paraId="679F998D" w14:textId="77777777" w:rsidR="00822AD9" w:rsidRPr="00E50D3C" w:rsidRDefault="00822AD9" w:rsidP="00EF1ABD">
      <w:pPr>
        <w:jc w:val="both"/>
        <w:rPr>
          <w:lang w:val="en-GB"/>
        </w:rPr>
      </w:pPr>
    </w:p>
    <w:sectPr w:rsidR="00822AD9" w:rsidRPr="00E50D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µÈÏß"/>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87C3A"/>
    <w:multiLevelType w:val="multilevel"/>
    <w:tmpl w:val="2BB66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0146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664"/>
    <w:rsid w:val="00036548"/>
    <w:rsid w:val="00044BEA"/>
    <w:rsid w:val="00063D2F"/>
    <w:rsid w:val="00064CEB"/>
    <w:rsid w:val="000974CA"/>
    <w:rsid w:val="001B3FF9"/>
    <w:rsid w:val="001D4B40"/>
    <w:rsid w:val="001D5870"/>
    <w:rsid w:val="001F4C74"/>
    <w:rsid w:val="002560CA"/>
    <w:rsid w:val="0027164E"/>
    <w:rsid w:val="0028571A"/>
    <w:rsid w:val="002B36E0"/>
    <w:rsid w:val="003333FE"/>
    <w:rsid w:val="003E3943"/>
    <w:rsid w:val="004024A7"/>
    <w:rsid w:val="00491989"/>
    <w:rsid w:val="00496BC7"/>
    <w:rsid w:val="004A6358"/>
    <w:rsid w:val="004C1BFC"/>
    <w:rsid w:val="004E54B0"/>
    <w:rsid w:val="00516871"/>
    <w:rsid w:val="0055071A"/>
    <w:rsid w:val="00565A38"/>
    <w:rsid w:val="0058288B"/>
    <w:rsid w:val="005E2E02"/>
    <w:rsid w:val="005E3886"/>
    <w:rsid w:val="005F5971"/>
    <w:rsid w:val="006914AC"/>
    <w:rsid w:val="00694E02"/>
    <w:rsid w:val="006A7EF4"/>
    <w:rsid w:val="006C1434"/>
    <w:rsid w:val="00703A09"/>
    <w:rsid w:val="007317A9"/>
    <w:rsid w:val="00747E66"/>
    <w:rsid w:val="00815228"/>
    <w:rsid w:val="00822AD9"/>
    <w:rsid w:val="008259D3"/>
    <w:rsid w:val="00857F9D"/>
    <w:rsid w:val="0087477F"/>
    <w:rsid w:val="00942743"/>
    <w:rsid w:val="00992390"/>
    <w:rsid w:val="009B6CCA"/>
    <w:rsid w:val="009F070C"/>
    <w:rsid w:val="00A24499"/>
    <w:rsid w:val="00A54D94"/>
    <w:rsid w:val="00AD726B"/>
    <w:rsid w:val="00B4608E"/>
    <w:rsid w:val="00B71272"/>
    <w:rsid w:val="00B84C90"/>
    <w:rsid w:val="00BE6B64"/>
    <w:rsid w:val="00C10664"/>
    <w:rsid w:val="00C628D4"/>
    <w:rsid w:val="00CB726D"/>
    <w:rsid w:val="00DC460E"/>
    <w:rsid w:val="00E50D3C"/>
    <w:rsid w:val="00E615EA"/>
    <w:rsid w:val="00EB77B1"/>
    <w:rsid w:val="00ED742D"/>
    <w:rsid w:val="00EE799F"/>
    <w:rsid w:val="00EF1ABD"/>
    <w:rsid w:val="00EF6F97"/>
    <w:rsid w:val="00F30BDB"/>
    <w:rsid w:val="00F83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537E"/>
  <w15:chartTrackingRefBased/>
  <w15:docId w15:val="{619DB5A9-BD1E-45B7-9EB9-5E3A15839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664"/>
  </w:style>
  <w:style w:type="paragraph" w:styleId="Heading1">
    <w:name w:val="heading 1"/>
    <w:basedOn w:val="Normal"/>
    <w:next w:val="Normal"/>
    <w:link w:val="Heading1Char"/>
    <w:uiPriority w:val="9"/>
    <w:qFormat/>
    <w:rsid w:val="00C106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06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6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6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6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6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06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6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6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6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664"/>
    <w:rPr>
      <w:rFonts w:eastAsiaTheme="majorEastAsia" w:cstheme="majorBidi"/>
      <w:color w:val="272727" w:themeColor="text1" w:themeTint="D8"/>
    </w:rPr>
  </w:style>
  <w:style w:type="paragraph" w:styleId="Title">
    <w:name w:val="Title"/>
    <w:basedOn w:val="Normal"/>
    <w:next w:val="Normal"/>
    <w:link w:val="TitleChar"/>
    <w:uiPriority w:val="10"/>
    <w:qFormat/>
    <w:rsid w:val="00C10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664"/>
    <w:pPr>
      <w:spacing w:before="160"/>
      <w:jc w:val="center"/>
    </w:pPr>
    <w:rPr>
      <w:i/>
      <w:iCs/>
      <w:color w:val="404040" w:themeColor="text1" w:themeTint="BF"/>
    </w:rPr>
  </w:style>
  <w:style w:type="character" w:customStyle="1" w:styleId="QuoteChar">
    <w:name w:val="Quote Char"/>
    <w:basedOn w:val="DefaultParagraphFont"/>
    <w:link w:val="Quote"/>
    <w:uiPriority w:val="29"/>
    <w:rsid w:val="00C10664"/>
    <w:rPr>
      <w:i/>
      <w:iCs/>
      <w:color w:val="404040" w:themeColor="text1" w:themeTint="BF"/>
    </w:rPr>
  </w:style>
  <w:style w:type="paragraph" w:styleId="ListParagraph">
    <w:name w:val="List Paragraph"/>
    <w:basedOn w:val="Normal"/>
    <w:uiPriority w:val="34"/>
    <w:qFormat/>
    <w:rsid w:val="00C10664"/>
    <w:pPr>
      <w:ind w:left="720"/>
      <w:contextualSpacing/>
    </w:pPr>
  </w:style>
  <w:style w:type="character" w:styleId="IntenseEmphasis">
    <w:name w:val="Intense Emphasis"/>
    <w:basedOn w:val="DefaultParagraphFont"/>
    <w:uiPriority w:val="21"/>
    <w:qFormat/>
    <w:rsid w:val="00C10664"/>
    <w:rPr>
      <w:i/>
      <w:iCs/>
      <w:color w:val="0F4761" w:themeColor="accent1" w:themeShade="BF"/>
    </w:rPr>
  </w:style>
  <w:style w:type="paragraph" w:styleId="IntenseQuote">
    <w:name w:val="Intense Quote"/>
    <w:basedOn w:val="Normal"/>
    <w:next w:val="Normal"/>
    <w:link w:val="IntenseQuoteChar"/>
    <w:uiPriority w:val="30"/>
    <w:qFormat/>
    <w:rsid w:val="00C106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664"/>
    <w:rPr>
      <w:i/>
      <w:iCs/>
      <w:color w:val="0F4761" w:themeColor="accent1" w:themeShade="BF"/>
    </w:rPr>
  </w:style>
  <w:style w:type="character" w:styleId="IntenseReference">
    <w:name w:val="Intense Reference"/>
    <w:basedOn w:val="DefaultParagraphFont"/>
    <w:uiPriority w:val="32"/>
    <w:qFormat/>
    <w:rsid w:val="00C10664"/>
    <w:rPr>
      <w:b/>
      <w:bCs/>
      <w:smallCaps/>
      <w:color w:val="0F4761" w:themeColor="accent1" w:themeShade="BF"/>
      <w:spacing w:val="5"/>
    </w:rPr>
  </w:style>
  <w:style w:type="paragraph" w:customStyle="1" w:styleId="Listparag">
    <w:name w:val="List parag"/>
    <w:basedOn w:val="ListParagraph"/>
    <w:link w:val="ListparagChar"/>
    <w:qFormat/>
    <w:rsid w:val="004A6358"/>
    <w:pPr>
      <w:spacing w:after="120" w:line="264" w:lineRule="auto"/>
      <w:ind w:left="0"/>
      <w:contextualSpacing w:val="0"/>
    </w:pPr>
    <w:rPr>
      <w:rFonts w:eastAsia="Times New Roman" w:cstheme="minorHAnsi"/>
      <w:color w:val="000000"/>
      <w:kern w:val="0"/>
      <w:sz w:val="22"/>
      <w:szCs w:val="22"/>
      <w:lang w:val="en-GB" w:eastAsia="en-GB"/>
      <w14:ligatures w14:val="none"/>
    </w:rPr>
  </w:style>
  <w:style w:type="character" w:customStyle="1" w:styleId="ListparagChar">
    <w:name w:val="List parag Char"/>
    <w:basedOn w:val="DefaultParagraphFont"/>
    <w:link w:val="Listparag"/>
    <w:rsid w:val="004A6358"/>
    <w:rPr>
      <w:rFonts w:eastAsia="Times New Roman" w:cstheme="minorHAnsi"/>
      <w:color w:val="000000"/>
      <w:kern w:val="0"/>
      <w:sz w:val="22"/>
      <w:szCs w:val="22"/>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42487/size-of-uk-gig-economy-doubles-in-three-years" TargetMode="External"/><Relationship Id="rId18" Type="http://schemas.openxmlformats.org/officeDocument/2006/relationships/hyperlink" Target="https://www.cipd.org/uk/knowledge/employment-law/redundancy/" TargetMode="External"/><Relationship Id="rId26" Type="http://schemas.openxmlformats.org/officeDocument/2006/relationships/hyperlink" Target="https://www.cipd.org/uk/knowledge/factsheets/maternity-paternity-rights-factsheet/" TargetMode="External"/><Relationship Id="rId39" Type="http://schemas.openxmlformats.org/officeDocument/2006/relationships/fontTable" Target="fontTable.xml"/><Relationship Id="rId21" Type="http://schemas.openxmlformats.org/officeDocument/2006/relationships/hyperlink" Target="https://www.cipd.org/uk/knowledge/employment-law/tupe/" TargetMode="External"/><Relationship Id="rId34" Type="http://schemas.openxmlformats.org/officeDocument/2006/relationships/hyperlink" Target="https://maternityaction.org.uk/" TargetMode="External"/><Relationship Id="rId7" Type="http://schemas.openxmlformats.org/officeDocument/2006/relationships/hyperlink" Target="https://www.acas.org.uk/irregular-hours-and-part-year-workers/calculating-holiday-pay" TargetMode="External"/><Relationship Id="rId12" Type="http://schemas.openxmlformats.org/officeDocument/2006/relationships/hyperlink" Target="https://r3-vlebooks-com.uwtsd.idm.oclc.org/Reader?ean=9781292309378" TargetMode="External"/><Relationship Id="rId17" Type="http://schemas.openxmlformats.org/officeDocument/2006/relationships/hyperlink" Target="https://www.cipd.org/uk/views-and-insights/cipd-viewpoint/flexible-working-update/" TargetMode="External"/><Relationship Id="rId25" Type="http://schemas.openxmlformats.org/officeDocument/2006/relationships/hyperlink" Target="https://www.cipd.org/uk/knowledge/employment-law/maternity-paternity-rights/" TargetMode="External"/><Relationship Id="rId33" Type="http://schemas.openxmlformats.org/officeDocument/2006/relationships/hyperlink" Target="https://www.peoplemanagement.co.uk/article/1955691/new-employee-rights-raise-bar-workplace-investigations" TargetMode="External"/><Relationship Id="rId38" Type="http://schemas.openxmlformats.org/officeDocument/2006/relationships/hyperlink" Target="https://www.lawsociety.org.uk/topics/brexit/retained-eu-law" TargetMode="External"/><Relationship Id="rId2" Type="http://schemas.openxmlformats.org/officeDocument/2006/relationships/styles" Target="styles.xml"/><Relationship Id="rId16" Type="http://schemas.openxmlformats.org/officeDocument/2006/relationships/hyperlink" Target="https://www.cipd.org/uk/knowledge/guides/tupe-guide/" TargetMode="External"/><Relationship Id="rId20" Type="http://schemas.openxmlformats.org/officeDocument/2006/relationships/hyperlink" Target="https://www.cipd.org/uk/knowledge/employment-law/flexible-working/" TargetMode="External"/><Relationship Id="rId29" Type="http://schemas.openxmlformats.org/officeDocument/2006/relationships/hyperlink" Target="https://www.gov.uk/redundancy-your-rights/redundancy-pay" TargetMode="External"/><Relationship Id="rId1" Type="http://schemas.openxmlformats.org/officeDocument/2006/relationships/numbering" Target="numbering.xml"/><Relationship Id="rId6" Type="http://schemas.openxmlformats.org/officeDocument/2006/relationships/hyperlink" Target="https://www.acas.org.uk/employment-tribunal-time-limits" TargetMode="External"/><Relationship Id="rId11" Type="http://schemas.openxmlformats.org/officeDocument/2006/relationships/hyperlink" Target="https://www.acas.org.uk/dismissals/constructive-dismissal" TargetMode="External"/><Relationship Id="rId24" Type="http://schemas.openxmlformats.org/officeDocument/2006/relationships/hyperlink" Target="https://www.cipd.org/uk/knowledge/factsheets/flexible-working-factsheet/" TargetMode="External"/><Relationship Id="rId32" Type="http://schemas.openxmlformats.org/officeDocument/2006/relationships/hyperlink" Target="https://kpmg.com/uk/en/insights/tax/tmd-retained-eu-employment-law-and-holiday-entitlement-consultations.html" TargetMode="External"/><Relationship Id="rId37" Type="http://schemas.openxmlformats.org/officeDocument/2006/relationships/hyperlink" Target="https://www.gov.uk/government/publications/good-work-the-taylor-review-of-modern-working-practices" TargetMode="External"/><Relationship Id="rId40" Type="http://schemas.openxmlformats.org/officeDocument/2006/relationships/theme" Target="theme/theme1.xml"/><Relationship Id="rId5" Type="http://schemas.openxmlformats.org/officeDocument/2006/relationships/hyperlink" Target="https://www.acas.org.uk/equal-pay/equal-pay-law" TargetMode="External"/><Relationship Id="rId15" Type="http://schemas.openxmlformats.org/officeDocument/2006/relationships/hyperlink" Target="https://www.cipd.org/uk/about/press-releases/150121uk-employment-law-strikes-right-balance/" TargetMode="External"/><Relationship Id="rId23" Type="http://schemas.openxmlformats.org/officeDocument/2006/relationships/hyperlink" Target="https://www.cipd.org/uk/knowledge/employment-law/" TargetMode="External"/><Relationship Id="rId28" Type="http://schemas.openxmlformats.org/officeDocument/2006/relationships/hyperlink" Target="https://www.gov.uk/calculate-your-holiday-entitlement" TargetMode="External"/><Relationship Id="rId36" Type="http://schemas.openxmlformats.org/officeDocument/2006/relationships/hyperlink" Target="https://maternitypaycalculator.co.uk/guides/nhs-maternity-pay-and-leave/" TargetMode="External"/><Relationship Id="rId10" Type="http://schemas.openxmlformats.org/officeDocument/2006/relationships/hyperlink" Target="https://www.acas.org.uk/recruitment/using-protected-characteristics" TargetMode="External"/><Relationship Id="rId19" Type="http://schemas.openxmlformats.org/officeDocument/2006/relationships/hyperlink" Target="https://www.cipd.org/uk/knowledge/employment-law/employment-law-uk-how-made/" TargetMode="External"/><Relationship Id="rId31" Type="http://schemas.openxmlformats.org/officeDocument/2006/relationships/hyperlink" Target="https://uk.indeed.com/career-advice/career-development/what-is-employment-law" TargetMode="External"/><Relationship Id="rId4" Type="http://schemas.openxmlformats.org/officeDocument/2006/relationships/webSettings" Target="webSettings.xml"/><Relationship Id="rId9" Type="http://schemas.openxmlformats.org/officeDocument/2006/relationships/hyperlink" Target="https://www.acas.org.uk/acas-code-of-practice-on-flexible-working-requests" TargetMode="External"/><Relationship Id="rId14" Type="http://schemas.openxmlformats.org/officeDocument/2006/relationships/hyperlink" Target="https://www.bbc.co.uk/bitesize/articles/zqvgmbk#zfw73qt" TargetMode="External"/><Relationship Id="rId22" Type="http://schemas.openxmlformats.org/officeDocument/2006/relationships/hyperlink" Target="https://www.cipd.org/uk/knowledge/employment-law/uk-employment-law-eu/" TargetMode="External"/><Relationship Id="rId27" Type="http://schemas.openxmlformats.org/officeDocument/2006/relationships/hyperlink" Target="https://www.gov.uk/government/publications/calculating-holiday-pay-for-workers-without-fixed-hours-or-pay" TargetMode="External"/><Relationship Id="rId30" Type="http://schemas.openxmlformats.org/officeDocument/2006/relationships/hyperlink" Target="https://www.gov.uk/holiday-entitlement-rights/holiday-pay-the-basics" TargetMode="External"/><Relationship Id="rId35" Type="http://schemas.openxmlformats.org/officeDocument/2006/relationships/hyperlink" Target="https://maternityaction.org.uk/advice/shared-parental-leave-and-pay/" TargetMode="External"/><Relationship Id="rId8" Type="http://schemas.openxmlformats.org/officeDocument/2006/relationships/hyperlink" Target="https://www.acas.org.uk/irregular-hours-and-part-year-workers/rolled-up-holiday-pa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15</Pages>
  <Words>5219</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Gao</dc:creator>
  <cp:keywords/>
  <dc:description/>
  <cp:lastModifiedBy>Yan Gao</cp:lastModifiedBy>
  <cp:revision>57</cp:revision>
  <dcterms:created xsi:type="dcterms:W3CDTF">2026-05-28T07:41:00Z</dcterms:created>
  <dcterms:modified xsi:type="dcterms:W3CDTF">2026-05-28T11:04:00Z</dcterms:modified>
</cp:coreProperties>
</file>