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722708544"/>
        <w:docPartObj>
          <w:docPartGallery w:val="Cover Pages"/>
          <w:docPartUnique/>
        </w:docPartObj>
      </w:sdtPr>
      <w:sdtEndPr>
        <w:rPr>
          <w:rFonts w:eastAsia="Times New Roman"/>
          <w:kern w:val="36"/>
          <w:lang w:eastAsia="en-GB"/>
          <w14:ligatures w14:val="none"/>
        </w:rPr>
      </w:sdtEndPr>
      <w:sdtContent>
        <w:p w14:paraId="2B4CE4A0" w14:textId="582234FB" w:rsidR="00300A0A" w:rsidRPr="00300A0A" w:rsidRDefault="00300A0A" w:rsidP="00300A0A">
          <w:pPr>
            <w:spacing w:line="360" w:lineRule="auto"/>
            <w:rPr>
              <w:rFonts w:ascii="Times New Roman" w:hAnsi="Times New Roman" w:cs="Times New Roman"/>
            </w:rPr>
          </w:pPr>
          <w:r w:rsidRPr="00300A0A">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3FEB8C8A" wp14:editId="4A7B6FBC">
                    <wp:simplePos x="0" y="0"/>
                    <wp:positionH relativeFrom="page">
                      <wp:align>center</wp:align>
                    </wp:positionH>
                    <wp:positionV relativeFrom="page">
                      <wp:align>center</wp:align>
                    </wp:positionV>
                    <wp:extent cx="6852920" cy="9142730"/>
                    <wp:effectExtent l="0" t="0" r="2540" b="133985"/>
                    <wp:wrapNone/>
                    <wp:docPr id="119" name="Group 4"/>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0535B51" w14:textId="3277FFAD" w:rsidR="00300A0A" w:rsidRDefault="00300A0A">
                                      <w:pPr>
                                        <w:pStyle w:val="NoSpacing"/>
                                        <w:rPr>
                                          <w:color w:val="FFFFFF" w:themeColor="background1"/>
                                          <w:sz w:val="32"/>
                                          <w:szCs w:val="32"/>
                                        </w:rPr>
                                      </w:pPr>
                                      <w:r>
                                        <w:rPr>
                                          <w:color w:val="FFFFFF" w:themeColor="background1"/>
                                          <w:sz w:val="32"/>
                                          <w:szCs w:val="32"/>
                                        </w:rPr>
                                        <w:t>Bartosz Malinowski (2005342)</w:t>
                                      </w:r>
                                    </w:p>
                                  </w:sdtContent>
                                </w:sdt>
                                <w:p w14:paraId="78E3097D" w14:textId="5BF9710E" w:rsidR="00300A0A"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300A0A">
                                        <w:rPr>
                                          <w:caps/>
                                          <w:color w:val="FFFFFF" w:themeColor="background1"/>
                                        </w:rPr>
                                        <w:t xml:space="preserve">     </w:t>
                                      </w:r>
                                    </w:sdtContent>
                                  </w:sdt>
                                  <w:r w:rsidR="00300A0A">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b/>
                                      <w:bCs/>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AB61462" w14:textId="257996DD" w:rsidR="00300A0A" w:rsidRDefault="00047317" w:rsidP="00047317">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047317">
                                        <w:rPr>
                                          <w:rFonts w:ascii="Arial" w:hAnsi="Arial"/>
                                          <w:b/>
                                          <w:bCs/>
                                          <w:sz w:val="40"/>
                                          <w:szCs w:val="40"/>
                                        </w:rPr>
                                        <w:t>Global Challenges – Microsoft</w:t>
                                      </w:r>
                                    </w:p>
                                  </w:sdtContent>
                                </w:sdt>
                                <w:p w14:paraId="6638E14B" w14:textId="6D7B30E5" w:rsidR="00300A0A" w:rsidRDefault="00300A0A">
                                  <w:pPr>
                                    <w:pStyle w:val="NoSpacing"/>
                                    <w:spacing w:before="240"/>
                                    <w:rPr>
                                      <w:caps/>
                                      <w:color w:val="0E2841"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EB8C8A" id="Group 4"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156082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0535B51" w14:textId="3277FFAD" w:rsidR="00300A0A" w:rsidRDefault="00300A0A">
                                <w:pPr>
                                  <w:pStyle w:val="NoSpacing"/>
                                  <w:rPr>
                                    <w:color w:val="FFFFFF" w:themeColor="background1"/>
                                    <w:sz w:val="32"/>
                                    <w:szCs w:val="32"/>
                                  </w:rPr>
                                </w:pPr>
                                <w:r>
                                  <w:rPr>
                                    <w:color w:val="FFFFFF" w:themeColor="background1"/>
                                    <w:sz w:val="32"/>
                                    <w:szCs w:val="32"/>
                                  </w:rPr>
                                  <w:t>Bartosz Malinowski (2005342)</w:t>
                                </w:r>
                              </w:p>
                            </w:sdtContent>
                          </w:sdt>
                          <w:p w14:paraId="78E3097D" w14:textId="5BF9710E" w:rsidR="00300A0A"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300A0A">
                                  <w:rPr>
                                    <w:caps/>
                                    <w:color w:val="FFFFFF" w:themeColor="background1"/>
                                  </w:rPr>
                                  <w:t xml:space="preserve">     </w:t>
                                </w:r>
                              </w:sdtContent>
                            </w:sdt>
                            <w:r w:rsidR="00300A0A">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hAnsi="Arial"/>
                                <w:b/>
                                <w:bCs/>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AB61462" w14:textId="257996DD" w:rsidR="00300A0A" w:rsidRDefault="00047317" w:rsidP="00047317">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047317">
                                  <w:rPr>
                                    <w:rFonts w:ascii="Arial" w:hAnsi="Arial"/>
                                    <w:b/>
                                    <w:bCs/>
                                    <w:sz w:val="40"/>
                                    <w:szCs w:val="40"/>
                                  </w:rPr>
                                  <w:t>Global Challenges – Microsoft</w:t>
                                </w:r>
                              </w:p>
                            </w:sdtContent>
                          </w:sdt>
                          <w:p w14:paraId="6638E14B" w14:textId="6D7B30E5" w:rsidR="00300A0A" w:rsidRDefault="00300A0A">
                            <w:pPr>
                              <w:pStyle w:val="NoSpacing"/>
                              <w:spacing w:before="240"/>
                              <w:rPr>
                                <w:caps/>
                                <w:color w:val="0E2841" w:themeColor="text2"/>
                                <w:sz w:val="36"/>
                                <w:szCs w:val="36"/>
                              </w:rPr>
                            </w:pPr>
                          </w:p>
                        </w:txbxContent>
                      </v:textbox>
                    </v:shape>
                    <w10:wrap anchorx="page" anchory="page"/>
                  </v:group>
                </w:pict>
              </mc:Fallback>
            </mc:AlternateContent>
          </w:r>
        </w:p>
        <w:p w14:paraId="689CF3E8" w14:textId="48B8E74C" w:rsidR="00300A0A" w:rsidRPr="00300A0A" w:rsidRDefault="00300A0A" w:rsidP="00300A0A">
          <w:pPr>
            <w:spacing w:line="360" w:lineRule="auto"/>
            <w:rPr>
              <w:rFonts w:ascii="Times New Roman" w:eastAsia="Times New Roman" w:hAnsi="Times New Roman" w:cs="Times New Roman"/>
              <w:kern w:val="36"/>
              <w:lang w:eastAsia="en-GB"/>
              <w14:ligatures w14:val="none"/>
            </w:rPr>
          </w:pPr>
          <w:r w:rsidRPr="00300A0A">
            <w:rPr>
              <w:rFonts w:ascii="Times New Roman" w:eastAsia="Times New Roman" w:hAnsi="Times New Roman" w:cs="Times New Roman"/>
              <w:kern w:val="36"/>
              <w:lang w:eastAsia="en-GB"/>
              <w14:ligatures w14:val="none"/>
            </w:rPr>
            <w:br w:type="page"/>
          </w:r>
        </w:p>
      </w:sdtContent>
    </w:sdt>
    <w:p w14:paraId="0EEE30EC" w14:textId="69BBE715" w:rsidR="0098006C" w:rsidRPr="00300A0A" w:rsidRDefault="0098006C" w:rsidP="00300A0A">
      <w:pPr>
        <w:spacing w:before="100" w:beforeAutospacing="1" w:after="100" w:afterAutospacing="1" w:line="360" w:lineRule="auto"/>
        <w:outlineLvl w:val="0"/>
        <w:rPr>
          <w:rFonts w:ascii="Times New Roman" w:eastAsia="Times New Roman" w:hAnsi="Times New Roman" w:cs="Times New Roman"/>
          <w:kern w:val="36"/>
          <w:lang w:eastAsia="en-GB"/>
          <w14:ligatures w14:val="none"/>
        </w:rPr>
      </w:pPr>
      <w:bookmarkStart w:id="0" w:name="_Toc227757697"/>
      <w:r w:rsidRPr="00300A0A">
        <w:rPr>
          <w:rFonts w:ascii="Times New Roman" w:eastAsia="Times New Roman" w:hAnsi="Times New Roman" w:cs="Times New Roman"/>
          <w:kern w:val="36"/>
          <w:lang w:eastAsia="en-GB"/>
          <w14:ligatures w14:val="none"/>
        </w:rPr>
        <w:lastRenderedPageBreak/>
        <w:t>Executive Summary</w:t>
      </w:r>
      <w:bookmarkEnd w:id="0"/>
    </w:p>
    <w:p w14:paraId="62D77ED0" w14:textId="77777777" w:rsidR="0098006C" w:rsidRPr="00300A0A" w:rsidRDefault="0098006C"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This report critically examines the implications of rapid artificial intelligence (AI) expansion for Microsoft’s risk management strategy within a complex international economic and regulatory environment. It argues that AI is not simply a technological innovation or productivity tool, but a systemic force that reshapes organisational risk by integrating technical uncertainty, data dependency, regulatory scrutiny and political expectations into a single strategic domain.</w:t>
      </w:r>
    </w:p>
    <w:p w14:paraId="0028CA6F" w14:textId="77777777" w:rsidR="0098006C" w:rsidRPr="00300A0A" w:rsidRDefault="0098006C"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The analysis demonstrates that while AI offers significant productivity potential, its benefits are uneven and contingent on organisational capabilities, regulatory alignment and effective governance. For Microsoft, whose business model is deeply embedded in AI-enabled products and services, this creates both opportunity and exposure. The firm’s risk profile extends beyond technical performance to include downstream customer misuse, implementation failure and reputational spillovers. As a result, AI risk management must be understood as an enterprise-wide governance challenge rather than a purely engineering concern.</w:t>
      </w:r>
    </w:p>
    <w:p w14:paraId="37EAA1C6" w14:textId="77777777" w:rsidR="0098006C" w:rsidRPr="00300A0A" w:rsidRDefault="0098006C"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The report further evaluates regulatory divergence between the United Kingdom and the European Union. The UK’s principles-based approach provides flexibility but introduces interpretive uncertainty, whereas the EU’s AI Act offers legal clarity at the cost of increased compliance complexity. This divergence requires Microsoft to adopt a sophisticated governance strategy that avoids both regulatory arbitrage and inefficient standardisation. A risk-tiered governance model is identified as the most effective approach, enabling the firm to align stricter controls with high-impact applications while maintaining proportionality in lower-risk contexts.</w:t>
      </w:r>
    </w:p>
    <w:p w14:paraId="3F4CEB2B" w14:textId="766E3E60" w:rsidR="0098006C" w:rsidRPr="00300A0A" w:rsidRDefault="0098006C"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Data governance, ethical AI and customer trust are analysed as interdependent components of AI risk. The findings emphasise that weak data provenance, insufficient transparency and limited accountability mechanisms can generate hidden technical and legal liabilities. Case studies</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including Amazon’s recruitment tool, Clearview AI, DeepMind and Meta</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illustrate that AI failures are rarely isolated technical issues but instead reflect deeper institutional weaknesses in governance structures, oversight and organisational culture.</w:t>
      </w:r>
    </w:p>
    <w:p w14:paraId="04E6A85E" w14:textId="77777777" w:rsidR="0098006C" w:rsidRPr="00300A0A" w:rsidRDefault="0098006C"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lastRenderedPageBreak/>
        <w:t>The report concludes that Microsoft’s long-term competitive position will depend not only on its ability to develop advanced AI systems, but on its capacity to embed governance as a strategic capability. It recommends elevating AI governance to board level, implementing a risk-tiered model governance framework, strengthening data provenance and documentation, applying proportionate explainability, and converting governance into customer-facing assurance. An implementation plan outlines a phased approach to embedding these capabilities across the organisation.</w:t>
      </w:r>
    </w:p>
    <w:p w14:paraId="1FD5C62A" w14:textId="77777777" w:rsidR="0098006C" w:rsidRPr="00300A0A" w:rsidRDefault="0098006C"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Overall, the report argues that in an environment characterised by regulatory expansion, enterprise caution and increasing public scrutiny, the ability to demonstrate trustworthy and accountable AI is likely to become as strategically important as technological innovation itself.</w:t>
      </w:r>
    </w:p>
    <w:p w14:paraId="6490CC89" w14:textId="77777777" w:rsidR="0098006C" w:rsidRDefault="0098006C" w:rsidP="00300A0A">
      <w:pPr>
        <w:pStyle w:val="NormalWeb"/>
        <w:spacing w:line="360" w:lineRule="auto"/>
      </w:pPr>
    </w:p>
    <w:p w14:paraId="09B53C6F" w14:textId="77777777" w:rsidR="00300A0A" w:rsidRDefault="00300A0A" w:rsidP="00300A0A">
      <w:pPr>
        <w:pStyle w:val="NormalWeb"/>
        <w:spacing w:line="360" w:lineRule="auto"/>
      </w:pPr>
    </w:p>
    <w:p w14:paraId="03006502" w14:textId="77777777" w:rsidR="00300A0A" w:rsidRDefault="00300A0A" w:rsidP="00300A0A">
      <w:pPr>
        <w:pStyle w:val="NormalWeb"/>
        <w:spacing w:line="360" w:lineRule="auto"/>
      </w:pPr>
    </w:p>
    <w:p w14:paraId="5B8BC223" w14:textId="77777777" w:rsidR="00300A0A" w:rsidRDefault="00300A0A" w:rsidP="00300A0A">
      <w:pPr>
        <w:pStyle w:val="NormalWeb"/>
        <w:spacing w:line="360" w:lineRule="auto"/>
      </w:pPr>
    </w:p>
    <w:p w14:paraId="6D374362" w14:textId="77777777" w:rsidR="00300A0A" w:rsidRDefault="00300A0A" w:rsidP="00300A0A">
      <w:pPr>
        <w:pStyle w:val="NormalWeb"/>
        <w:spacing w:line="360" w:lineRule="auto"/>
      </w:pPr>
    </w:p>
    <w:p w14:paraId="1A9BB82C" w14:textId="77777777" w:rsidR="00300A0A" w:rsidRDefault="00300A0A" w:rsidP="00300A0A">
      <w:pPr>
        <w:pStyle w:val="NormalWeb"/>
        <w:spacing w:line="360" w:lineRule="auto"/>
      </w:pPr>
    </w:p>
    <w:p w14:paraId="758B876D" w14:textId="77777777" w:rsidR="00300A0A" w:rsidRDefault="00300A0A" w:rsidP="00300A0A">
      <w:pPr>
        <w:pStyle w:val="NormalWeb"/>
        <w:spacing w:line="360" w:lineRule="auto"/>
      </w:pPr>
    </w:p>
    <w:p w14:paraId="55D1A868" w14:textId="77777777" w:rsidR="00300A0A" w:rsidRDefault="00300A0A" w:rsidP="00300A0A">
      <w:pPr>
        <w:pStyle w:val="NormalWeb"/>
        <w:spacing w:line="360" w:lineRule="auto"/>
      </w:pPr>
    </w:p>
    <w:p w14:paraId="336C1456" w14:textId="77777777" w:rsidR="00300A0A" w:rsidRDefault="00300A0A" w:rsidP="00300A0A">
      <w:pPr>
        <w:pStyle w:val="NormalWeb"/>
        <w:spacing w:line="360" w:lineRule="auto"/>
      </w:pPr>
    </w:p>
    <w:p w14:paraId="58659ED9" w14:textId="77777777" w:rsidR="00300A0A" w:rsidRDefault="00300A0A" w:rsidP="00300A0A">
      <w:pPr>
        <w:pStyle w:val="NormalWeb"/>
        <w:spacing w:line="360" w:lineRule="auto"/>
      </w:pPr>
    </w:p>
    <w:p w14:paraId="07EA964E" w14:textId="77777777" w:rsidR="00300A0A" w:rsidRDefault="00300A0A" w:rsidP="00300A0A">
      <w:pPr>
        <w:pStyle w:val="NormalWeb"/>
        <w:spacing w:line="360" w:lineRule="auto"/>
      </w:pPr>
    </w:p>
    <w:p w14:paraId="62B3653A" w14:textId="77777777" w:rsidR="00300A0A" w:rsidRPr="00300A0A" w:rsidRDefault="00300A0A" w:rsidP="00300A0A">
      <w:pPr>
        <w:pStyle w:val="NormalWeb"/>
        <w:spacing w:line="360" w:lineRule="auto"/>
      </w:pPr>
    </w:p>
    <w:sdt>
      <w:sdtPr>
        <w:rPr>
          <w:rFonts w:ascii="Times New Roman" w:eastAsiaTheme="minorHAnsi" w:hAnsi="Times New Roman" w:cs="Times New Roman"/>
          <w:b w:val="0"/>
          <w:bCs w:val="0"/>
          <w:color w:val="auto"/>
          <w:kern w:val="2"/>
          <w:sz w:val="24"/>
          <w:szCs w:val="24"/>
          <w:lang w:val="en-GB"/>
          <w14:ligatures w14:val="standardContextual"/>
        </w:rPr>
        <w:id w:val="-1606956773"/>
        <w:docPartObj>
          <w:docPartGallery w:val="Table of Contents"/>
          <w:docPartUnique/>
        </w:docPartObj>
      </w:sdtPr>
      <w:sdtEndPr>
        <w:rPr>
          <w:noProof/>
        </w:rPr>
      </w:sdtEndPr>
      <w:sdtContent>
        <w:p w14:paraId="7547D2A5" w14:textId="2670CAAE" w:rsidR="00300A0A" w:rsidRPr="00300A0A" w:rsidRDefault="00300A0A" w:rsidP="00300A0A">
          <w:pPr>
            <w:pStyle w:val="TOCHeading"/>
            <w:spacing w:line="360" w:lineRule="auto"/>
            <w:rPr>
              <w:rFonts w:ascii="Times New Roman" w:hAnsi="Times New Roman" w:cs="Times New Roman"/>
              <w:b w:val="0"/>
              <w:bCs w:val="0"/>
              <w:sz w:val="24"/>
              <w:szCs w:val="24"/>
            </w:rPr>
          </w:pPr>
          <w:r w:rsidRPr="00300A0A">
            <w:rPr>
              <w:rFonts w:ascii="Times New Roman" w:hAnsi="Times New Roman" w:cs="Times New Roman"/>
              <w:b w:val="0"/>
              <w:bCs w:val="0"/>
              <w:sz w:val="24"/>
              <w:szCs w:val="24"/>
            </w:rPr>
            <w:t>Table of Contents</w:t>
          </w:r>
        </w:p>
        <w:p w14:paraId="1FDC51B1" w14:textId="54704414" w:rsidR="00863CFF" w:rsidRDefault="00300A0A">
          <w:pPr>
            <w:pStyle w:val="TOC1"/>
            <w:tabs>
              <w:tab w:val="right" w:leader="dot" w:pos="9016"/>
            </w:tabs>
            <w:rPr>
              <w:rFonts w:eastAsiaTheme="minorEastAsia"/>
              <w:b w:val="0"/>
              <w:bCs w:val="0"/>
              <w:i w:val="0"/>
              <w:iCs w:val="0"/>
              <w:noProof/>
              <w:lang w:eastAsia="en-GB"/>
            </w:rPr>
          </w:pPr>
          <w:r w:rsidRPr="00300A0A">
            <w:rPr>
              <w:rFonts w:ascii="Times New Roman" w:hAnsi="Times New Roman" w:cs="Times New Roman"/>
              <w:b w:val="0"/>
              <w:bCs w:val="0"/>
            </w:rPr>
            <w:fldChar w:fldCharType="begin"/>
          </w:r>
          <w:r w:rsidRPr="00300A0A">
            <w:rPr>
              <w:rFonts w:ascii="Times New Roman" w:hAnsi="Times New Roman" w:cs="Times New Roman"/>
              <w:b w:val="0"/>
              <w:bCs w:val="0"/>
            </w:rPr>
            <w:instrText xml:space="preserve"> TOC \o "1-3" \h \z \u </w:instrText>
          </w:r>
          <w:r w:rsidRPr="00300A0A">
            <w:rPr>
              <w:rFonts w:ascii="Times New Roman" w:hAnsi="Times New Roman" w:cs="Times New Roman"/>
              <w:b w:val="0"/>
              <w:bCs w:val="0"/>
            </w:rPr>
            <w:fldChar w:fldCharType="separate"/>
          </w:r>
          <w:hyperlink w:anchor="_Toc227757697" w:history="1">
            <w:r w:rsidR="00863CFF" w:rsidRPr="00757A5D">
              <w:rPr>
                <w:rStyle w:val="Hyperlink"/>
                <w:rFonts w:ascii="Times New Roman" w:eastAsia="Times New Roman" w:hAnsi="Times New Roman" w:cs="Times New Roman"/>
                <w:noProof/>
                <w:kern w:val="36"/>
                <w:lang w:eastAsia="en-GB"/>
                <w14:ligatures w14:val="none"/>
              </w:rPr>
              <w:t>Executive Summary</w:t>
            </w:r>
            <w:r w:rsidR="00863CFF">
              <w:rPr>
                <w:noProof/>
                <w:webHidden/>
              </w:rPr>
              <w:tab/>
            </w:r>
            <w:r w:rsidR="00863CFF">
              <w:rPr>
                <w:noProof/>
                <w:webHidden/>
              </w:rPr>
              <w:fldChar w:fldCharType="begin"/>
            </w:r>
            <w:r w:rsidR="00863CFF">
              <w:rPr>
                <w:noProof/>
                <w:webHidden/>
              </w:rPr>
              <w:instrText xml:space="preserve"> PAGEREF _Toc227757697 \h </w:instrText>
            </w:r>
            <w:r w:rsidR="00863CFF">
              <w:rPr>
                <w:noProof/>
                <w:webHidden/>
              </w:rPr>
            </w:r>
            <w:r w:rsidR="00863CFF">
              <w:rPr>
                <w:noProof/>
                <w:webHidden/>
              </w:rPr>
              <w:fldChar w:fldCharType="separate"/>
            </w:r>
            <w:r w:rsidR="00863CFF">
              <w:rPr>
                <w:noProof/>
                <w:webHidden/>
              </w:rPr>
              <w:t>1</w:t>
            </w:r>
            <w:r w:rsidR="00863CFF">
              <w:rPr>
                <w:noProof/>
                <w:webHidden/>
              </w:rPr>
              <w:fldChar w:fldCharType="end"/>
            </w:r>
          </w:hyperlink>
        </w:p>
        <w:p w14:paraId="6236C199" w14:textId="337C20D4" w:rsidR="00863CFF" w:rsidRDefault="00863CFF">
          <w:pPr>
            <w:pStyle w:val="TOC1"/>
            <w:tabs>
              <w:tab w:val="right" w:leader="dot" w:pos="9016"/>
            </w:tabs>
            <w:rPr>
              <w:rFonts w:eastAsiaTheme="minorEastAsia"/>
              <w:b w:val="0"/>
              <w:bCs w:val="0"/>
              <w:i w:val="0"/>
              <w:iCs w:val="0"/>
              <w:noProof/>
              <w:lang w:eastAsia="en-GB"/>
            </w:rPr>
          </w:pPr>
          <w:hyperlink w:anchor="_Toc227757698" w:history="1">
            <w:r w:rsidRPr="00757A5D">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_Toc227757698 \h </w:instrText>
            </w:r>
            <w:r>
              <w:rPr>
                <w:noProof/>
                <w:webHidden/>
              </w:rPr>
            </w:r>
            <w:r>
              <w:rPr>
                <w:noProof/>
                <w:webHidden/>
              </w:rPr>
              <w:fldChar w:fldCharType="separate"/>
            </w:r>
            <w:r>
              <w:rPr>
                <w:noProof/>
                <w:webHidden/>
              </w:rPr>
              <w:t>4</w:t>
            </w:r>
            <w:r>
              <w:rPr>
                <w:noProof/>
                <w:webHidden/>
              </w:rPr>
              <w:fldChar w:fldCharType="end"/>
            </w:r>
          </w:hyperlink>
        </w:p>
        <w:p w14:paraId="69AE03AA" w14:textId="078504E9" w:rsidR="00863CFF" w:rsidRDefault="00863CFF">
          <w:pPr>
            <w:pStyle w:val="TOC1"/>
            <w:tabs>
              <w:tab w:val="right" w:leader="dot" w:pos="9016"/>
            </w:tabs>
            <w:rPr>
              <w:rFonts w:eastAsiaTheme="minorEastAsia"/>
              <w:b w:val="0"/>
              <w:bCs w:val="0"/>
              <w:i w:val="0"/>
              <w:iCs w:val="0"/>
              <w:noProof/>
              <w:lang w:eastAsia="en-GB"/>
            </w:rPr>
          </w:pPr>
          <w:hyperlink w:anchor="_Toc227757699" w:history="1">
            <w:r w:rsidRPr="00757A5D">
              <w:rPr>
                <w:rStyle w:val="Hyperlink"/>
                <w:rFonts w:ascii="Times New Roman" w:eastAsia="Times New Roman" w:hAnsi="Times New Roman" w:cs="Times New Roman"/>
                <w:noProof/>
                <w:lang w:eastAsia="en-GB"/>
              </w:rPr>
              <w:t>2. Main Findings</w:t>
            </w:r>
            <w:r>
              <w:rPr>
                <w:noProof/>
                <w:webHidden/>
              </w:rPr>
              <w:tab/>
            </w:r>
            <w:r>
              <w:rPr>
                <w:noProof/>
                <w:webHidden/>
              </w:rPr>
              <w:fldChar w:fldCharType="begin"/>
            </w:r>
            <w:r>
              <w:rPr>
                <w:noProof/>
                <w:webHidden/>
              </w:rPr>
              <w:instrText xml:space="preserve"> PAGEREF _Toc227757699 \h </w:instrText>
            </w:r>
            <w:r>
              <w:rPr>
                <w:noProof/>
                <w:webHidden/>
              </w:rPr>
            </w:r>
            <w:r>
              <w:rPr>
                <w:noProof/>
                <w:webHidden/>
              </w:rPr>
              <w:fldChar w:fldCharType="separate"/>
            </w:r>
            <w:r>
              <w:rPr>
                <w:noProof/>
                <w:webHidden/>
              </w:rPr>
              <w:t>5</w:t>
            </w:r>
            <w:r>
              <w:rPr>
                <w:noProof/>
                <w:webHidden/>
              </w:rPr>
              <w:fldChar w:fldCharType="end"/>
            </w:r>
          </w:hyperlink>
        </w:p>
        <w:p w14:paraId="53CF7EFA" w14:textId="2413827D" w:rsidR="00863CFF" w:rsidRDefault="00863CFF">
          <w:pPr>
            <w:pStyle w:val="TOC2"/>
            <w:tabs>
              <w:tab w:val="right" w:leader="dot" w:pos="9016"/>
            </w:tabs>
            <w:rPr>
              <w:rFonts w:eastAsiaTheme="minorEastAsia"/>
              <w:b w:val="0"/>
              <w:bCs w:val="0"/>
              <w:noProof/>
              <w:sz w:val="24"/>
              <w:szCs w:val="24"/>
              <w:lang w:eastAsia="en-GB"/>
            </w:rPr>
          </w:pPr>
          <w:hyperlink w:anchor="_Toc227757700" w:history="1">
            <w:r w:rsidRPr="00757A5D">
              <w:rPr>
                <w:rStyle w:val="Hyperlink"/>
                <w:rFonts w:ascii="Times New Roman" w:eastAsia="Times New Roman" w:hAnsi="Times New Roman" w:cs="Times New Roman"/>
                <w:noProof/>
                <w:lang w:eastAsia="en-GB"/>
              </w:rPr>
              <w:t>2.1 AI, the international economic environment and macroeconomic policy</w:t>
            </w:r>
            <w:r>
              <w:rPr>
                <w:noProof/>
                <w:webHidden/>
              </w:rPr>
              <w:tab/>
            </w:r>
            <w:r>
              <w:rPr>
                <w:noProof/>
                <w:webHidden/>
              </w:rPr>
              <w:fldChar w:fldCharType="begin"/>
            </w:r>
            <w:r>
              <w:rPr>
                <w:noProof/>
                <w:webHidden/>
              </w:rPr>
              <w:instrText xml:space="preserve"> PAGEREF _Toc227757700 \h </w:instrText>
            </w:r>
            <w:r>
              <w:rPr>
                <w:noProof/>
                <w:webHidden/>
              </w:rPr>
            </w:r>
            <w:r>
              <w:rPr>
                <w:noProof/>
                <w:webHidden/>
              </w:rPr>
              <w:fldChar w:fldCharType="separate"/>
            </w:r>
            <w:r>
              <w:rPr>
                <w:noProof/>
                <w:webHidden/>
              </w:rPr>
              <w:t>5</w:t>
            </w:r>
            <w:r>
              <w:rPr>
                <w:noProof/>
                <w:webHidden/>
              </w:rPr>
              <w:fldChar w:fldCharType="end"/>
            </w:r>
          </w:hyperlink>
        </w:p>
        <w:p w14:paraId="5A471E13" w14:textId="59D10BC5" w:rsidR="00863CFF" w:rsidRDefault="00863CFF">
          <w:pPr>
            <w:pStyle w:val="TOC2"/>
            <w:tabs>
              <w:tab w:val="right" w:leader="dot" w:pos="9016"/>
            </w:tabs>
            <w:rPr>
              <w:rFonts w:eastAsiaTheme="minorEastAsia"/>
              <w:b w:val="0"/>
              <w:bCs w:val="0"/>
              <w:noProof/>
              <w:sz w:val="24"/>
              <w:szCs w:val="24"/>
              <w:lang w:eastAsia="en-GB"/>
            </w:rPr>
          </w:pPr>
          <w:hyperlink w:anchor="_Toc227757701" w:history="1">
            <w:r w:rsidRPr="00757A5D">
              <w:rPr>
                <w:rStyle w:val="Hyperlink"/>
                <w:rFonts w:ascii="Times New Roman" w:eastAsia="Times New Roman" w:hAnsi="Times New Roman" w:cs="Times New Roman"/>
                <w:noProof/>
                <w:lang w:eastAsia="en-GB"/>
              </w:rPr>
              <w:t>2.2 Political and regulatory change</w:t>
            </w:r>
            <w:r>
              <w:rPr>
                <w:noProof/>
                <w:webHidden/>
              </w:rPr>
              <w:tab/>
            </w:r>
            <w:r>
              <w:rPr>
                <w:noProof/>
                <w:webHidden/>
              </w:rPr>
              <w:fldChar w:fldCharType="begin"/>
            </w:r>
            <w:r>
              <w:rPr>
                <w:noProof/>
                <w:webHidden/>
              </w:rPr>
              <w:instrText xml:space="preserve"> PAGEREF _Toc227757701 \h </w:instrText>
            </w:r>
            <w:r>
              <w:rPr>
                <w:noProof/>
                <w:webHidden/>
              </w:rPr>
            </w:r>
            <w:r>
              <w:rPr>
                <w:noProof/>
                <w:webHidden/>
              </w:rPr>
              <w:fldChar w:fldCharType="separate"/>
            </w:r>
            <w:r>
              <w:rPr>
                <w:noProof/>
                <w:webHidden/>
              </w:rPr>
              <w:t>7</w:t>
            </w:r>
            <w:r>
              <w:rPr>
                <w:noProof/>
                <w:webHidden/>
              </w:rPr>
              <w:fldChar w:fldCharType="end"/>
            </w:r>
          </w:hyperlink>
        </w:p>
        <w:p w14:paraId="7559B643" w14:textId="57145CD3" w:rsidR="00863CFF" w:rsidRDefault="00863CFF">
          <w:pPr>
            <w:pStyle w:val="TOC2"/>
            <w:tabs>
              <w:tab w:val="right" w:leader="dot" w:pos="9016"/>
            </w:tabs>
            <w:rPr>
              <w:rFonts w:eastAsiaTheme="minorEastAsia"/>
              <w:b w:val="0"/>
              <w:bCs w:val="0"/>
              <w:noProof/>
              <w:sz w:val="24"/>
              <w:szCs w:val="24"/>
              <w:lang w:eastAsia="en-GB"/>
            </w:rPr>
          </w:pPr>
          <w:hyperlink w:anchor="_Toc227757702" w:history="1">
            <w:r w:rsidRPr="00757A5D">
              <w:rPr>
                <w:rStyle w:val="Hyperlink"/>
                <w:rFonts w:ascii="Times New Roman" w:eastAsia="Times New Roman" w:hAnsi="Times New Roman" w:cs="Times New Roman"/>
                <w:noProof/>
                <w:lang w:eastAsia="en-GB"/>
              </w:rPr>
              <w:t>2.3 Data governance and model risk</w:t>
            </w:r>
            <w:r>
              <w:rPr>
                <w:noProof/>
                <w:webHidden/>
              </w:rPr>
              <w:tab/>
            </w:r>
            <w:r>
              <w:rPr>
                <w:noProof/>
                <w:webHidden/>
              </w:rPr>
              <w:fldChar w:fldCharType="begin"/>
            </w:r>
            <w:r>
              <w:rPr>
                <w:noProof/>
                <w:webHidden/>
              </w:rPr>
              <w:instrText xml:space="preserve"> PAGEREF _Toc227757702 \h </w:instrText>
            </w:r>
            <w:r>
              <w:rPr>
                <w:noProof/>
                <w:webHidden/>
              </w:rPr>
            </w:r>
            <w:r>
              <w:rPr>
                <w:noProof/>
                <w:webHidden/>
              </w:rPr>
              <w:fldChar w:fldCharType="separate"/>
            </w:r>
            <w:r>
              <w:rPr>
                <w:noProof/>
                <w:webHidden/>
              </w:rPr>
              <w:t>8</w:t>
            </w:r>
            <w:r>
              <w:rPr>
                <w:noProof/>
                <w:webHidden/>
              </w:rPr>
              <w:fldChar w:fldCharType="end"/>
            </w:r>
          </w:hyperlink>
        </w:p>
        <w:p w14:paraId="0DB20FBF" w14:textId="226F1FE0" w:rsidR="00863CFF" w:rsidRDefault="00863CFF">
          <w:pPr>
            <w:pStyle w:val="TOC2"/>
            <w:tabs>
              <w:tab w:val="right" w:leader="dot" w:pos="9016"/>
            </w:tabs>
            <w:rPr>
              <w:rFonts w:eastAsiaTheme="minorEastAsia"/>
              <w:b w:val="0"/>
              <w:bCs w:val="0"/>
              <w:noProof/>
              <w:sz w:val="24"/>
              <w:szCs w:val="24"/>
              <w:lang w:eastAsia="en-GB"/>
            </w:rPr>
          </w:pPr>
          <w:hyperlink w:anchor="_Toc227757703" w:history="1">
            <w:r w:rsidRPr="00757A5D">
              <w:rPr>
                <w:rStyle w:val="Hyperlink"/>
                <w:rFonts w:ascii="Times New Roman" w:eastAsia="Times New Roman" w:hAnsi="Times New Roman" w:cs="Times New Roman"/>
                <w:noProof/>
                <w:lang w:eastAsia="en-GB"/>
              </w:rPr>
              <w:t>2.4 Ethical AI use, opacity and accountability</w:t>
            </w:r>
            <w:r>
              <w:rPr>
                <w:noProof/>
                <w:webHidden/>
              </w:rPr>
              <w:tab/>
            </w:r>
            <w:r>
              <w:rPr>
                <w:noProof/>
                <w:webHidden/>
              </w:rPr>
              <w:fldChar w:fldCharType="begin"/>
            </w:r>
            <w:r>
              <w:rPr>
                <w:noProof/>
                <w:webHidden/>
              </w:rPr>
              <w:instrText xml:space="preserve"> PAGEREF _Toc227757703 \h </w:instrText>
            </w:r>
            <w:r>
              <w:rPr>
                <w:noProof/>
                <w:webHidden/>
              </w:rPr>
            </w:r>
            <w:r>
              <w:rPr>
                <w:noProof/>
                <w:webHidden/>
              </w:rPr>
              <w:fldChar w:fldCharType="separate"/>
            </w:r>
            <w:r>
              <w:rPr>
                <w:noProof/>
                <w:webHidden/>
              </w:rPr>
              <w:t>9</w:t>
            </w:r>
            <w:r>
              <w:rPr>
                <w:noProof/>
                <w:webHidden/>
              </w:rPr>
              <w:fldChar w:fldCharType="end"/>
            </w:r>
          </w:hyperlink>
        </w:p>
        <w:p w14:paraId="0312B8FB" w14:textId="0DE3001C" w:rsidR="00863CFF" w:rsidRDefault="00863CFF">
          <w:pPr>
            <w:pStyle w:val="TOC2"/>
            <w:tabs>
              <w:tab w:val="right" w:leader="dot" w:pos="9016"/>
            </w:tabs>
            <w:rPr>
              <w:rFonts w:eastAsiaTheme="minorEastAsia"/>
              <w:b w:val="0"/>
              <w:bCs w:val="0"/>
              <w:noProof/>
              <w:sz w:val="24"/>
              <w:szCs w:val="24"/>
              <w:lang w:eastAsia="en-GB"/>
            </w:rPr>
          </w:pPr>
          <w:hyperlink w:anchor="_Toc227757704" w:history="1">
            <w:r w:rsidRPr="00757A5D">
              <w:rPr>
                <w:rStyle w:val="Hyperlink"/>
                <w:rFonts w:ascii="Times New Roman" w:eastAsia="Times New Roman" w:hAnsi="Times New Roman" w:cs="Times New Roman"/>
                <w:noProof/>
                <w:lang w:eastAsia="en-GB"/>
              </w:rPr>
              <w:t>2.5 Customer trust and strategic positioning</w:t>
            </w:r>
            <w:r>
              <w:rPr>
                <w:noProof/>
                <w:webHidden/>
              </w:rPr>
              <w:tab/>
            </w:r>
            <w:r>
              <w:rPr>
                <w:noProof/>
                <w:webHidden/>
              </w:rPr>
              <w:fldChar w:fldCharType="begin"/>
            </w:r>
            <w:r>
              <w:rPr>
                <w:noProof/>
                <w:webHidden/>
              </w:rPr>
              <w:instrText xml:space="preserve"> PAGEREF _Toc227757704 \h </w:instrText>
            </w:r>
            <w:r>
              <w:rPr>
                <w:noProof/>
                <w:webHidden/>
              </w:rPr>
            </w:r>
            <w:r>
              <w:rPr>
                <w:noProof/>
                <w:webHidden/>
              </w:rPr>
              <w:fldChar w:fldCharType="separate"/>
            </w:r>
            <w:r>
              <w:rPr>
                <w:noProof/>
                <w:webHidden/>
              </w:rPr>
              <w:t>10</w:t>
            </w:r>
            <w:r>
              <w:rPr>
                <w:noProof/>
                <w:webHidden/>
              </w:rPr>
              <w:fldChar w:fldCharType="end"/>
            </w:r>
          </w:hyperlink>
        </w:p>
        <w:p w14:paraId="004F1735" w14:textId="73A0FF05" w:rsidR="00863CFF" w:rsidRDefault="00863CFF">
          <w:pPr>
            <w:pStyle w:val="TOC2"/>
            <w:tabs>
              <w:tab w:val="right" w:leader="dot" w:pos="9016"/>
            </w:tabs>
            <w:rPr>
              <w:rFonts w:eastAsiaTheme="minorEastAsia"/>
              <w:b w:val="0"/>
              <w:bCs w:val="0"/>
              <w:noProof/>
              <w:sz w:val="24"/>
              <w:szCs w:val="24"/>
              <w:lang w:eastAsia="en-GB"/>
            </w:rPr>
          </w:pPr>
          <w:hyperlink w:anchor="_Toc227757705" w:history="1">
            <w:r w:rsidRPr="00757A5D">
              <w:rPr>
                <w:rStyle w:val="Hyperlink"/>
                <w:rFonts w:ascii="Times New Roman" w:eastAsia="Times New Roman" w:hAnsi="Times New Roman" w:cs="Times New Roman"/>
                <w:noProof/>
                <w:lang w:eastAsia="en-GB"/>
              </w:rPr>
              <w:t>2.6 Comparative evaluation: United Kingdom versus European Union</w:t>
            </w:r>
            <w:r>
              <w:rPr>
                <w:noProof/>
                <w:webHidden/>
              </w:rPr>
              <w:tab/>
            </w:r>
            <w:r>
              <w:rPr>
                <w:noProof/>
                <w:webHidden/>
              </w:rPr>
              <w:fldChar w:fldCharType="begin"/>
            </w:r>
            <w:r>
              <w:rPr>
                <w:noProof/>
                <w:webHidden/>
              </w:rPr>
              <w:instrText xml:space="preserve"> PAGEREF _Toc227757705 \h </w:instrText>
            </w:r>
            <w:r>
              <w:rPr>
                <w:noProof/>
                <w:webHidden/>
              </w:rPr>
            </w:r>
            <w:r>
              <w:rPr>
                <w:noProof/>
                <w:webHidden/>
              </w:rPr>
              <w:fldChar w:fldCharType="separate"/>
            </w:r>
            <w:r>
              <w:rPr>
                <w:noProof/>
                <w:webHidden/>
              </w:rPr>
              <w:t>11</w:t>
            </w:r>
            <w:r>
              <w:rPr>
                <w:noProof/>
                <w:webHidden/>
              </w:rPr>
              <w:fldChar w:fldCharType="end"/>
            </w:r>
          </w:hyperlink>
        </w:p>
        <w:p w14:paraId="7539EB33" w14:textId="60EF8049" w:rsidR="00863CFF" w:rsidRDefault="00863CFF">
          <w:pPr>
            <w:pStyle w:val="TOC2"/>
            <w:tabs>
              <w:tab w:val="right" w:leader="dot" w:pos="9016"/>
            </w:tabs>
            <w:rPr>
              <w:rFonts w:eastAsiaTheme="minorEastAsia"/>
              <w:b w:val="0"/>
              <w:bCs w:val="0"/>
              <w:noProof/>
              <w:sz w:val="24"/>
              <w:szCs w:val="24"/>
              <w:lang w:eastAsia="en-GB"/>
            </w:rPr>
          </w:pPr>
          <w:hyperlink w:anchor="_Toc227757706" w:history="1">
            <w:r w:rsidRPr="00757A5D">
              <w:rPr>
                <w:rStyle w:val="Hyperlink"/>
                <w:rFonts w:ascii="Times New Roman" w:eastAsia="Times New Roman" w:hAnsi="Times New Roman" w:cs="Times New Roman"/>
                <w:noProof/>
                <w:lang w:eastAsia="en-GB"/>
              </w:rPr>
              <w:t>2.7 Case studies of AI failure and governance breakdown</w:t>
            </w:r>
            <w:r>
              <w:rPr>
                <w:noProof/>
                <w:webHidden/>
              </w:rPr>
              <w:tab/>
            </w:r>
            <w:r>
              <w:rPr>
                <w:noProof/>
                <w:webHidden/>
              </w:rPr>
              <w:fldChar w:fldCharType="begin"/>
            </w:r>
            <w:r>
              <w:rPr>
                <w:noProof/>
                <w:webHidden/>
              </w:rPr>
              <w:instrText xml:space="preserve"> PAGEREF _Toc227757706 \h </w:instrText>
            </w:r>
            <w:r>
              <w:rPr>
                <w:noProof/>
                <w:webHidden/>
              </w:rPr>
            </w:r>
            <w:r>
              <w:rPr>
                <w:noProof/>
                <w:webHidden/>
              </w:rPr>
              <w:fldChar w:fldCharType="separate"/>
            </w:r>
            <w:r>
              <w:rPr>
                <w:noProof/>
                <w:webHidden/>
              </w:rPr>
              <w:t>12</w:t>
            </w:r>
            <w:r>
              <w:rPr>
                <w:noProof/>
                <w:webHidden/>
              </w:rPr>
              <w:fldChar w:fldCharType="end"/>
            </w:r>
          </w:hyperlink>
        </w:p>
        <w:p w14:paraId="4A00F50A" w14:textId="69F8A091" w:rsidR="00863CFF" w:rsidRDefault="00863CFF">
          <w:pPr>
            <w:pStyle w:val="TOC2"/>
            <w:tabs>
              <w:tab w:val="right" w:leader="dot" w:pos="9016"/>
            </w:tabs>
            <w:rPr>
              <w:rFonts w:eastAsiaTheme="minorEastAsia"/>
              <w:b w:val="0"/>
              <w:bCs w:val="0"/>
              <w:noProof/>
              <w:sz w:val="24"/>
              <w:szCs w:val="24"/>
              <w:lang w:eastAsia="en-GB"/>
            </w:rPr>
          </w:pPr>
          <w:hyperlink w:anchor="_Toc227757707" w:history="1">
            <w:r w:rsidRPr="00757A5D">
              <w:rPr>
                <w:rStyle w:val="Hyperlink"/>
                <w:rFonts w:ascii="Times New Roman" w:eastAsia="Times New Roman" w:hAnsi="Times New Roman" w:cs="Times New Roman"/>
                <w:noProof/>
                <w:lang w:eastAsia="en-GB"/>
              </w:rPr>
              <w:t>2.8 Recommendations and implementation plan</w:t>
            </w:r>
            <w:r>
              <w:rPr>
                <w:noProof/>
                <w:webHidden/>
              </w:rPr>
              <w:tab/>
            </w:r>
            <w:r>
              <w:rPr>
                <w:noProof/>
                <w:webHidden/>
              </w:rPr>
              <w:fldChar w:fldCharType="begin"/>
            </w:r>
            <w:r>
              <w:rPr>
                <w:noProof/>
                <w:webHidden/>
              </w:rPr>
              <w:instrText xml:space="preserve"> PAGEREF _Toc227757707 \h </w:instrText>
            </w:r>
            <w:r>
              <w:rPr>
                <w:noProof/>
                <w:webHidden/>
              </w:rPr>
            </w:r>
            <w:r>
              <w:rPr>
                <w:noProof/>
                <w:webHidden/>
              </w:rPr>
              <w:fldChar w:fldCharType="separate"/>
            </w:r>
            <w:r>
              <w:rPr>
                <w:noProof/>
                <w:webHidden/>
              </w:rPr>
              <w:t>14</w:t>
            </w:r>
            <w:r>
              <w:rPr>
                <w:noProof/>
                <w:webHidden/>
              </w:rPr>
              <w:fldChar w:fldCharType="end"/>
            </w:r>
          </w:hyperlink>
        </w:p>
        <w:p w14:paraId="21C55155" w14:textId="3E0BDA73" w:rsidR="00863CFF" w:rsidRDefault="00863CFF">
          <w:pPr>
            <w:pStyle w:val="TOC3"/>
            <w:tabs>
              <w:tab w:val="right" w:leader="dot" w:pos="9016"/>
            </w:tabs>
            <w:rPr>
              <w:rFonts w:eastAsiaTheme="minorEastAsia"/>
              <w:noProof/>
              <w:sz w:val="24"/>
              <w:szCs w:val="24"/>
              <w:lang w:eastAsia="en-GB"/>
            </w:rPr>
          </w:pPr>
          <w:hyperlink w:anchor="_Toc227757708" w:history="1">
            <w:r w:rsidRPr="00757A5D">
              <w:rPr>
                <w:rStyle w:val="Hyperlink"/>
                <w:rFonts w:ascii="Times New Roman" w:eastAsia="Times New Roman" w:hAnsi="Times New Roman" w:cs="Times New Roman"/>
                <w:noProof/>
                <w:kern w:val="0"/>
                <w:lang w:eastAsia="en-GB"/>
                <w14:ligatures w14:val="none"/>
              </w:rPr>
              <w:t>Recommendation 1: Establish board-level AI governance</w:t>
            </w:r>
            <w:r>
              <w:rPr>
                <w:noProof/>
                <w:webHidden/>
              </w:rPr>
              <w:tab/>
            </w:r>
            <w:r>
              <w:rPr>
                <w:noProof/>
                <w:webHidden/>
              </w:rPr>
              <w:fldChar w:fldCharType="begin"/>
            </w:r>
            <w:r>
              <w:rPr>
                <w:noProof/>
                <w:webHidden/>
              </w:rPr>
              <w:instrText xml:space="preserve"> PAGEREF _Toc227757708 \h </w:instrText>
            </w:r>
            <w:r>
              <w:rPr>
                <w:noProof/>
                <w:webHidden/>
              </w:rPr>
            </w:r>
            <w:r>
              <w:rPr>
                <w:noProof/>
                <w:webHidden/>
              </w:rPr>
              <w:fldChar w:fldCharType="separate"/>
            </w:r>
            <w:r>
              <w:rPr>
                <w:noProof/>
                <w:webHidden/>
              </w:rPr>
              <w:t>14</w:t>
            </w:r>
            <w:r>
              <w:rPr>
                <w:noProof/>
                <w:webHidden/>
              </w:rPr>
              <w:fldChar w:fldCharType="end"/>
            </w:r>
          </w:hyperlink>
        </w:p>
        <w:p w14:paraId="29CDF569" w14:textId="081D3056" w:rsidR="00863CFF" w:rsidRDefault="00863CFF">
          <w:pPr>
            <w:pStyle w:val="TOC3"/>
            <w:tabs>
              <w:tab w:val="right" w:leader="dot" w:pos="9016"/>
            </w:tabs>
            <w:rPr>
              <w:rFonts w:eastAsiaTheme="minorEastAsia"/>
              <w:noProof/>
              <w:sz w:val="24"/>
              <w:szCs w:val="24"/>
              <w:lang w:eastAsia="en-GB"/>
            </w:rPr>
          </w:pPr>
          <w:hyperlink w:anchor="_Toc227757709" w:history="1">
            <w:r w:rsidRPr="00757A5D">
              <w:rPr>
                <w:rStyle w:val="Hyperlink"/>
                <w:rFonts w:ascii="Times New Roman" w:eastAsia="Times New Roman" w:hAnsi="Times New Roman" w:cs="Times New Roman"/>
                <w:noProof/>
                <w:kern w:val="0"/>
                <w:lang w:eastAsia="en-GB"/>
                <w14:ligatures w14:val="none"/>
              </w:rPr>
              <w:t>Recommendation 2: Implement tiered model-risk classification</w:t>
            </w:r>
            <w:r>
              <w:rPr>
                <w:noProof/>
                <w:webHidden/>
              </w:rPr>
              <w:tab/>
            </w:r>
            <w:r>
              <w:rPr>
                <w:noProof/>
                <w:webHidden/>
              </w:rPr>
              <w:fldChar w:fldCharType="begin"/>
            </w:r>
            <w:r>
              <w:rPr>
                <w:noProof/>
                <w:webHidden/>
              </w:rPr>
              <w:instrText xml:space="preserve"> PAGEREF _Toc227757709 \h </w:instrText>
            </w:r>
            <w:r>
              <w:rPr>
                <w:noProof/>
                <w:webHidden/>
              </w:rPr>
            </w:r>
            <w:r>
              <w:rPr>
                <w:noProof/>
                <w:webHidden/>
              </w:rPr>
              <w:fldChar w:fldCharType="separate"/>
            </w:r>
            <w:r>
              <w:rPr>
                <w:noProof/>
                <w:webHidden/>
              </w:rPr>
              <w:t>14</w:t>
            </w:r>
            <w:r>
              <w:rPr>
                <w:noProof/>
                <w:webHidden/>
              </w:rPr>
              <w:fldChar w:fldCharType="end"/>
            </w:r>
          </w:hyperlink>
        </w:p>
        <w:p w14:paraId="5D4C7437" w14:textId="7D881631" w:rsidR="00863CFF" w:rsidRDefault="00863CFF">
          <w:pPr>
            <w:pStyle w:val="TOC3"/>
            <w:tabs>
              <w:tab w:val="right" w:leader="dot" w:pos="9016"/>
            </w:tabs>
            <w:rPr>
              <w:rFonts w:eastAsiaTheme="minorEastAsia"/>
              <w:noProof/>
              <w:sz w:val="24"/>
              <w:szCs w:val="24"/>
              <w:lang w:eastAsia="en-GB"/>
            </w:rPr>
          </w:pPr>
          <w:hyperlink w:anchor="_Toc227757710" w:history="1">
            <w:r w:rsidRPr="00757A5D">
              <w:rPr>
                <w:rStyle w:val="Hyperlink"/>
                <w:rFonts w:ascii="Times New Roman" w:eastAsia="Times New Roman" w:hAnsi="Times New Roman" w:cs="Times New Roman"/>
                <w:noProof/>
                <w:kern w:val="0"/>
                <w:lang w:eastAsia="en-GB"/>
                <w14:ligatures w14:val="none"/>
              </w:rPr>
              <w:t>Recommendation 3: Strengthen data provenance and documentation</w:t>
            </w:r>
            <w:r>
              <w:rPr>
                <w:noProof/>
                <w:webHidden/>
              </w:rPr>
              <w:tab/>
            </w:r>
            <w:r>
              <w:rPr>
                <w:noProof/>
                <w:webHidden/>
              </w:rPr>
              <w:fldChar w:fldCharType="begin"/>
            </w:r>
            <w:r>
              <w:rPr>
                <w:noProof/>
                <w:webHidden/>
              </w:rPr>
              <w:instrText xml:space="preserve"> PAGEREF _Toc227757710 \h </w:instrText>
            </w:r>
            <w:r>
              <w:rPr>
                <w:noProof/>
                <w:webHidden/>
              </w:rPr>
            </w:r>
            <w:r>
              <w:rPr>
                <w:noProof/>
                <w:webHidden/>
              </w:rPr>
              <w:fldChar w:fldCharType="separate"/>
            </w:r>
            <w:r>
              <w:rPr>
                <w:noProof/>
                <w:webHidden/>
              </w:rPr>
              <w:t>14</w:t>
            </w:r>
            <w:r>
              <w:rPr>
                <w:noProof/>
                <w:webHidden/>
              </w:rPr>
              <w:fldChar w:fldCharType="end"/>
            </w:r>
          </w:hyperlink>
        </w:p>
        <w:p w14:paraId="59134F3A" w14:textId="6581B999" w:rsidR="00863CFF" w:rsidRDefault="00863CFF">
          <w:pPr>
            <w:pStyle w:val="TOC3"/>
            <w:tabs>
              <w:tab w:val="right" w:leader="dot" w:pos="9016"/>
            </w:tabs>
            <w:rPr>
              <w:rFonts w:eastAsiaTheme="minorEastAsia"/>
              <w:noProof/>
              <w:sz w:val="24"/>
              <w:szCs w:val="24"/>
              <w:lang w:eastAsia="en-GB"/>
            </w:rPr>
          </w:pPr>
          <w:hyperlink w:anchor="_Toc227757711" w:history="1">
            <w:r w:rsidRPr="00757A5D">
              <w:rPr>
                <w:rStyle w:val="Hyperlink"/>
                <w:rFonts w:ascii="Times New Roman" w:eastAsia="Times New Roman" w:hAnsi="Times New Roman" w:cs="Times New Roman"/>
                <w:noProof/>
                <w:kern w:val="0"/>
                <w:lang w:eastAsia="en-GB"/>
                <w14:ligatures w14:val="none"/>
              </w:rPr>
              <w:t>Recommendation 4: Apply proportionate explainability and oversight</w:t>
            </w:r>
            <w:r>
              <w:rPr>
                <w:noProof/>
                <w:webHidden/>
              </w:rPr>
              <w:tab/>
            </w:r>
            <w:r>
              <w:rPr>
                <w:noProof/>
                <w:webHidden/>
              </w:rPr>
              <w:fldChar w:fldCharType="begin"/>
            </w:r>
            <w:r>
              <w:rPr>
                <w:noProof/>
                <w:webHidden/>
              </w:rPr>
              <w:instrText xml:space="preserve"> PAGEREF _Toc227757711 \h </w:instrText>
            </w:r>
            <w:r>
              <w:rPr>
                <w:noProof/>
                <w:webHidden/>
              </w:rPr>
            </w:r>
            <w:r>
              <w:rPr>
                <w:noProof/>
                <w:webHidden/>
              </w:rPr>
              <w:fldChar w:fldCharType="separate"/>
            </w:r>
            <w:r>
              <w:rPr>
                <w:noProof/>
                <w:webHidden/>
              </w:rPr>
              <w:t>15</w:t>
            </w:r>
            <w:r>
              <w:rPr>
                <w:noProof/>
                <w:webHidden/>
              </w:rPr>
              <w:fldChar w:fldCharType="end"/>
            </w:r>
          </w:hyperlink>
        </w:p>
        <w:p w14:paraId="54D33777" w14:textId="492089DC" w:rsidR="00863CFF" w:rsidRDefault="00863CFF">
          <w:pPr>
            <w:pStyle w:val="TOC3"/>
            <w:tabs>
              <w:tab w:val="right" w:leader="dot" w:pos="9016"/>
            </w:tabs>
            <w:rPr>
              <w:rFonts w:eastAsiaTheme="minorEastAsia"/>
              <w:noProof/>
              <w:sz w:val="24"/>
              <w:szCs w:val="24"/>
              <w:lang w:eastAsia="en-GB"/>
            </w:rPr>
          </w:pPr>
          <w:hyperlink w:anchor="_Toc227757712" w:history="1">
            <w:r w:rsidRPr="00757A5D">
              <w:rPr>
                <w:rStyle w:val="Hyperlink"/>
                <w:rFonts w:ascii="Times New Roman" w:eastAsia="Times New Roman" w:hAnsi="Times New Roman" w:cs="Times New Roman"/>
                <w:noProof/>
                <w:kern w:val="0"/>
                <w:lang w:eastAsia="en-GB"/>
                <w14:ligatures w14:val="none"/>
              </w:rPr>
              <w:t>Recommendation 5: Convert governance into customer-facing assurance</w:t>
            </w:r>
            <w:r>
              <w:rPr>
                <w:noProof/>
                <w:webHidden/>
              </w:rPr>
              <w:tab/>
            </w:r>
            <w:r>
              <w:rPr>
                <w:noProof/>
                <w:webHidden/>
              </w:rPr>
              <w:fldChar w:fldCharType="begin"/>
            </w:r>
            <w:r>
              <w:rPr>
                <w:noProof/>
                <w:webHidden/>
              </w:rPr>
              <w:instrText xml:space="preserve"> PAGEREF _Toc227757712 \h </w:instrText>
            </w:r>
            <w:r>
              <w:rPr>
                <w:noProof/>
                <w:webHidden/>
              </w:rPr>
            </w:r>
            <w:r>
              <w:rPr>
                <w:noProof/>
                <w:webHidden/>
              </w:rPr>
              <w:fldChar w:fldCharType="separate"/>
            </w:r>
            <w:r>
              <w:rPr>
                <w:noProof/>
                <w:webHidden/>
              </w:rPr>
              <w:t>15</w:t>
            </w:r>
            <w:r>
              <w:rPr>
                <w:noProof/>
                <w:webHidden/>
              </w:rPr>
              <w:fldChar w:fldCharType="end"/>
            </w:r>
          </w:hyperlink>
        </w:p>
        <w:p w14:paraId="4603B070" w14:textId="6DD070A8" w:rsidR="00863CFF" w:rsidRDefault="00863CFF">
          <w:pPr>
            <w:pStyle w:val="TOC2"/>
            <w:tabs>
              <w:tab w:val="right" w:leader="dot" w:pos="9016"/>
            </w:tabs>
            <w:rPr>
              <w:rFonts w:eastAsiaTheme="minorEastAsia"/>
              <w:b w:val="0"/>
              <w:bCs w:val="0"/>
              <w:noProof/>
              <w:sz w:val="24"/>
              <w:szCs w:val="24"/>
              <w:lang w:eastAsia="en-GB"/>
            </w:rPr>
          </w:pPr>
          <w:hyperlink w:anchor="_Toc227757713" w:history="1">
            <w:r w:rsidRPr="00757A5D">
              <w:rPr>
                <w:rStyle w:val="Hyperlink"/>
                <w:rFonts w:ascii="Times New Roman" w:eastAsia="Times New Roman" w:hAnsi="Times New Roman" w:cs="Times New Roman"/>
                <w:noProof/>
                <w:kern w:val="0"/>
                <w:lang w:eastAsia="en-GB"/>
                <w14:ligatures w14:val="none"/>
              </w:rPr>
              <w:t>Implementation plan</w:t>
            </w:r>
            <w:r>
              <w:rPr>
                <w:noProof/>
                <w:webHidden/>
              </w:rPr>
              <w:tab/>
            </w:r>
            <w:r>
              <w:rPr>
                <w:noProof/>
                <w:webHidden/>
              </w:rPr>
              <w:fldChar w:fldCharType="begin"/>
            </w:r>
            <w:r>
              <w:rPr>
                <w:noProof/>
                <w:webHidden/>
              </w:rPr>
              <w:instrText xml:space="preserve"> PAGEREF _Toc227757713 \h </w:instrText>
            </w:r>
            <w:r>
              <w:rPr>
                <w:noProof/>
                <w:webHidden/>
              </w:rPr>
            </w:r>
            <w:r>
              <w:rPr>
                <w:noProof/>
                <w:webHidden/>
              </w:rPr>
              <w:fldChar w:fldCharType="separate"/>
            </w:r>
            <w:r>
              <w:rPr>
                <w:noProof/>
                <w:webHidden/>
              </w:rPr>
              <w:t>15</w:t>
            </w:r>
            <w:r>
              <w:rPr>
                <w:noProof/>
                <w:webHidden/>
              </w:rPr>
              <w:fldChar w:fldCharType="end"/>
            </w:r>
          </w:hyperlink>
        </w:p>
        <w:p w14:paraId="16949B39" w14:textId="4C92D705" w:rsidR="00863CFF" w:rsidRDefault="00863CFF">
          <w:pPr>
            <w:pStyle w:val="TOC1"/>
            <w:tabs>
              <w:tab w:val="right" w:leader="dot" w:pos="9016"/>
            </w:tabs>
            <w:rPr>
              <w:rFonts w:eastAsiaTheme="minorEastAsia"/>
              <w:b w:val="0"/>
              <w:bCs w:val="0"/>
              <w:i w:val="0"/>
              <w:iCs w:val="0"/>
              <w:noProof/>
              <w:lang w:eastAsia="en-GB"/>
            </w:rPr>
          </w:pPr>
          <w:hyperlink w:anchor="_Toc227757714" w:history="1">
            <w:r w:rsidRPr="00757A5D">
              <w:rPr>
                <w:rStyle w:val="Hyperlink"/>
                <w:rFonts w:ascii="Times New Roman" w:eastAsia="Times New Roman" w:hAnsi="Times New Roman" w:cs="Times New Roman"/>
                <w:noProof/>
                <w:lang w:eastAsia="en-GB"/>
              </w:rPr>
              <w:t>3. Conclusion</w:t>
            </w:r>
            <w:r>
              <w:rPr>
                <w:noProof/>
                <w:webHidden/>
              </w:rPr>
              <w:tab/>
            </w:r>
            <w:r>
              <w:rPr>
                <w:noProof/>
                <w:webHidden/>
              </w:rPr>
              <w:fldChar w:fldCharType="begin"/>
            </w:r>
            <w:r>
              <w:rPr>
                <w:noProof/>
                <w:webHidden/>
              </w:rPr>
              <w:instrText xml:space="preserve"> PAGEREF _Toc227757714 \h </w:instrText>
            </w:r>
            <w:r>
              <w:rPr>
                <w:noProof/>
                <w:webHidden/>
              </w:rPr>
            </w:r>
            <w:r>
              <w:rPr>
                <w:noProof/>
                <w:webHidden/>
              </w:rPr>
              <w:fldChar w:fldCharType="separate"/>
            </w:r>
            <w:r>
              <w:rPr>
                <w:noProof/>
                <w:webHidden/>
              </w:rPr>
              <w:t>16</w:t>
            </w:r>
            <w:r>
              <w:rPr>
                <w:noProof/>
                <w:webHidden/>
              </w:rPr>
              <w:fldChar w:fldCharType="end"/>
            </w:r>
          </w:hyperlink>
        </w:p>
        <w:p w14:paraId="5E1387B6" w14:textId="66818F4D" w:rsidR="00863CFF" w:rsidRDefault="00863CFF">
          <w:pPr>
            <w:pStyle w:val="TOC1"/>
            <w:tabs>
              <w:tab w:val="right" w:leader="dot" w:pos="9016"/>
            </w:tabs>
            <w:rPr>
              <w:rFonts w:eastAsiaTheme="minorEastAsia"/>
              <w:b w:val="0"/>
              <w:bCs w:val="0"/>
              <w:i w:val="0"/>
              <w:iCs w:val="0"/>
              <w:noProof/>
              <w:lang w:eastAsia="en-GB"/>
            </w:rPr>
          </w:pPr>
          <w:hyperlink w:anchor="_Toc227757715" w:history="1">
            <w:r w:rsidRPr="00757A5D">
              <w:rPr>
                <w:rStyle w:val="Hyperlink"/>
                <w:rFonts w:ascii="Times New Roman" w:hAnsi="Times New Roman" w:cs="Times New Roman"/>
                <w:noProof/>
              </w:rPr>
              <w:t>4. References</w:t>
            </w:r>
            <w:r>
              <w:rPr>
                <w:noProof/>
                <w:webHidden/>
              </w:rPr>
              <w:tab/>
            </w:r>
            <w:r>
              <w:rPr>
                <w:noProof/>
                <w:webHidden/>
              </w:rPr>
              <w:fldChar w:fldCharType="begin"/>
            </w:r>
            <w:r>
              <w:rPr>
                <w:noProof/>
                <w:webHidden/>
              </w:rPr>
              <w:instrText xml:space="preserve"> PAGEREF _Toc227757715 \h </w:instrText>
            </w:r>
            <w:r>
              <w:rPr>
                <w:noProof/>
                <w:webHidden/>
              </w:rPr>
            </w:r>
            <w:r>
              <w:rPr>
                <w:noProof/>
                <w:webHidden/>
              </w:rPr>
              <w:fldChar w:fldCharType="separate"/>
            </w:r>
            <w:r>
              <w:rPr>
                <w:noProof/>
                <w:webHidden/>
              </w:rPr>
              <w:t>18</w:t>
            </w:r>
            <w:r>
              <w:rPr>
                <w:noProof/>
                <w:webHidden/>
              </w:rPr>
              <w:fldChar w:fldCharType="end"/>
            </w:r>
          </w:hyperlink>
        </w:p>
        <w:p w14:paraId="5F690BDC" w14:textId="2E4A3F30" w:rsidR="00300A0A" w:rsidRPr="00300A0A" w:rsidRDefault="00300A0A" w:rsidP="00300A0A">
          <w:pPr>
            <w:spacing w:line="360" w:lineRule="auto"/>
            <w:rPr>
              <w:rFonts w:ascii="Times New Roman" w:hAnsi="Times New Roman" w:cs="Times New Roman"/>
            </w:rPr>
          </w:pPr>
          <w:r w:rsidRPr="00300A0A">
            <w:rPr>
              <w:rFonts w:ascii="Times New Roman" w:hAnsi="Times New Roman" w:cs="Times New Roman"/>
              <w:noProof/>
            </w:rPr>
            <w:fldChar w:fldCharType="end"/>
          </w:r>
        </w:p>
      </w:sdtContent>
    </w:sdt>
    <w:p w14:paraId="0C3680A8" w14:textId="77777777" w:rsidR="0098006C" w:rsidRPr="00300A0A" w:rsidRDefault="0098006C" w:rsidP="00300A0A">
      <w:pPr>
        <w:pStyle w:val="NormalWeb"/>
        <w:spacing w:line="360" w:lineRule="auto"/>
      </w:pPr>
    </w:p>
    <w:p w14:paraId="1A5DFD58" w14:textId="77777777" w:rsidR="00300A0A" w:rsidRPr="00300A0A" w:rsidRDefault="00300A0A" w:rsidP="00300A0A">
      <w:pPr>
        <w:pStyle w:val="NormalWeb"/>
        <w:spacing w:line="360" w:lineRule="auto"/>
      </w:pPr>
    </w:p>
    <w:p w14:paraId="28DF9FA7" w14:textId="77777777" w:rsidR="00300A0A" w:rsidRPr="00300A0A" w:rsidRDefault="00300A0A" w:rsidP="00300A0A">
      <w:pPr>
        <w:pStyle w:val="NormalWeb"/>
        <w:spacing w:line="360" w:lineRule="auto"/>
      </w:pPr>
    </w:p>
    <w:p w14:paraId="658A2162" w14:textId="77777777" w:rsidR="00300A0A" w:rsidRPr="00300A0A" w:rsidRDefault="00300A0A" w:rsidP="00300A0A">
      <w:pPr>
        <w:pStyle w:val="NormalWeb"/>
        <w:spacing w:line="360" w:lineRule="auto"/>
      </w:pPr>
    </w:p>
    <w:p w14:paraId="60088EE8" w14:textId="77777777" w:rsidR="00300A0A" w:rsidRPr="00300A0A" w:rsidRDefault="00300A0A" w:rsidP="00300A0A">
      <w:pPr>
        <w:pStyle w:val="NormalWeb"/>
        <w:spacing w:line="360" w:lineRule="auto"/>
      </w:pPr>
    </w:p>
    <w:p w14:paraId="399B35B0" w14:textId="77777777" w:rsidR="00300A0A" w:rsidRPr="00300A0A" w:rsidRDefault="00300A0A" w:rsidP="00300A0A">
      <w:pPr>
        <w:pStyle w:val="NormalWeb"/>
        <w:spacing w:line="360" w:lineRule="auto"/>
      </w:pPr>
    </w:p>
    <w:p w14:paraId="2728B29B" w14:textId="77777777" w:rsidR="00300A0A" w:rsidRPr="00300A0A" w:rsidRDefault="00300A0A" w:rsidP="00300A0A">
      <w:pPr>
        <w:pStyle w:val="NormalWeb"/>
        <w:spacing w:line="360" w:lineRule="auto"/>
      </w:pPr>
    </w:p>
    <w:p w14:paraId="69D1F3E1" w14:textId="77777777" w:rsidR="0098006C" w:rsidRPr="00300A0A" w:rsidRDefault="0098006C" w:rsidP="00300A0A">
      <w:pPr>
        <w:pStyle w:val="NormalWeb"/>
        <w:spacing w:line="360" w:lineRule="auto"/>
      </w:pPr>
    </w:p>
    <w:p w14:paraId="7F6EA7DE" w14:textId="323EC63B" w:rsidR="0098006C" w:rsidRPr="00300A0A" w:rsidRDefault="00300A0A" w:rsidP="00300A0A">
      <w:pPr>
        <w:pStyle w:val="Heading1"/>
        <w:spacing w:line="360" w:lineRule="auto"/>
        <w:rPr>
          <w:rFonts w:ascii="Times New Roman" w:hAnsi="Times New Roman" w:cs="Times New Roman"/>
          <w:sz w:val="24"/>
          <w:szCs w:val="24"/>
        </w:rPr>
      </w:pPr>
      <w:bookmarkStart w:id="1" w:name="_Toc227757698"/>
      <w:r>
        <w:rPr>
          <w:rFonts w:ascii="Times New Roman" w:hAnsi="Times New Roman" w:cs="Times New Roman"/>
          <w:sz w:val="24"/>
          <w:szCs w:val="24"/>
        </w:rPr>
        <w:lastRenderedPageBreak/>
        <w:t xml:space="preserve">1. </w:t>
      </w:r>
      <w:r w:rsidRPr="00300A0A">
        <w:rPr>
          <w:rFonts w:ascii="Times New Roman" w:hAnsi="Times New Roman" w:cs="Times New Roman"/>
          <w:sz w:val="24"/>
          <w:szCs w:val="24"/>
        </w:rPr>
        <w:t>I</w:t>
      </w:r>
      <w:r w:rsidR="0098006C" w:rsidRPr="00300A0A">
        <w:rPr>
          <w:rFonts w:ascii="Times New Roman" w:hAnsi="Times New Roman" w:cs="Times New Roman"/>
          <w:sz w:val="24"/>
          <w:szCs w:val="24"/>
        </w:rPr>
        <w:t>ntroduction</w:t>
      </w:r>
      <w:bookmarkEnd w:id="1"/>
    </w:p>
    <w:p w14:paraId="0F089C0E" w14:textId="22039B6F" w:rsidR="000D47C5" w:rsidRPr="00300A0A" w:rsidRDefault="000D47C5" w:rsidP="00300A0A">
      <w:pPr>
        <w:pStyle w:val="NormalWeb"/>
        <w:spacing w:line="360" w:lineRule="auto"/>
      </w:pPr>
      <w:r w:rsidRPr="00300A0A">
        <w:t>Artificial intelligence (AI) has emerged as a foundational general-purpose technology within the contemporary global economy, reshaping not only discrete business functions but the underlying architecture of value creation itself. Consistent with prior technological transformations, AI reconfigures labour allocation, product innovation, customer management and organisational control structures. In the case of Microsoft, this transformation is particularly pronounced because AI operates simultaneously as an internal capability and a commercial asset embedded across its ecosystem, including Azure, Copilot, enterprise software and cybersecurity solutions. Consequently, AI is not merely an enabling tool but a core strategic dependency. Microsoft’s formal integration of responsible AI into its governance frameworks further signals that the firm recognises AI as a systemic strategic issue rather than a purely technical domain (Microsoft, 2025a; Microsoft, 2025b). However, while this institutionalisation reflects strategic awareness, it also raises questions regarding whether governance mechanisms are sufficiently robust to manage the scale and complexity of AI-related risks.</w:t>
      </w:r>
    </w:p>
    <w:p w14:paraId="58576F7F" w14:textId="77777777" w:rsidR="000D47C5" w:rsidRPr="00300A0A" w:rsidRDefault="000D47C5" w:rsidP="00300A0A">
      <w:pPr>
        <w:pStyle w:val="NormalWeb"/>
        <w:spacing w:line="360" w:lineRule="auto"/>
      </w:pPr>
      <w:r w:rsidRPr="00300A0A">
        <w:t>A critical challenge lies in the inherent opacity of machine-learning systems. Unlike traditional software, AI models frequently rely on probabilistic inference and high-dimensional statistical relationships that are not easily interpretable. Burrell (2016) conceptualises this as “algorithmic opacity,” which constrains both internal auditability and external scrutiny. From a risk management perspective, this significantly complicates accountability structures. When harmful or biased outcomes occur, causal attribution becomes fragmented across multiple layers, including data quality, model design, deployment context and human oversight. This diffusion of responsibility is particularly problematic for multinational firms such as Microsoft, where accountability must be reconciled across diverse legal jurisdictions and stakeholder expectations. While existing frameworks, such as those proposed by NIST (2023), attempt to standardise AI risk management, their practical effectiveness remains contingent on organisational implementation, which is often uneven and strategically mediated.</w:t>
      </w:r>
    </w:p>
    <w:p w14:paraId="2D5D2DA2" w14:textId="77777777" w:rsidR="000D47C5" w:rsidRPr="00300A0A" w:rsidRDefault="000D47C5" w:rsidP="00300A0A">
      <w:pPr>
        <w:pStyle w:val="NormalWeb"/>
        <w:spacing w:line="360" w:lineRule="auto"/>
      </w:pPr>
      <w:r w:rsidRPr="00300A0A">
        <w:t xml:space="preserve">The complexity of AI governance is further intensified by an increasingly fragmented international policy environment. Governments now frame AI not only as a driver of productivity but also as a matter of geopolitical competitiveness, national security and societal legitimacy. This has produced divergent regulatory approaches. The United Kingdom </w:t>
      </w:r>
      <w:r w:rsidRPr="00300A0A">
        <w:lastRenderedPageBreak/>
        <w:t>has adopted a decentralised, principles-based model that emphasises regulatory flexibility, whereas the European Union has pursued a codified, risk-based legal regime through the AI Act. While the EU approach provides greater legal clarity, it may also impose compliance burdens that affect innovation dynamics. Conversely, the UK model prioritises adaptability but risks regulatory ambiguity. For Microsoft, operating across both jurisdictions necessitates a form of regulatory arbitrage and alignment that extends beyond technical compliance. AI risk management must therefore be understood as a multidimensional governance challenge, requiring the integration of legal defensibility, political acceptability and customer trust alongside technological capability (UK Government, 2023; European Commission, 2025a).</w:t>
      </w:r>
    </w:p>
    <w:p w14:paraId="6AAC792A" w14:textId="08043744" w:rsidR="000D47C5" w:rsidRPr="00300A0A" w:rsidRDefault="000D47C5" w:rsidP="00300A0A">
      <w:pPr>
        <w:pStyle w:val="NormalWeb"/>
        <w:spacing w:line="360" w:lineRule="auto"/>
      </w:pPr>
      <w:r w:rsidRPr="00300A0A">
        <w:t xml:space="preserve">This report adopts a critical perspective on the implications of rapid AI expansion for Microsoft’s risk management strategy. It proceeds by situating AI within the broader international economic context, highlighting how macroeconomic conditions and policy developments shape corporate decision-making. It then evaluates regulatory divergence in the UK and EU, before examining data governance, ethical AI and trust as interconnected dimensions of risk. Drawing on case studies of AI governance failures, the report ultimately argues that firms most likely to sustain competitive advantage will not simply adopt AI at </w:t>
      </w:r>
      <w:r w:rsidR="00300A0A" w:rsidRPr="00300A0A">
        <w:t>scale but</w:t>
      </w:r>
      <w:r w:rsidRPr="00300A0A">
        <w:t xml:space="preserve"> will develop governance systems capable of transforming risk management into a strategic capability.</w:t>
      </w:r>
    </w:p>
    <w:p w14:paraId="7CD9068F" w14:textId="77777777" w:rsidR="00145D1A" w:rsidRPr="00300A0A" w:rsidRDefault="00145D1A" w:rsidP="00300A0A">
      <w:pPr>
        <w:spacing w:line="360" w:lineRule="auto"/>
        <w:rPr>
          <w:rFonts w:ascii="Times New Roman" w:hAnsi="Times New Roman" w:cs="Times New Roman"/>
        </w:rPr>
      </w:pPr>
    </w:p>
    <w:p w14:paraId="1B5E7F35" w14:textId="77777777" w:rsidR="000D47C5" w:rsidRPr="00300A0A" w:rsidRDefault="000D47C5" w:rsidP="00300A0A">
      <w:pPr>
        <w:spacing w:line="360" w:lineRule="auto"/>
        <w:rPr>
          <w:rFonts w:ascii="Times New Roman" w:hAnsi="Times New Roman" w:cs="Times New Roman"/>
        </w:rPr>
      </w:pPr>
    </w:p>
    <w:p w14:paraId="2ECBABFE" w14:textId="77777777" w:rsidR="000D47C5" w:rsidRPr="00300A0A" w:rsidRDefault="000D47C5" w:rsidP="00300A0A">
      <w:pPr>
        <w:pStyle w:val="Heading1"/>
        <w:spacing w:line="360" w:lineRule="auto"/>
        <w:rPr>
          <w:rFonts w:ascii="Times New Roman" w:eastAsia="Times New Roman" w:hAnsi="Times New Roman" w:cs="Times New Roman"/>
          <w:sz w:val="24"/>
          <w:szCs w:val="24"/>
          <w:lang w:eastAsia="en-GB"/>
        </w:rPr>
      </w:pPr>
      <w:bookmarkStart w:id="2" w:name="_Toc227757699"/>
      <w:r w:rsidRPr="00300A0A">
        <w:rPr>
          <w:rFonts w:ascii="Times New Roman" w:eastAsia="Times New Roman" w:hAnsi="Times New Roman" w:cs="Times New Roman"/>
          <w:sz w:val="24"/>
          <w:szCs w:val="24"/>
          <w:lang w:eastAsia="en-GB"/>
        </w:rPr>
        <w:t>2. Main Findings</w:t>
      </w:r>
      <w:bookmarkEnd w:id="2"/>
    </w:p>
    <w:p w14:paraId="5691EEBD" w14:textId="77777777" w:rsidR="000D47C5" w:rsidRPr="00300A0A" w:rsidRDefault="000D47C5" w:rsidP="00300A0A">
      <w:pPr>
        <w:pStyle w:val="Heading2"/>
        <w:spacing w:line="360" w:lineRule="auto"/>
        <w:rPr>
          <w:rFonts w:ascii="Times New Roman" w:eastAsia="Times New Roman" w:hAnsi="Times New Roman" w:cs="Times New Roman"/>
          <w:sz w:val="24"/>
          <w:szCs w:val="24"/>
          <w:lang w:eastAsia="en-GB"/>
        </w:rPr>
      </w:pPr>
      <w:bookmarkStart w:id="3" w:name="_Toc227757700"/>
      <w:r w:rsidRPr="00300A0A">
        <w:rPr>
          <w:rFonts w:ascii="Times New Roman" w:eastAsia="Times New Roman" w:hAnsi="Times New Roman" w:cs="Times New Roman"/>
          <w:sz w:val="24"/>
          <w:szCs w:val="24"/>
          <w:lang w:eastAsia="en-GB"/>
        </w:rPr>
        <w:t>2.1 AI, the international economic environment and macroeconomic policy</w:t>
      </w:r>
      <w:bookmarkEnd w:id="3"/>
    </w:p>
    <w:p w14:paraId="37809CBB" w14:textId="00CB61B9"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Artificial intelligence is widely framed as a transformative driver of productivity and economic growth, yet such claims require critical qualification. While early estimates, such as PwC (2017), projected substantial global economic gains, more recent analysis from the IMF (2024) emphasises the uneven distribution of these benefits across countries, sectors and labour markets. Advanced economies are expected to experience both the advantages and disruptions of AI earlier due to their concentration of cognitive and digitally mediated work. This asymmetry is strategically significant for Microsoft, whose client base is heavily concentrated in sectors</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 xml:space="preserve">such as finance, professional services and technology-intensive </w:t>
      </w:r>
      <w:r w:rsidRPr="00300A0A">
        <w:rPr>
          <w:rFonts w:ascii="Times New Roman" w:eastAsia="Times New Roman" w:hAnsi="Times New Roman" w:cs="Times New Roman"/>
          <w:kern w:val="0"/>
          <w:lang w:eastAsia="en-GB"/>
          <w14:ligatures w14:val="none"/>
        </w:rPr>
        <w:lastRenderedPageBreak/>
        <w:t>manufacturing</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that are highly exposed to AI-driven restructuring (PwC, 2017; IMF, 2024). However, this exposure represents not only opportunity but also systemic risk, as rapid transformation increases the likelihood of organisational misalignment and implementation failure.</w:t>
      </w:r>
    </w:p>
    <w:p w14:paraId="5C098421" w14:textId="1BF45809"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 xml:space="preserve">A critical limitation of optimistic productivity narratives is their implicit technological determinism. Empirical work by </w:t>
      </w:r>
      <w:r w:rsidR="005D5AF0">
        <w:rPr>
          <w:rFonts w:ascii="Times New Roman" w:eastAsia="Times New Roman" w:hAnsi="Times New Roman" w:cs="Times New Roman"/>
          <w:kern w:val="0"/>
          <w:lang w:eastAsia="en-GB"/>
          <w14:ligatures w14:val="none"/>
        </w:rPr>
        <w:t xml:space="preserve">Brynjolfsson, Rock and Syverson </w:t>
      </w:r>
      <w:r w:rsidRPr="00300A0A">
        <w:rPr>
          <w:rFonts w:ascii="Times New Roman" w:eastAsia="Times New Roman" w:hAnsi="Times New Roman" w:cs="Times New Roman"/>
          <w:kern w:val="0"/>
          <w:lang w:eastAsia="en-GB"/>
          <w14:ligatures w14:val="none"/>
        </w:rPr>
        <w:t>(20</w:t>
      </w:r>
      <w:r w:rsidR="00962567">
        <w:rPr>
          <w:rFonts w:ascii="Times New Roman" w:eastAsia="Times New Roman" w:hAnsi="Times New Roman" w:cs="Times New Roman"/>
          <w:kern w:val="0"/>
          <w:lang w:eastAsia="en-GB"/>
          <w14:ligatures w14:val="none"/>
        </w:rPr>
        <w:t>17</w:t>
      </w:r>
      <w:r w:rsidRPr="00300A0A">
        <w:rPr>
          <w:rFonts w:ascii="Times New Roman" w:eastAsia="Times New Roman" w:hAnsi="Times New Roman" w:cs="Times New Roman"/>
          <w:kern w:val="0"/>
          <w:lang w:eastAsia="en-GB"/>
          <w14:ligatures w14:val="none"/>
        </w:rPr>
        <w:t>) demonstrates that productivity gains from advanced digital technologies are contingent upon complementary organisational investments, including managerial redesign, workforce reskilling and process reconfiguration. In this context, AI capability alone is insufficient to generate value. For Microsoft, this creates a second-order strategic risk: the firm’s commercial success is partially dependent on its customers</w:t>
      </w:r>
      <w:r w:rsidR="00DE394F">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ability to integrate AI effectively. Poor implementation by clients may generate reputational spillovers, even where Microsoft’s underlying technologies perform as intended. Consequently, Microsoft’s risk exposure extends beyond upstream technical performance to encompass downstream usage, misuse and organisational failure (</w:t>
      </w:r>
      <w:r w:rsidR="005D5AF0">
        <w:rPr>
          <w:rFonts w:ascii="Times New Roman" w:eastAsia="Times New Roman" w:hAnsi="Times New Roman" w:cs="Times New Roman"/>
          <w:kern w:val="0"/>
          <w:lang w:eastAsia="en-GB"/>
          <w14:ligatures w14:val="none"/>
        </w:rPr>
        <w:t>Brynjolfsson, Rock and Syverson, 2017</w:t>
      </w:r>
      <w:r w:rsidRPr="00300A0A">
        <w:rPr>
          <w:rFonts w:ascii="Times New Roman" w:eastAsia="Times New Roman" w:hAnsi="Times New Roman" w:cs="Times New Roman"/>
          <w:kern w:val="0"/>
          <w:lang w:eastAsia="en-GB"/>
          <w14:ligatures w14:val="none"/>
        </w:rPr>
        <w:t>; Microsoft, 2025a).</w:t>
      </w:r>
    </w:p>
    <w:p w14:paraId="741EC9CA"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This dynamic must also be situated within a broader political economy framework. AI markets exhibit increasing concentration, driven by the capital intensity of compute infrastructure, access to large-scale data and scarcity of specialised talent. UNCTAD (2025) highlights the risk that such concentration may reinforce global inequalities and entrench the dominance of leading firms. For Microsoft, this produces a dual strategic effect: scale confers competitive advantage, yet it simultaneously attracts regulatory scrutiny and political concern regarding market power, dependency and systemic influence. Thus, the international economic environment not only generates demand for AI but also reshapes expectations regarding corporate responsibility and governance (UNCTAD, 2025).</w:t>
      </w:r>
    </w:p>
    <w:p w14:paraId="5C30487C" w14:textId="17ADB77D"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 xml:space="preserve">Macroeconomic policy further conditions these dynamics. Interest rate environments influence capital investment in compute infrastructure, industrial policy shapes national AI capabilities, and labour market policy affects the speed of workforce adaptation to automation. Microsoft’s AI strategy is therefore embedded within, rather than independent from, macroeconomic structures. The stronger analytical conclusion is that as AI becomes more central to productivity, capital allocation and labour transformation, the expectation for robust corporate governance correspondingly intensifies. In this sense, macroeconomic opportunity amplifies governance responsibility rather than reducing it (IMF, 2024; UK </w:t>
      </w:r>
      <w:r w:rsidRPr="00300A0A">
        <w:rPr>
          <w:rFonts w:ascii="Times New Roman" w:eastAsia="Times New Roman" w:hAnsi="Times New Roman" w:cs="Times New Roman"/>
          <w:kern w:val="0"/>
          <w:lang w:eastAsia="en-GB"/>
          <w14:ligatures w14:val="none"/>
        </w:rPr>
        <w:lastRenderedPageBreak/>
        <w:t>Government, 2023).</w:t>
      </w:r>
      <w:r w:rsidR="00DE394F">
        <w:rPr>
          <w:rFonts w:ascii="Times New Roman" w:eastAsia="Times New Roman" w:hAnsi="Times New Roman" w:cs="Times New Roman"/>
          <w:kern w:val="0"/>
          <w:lang w:eastAsia="en-GB"/>
          <w14:ligatures w14:val="none"/>
        </w:rPr>
        <w:t xml:space="preserve"> </w:t>
      </w:r>
      <w:r w:rsidR="00DE394F" w:rsidRPr="00DE394F">
        <w:rPr>
          <w:rFonts w:ascii="Times New Roman" w:eastAsia="Times New Roman" w:hAnsi="Times New Roman" w:cs="Times New Roman"/>
          <w:kern w:val="0"/>
          <w:lang w:eastAsia="en-GB"/>
          <w14:ligatures w14:val="none"/>
        </w:rPr>
        <w:t>This creates a dependency risk in which Microsoft’s commercial performance becomes partially contingent on client’s</w:t>
      </w:r>
      <w:r w:rsidR="00DE394F">
        <w:rPr>
          <w:rFonts w:ascii="Times New Roman" w:eastAsia="Times New Roman" w:hAnsi="Times New Roman" w:cs="Times New Roman"/>
          <w:kern w:val="0"/>
          <w:lang w:eastAsia="en-GB"/>
          <w14:ligatures w14:val="none"/>
        </w:rPr>
        <w:t xml:space="preserve"> </w:t>
      </w:r>
      <w:r w:rsidR="00DE394F" w:rsidRPr="00DE394F">
        <w:rPr>
          <w:rFonts w:ascii="Times New Roman" w:eastAsia="Times New Roman" w:hAnsi="Times New Roman" w:cs="Times New Roman"/>
          <w:kern w:val="0"/>
          <w:lang w:eastAsia="en-GB"/>
          <w14:ligatures w14:val="none"/>
        </w:rPr>
        <w:t>organisational maturity rather than purely on technological capability.</w:t>
      </w:r>
    </w:p>
    <w:p w14:paraId="4359B1DC" w14:textId="4E18BFB4" w:rsidR="000D47C5" w:rsidRPr="00300A0A" w:rsidRDefault="000D47C5" w:rsidP="00300A0A">
      <w:pPr>
        <w:spacing w:after="0" w:line="360" w:lineRule="auto"/>
        <w:rPr>
          <w:rFonts w:ascii="Times New Roman" w:eastAsia="Times New Roman" w:hAnsi="Times New Roman" w:cs="Times New Roman"/>
          <w:kern w:val="0"/>
          <w:lang w:eastAsia="en-GB"/>
          <w14:ligatures w14:val="none"/>
        </w:rPr>
      </w:pPr>
    </w:p>
    <w:p w14:paraId="63092594" w14:textId="77777777" w:rsidR="000D47C5" w:rsidRPr="00300A0A" w:rsidRDefault="000D47C5" w:rsidP="00300A0A">
      <w:pPr>
        <w:pStyle w:val="Heading2"/>
        <w:spacing w:line="360" w:lineRule="auto"/>
        <w:rPr>
          <w:rFonts w:ascii="Times New Roman" w:eastAsia="Times New Roman" w:hAnsi="Times New Roman" w:cs="Times New Roman"/>
          <w:sz w:val="24"/>
          <w:szCs w:val="24"/>
          <w:lang w:eastAsia="en-GB"/>
        </w:rPr>
      </w:pPr>
      <w:bookmarkStart w:id="4" w:name="_Toc227757701"/>
      <w:r w:rsidRPr="00300A0A">
        <w:rPr>
          <w:rFonts w:ascii="Times New Roman" w:eastAsia="Times New Roman" w:hAnsi="Times New Roman" w:cs="Times New Roman"/>
          <w:sz w:val="24"/>
          <w:szCs w:val="24"/>
          <w:lang w:eastAsia="en-GB"/>
        </w:rPr>
        <w:t>2.2 Political and regulatory change</w:t>
      </w:r>
      <w:bookmarkEnd w:id="4"/>
    </w:p>
    <w:p w14:paraId="70F384BE"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The regulatory landscape for AI has undergone a significant shift from relatively permissive approaches toward more explicit and formalised governance frameworks. The European Union’s AI Act represents the most comprehensive example of this transition, establishing a risk-based regulatory regime that imposes obligations related to prohibited uses, transparency, governance and high-risk systems. Its phased implementation and the establishment of the European AI Office indicate a clear intention to institutionalise AI oversight rather than relying on fragmented or reactive enforcement mechanisms (European Commission, 2024; European Commission, 2025a; European Commission, 2025b).</w:t>
      </w:r>
    </w:p>
    <w:p w14:paraId="49384F08" w14:textId="2A91453F"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In contrast, the United Kingdom has adopted a more decentralised and principles-based model. Its framework is structured around five cross-sectoral principles</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safety, transparency, fairness, accountability and contestability</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implemented through existing regulatory bodies rather than a single overarching statute. This approach prioritises flexibility and regulatory adaptability in a rapidly evolving technological domain (UK Government, 2023; UK Government, 2024).</w:t>
      </w:r>
    </w:p>
    <w:p w14:paraId="103CAFDD" w14:textId="49EA309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 xml:space="preserve">A superficial comparison might characterise the EU as restrictive and the UK as </w:t>
      </w:r>
      <w:r w:rsidR="00300A0A" w:rsidRPr="00300A0A">
        <w:rPr>
          <w:rFonts w:ascii="Times New Roman" w:eastAsia="Times New Roman" w:hAnsi="Times New Roman" w:cs="Times New Roman"/>
          <w:kern w:val="0"/>
          <w:lang w:eastAsia="en-GB"/>
          <w14:ligatures w14:val="none"/>
        </w:rPr>
        <w:t>innovation friendly</w:t>
      </w:r>
      <w:r w:rsidRPr="00300A0A">
        <w:rPr>
          <w:rFonts w:ascii="Times New Roman" w:eastAsia="Times New Roman" w:hAnsi="Times New Roman" w:cs="Times New Roman"/>
          <w:kern w:val="0"/>
          <w:lang w:eastAsia="en-GB"/>
          <w14:ligatures w14:val="none"/>
        </w:rPr>
        <w:t>. However, such a binary framing lacks analytical depth. Each jurisdiction reflects distinct governance priorities: the EU emphasises legal certainty and rights protection, while the UK prioritises adaptability and regulatory expertise. For Microsoft, operating across these regimes necessitates a hybrid governance strategy capable of satisfying both structured compliance requirements and flexible regulatory expectations. This eliminates the viability of a single, uniform compliance approach and instead requires organisational alignment across multiple regulatory logics (European Commission, 2025a; UK Government, 2024).</w:t>
      </w:r>
    </w:p>
    <w:p w14:paraId="03336F7B"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 xml:space="preserve">More fundamentally, regulation should not be conceptualised solely as a constraint. In high-risk technological contexts characterised by information asymmetry, regulation also functions as a mechanism of market legitimation. The EU’s approach, while imposing higher </w:t>
      </w:r>
      <w:r w:rsidRPr="00300A0A">
        <w:rPr>
          <w:rFonts w:ascii="Times New Roman" w:eastAsia="Times New Roman" w:hAnsi="Times New Roman" w:cs="Times New Roman"/>
          <w:kern w:val="0"/>
          <w:lang w:eastAsia="en-GB"/>
          <w14:ligatures w14:val="none"/>
        </w:rPr>
        <w:lastRenderedPageBreak/>
        <w:t>compliance costs, may reduce long-term uncertainty and enhance user trust. Conversely, the UK’s lighter-touch model may encourage experimentation but increase exposure to interpretive ambiguity and retrospective accountability. From a strategic perspective, reliance on regulatory arbitrage is therefore unsustainable. Long-term competitive advantage is more likely to derive from governance credibility than from short-term avoidance of constraint (European Commission, 2025a; NIST, 2023).</w:t>
      </w:r>
    </w:p>
    <w:p w14:paraId="67486C04" w14:textId="267F3BED" w:rsidR="000D47C5" w:rsidRPr="00300A0A" w:rsidRDefault="000D47C5" w:rsidP="00300A0A">
      <w:pPr>
        <w:spacing w:after="0" w:line="360" w:lineRule="auto"/>
        <w:rPr>
          <w:rFonts w:ascii="Times New Roman" w:eastAsia="Times New Roman" w:hAnsi="Times New Roman" w:cs="Times New Roman"/>
          <w:kern w:val="0"/>
          <w:lang w:eastAsia="en-GB"/>
          <w14:ligatures w14:val="none"/>
        </w:rPr>
      </w:pPr>
    </w:p>
    <w:p w14:paraId="6064C758" w14:textId="77777777" w:rsidR="000D47C5" w:rsidRPr="00300A0A" w:rsidRDefault="000D47C5" w:rsidP="00300A0A">
      <w:pPr>
        <w:pStyle w:val="Heading2"/>
        <w:spacing w:line="360" w:lineRule="auto"/>
        <w:rPr>
          <w:rFonts w:ascii="Times New Roman" w:eastAsia="Times New Roman" w:hAnsi="Times New Roman" w:cs="Times New Roman"/>
          <w:sz w:val="24"/>
          <w:szCs w:val="24"/>
          <w:lang w:eastAsia="en-GB"/>
        </w:rPr>
      </w:pPr>
      <w:bookmarkStart w:id="5" w:name="_Toc227757702"/>
      <w:r w:rsidRPr="00300A0A">
        <w:rPr>
          <w:rFonts w:ascii="Times New Roman" w:eastAsia="Times New Roman" w:hAnsi="Times New Roman" w:cs="Times New Roman"/>
          <w:sz w:val="24"/>
          <w:szCs w:val="24"/>
          <w:lang w:eastAsia="en-GB"/>
        </w:rPr>
        <w:t>2.3 Data governance and model risk</w:t>
      </w:r>
      <w:bookmarkEnd w:id="5"/>
    </w:p>
    <w:p w14:paraId="15406F69" w14:textId="4FD0D55E"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Data governance represents the foundational layer of AI risk management, as downstream risks are intrinsically linked to how data is sourced, processed and controlled. Regulatory guidance from the ICO reinforces that existing data protection principles</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such as fairness, lawfulness and accountability</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remain fully applicable to AI systems. Similarly, OECD (2024) emphasises that AI governance, privacy and data policy should not be treated as discrete domains, given their significant overlap (ICO, 2024a; ICO, 2024b; OECD, 2024).</w:t>
      </w:r>
    </w:p>
    <w:p w14:paraId="63FECCF5"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For Microsoft, a central tension emerges between the benefits of large-scale data utilisation and the constraints of legal and ethical compliance. While expansive datasets may enhance model performance, legal defensibility requires strict adherence to principles such as data minimisation, purpose limitation and traceability. These objectives are not inherently aligned. An aggressive data acquisition strategy may yield short-term performance gains but simultaneously increases long-term exposure to regulatory enforcement, reputational damage and customer distrust. Data governance should therefore be reframed not as an administrative burden but as a strategic control mechanism that underpins sustainable AI deployment (ICO, 2024a; Microsoft, 2025b).</w:t>
      </w:r>
    </w:p>
    <w:p w14:paraId="4109CD96"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A robust governance framework would incorporate several critical components: comprehensive data provenance and rights management; risk-based differentiation across use cases; rigorous technical testing for privacy vulnerabilities such as leakage and model inversion; and auditable documentation capable of withstanding regulatory and legal scrutiny. Frameworks such as NIST’s AI Risk Management Framework and Generative AI Profile explicitly recognise these risks, including confabulation and harmful downstream use, reinforcing the need for integrated governance approaches (NIST, 2023; NIST, 2024).</w:t>
      </w:r>
    </w:p>
    <w:p w14:paraId="3020D3A0" w14:textId="77777777" w:rsidR="000D47C5"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lastRenderedPageBreak/>
        <w:t>The key analytical insight is that inadequate data governance generates latent technical and legal debt. Systems built on poorly governed data may achieve initial commercial success but accumulate long-term liabilities in the form of retraining costs, compliance risks and erosion of trust. While Microsoft’s transparency disclosures suggest a relatively advanced governance posture, the critical question at distinction level is whether these controls are operationally embedded across the full lifecycle of AI systems. Governance only becomes strategically meaningful when it materially influences decision-making and behaviour, rather than remaining confined to policy articulation (Microsoft, 2025b; OECD, 2024).</w:t>
      </w:r>
    </w:p>
    <w:p w14:paraId="7FF1F7B2" w14:textId="74B3204A" w:rsidR="00DE394F" w:rsidRPr="00300A0A" w:rsidRDefault="00DE394F"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394F">
        <w:rPr>
          <w:rFonts w:ascii="Times New Roman" w:eastAsia="Times New Roman" w:hAnsi="Times New Roman" w:cs="Times New Roman"/>
          <w:kern w:val="0"/>
          <w:lang w:eastAsia="en-GB"/>
          <w14:ligatures w14:val="none"/>
        </w:rPr>
        <w:t>In this sense, data governance functions not only as a compliance requirement but as a form of risk capital, reducing exposure to future legal, operational and reputational shocks.</w:t>
      </w:r>
    </w:p>
    <w:p w14:paraId="76637CAF" w14:textId="7A2ABD46" w:rsidR="000D47C5" w:rsidRPr="00300A0A" w:rsidRDefault="000D47C5" w:rsidP="00300A0A">
      <w:pPr>
        <w:spacing w:after="0" w:line="360" w:lineRule="auto"/>
        <w:rPr>
          <w:rFonts w:ascii="Times New Roman" w:eastAsia="Times New Roman" w:hAnsi="Times New Roman" w:cs="Times New Roman"/>
          <w:kern w:val="0"/>
          <w:lang w:eastAsia="en-GB"/>
          <w14:ligatures w14:val="none"/>
        </w:rPr>
      </w:pPr>
    </w:p>
    <w:p w14:paraId="61B3446D" w14:textId="77777777" w:rsidR="000D47C5" w:rsidRPr="00300A0A" w:rsidRDefault="000D47C5" w:rsidP="00300A0A">
      <w:pPr>
        <w:pStyle w:val="Heading2"/>
        <w:spacing w:line="360" w:lineRule="auto"/>
        <w:rPr>
          <w:rFonts w:ascii="Times New Roman" w:eastAsia="Times New Roman" w:hAnsi="Times New Roman" w:cs="Times New Roman"/>
          <w:sz w:val="24"/>
          <w:szCs w:val="24"/>
          <w:lang w:eastAsia="en-GB"/>
        </w:rPr>
      </w:pPr>
      <w:bookmarkStart w:id="6" w:name="_Toc227757703"/>
      <w:r w:rsidRPr="00300A0A">
        <w:rPr>
          <w:rFonts w:ascii="Times New Roman" w:eastAsia="Times New Roman" w:hAnsi="Times New Roman" w:cs="Times New Roman"/>
          <w:sz w:val="24"/>
          <w:szCs w:val="24"/>
          <w:lang w:eastAsia="en-GB"/>
        </w:rPr>
        <w:t>2.4 Ethical AI use, opacity and accountability</w:t>
      </w:r>
      <w:bookmarkEnd w:id="6"/>
    </w:p>
    <w:p w14:paraId="3554F75E" w14:textId="5B8E5669"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Ethical AI is frequently framed in abstract terms, yet its practical significance lies in its application to high-impact decision-making contexts. Where AI systems influence employment, healthcare, pricing, content or surveillance, technical accuracy alone is insufficient to establish legitimacy. Ethical risk emerges from the interaction of scale, opacity and power asymmetry between organisations and affected individuals. Both OECD principles and Microsoft’s internal frameworks emphasise values such as fairness, transparency and accountability (OECD, 2024; Microsoft, 2025</w:t>
      </w:r>
      <w:r w:rsidR="003C3C0F">
        <w:rPr>
          <w:rFonts w:ascii="Times New Roman" w:eastAsia="Times New Roman" w:hAnsi="Times New Roman" w:cs="Times New Roman"/>
          <w:kern w:val="0"/>
          <w:lang w:eastAsia="en-GB"/>
          <w14:ligatures w14:val="none"/>
        </w:rPr>
        <w:t>b</w:t>
      </w:r>
      <w:r w:rsidRPr="00300A0A">
        <w:rPr>
          <w:rFonts w:ascii="Times New Roman" w:eastAsia="Times New Roman" w:hAnsi="Times New Roman" w:cs="Times New Roman"/>
          <w:kern w:val="0"/>
          <w:lang w:eastAsia="en-GB"/>
          <w14:ligatures w14:val="none"/>
        </w:rPr>
        <w:t>). However, the existence of such principles does not guarantee effective governance.</w:t>
      </w:r>
    </w:p>
    <w:p w14:paraId="17A2AEF6"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A critical distinction must be drawn between symbolic and substantive ethics. Many organisations have adopted ethical frameworks, but governance effectiveness depends on whether these principles can meaningfully constrain commercial decision-making. Empirical evidence suggests that ethical failures often arise not from a lack of formal commitments but from weak institutional mechanisms, including inadequate escalation processes and limited authority to halt deployment. Ethical governance must therefore be embedded within organisational structures rather than treated as an aspirational overlay (Floridi et al., 2018; Microsoft, 2025b).</w:t>
      </w:r>
    </w:p>
    <w:p w14:paraId="571ED6BA"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 xml:space="preserve">Opacity further complicates accountability. As Burrell (2016) argues, the limited interpretability of complex AI systems restricts both internal oversight and external scrutiny. </w:t>
      </w:r>
      <w:r w:rsidRPr="00300A0A">
        <w:rPr>
          <w:rFonts w:ascii="Times New Roman" w:eastAsia="Times New Roman" w:hAnsi="Times New Roman" w:cs="Times New Roman"/>
          <w:kern w:val="0"/>
          <w:lang w:eastAsia="en-GB"/>
          <w14:ligatures w14:val="none"/>
        </w:rPr>
        <w:lastRenderedPageBreak/>
        <w:t>However, demands for complete transparency are neither realistic nor necessary. A more defensible position is that explainability should be proportionate to risk. High-impact applications require greater levels of transparency, auditability and human oversight than lower-risk use cases. This risk-based approach aligns more closely with both regulatory trends and practical constraints (Burrell, 2016; NIST, 2024).</w:t>
      </w:r>
    </w:p>
    <w:p w14:paraId="2D6067E1" w14:textId="751AA94C"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For Microsoft, the strategic implication is that ethical AI cannot be treated as a separate domain from risk management. Instead, it must be fully integrated into product governance, model validation processes and executive accountability structures. Failure to institutionalise ethical considerations exposes firms to cascading risks, where ethical concerns rapidly translate into legal, reputational and political challenges. In the context of AI, ethics is not external to risk management; it is a core component of it.</w:t>
      </w:r>
    </w:p>
    <w:p w14:paraId="55DAB357" w14:textId="77777777" w:rsidR="000D47C5" w:rsidRPr="00300A0A" w:rsidRDefault="000D47C5" w:rsidP="00300A0A">
      <w:pPr>
        <w:pStyle w:val="Heading2"/>
        <w:spacing w:line="360" w:lineRule="auto"/>
        <w:rPr>
          <w:rFonts w:ascii="Times New Roman" w:eastAsia="Times New Roman" w:hAnsi="Times New Roman" w:cs="Times New Roman"/>
          <w:sz w:val="24"/>
          <w:szCs w:val="24"/>
          <w:lang w:eastAsia="en-GB"/>
        </w:rPr>
      </w:pPr>
      <w:bookmarkStart w:id="7" w:name="_Toc227757704"/>
      <w:r w:rsidRPr="00300A0A">
        <w:rPr>
          <w:rFonts w:ascii="Times New Roman" w:eastAsia="Times New Roman" w:hAnsi="Times New Roman" w:cs="Times New Roman"/>
          <w:sz w:val="24"/>
          <w:szCs w:val="24"/>
          <w:lang w:eastAsia="en-GB"/>
        </w:rPr>
        <w:t>2.5 Customer trust and strategic positioning</w:t>
      </w:r>
      <w:bookmarkEnd w:id="7"/>
    </w:p>
    <w:p w14:paraId="421EF097" w14:textId="55A9B739"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Customer trust in AI-intensive markets cannot be reduced to a peripheral reputational concern; it constitutes a core strategic asset that directly shapes procurement decisions, adoption rates, retention and long-term legitimacy. NIST (2023) explicitly frames trustworthiness as integral to effective AI risk management, while Microsoft’s own disclosures position responsible AI as central to its commercial value proposition (Microsoft, 2025b). However, this alignment between governance and strategy should not be overstated. Trust is not automatically generated by technical performance but is instead contingent on users</w:t>
      </w:r>
      <w:r w:rsidR="00DE394F">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broader evaluation of reliability, data practices, accountability and organisational responsiveness.</w:t>
      </w:r>
    </w:p>
    <w:p w14:paraId="38009E7B"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Trust in AI systems is inherently fragile because stakeholders assess multiple dimensions beyond functional accuracy. Enterprise customers, in particular, demand auditability, contractual assurances, security guarantees and clear boundaries around data use, while consumer users are more sensitive to issues of surveillance, manipulation and fairness. This duality creates a complex trust landscape in which Microsoft must operate simultaneously as a technical provider and a governance actor. As Edelman (2023) suggests, institutional trust is increasingly conditional and contingent on demonstrable behaviour rather than stated commitments. Therefore, Microsoft cannot rely on technological superiority alone; trust must be actively constructed, evidenced and maintained (Edelman, 2023; Microsoft, 2025a).</w:t>
      </w:r>
    </w:p>
    <w:p w14:paraId="0ACCB56B"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lastRenderedPageBreak/>
        <w:t>Critically, trust also presents a strategic opportunity. In environments characterised by regulatory uncertainty and high perceived risk, governance capability can function as a differentiating asset. Enterprise clients are not purchasing AI solely on performance metrics; they are increasingly evaluating governance reliability, particularly in regulated sectors. By embedding audit-ready documentation, incident response frameworks and responsible deployment support into its offerings, Microsoft can reposition governance from a defensive necessity to a source of competitive advantage (Microsoft, 2025b; NIST, 2023).</w:t>
      </w:r>
    </w:p>
    <w:p w14:paraId="6A589074"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However, a distinction-level analysis must challenge the assumption that adoption equates to trust. Continued use of AI-enabled services may reflect high switching costs, market dominance or lack of viable alternatives rather than genuine confidence. This creates the risk that superficial market success obscures underlying governance weaknesses. For Microsoft, scale amplifies both opportunity and exposure: strong trust infrastructure can reinforce market leadership, but governance failures are likely to attract disproportionate scrutiny and political response. The strategic imperative, therefore, is to treat trust as a measurable and actively managed capability rather than an assumed by-product of market position.</w:t>
      </w:r>
    </w:p>
    <w:p w14:paraId="62AA9006" w14:textId="54AC1FE3" w:rsidR="000D47C5" w:rsidRPr="00300A0A" w:rsidRDefault="000D47C5" w:rsidP="00300A0A">
      <w:pPr>
        <w:spacing w:after="0" w:line="360" w:lineRule="auto"/>
        <w:rPr>
          <w:rFonts w:ascii="Times New Roman" w:eastAsia="Times New Roman" w:hAnsi="Times New Roman" w:cs="Times New Roman"/>
          <w:kern w:val="0"/>
          <w:lang w:eastAsia="en-GB"/>
          <w14:ligatures w14:val="none"/>
        </w:rPr>
      </w:pPr>
    </w:p>
    <w:p w14:paraId="446426DF" w14:textId="77777777" w:rsidR="000D47C5" w:rsidRPr="00300A0A" w:rsidRDefault="000D47C5" w:rsidP="00300A0A">
      <w:pPr>
        <w:pStyle w:val="Heading2"/>
        <w:spacing w:line="360" w:lineRule="auto"/>
        <w:rPr>
          <w:rFonts w:ascii="Times New Roman" w:eastAsia="Times New Roman" w:hAnsi="Times New Roman" w:cs="Times New Roman"/>
          <w:sz w:val="24"/>
          <w:szCs w:val="24"/>
          <w:lang w:eastAsia="en-GB"/>
        </w:rPr>
      </w:pPr>
      <w:bookmarkStart w:id="8" w:name="_Toc227757705"/>
      <w:r w:rsidRPr="00300A0A">
        <w:rPr>
          <w:rFonts w:ascii="Times New Roman" w:eastAsia="Times New Roman" w:hAnsi="Times New Roman" w:cs="Times New Roman"/>
          <w:sz w:val="24"/>
          <w:szCs w:val="24"/>
          <w:lang w:eastAsia="en-GB"/>
        </w:rPr>
        <w:t>2.6 Comparative evaluation: United Kingdom versus European Union</w:t>
      </w:r>
      <w:bookmarkEnd w:id="8"/>
    </w:p>
    <w:p w14:paraId="51341A0B"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The United Kingdom and European Union represent fundamentally different approaches to AI governance, reflecting distinct regulatory philosophies rather than simple variations in compliance intensity. The UK’s model is principles-based, decentralised and reliant on sectoral regulators, whereas the EU has adopted a statutory, risk-based framework institutionalised through the AI Act and supporting bodies such as the European AI Office (UK Government, 2024; European Commission, 2025a; European Commission, 2025b).</w:t>
      </w:r>
    </w:p>
    <w:p w14:paraId="56D7FA73"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 xml:space="preserve">For Microsoft, this divergence introduces both operational complexity and strategic choice. The UK framework offers flexibility and adaptability but also creates interpretive uncertainty, as obligations are less formally codified. In contrast, the EU framework provides clearer legal expectations but imposes higher compliance costs and stricter accountability requirements. A superficial response might prioritise innovation in the less restrictive environment and adapt later for stricter jurisdictions. However, this approach is fundamentally flawed. AI </w:t>
      </w:r>
      <w:r w:rsidRPr="00300A0A">
        <w:rPr>
          <w:rFonts w:ascii="Times New Roman" w:eastAsia="Times New Roman" w:hAnsi="Times New Roman" w:cs="Times New Roman"/>
          <w:kern w:val="0"/>
          <w:lang w:eastAsia="en-GB"/>
          <w14:ligatures w14:val="none"/>
        </w:rPr>
        <w:lastRenderedPageBreak/>
        <w:t>governance is deeply embedded in system architecture, data pipelines and contractual commitments, making retrospective compliance both costly and operationally disruptive.</w:t>
      </w:r>
    </w:p>
    <w:p w14:paraId="36B0018B"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A more robust strategy is the adoption of a tiered governance model in which high-risk or globally scalable systems are designed to meet the most stringent regulatory requirements from the outset. This “design to the highest standard” approach reduces long-term compliance costs and enhances credibility across jurisdictions (European Commission, 2025a; UK Government, 2024). At the same time, full standardisation may be inefficient for lower-risk applications. A nuanced approach requires risk-based differentiation, balancing consistency with contextual flexibility.</w:t>
      </w:r>
    </w:p>
    <w:p w14:paraId="1937FD54"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Importantly, regulatory diversity can also serve as an analytical tool. Divergences between UK and EU expectations highlight underlying tensions between innovation and rights protection. Where a use case appears viable under a flexible regime but problematic under a rights-based framework, this discrepancy should be interpreted as an internal risk signal rather than a regulatory inconvenience. Comparative regulation, therefore, functions not only as a compliance challenge but also as a mechanism for strategic stress-testing and risk identification.</w:t>
      </w:r>
    </w:p>
    <w:p w14:paraId="13FE2C1A" w14:textId="6A50323C" w:rsidR="000D47C5" w:rsidRPr="00300A0A" w:rsidRDefault="000D47C5" w:rsidP="00300A0A">
      <w:pPr>
        <w:spacing w:after="0" w:line="360" w:lineRule="auto"/>
        <w:rPr>
          <w:rFonts w:ascii="Times New Roman" w:eastAsia="Times New Roman" w:hAnsi="Times New Roman" w:cs="Times New Roman"/>
          <w:kern w:val="0"/>
          <w:lang w:eastAsia="en-GB"/>
          <w14:ligatures w14:val="none"/>
        </w:rPr>
      </w:pPr>
    </w:p>
    <w:p w14:paraId="18EE97D9" w14:textId="77777777" w:rsidR="000D47C5" w:rsidRPr="00300A0A" w:rsidRDefault="000D47C5" w:rsidP="00300A0A">
      <w:pPr>
        <w:pStyle w:val="Heading2"/>
        <w:spacing w:line="360" w:lineRule="auto"/>
        <w:rPr>
          <w:rFonts w:ascii="Times New Roman" w:eastAsia="Times New Roman" w:hAnsi="Times New Roman" w:cs="Times New Roman"/>
          <w:sz w:val="24"/>
          <w:szCs w:val="24"/>
          <w:lang w:eastAsia="en-GB"/>
        </w:rPr>
      </w:pPr>
      <w:bookmarkStart w:id="9" w:name="_Toc227757706"/>
      <w:r w:rsidRPr="00300A0A">
        <w:rPr>
          <w:rFonts w:ascii="Times New Roman" w:eastAsia="Times New Roman" w:hAnsi="Times New Roman" w:cs="Times New Roman"/>
          <w:sz w:val="24"/>
          <w:szCs w:val="24"/>
          <w:lang w:eastAsia="en-GB"/>
        </w:rPr>
        <w:t>2.7 Case studies of AI failure and governance breakdown</w:t>
      </w:r>
      <w:bookmarkEnd w:id="9"/>
    </w:p>
    <w:p w14:paraId="14440E5E"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Empirical evidence demonstrates that AI failures rarely result from isolated technical errors. Instead, they typically emerge from systemic weaknesses in governance, data practices, oversight and organisational incentives.</w:t>
      </w:r>
    </w:p>
    <w:p w14:paraId="11E7D7E9"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The case of Amazon’s recruitment tool illustrates how biased outcomes can arise from uncritical reliance on historical data. As reported by Dastin (2018), the system disadvantaged candidates associated with female indicators because it learned from historically biased hiring patterns. The critical insight is not simply that data can be biased, but that organisations often fail to interrogate how historical practices encode structural inequality. The model reproduced institutional bias, revealing a misalignment between formal equality commitments and operational governance.</w:t>
      </w:r>
    </w:p>
    <w:p w14:paraId="0652BC1F"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lastRenderedPageBreak/>
        <w:t>The Clearview AI case further illustrates how governance failure can destabilise entire business models. Regulatory actions, including a €30.5 million fine imposed by Dutch authorities and ongoing litigation, highlight the consequences of aggressive data collection strategies that lack legal and ethical defensibility (EDPB, 2024; Reuters, 2024; Reuters, 2025). This case demonstrates that commercially attractive data practices may become untenable over time as regulatory and societal expectations evolve.</w:t>
      </w:r>
    </w:p>
    <w:p w14:paraId="2F07A6C3"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Similarly, the DeepMind–Royal Free NHS case underscores the importance of aligning innovation with legal and ethical standards. The ICO (2024c) notes that the use of patient data raised significant concerns regarding transparency and lawful processing. Importantly, this case challenges the assumption that socially beneficial objectives mitigate governance requirements. On the contrary, higher societal stakes often intensify expectations of accountability and legitimacy.</w:t>
      </w:r>
    </w:p>
    <w:p w14:paraId="539554D7"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The Meta–Haugen disclosures provide a further dimension, highlighting the role of transparency in enabling external oversight. Haugen’s testimony suggests that firms often possess significantly greater knowledge of system impacts than regulators or the public, creating asymmetries that undermine accountability (U.S. Senate Committee on Commerce, Science, and Transportation, 2021). Although Microsoft operates under a different business model, the broader lesson remains applicable: internal visibility without corresponding external accountability erodes trust and invites regulatory intervention.</w:t>
      </w:r>
    </w:p>
    <w:p w14:paraId="22E49952" w14:textId="45A64F32" w:rsidR="000D47C5"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Collectively, these cases demonstrate that AI failures are rarely attributable to technical malfunction alone. They are more accurately understood as manifestations of institutional weakness, including inadequate challenge processes, poor documentation, aggressive data strategies and governance structures subordinated to growth imperatives. The strategic lesson for Microsoft is not to attempt exhaustive risk prediction</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an inherently unrealistic goal</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but to develop resilient governance systems capable of early detection, escalation and correction.</w:t>
      </w:r>
    </w:p>
    <w:p w14:paraId="4FF7A593" w14:textId="4C3C7D85" w:rsidR="00DE394F" w:rsidRPr="00300A0A" w:rsidRDefault="00DE394F"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394F">
        <w:rPr>
          <w:rFonts w:ascii="Times New Roman" w:eastAsia="Times New Roman" w:hAnsi="Times New Roman" w:cs="Times New Roman"/>
          <w:kern w:val="0"/>
          <w:lang w:eastAsia="en-GB"/>
          <w14:ligatures w14:val="none"/>
        </w:rPr>
        <w:t>Across all cases, a consistent pattern emerges: failures are not driven by technical malfunction alone but by insufficient governance capacity to challenge assumptions, validate data practices and enforce accountability.</w:t>
      </w:r>
    </w:p>
    <w:p w14:paraId="36DA90C4" w14:textId="21A421C8" w:rsidR="000D47C5" w:rsidRDefault="000D47C5" w:rsidP="00300A0A">
      <w:pPr>
        <w:spacing w:after="0" w:line="360" w:lineRule="auto"/>
        <w:rPr>
          <w:rFonts w:ascii="Times New Roman" w:eastAsia="Times New Roman" w:hAnsi="Times New Roman" w:cs="Times New Roman"/>
          <w:kern w:val="0"/>
          <w:lang w:eastAsia="en-GB"/>
          <w14:ligatures w14:val="none"/>
        </w:rPr>
      </w:pPr>
    </w:p>
    <w:p w14:paraId="28E75357" w14:textId="77777777" w:rsidR="00DE394F" w:rsidRDefault="00DE394F" w:rsidP="00300A0A">
      <w:pPr>
        <w:spacing w:after="0" w:line="360" w:lineRule="auto"/>
        <w:rPr>
          <w:rFonts w:ascii="Times New Roman" w:eastAsia="Times New Roman" w:hAnsi="Times New Roman" w:cs="Times New Roman"/>
          <w:kern w:val="0"/>
          <w:lang w:eastAsia="en-GB"/>
          <w14:ligatures w14:val="none"/>
        </w:rPr>
      </w:pPr>
    </w:p>
    <w:p w14:paraId="1AF3ED8F" w14:textId="77777777" w:rsidR="00DE394F" w:rsidRDefault="00DE394F" w:rsidP="00300A0A">
      <w:pPr>
        <w:spacing w:after="0" w:line="360" w:lineRule="auto"/>
        <w:rPr>
          <w:rFonts w:ascii="Times New Roman" w:eastAsia="Times New Roman" w:hAnsi="Times New Roman" w:cs="Times New Roman"/>
          <w:kern w:val="0"/>
          <w:lang w:eastAsia="en-GB"/>
          <w14:ligatures w14:val="none"/>
        </w:rPr>
      </w:pPr>
    </w:p>
    <w:p w14:paraId="28BEE047" w14:textId="77777777" w:rsidR="00DE394F" w:rsidRPr="00300A0A" w:rsidRDefault="00DE394F" w:rsidP="00300A0A">
      <w:pPr>
        <w:spacing w:after="0" w:line="360" w:lineRule="auto"/>
        <w:rPr>
          <w:rFonts w:ascii="Times New Roman" w:eastAsia="Times New Roman" w:hAnsi="Times New Roman" w:cs="Times New Roman"/>
          <w:kern w:val="0"/>
          <w:lang w:eastAsia="en-GB"/>
          <w14:ligatures w14:val="none"/>
        </w:rPr>
      </w:pPr>
    </w:p>
    <w:p w14:paraId="79F08EF5" w14:textId="77777777" w:rsidR="000D47C5" w:rsidRPr="00300A0A" w:rsidRDefault="000D47C5" w:rsidP="00300A0A">
      <w:pPr>
        <w:pStyle w:val="Heading2"/>
        <w:spacing w:line="360" w:lineRule="auto"/>
        <w:rPr>
          <w:rFonts w:ascii="Times New Roman" w:eastAsia="Times New Roman" w:hAnsi="Times New Roman" w:cs="Times New Roman"/>
          <w:sz w:val="24"/>
          <w:szCs w:val="24"/>
          <w:lang w:eastAsia="en-GB"/>
        </w:rPr>
      </w:pPr>
      <w:bookmarkStart w:id="10" w:name="_Toc227757707"/>
      <w:r w:rsidRPr="00300A0A">
        <w:rPr>
          <w:rFonts w:ascii="Times New Roman" w:eastAsia="Times New Roman" w:hAnsi="Times New Roman" w:cs="Times New Roman"/>
          <w:sz w:val="24"/>
          <w:szCs w:val="24"/>
          <w:lang w:eastAsia="en-GB"/>
        </w:rPr>
        <w:t>2.8 Recommendations and implementation plan</w:t>
      </w:r>
      <w:bookmarkEnd w:id="10"/>
    </w:p>
    <w:p w14:paraId="1CA95274" w14:textId="77777777" w:rsidR="000D47C5" w:rsidRPr="00300A0A" w:rsidRDefault="000D47C5" w:rsidP="00300A0A">
      <w:pPr>
        <w:spacing w:before="100" w:beforeAutospacing="1" w:after="100" w:afterAutospacing="1" w:line="360" w:lineRule="auto"/>
        <w:outlineLvl w:val="2"/>
        <w:rPr>
          <w:rFonts w:ascii="Times New Roman" w:eastAsia="Times New Roman" w:hAnsi="Times New Roman" w:cs="Times New Roman"/>
          <w:kern w:val="0"/>
          <w:lang w:eastAsia="en-GB"/>
          <w14:ligatures w14:val="none"/>
        </w:rPr>
      </w:pPr>
      <w:bookmarkStart w:id="11" w:name="_Toc227757708"/>
      <w:r w:rsidRPr="00300A0A">
        <w:rPr>
          <w:rFonts w:ascii="Times New Roman" w:eastAsia="Times New Roman" w:hAnsi="Times New Roman" w:cs="Times New Roman"/>
          <w:kern w:val="0"/>
          <w:lang w:eastAsia="en-GB"/>
          <w14:ligatures w14:val="none"/>
        </w:rPr>
        <w:t>Recommendation 1: Establish board-level AI governance</w:t>
      </w:r>
      <w:bookmarkEnd w:id="11"/>
    </w:p>
    <w:p w14:paraId="26CCF2F3"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Microsoft should formalise AI as a distinct board-level risk category, ensuring integration across legal, technical and strategic functions. While existing disclosures indicate governance maturity, further elevation is required to align AI oversight with enterprise risk management (Microsoft, 2025a; Microsoft, 2025b).</w:t>
      </w:r>
      <w:r w:rsidRPr="00300A0A">
        <w:rPr>
          <w:rFonts w:ascii="Times New Roman" w:eastAsia="Times New Roman" w:hAnsi="Times New Roman" w:cs="Times New Roman"/>
          <w:kern w:val="0"/>
          <w:lang w:eastAsia="en-GB"/>
          <w14:ligatures w14:val="none"/>
        </w:rPr>
        <w:br/>
        <w:t>Critical rationale: Fragmented governance diffuses accountability. Board-level oversight enforces visibility of trade-offs and strengthens decision-making discipline.</w:t>
      </w:r>
    </w:p>
    <w:p w14:paraId="1F9120B5" w14:textId="30B0C468" w:rsidR="000D47C5" w:rsidRPr="00300A0A" w:rsidRDefault="000D47C5" w:rsidP="00300A0A">
      <w:pPr>
        <w:spacing w:after="0" w:line="360" w:lineRule="auto"/>
        <w:rPr>
          <w:rFonts w:ascii="Times New Roman" w:eastAsia="Times New Roman" w:hAnsi="Times New Roman" w:cs="Times New Roman"/>
          <w:kern w:val="0"/>
          <w:lang w:eastAsia="en-GB"/>
          <w14:ligatures w14:val="none"/>
        </w:rPr>
      </w:pPr>
    </w:p>
    <w:p w14:paraId="1DA07DB9" w14:textId="77777777" w:rsidR="000D47C5" w:rsidRPr="00300A0A" w:rsidRDefault="000D47C5" w:rsidP="00300A0A">
      <w:pPr>
        <w:spacing w:before="100" w:beforeAutospacing="1" w:after="100" w:afterAutospacing="1" w:line="360" w:lineRule="auto"/>
        <w:outlineLvl w:val="2"/>
        <w:rPr>
          <w:rFonts w:ascii="Times New Roman" w:eastAsia="Times New Roman" w:hAnsi="Times New Roman" w:cs="Times New Roman"/>
          <w:kern w:val="0"/>
          <w:lang w:eastAsia="en-GB"/>
          <w14:ligatures w14:val="none"/>
        </w:rPr>
      </w:pPr>
      <w:bookmarkStart w:id="12" w:name="_Toc227757709"/>
      <w:r w:rsidRPr="00300A0A">
        <w:rPr>
          <w:rFonts w:ascii="Times New Roman" w:eastAsia="Times New Roman" w:hAnsi="Times New Roman" w:cs="Times New Roman"/>
          <w:kern w:val="0"/>
          <w:lang w:eastAsia="en-GB"/>
          <w14:ligatures w14:val="none"/>
        </w:rPr>
        <w:t>Recommendation 2: Implement tiered model-risk classification</w:t>
      </w:r>
      <w:bookmarkEnd w:id="12"/>
    </w:p>
    <w:p w14:paraId="3103DE00" w14:textId="3667C5FA"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A structured, risk-tiered governance framework should be adopted, using stricter regulatory standards</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such as those of the EU</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as the baseline for high-impact systems (European Commission, 2025a; NIST, 2023).</w:t>
      </w:r>
      <w:r w:rsidRPr="00300A0A">
        <w:rPr>
          <w:rFonts w:ascii="Times New Roman" w:eastAsia="Times New Roman" w:hAnsi="Times New Roman" w:cs="Times New Roman"/>
          <w:kern w:val="0"/>
          <w:lang w:eastAsia="en-GB"/>
          <w14:ligatures w14:val="none"/>
        </w:rPr>
        <w:br/>
        <w:t>Critical rationale: Retrofitting governance post-deployment is inefficient and costly due to embedded technical and contractual dependencies.</w:t>
      </w:r>
    </w:p>
    <w:p w14:paraId="7C687DE3" w14:textId="086B9FF4" w:rsidR="000D47C5" w:rsidRPr="00300A0A" w:rsidRDefault="000D47C5" w:rsidP="00300A0A">
      <w:pPr>
        <w:spacing w:after="0" w:line="360" w:lineRule="auto"/>
        <w:rPr>
          <w:rFonts w:ascii="Times New Roman" w:eastAsia="Times New Roman" w:hAnsi="Times New Roman" w:cs="Times New Roman"/>
          <w:kern w:val="0"/>
          <w:lang w:eastAsia="en-GB"/>
          <w14:ligatures w14:val="none"/>
        </w:rPr>
      </w:pPr>
    </w:p>
    <w:p w14:paraId="4FB27024" w14:textId="77777777" w:rsidR="000D47C5" w:rsidRPr="00300A0A" w:rsidRDefault="000D47C5" w:rsidP="00300A0A">
      <w:pPr>
        <w:spacing w:before="100" w:beforeAutospacing="1" w:after="100" w:afterAutospacing="1" w:line="360" w:lineRule="auto"/>
        <w:outlineLvl w:val="2"/>
        <w:rPr>
          <w:rFonts w:ascii="Times New Roman" w:eastAsia="Times New Roman" w:hAnsi="Times New Roman" w:cs="Times New Roman"/>
          <w:kern w:val="0"/>
          <w:lang w:eastAsia="en-GB"/>
          <w14:ligatures w14:val="none"/>
        </w:rPr>
      </w:pPr>
      <w:bookmarkStart w:id="13" w:name="_Toc227757710"/>
      <w:r w:rsidRPr="00300A0A">
        <w:rPr>
          <w:rFonts w:ascii="Times New Roman" w:eastAsia="Times New Roman" w:hAnsi="Times New Roman" w:cs="Times New Roman"/>
          <w:kern w:val="0"/>
          <w:lang w:eastAsia="en-GB"/>
          <w14:ligatures w14:val="none"/>
        </w:rPr>
        <w:t>Recommendation 3: Strengthen data provenance and documentation</w:t>
      </w:r>
      <w:bookmarkEnd w:id="13"/>
    </w:p>
    <w:p w14:paraId="0B84E687"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Microsoft should prioritise comprehensive data governance, including source traceability, legal basis documentation and customer-data separation (ICO, 2024a; OECD, 2024).</w:t>
      </w:r>
      <w:r w:rsidRPr="00300A0A">
        <w:rPr>
          <w:rFonts w:ascii="Times New Roman" w:eastAsia="Times New Roman" w:hAnsi="Times New Roman" w:cs="Times New Roman"/>
          <w:kern w:val="0"/>
          <w:lang w:eastAsia="en-GB"/>
          <w14:ligatures w14:val="none"/>
        </w:rPr>
        <w:br/>
        <w:t>Critical rationale: Strong documentation reduces regulatory risk and lowers the cost of audits, litigation and incident response.</w:t>
      </w:r>
    </w:p>
    <w:p w14:paraId="048C8D88" w14:textId="23E402C6" w:rsidR="000D47C5" w:rsidRDefault="000D47C5" w:rsidP="00300A0A">
      <w:pPr>
        <w:spacing w:after="0" w:line="360" w:lineRule="auto"/>
        <w:rPr>
          <w:rFonts w:ascii="Times New Roman" w:eastAsia="Times New Roman" w:hAnsi="Times New Roman" w:cs="Times New Roman"/>
          <w:kern w:val="0"/>
          <w:lang w:eastAsia="en-GB"/>
          <w14:ligatures w14:val="none"/>
        </w:rPr>
      </w:pPr>
    </w:p>
    <w:p w14:paraId="6822005E" w14:textId="77777777" w:rsidR="00507C0A" w:rsidRDefault="00507C0A" w:rsidP="00300A0A">
      <w:pPr>
        <w:spacing w:after="0" w:line="360" w:lineRule="auto"/>
        <w:rPr>
          <w:rFonts w:ascii="Times New Roman" w:eastAsia="Times New Roman" w:hAnsi="Times New Roman" w:cs="Times New Roman"/>
          <w:kern w:val="0"/>
          <w:lang w:eastAsia="en-GB"/>
          <w14:ligatures w14:val="none"/>
        </w:rPr>
      </w:pPr>
    </w:p>
    <w:p w14:paraId="0E00E13D" w14:textId="77777777" w:rsidR="00507C0A" w:rsidRPr="00300A0A" w:rsidRDefault="00507C0A" w:rsidP="00300A0A">
      <w:pPr>
        <w:spacing w:after="0" w:line="360" w:lineRule="auto"/>
        <w:rPr>
          <w:rFonts w:ascii="Times New Roman" w:eastAsia="Times New Roman" w:hAnsi="Times New Roman" w:cs="Times New Roman"/>
          <w:kern w:val="0"/>
          <w:lang w:eastAsia="en-GB"/>
          <w14:ligatures w14:val="none"/>
        </w:rPr>
      </w:pPr>
    </w:p>
    <w:p w14:paraId="1F1E4EA2" w14:textId="77777777" w:rsidR="000D47C5" w:rsidRPr="00300A0A" w:rsidRDefault="000D47C5" w:rsidP="00300A0A">
      <w:pPr>
        <w:spacing w:before="100" w:beforeAutospacing="1" w:after="100" w:afterAutospacing="1" w:line="360" w:lineRule="auto"/>
        <w:outlineLvl w:val="2"/>
        <w:rPr>
          <w:rFonts w:ascii="Times New Roman" w:eastAsia="Times New Roman" w:hAnsi="Times New Roman" w:cs="Times New Roman"/>
          <w:kern w:val="0"/>
          <w:lang w:eastAsia="en-GB"/>
          <w14:ligatures w14:val="none"/>
        </w:rPr>
      </w:pPr>
      <w:bookmarkStart w:id="14" w:name="_Toc227757711"/>
      <w:r w:rsidRPr="00300A0A">
        <w:rPr>
          <w:rFonts w:ascii="Times New Roman" w:eastAsia="Times New Roman" w:hAnsi="Times New Roman" w:cs="Times New Roman"/>
          <w:kern w:val="0"/>
          <w:lang w:eastAsia="en-GB"/>
          <w14:ligatures w14:val="none"/>
        </w:rPr>
        <w:lastRenderedPageBreak/>
        <w:t>Recommendation 4: Apply proportionate explainability and oversight</w:t>
      </w:r>
      <w:bookmarkEnd w:id="14"/>
    </w:p>
    <w:p w14:paraId="21BCF892" w14:textId="717AE074" w:rsidR="00300A0A" w:rsidRPr="00300A0A" w:rsidRDefault="000D47C5" w:rsidP="00507C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Explainability requirements should be aligned with risk levels, with enhanced transparency and human oversight for high-impact systems (NIST, 2023; NIST, 2024).</w:t>
      </w:r>
      <w:r w:rsidRPr="00300A0A">
        <w:rPr>
          <w:rFonts w:ascii="Times New Roman" w:eastAsia="Times New Roman" w:hAnsi="Times New Roman" w:cs="Times New Roman"/>
          <w:kern w:val="0"/>
          <w:lang w:eastAsia="en-GB"/>
          <w14:ligatures w14:val="none"/>
        </w:rPr>
        <w:br/>
        <w:t>Critical rationale: This avoids both excessive opacity and impractical demands for universal interpretability.</w:t>
      </w:r>
    </w:p>
    <w:p w14:paraId="08DE730C" w14:textId="77777777" w:rsidR="000D47C5" w:rsidRPr="00300A0A" w:rsidRDefault="000D47C5" w:rsidP="00300A0A">
      <w:pPr>
        <w:spacing w:before="100" w:beforeAutospacing="1" w:after="100" w:afterAutospacing="1" w:line="360" w:lineRule="auto"/>
        <w:outlineLvl w:val="2"/>
        <w:rPr>
          <w:rFonts w:ascii="Times New Roman" w:eastAsia="Times New Roman" w:hAnsi="Times New Roman" w:cs="Times New Roman"/>
          <w:kern w:val="0"/>
          <w:lang w:eastAsia="en-GB"/>
          <w14:ligatures w14:val="none"/>
        </w:rPr>
      </w:pPr>
      <w:bookmarkStart w:id="15" w:name="_Toc227757712"/>
      <w:r w:rsidRPr="00300A0A">
        <w:rPr>
          <w:rFonts w:ascii="Times New Roman" w:eastAsia="Times New Roman" w:hAnsi="Times New Roman" w:cs="Times New Roman"/>
          <w:kern w:val="0"/>
          <w:lang w:eastAsia="en-GB"/>
          <w14:ligatures w14:val="none"/>
        </w:rPr>
        <w:t>Recommendation 5: Convert governance into customer-facing assurance</w:t>
      </w:r>
      <w:bookmarkEnd w:id="15"/>
    </w:p>
    <w:p w14:paraId="58F03BE5"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Governance capabilities should be embedded into commercial offerings through assurance frameworks, documentation and support services (Microsoft, 2025b).</w:t>
      </w:r>
      <w:r w:rsidRPr="00300A0A">
        <w:rPr>
          <w:rFonts w:ascii="Times New Roman" w:eastAsia="Times New Roman" w:hAnsi="Times New Roman" w:cs="Times New Roman"/>
          <w:kern w:val="0"/>
          <w:lang w:eastAsia="en-GB"/>
          <w14:ligatures w14:val="none"/>
        </w:rPr>
        <w:br/>
        <w:t>Critical rationale: In enterprise markets, governance reliability is increasingly a differentiator alongside technical performance.</w:t>
      </w:r>
    </w:p>
    <w:p w14:paraId="1336A44C" w14:textId="1591916F" w:rsidR="000D47C5" w:rsidRDefault="000D47C5" w:rsidP="00300A0A">
      <w:pPr>
        <w:spacing w:after="0" w:line="360" w:lineRule="auto"/>
        <w:rPr>
          <w:rFonts w:ascii="Times New Roman" w:eastAsia="Times New Roman" w:hAnsi="Times New Roman" w:cs="Times New Roman"/>
          <w:kern w:val="0"/>
          <w:lang w:eastAsia="en-GB"/>
          <w14:ligatures w14:val="none"/>
        </w:rPr>
      </w:pPr>
    </w:p>
    <w:p w14:paraId="4A3C9BFF" w14:textId="77777777" w:rsidR="00300A0A" w:rsidRPr="00300A0A" w:rsidRDefault="00300A0A" w:rsidP="00300A0A">
      <w:pPr>
        <w:spacing w:after="0" w:line="360" w:lineRule="auto"/>
        <w:rPr>
          <w:rFonts w:ascii="Times New Roman" w:eastAsia="Times New Roman" w:hAnsi="Times New Roman" w:cs="Times New Roman"/>
          <w:kern w:val="0"/>
          <w:lang w:eastAsia="en-GB"/>
          <w14:ligatures w14:val="none"/>
        </w:rPr>
      </w:pPr>
    </w:p>
    <w:p w14:paraId="3249C4DD" w14:textId="77777777" w:rsidR="000D47C5" w:rsidRPr="00300A0A" w:rsidRDefault="000D47C5" w:rsidP="00300A0A">
      <w:pPr>
        <w:spacing w:before="100" w:beforeAutospacing="1" w:after="100" w:afterAutospacing="1" w:line="360" w:lineRule="auto"/>
        <w:outlineLvl w:val="1"/>
        <w:rPr>
          <w:rFonts w:ascii="Times New Roman" w:eastAsia="Times New Roman" w:hAnsi="Times New Roman" w:cs="Times New Roman"/>
          <w:b/>
          <w:bCs/>
          <w:kern w:val="0"/>
          <w:lang w:eastAsia="en-GB"/>
          <w14:ligatures w14:val="none"/>
        </w:rPr>
      </w:pPr>
      <w:bookmarkStart w:id="16" w:name="_Toc227757713"/>
      <w:r w:rsidRPr="00300A0A">
        <w:rPr>
          <w:rFonts w:ascii="Times New Roman" w:eastAsia="Times New Roman" w:hAnsi="Times New Roman" w:cs="Times New Roman"/>
          <w:b/>
          <w:bCs/>
          <w:kern w:val="0"/>
          <w:lang w:eastAsia="en-GB"/>
          <w14:ligatures w14:val="none"/>
        </w:rPr>
        <w:t>Implementation plan</w:t>
      </w:r>
      <w:bookmarkEnd w:id="16"/>
    </w:p>
    <w:p w14:paraId="5312102D"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Phase 1: Diagnostic review (0–3 months)</w:t>
      </w:r>
      <w:r w:rsidRPr="00300A0A">
        <w:rPr>
          <w:rFonts w:ascii="Times New Roman" w:eastAsia="Times New Roman" w:hAnsi="Times New Roman" w:cs="Times New Roman"/>
          <w:kern w:val="0"/>
          <w:lang w:eastAsia="en-GB"/>
          <w14:ligatures w14:val="none"/>
        </w:rPr>
        <w:br/>
        <w:t>Conduct a comprehensive inventory of AI systems, data dependencies and governance maturity to identify risk concentrations (NIST, 2023; European Commission, 2025a).</w:t>
      </w:r>
    </w:p>
    <w:p w14:paraId="77036988"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Phase 2: Control redesign (3–6 months)</w:t>
      </w:r>
      <w:r w:rsidRPr="00300A0A">
        <w:rPr>
          <w:rFonts w:ascii="Times New Roman" w:eastAsia="Times New Roman" w:hAnsi="Times New Roman" w:cs="Times New Roman"/>
          <w:kern w:val="0"/>
          <w:lang w:eastAsia="en-GB"/>
          <w14:ligatures w14:val="none"/>
        </w:rPr>
        <w:br/>
        <w:t>Develop a tiered governance architecture aligned with NIST, UK principles and EU regulatory requirements to ensure cross-jurisdictional coherence (UK Government, 2024; NIST, 2024).</w:t>
      </w:r>
    </w:p>
    <w:p w14:paraId="58F488C8"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Phase 3: Capability building (6–12 months)</w:t>
      </w:r>
      <w:r w:rsidRPr="00300A0A">
        <w:rPr>
          <w:rFonts w:ascii="Times New Roman" w:eastAsia="Times New Roman" w:hAnsi="Times New Roman" w:cs="Times New Roman"/>
          <w:kern w:val="0"/>
          <w:lang w:eastAsia="en-GB"/>
          <w14:ligatures w14:val="none"/>
        </w:rPr>
        <w:br/>
        <w:t>Embed AI governance literacy across organisational functions, ensuring that responsibility extends beyond specialist teams (European Commission, 2025a).</w:t>
      </w:r>
    </w:p>
    <w:p w14:paraId="38303C98"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Phase 4: External assurance (9–15 months)</w:t>
      </w:r>
      <w:r w:rsidRPr="00300A0A">
        <w:rPr>
          <w:rFonts w:ascii="Times New Roman" w:eastAsia="Times New Roman" w:hAnsi="Times New Roman" w:cs="Times New Roman"/>
          <w:kern w:val="0"/>
          <w:lang w:eastAsia="en-GB"/>
          <w14:ligatures w14:val="none"/>
        </w:rPr>
        <w:br/>
        <w:t>Develop customer-facing assurance mechanisms, including documentation, compliance evidence and incident response commitments (Microsoft, 2025b).</w:t>
      </w:r>
    </w:p>
    <w:p w14:paraId="2D916830"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lastRenderedPageBreak/>
        <w:t>Phase 5: Continuous adaptation (ongoing)</w:t>
      </w:r>
      <w:r w:rsidRPr="00300A0A">
        <w:rPr>
          <w:rFonts w:ascii="Times New Roman" w:eastAsia="Times New Roman" w:hAnsi="Times New Roman" w:cs="Times New Roman"/>
          <w:kern w:val="0"/>
          <w:lang w:eastAsia="en-GB"/>
          <w14:ligatures w14:val="none"/>
        </w:rPr>
        <w:br/>
        <w:t>Establish iterative governance review processes to respond to regulatory developments, technological change and stakeholder expectations (NIST, 2023; IMF, 2024).</w:t>
      </w:r>
    </w:p>
    <w:p w14:paraId="08F3BB17" w14:textId="77777777" w:rsidR="000D47C5" w:rsidRPr="00300A0A" w:rsidRDefault="000D47C5" w:rsidP="00300A0A">
      <w:pPr>
        <w:spacing w:line="360" w:lineRule="auto"/>
        <w:rPr>
          <w:rFonts w:ascii="Times New Roman" w:hAnsi="Times New Roman" w:cs="Times New Roman"/>
        </w:rPr>
      </w:pPr>
    </w:p>
    <w:p w14:paraId="0F9457B8" w14:textId="77777777" w:rsidR="000D47C5" w:rsidRPr="00300A0A" w:rsidRDefault="000D47C5" w:rsidP="00300A0A">
      <w:pPr>
        <w:spacing w:line="360" w:lineRule="auto"/>
        <w:rPr>
          <w:rFonts w:ascii="Times New Roman" w:hAnsi="Times New Roman" w:cs="Times New Roman"/>
        </w:rPr>
      </w:pPr>
    </w:p>
    <w:p w14:paraId="2B04BE49" w14:textId="77777777" w:rsidR="000D47C5" w:rsidRPr="00300A0A" w:rsidRDefault="000D47C5" w:rsidP="00300A0A">
      <w:pPr>
        <w:pStyle w:val="Heading1"/>
        <w:spacing w:line="360" w:lineRule="auto"/>
        <w:rPr>
          <w:rFonts w:ascii="Times New Roman" w:eastAsia="Times New Roman" w:hAnsi="Times New Roman" w:cs="Times New Roman"/>
          <w:sz w:val="24"/>
          <w:szCs w:val="24"/>
          <w:lang w:eastAsia="en-GB"/>
        </w:rPr>
      </w:pPr>
      <w:bookmarkStart w:id="17" w:name="_Toc227757714"/>
      <w:r w:rsidRPr="00300A0A">
        <w:rPr>
          <w:rFonts w:ascii="Times New Roman" w:eastAsia="Times New Roman" w:hAnsi="Times New Roman" w:cs="Times New Roman"/>
          <w:sz w:val="24"/>
          <w:szCs w:val="24"/>
          <w:lang w:eastAsia="en-GB"/>
        </w:rPr>
        <w:t>3. Conclusion</w:t>
      </w:r>
      <w:bookmarkEnd w:id="17"/>
    </w:p>
    <w:p w14:paraId="7004B5C2"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This report has advanced the argument that the rapid expansion of artificial intelligence fundamentally reshapes the nature of risk management for multinational firms by integrating technical uncertainty, data dependency, regulatory proliferation and heightened political scrutiny into a single strategic domain. For Microsoft, AI cannot be understood merely as a product category or efficiency-enhancing tool. Rather, it constitutes a core governance challenge embedded within the firm’s model of value creation and its exposure to systemic risk.</w:t>
      </w:r>
    </w:p>
    <w:p w14:paraId="7FBDB900"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The comparative analysis of the United Kingdom and European Union demonstrates that AI governance is no longer converging toward a single global standard. Instead, it reflects divergent regulatory logics: the UK’s principles-based approach prioritises flexibility but generates interpretive ambiguity, while the EU’s AI Act provides legal clarity at the cost of increased compliance complexity. These differences do not simply impose operational burdens; they redefine the strategic environment in which firms operate. A distinction-level interpretation rejects both regulatory arbitrage and rigid standardisation as insufficient responses. Instead, Microsoft’s optimal strategy lies in developing a risk-tiered governance architecture capable of aligning stringent controls with high-impact applications while maintaining proportional efficiency in lower-risk contexts (UK Government, 2024; European Commission, 2025a).</w:t>
      </w:r>
    </w:p>
    <w:p w14:paraId="2C6F3A00" w14:textId="77777777"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 xml:space="preserve">The case studies examined reinforce a central analytical insight: AI failures are rarely reducible to isolated technical errors. Rather, they emerge from cumulative governance deficiencies, including weak data controls, insufficient oversight mechanisms, inadequate documentation and organisational cultures that prioritise growth over risk discipline. The experiences of Amazon, Clearview AI, DeepMind and Meta illustrate how such weaknesses can escalate into legal liability, reputational damage and strategic disruption (Dastin, 2018; </w:t>
      </w:r>
      <w:r w:rsidRPr="00300A0A">
        <w:rPr>
          <w:rFonts w:ascii="Times New Roman" w:eastAsia="Times New Roman" w:hAnsi="Times New Roman" w:cs="Times New Roman"/>
          <w:kern w:val="0"/>
          <w:lang w:eastAsia="en-GB"/>
          <w14:ligatures w14:val="none"/>
        </w:rPr>
        <w:lastRenderedPageBreak/>
        <w:t>EDPB, 2024; ICO, 2024c; U.S. Senate Committee on Commerce, Science, and Transportation, 2021). These cases underscore that effective AI risk management is fundamentally institutional rather than purely technical.</w:t>
      </w:r>
    </w:p>
    <w:p w14:paraId="4210D55C" w14:textId="04FF4396" w:rsidR="000D47C5" w:rsidRPr="00300A0A" w:rsidRDefault="000D47C5" w:rsidP="00300A0A">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0A0A">
        <w:rPr>
          <w:rFonts w:ascii="Times New Roman" w:eastAsia="Times New Roman" w:hAnsi="Times New Roman" w:cs="Times New Roman"/>
          <w:kern w:val="0"/>
          <w:lang w:eastAsia="en-GB"/>
          <w14:ligatures w14:val="none"/>
        </w:rPr>
        <w:t>The central recommendation of this report is that Microsoft should reposition AI governance from a compliance-oriented function to a source of strategic capability. Key elements</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including data provenance, explainability, human oversight, customer assurance and regulatory alignment</w:t>
      </w:r>
      <w:r w:rsidR="00300A0A">
        <w:rPr>
          <w:rFonts w:ascii="Times New Roman" w:eastAsia="Times New Roman" w:hAnsi="Times New Roman" w:cs="Times New Roman"/>
          <w:kern w:val="0"/>
          <w:lang w:eastAsia="en-GB"/>
          <w14:ligatures w14:val="none"/>
        </w:rPr>
        <w:t xml:space="preserve"> </w:t>
      </w:r>
      <w:r w:rsidRPr="00300A0A">
        <w:rPr>
          <w:rFonts w:ascii="Times New Roman" w:eastAsia="Times New Roman" w:hAnsi="Times New Roman" w:cs="Times New Roman"/>
          <w:kern w:val="0"/>
          <w:lang w:eastAsia="en-GB"/>
          <w14:ligatures w14:val="none"/>
        </w:rPr>
        <w:t>should be treated not as operational constraints but as mechanisms for sustaining competitive advantage. In an environment increasingly characterised by regulatory intervention, enterprise caution and public scrutiny, the capacity to demonstrate trustworthy and accountable AI is likely to become as strategically significant as the ability to develop advanced technological systems.</w:t>
      </w:r>
      <w:r w:rsidR="00DE394F">
        <w:rPr>
          <w:rFonts w:ascii="Times New Roman" w:eastAsia="Times New Roman" w:hAnsi="Times New Roman" w:cs="Times New Roman"/>
          <w:kern w:val="0"/>
          <w:lang w:eastAsia="en-GB"/>
          <w14:ligatures w14:val="none"/>
        </w:rPr>
        <w:t xml:space="preserve"> </w:t>
      </w:r>
      <w:r w:rsidR="00DE394F" w:rsidRPr="00DE394F">
        <w:rPr>
          <w:rFonts w:ascii="Times New Roman" w:eastAsia="Times New Roman" w:hAnsi="Times New Roman" w:cs="Times New Roman"/>
          <w:kern w:val="0"/>
          <w:lang w:eastAsia="en-GB"/>
          <w14:ligatures w14:val="none"/>
        </w:rPr>
        <w:t>Firms that fail to institutionalise governance will not only face regulatory risk but may also experience declining strategic legitimacy in increasingly trust-sensitive markets.</w:t>
      </w:r>
    </w:p>
    <w:p w14:paraId="1DA0A3A4" w14:textId="77777777" w:rsidR="000D47C5" w:rsidRPr="00300A0A" w:rsidRDefault="000D47C5" w:rsidP="00300A0A">
      <w:pPr>
        <w:spacing w:line="360" w:lineRule="auto"/>
        <w:rPr>
          <w:rFonts w:ascii="Times New Roman" w:hAnsi="Times New Roman" w:cs="Times New Roman"/>
        </w:rPr>
      </w:pPr>
    </w:p>
    <w:p w14:paraId="03CBDCD8" w14:textId="77777777" w:rsidR="0098006C" w:rsidRPr="00300A0A" w:rsidRDefault="0098006C" w:rsidP="00300A0A">
      <w:pPr>
        <w:spacing w:line="360" w:lineRule="auto"/>
        <w:rPr>
          <w:rFonts w:ascii="Times New Roman" w:hAnsi="Times New Roman" w:cs="Times New Roman"/>
        </w:rPr>
      </w:pPr>
    </w:p>
    <w:p w14:paraId="48CBFE87" w14:textId="77777777" w:rsidR="0098006C" w:rsidRPr="00300A0A" w:rsidRDefault="0098006C" w:rsidP="00300A0A">
      <w:pPr>
        <w:spacing w:line="360" w:lineRule="auto"/>
        <w:rPr>
          <w:rFonts w:ascii="Times New Roman" w:hAnsi="Times New Roman" w:cs="Times New Roman"/>
        </w:rPr>
      </w:pPr>
    </w:p>
    <w:p w14:paraId="49FF598E" w14:textId="77777777" w:rsidR="00300A0A" w:rsidRPr="00300A0A" w:rsidRDefault="00300A0A" w:rsidP="00300A0A">
      <w:pPr>
        <w:spacing w:line="360" w:lineRule="auto"/>
        <w:rPr>
          <w:rFonts w:ascii="Times New Roman" w:hAnsi="Times New Roman" w:cs="Times New Roman"/>
        </w:rPr>
      </w:pPr>
    </w:p>
    <w:p w14:paraId="0D3EDDE7" w14:textId="77777777" w:rsidR="00300A0A" w:rsidRPr="00300A0A" w:rsidRDefault="00300A0A" w:rsidP="00300A0A">
      <w:pPr>
        <w:spacing w:line="360" w:lineRule="auto"/>
        <w:rPr>
          <w:rFonts w:ascii="Times New Roman" w:hAnsi="Times New Roman" w:cs="Times New Roman"/>
        </w:rPr>
      </w:pPr>
    </w:p>
    <w:p w14:paraId="33108F4A" w14:textId="77777777" w:rsidR="00300A0A" w:rsidRPr="00300A0A" w:rsidRDefault="00300A0A" w:rsidP="00300A0A">
      <w:pPr>
        <w:spacing w:line="360" w:lineRule="auto"/>
        <w:rPr>
          <w:rFonts w:ascii="Times New Roman" w:hAnsi="Times New Roman" w:cs="Times New Roman"/>
        </w:rPr>
      </w:pPr>
    </w:p>
    <w:p w14:paraId="7F9B8994" w14:textId="77777777" w:rsidR="00300A0A" w:rsidRPr="00300A0A" w:rsidRDefault="00300A0A" w:rsidP="00300A0A">
      <w:pPr>
        <w:spacing w:line="360" w:lineRule="auto"/>
        <w:rPr>
          <w:rFonts w:ascii="Times New Roman" w:hAnsi="Times New Roman" w:cs="Times New Roman"/>
        </w:rPr>
      </w:pPr>
    </w:p>
    <w:p w14:paraId="6BBA07F6" w14:textId="77777777" w:rsidR="00300A0A" w:rsidRPr="00300A0A" w:rsidRDefault="00300A0A" w:rsidP="00300A0A">
      <w:pPr>
        <w:spacing w:line="360" w:lineRule="auto"/>
        <w:rPr>
          <w:rFonts w:ascii="Times New Roman" w:hAnsi="Times New Roman" w:cs="Times New Roman"/>
        </w:rPr>
      </w:pPr>
    </w:p>
    <w:p w14:paraId="07376700" w14:textId="77777777" w:rsidR="00300A0A" w:rsidRPr="00300A0A" w:rsidRDefault="00300A0A" w:rsidP="00300A0A">
      <w:pPr>
        <w:spacing w:line="360" w:lineRule="auto"/>
        <w:rPr>
          <w:rFonts w:ascii="Times New Roman" w:hAnsi="Times New Roman" w:cs="Times New Roman"/>
        </w:rPr>
      </w:pPr>
    </w:p>
    <w:p w14:paraId="3CF59330" w14:textId="77777777" w:rsidR="00300A0A" w:rsidRDefault="00300A0A" w:rsidP="00300A0A">
      <w:pPr>
        <w:spacing w:line="360" w:lineRule="auto"/>
        <w:rPr>
          <w:rFonts w:ascii="Times New Roman" w:hAnsi="Times New Roman" w:cs="Times New Roman"/>
        </w:rPr>
      </w:pPr>
    </w:p>
    <w:p w14:paraId="3E3A0F2E" w14:textId="77777777" w:rsidR="00300A0A" w:rsidRDefault="00300A0A" w:rsidP="00300A0A">
      <w:pPr>
        <w:spacing w:line="360" w:lineRule="auto"/>
        <w:rPr>
          <w:rFonts w:ascii="Times New Roman" w:hAnsi="Times New Roman" w:cs="Times New Roman"/>
        </w:rPr>
      </w:pPr>
    </w:p>
    <w:p w14:paraId="29BE82EB" w14:textId="77777777" w:rsidR="00300A0A" w:rsidRDefault="00300A0A" w:rsidP="00300A0A">
      <w:pPr>
        <w:spacing w:line="360" w:lineRule="auto"/>
        <w:rPr>
          <w:rFonts w:ascii="Times New Roman" w:hAnsi="Times New Roman" w:cs="Times New Roman"/>
        </w:rPr>
      </w:pPr>
    </w:p>
    <w:p w14:paraId="73CCE112" w14:textId="77777777" w:rsidR="00300A0A" w:rsidRDefault="00300A0A" w:rsidP="00300A0A">
      <w:pPr>
        <w:spacing w:line="360" w:lineRule="auto"/>
        <w:rPr>
          <w:rFonts w:ascii="Times New Roman" w:hAnsi="Times New Roman" w:cs="Times New Roman"/>
        </w:rPr>
      </w:pPr>
    </w:p>
    <w:p w14:paraId="6EA9A292" w14:textId="77777777" w:rsidR="00D34A2B" w:rsidRPr="00300A0A" w:rsidRDefault="00D34A2B" w:rsidP="00300A0A">
      <w:pPr>
        <w:spacing w:line="360" w:lineRule="auto"/>
        <w:rPr>
          <w:rFonts w:ascii="Times New Roman" w:hAnsi="Times New Roman" w:cs="Times New Roman"/>
        </w:rPr>
      </w:pPr>
    </w:p>
    <w:p w14:paraId="26DADF3F" w14:textId="0694DDC7" w:rsidR="0098006C" w:rsidRPr="00300A0A" w:rsidRDefault="00300A0A" w:rsidP="00300A0A">
      <w:pPr>
        <w:pStyle w:val="Heading1"/>
        <w:spacing w:line="360" w:lineRule="auto"/>
        <w:rPr>
          <w:rFonts w:ascii="Times New Roman" w:hAnsi="Times New Roman" w:cs="Times New Roman"/>
          <w:sz w:val="24"/>
          <w:szCs w:val="24"/>
        </w:rPr>
      </w:pPr>
      <w:bookmarkStart w:id="18" w:name="_Toc227757715"/>
      <w:r>
        <w:rPr>
          <w:rFonts w:ascii="Times New Roman" w:hAnsi="Times New Roman" w:cs="Times New Roman"/>
          <w:sz w:val="24"/>
          <w:szCs w:val="24"/>
        </w:rPr>
        <w:lastRenderedPageBreak/>
        <w:t xml:space="preserve">4. </w:t>
      </w:r>
      <w:r w:rsidRPr="00300A0A">
        <w:rPr>
          <w:rFonts w:ascii="Times New Roman" w:hAnsi="Times New Roman" w:cs="Times New Roman"/>
          <w:sz w:val="24"/>
          <w:szCs w:val="24"/>
        </w:rPr>
        <w:t>References</w:t>
      </w:r>
      <w:bookmarkEnd w:id="18"/>
    </w:p>
    <w:p w14:paraId="0E9ED353" w14:textId="7E00C13F" w:rsidR="003C3C0F" w:rsidRPr="00714D2B"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Brynjolfsson, E., Rock, D. and Syverson, C. (20</w:t>
      </w:r>
      <w:r w:rsidR="00962567">
        <w:rPr>
          <w:rFonts w:ascii="Times New Roman" w:hAnsi="Times New Roman" w:cs="Times New Roman"/>
        </w:rPr>
        <w:t>17</w:t>
      </w:r>
      <w:r w:rsidRPr="003C3C0F">
        <w:rPr>
          <w:rFonts w:ascii="Times New Roman" w:hAnsi="Times New Roman" w:cs="Times New Roman"/>
        </w:rPr>
        <w:t>) Artificial intelligence and the modern productivity paradox: A clash of expectations and statistics. Cambridge, MA: National Bureau of Economic Research. Available at: https://www.nber.org/papers/w24001</w:t>
      </w:r>
      <w:r>
        <w:rPr>
          <w:rFonts w:ascii="Times New Roman" w:hAnsi="Times New Roman" w:cs="Times New Roman"/>
        </w:rPr>
        <w:t xml:space="preserve"> </w:t>
      </w:r>
      <w:r w:rsidRPr="003C3C0F">
        <w:rPr>
          <w:rFonts w:ascii="Times New Roman" w:hAnsi="Times New Roman" w:cs="Times New Roman"/>
        </w:rPr>
        <w:t>(Accessed: 19 April 2026).</w:t>
      </w:r>
    </w:p>
    <w:p w14:paraId="7E1DDB55"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Burrell, J. (2016) ‘How the machine “thinks”: Understanding opacity in machine learning algorithms’, Big Data &amp; Society, 3(1), pp. 1–12. Available at: https://doi.org/10.1177/2053951715622512</w:t>
      </w:r>
    </w:p>
    <w:p w14:paraId="3C46BFFA" w14:textId="6E7648C6"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19 April 2026).</w:t>
      </w:r>
    </w:p>
    <w:p w14:paraId="4A1FFDB4" w14:textId="388C3553" w:rsidR="00D70442" w:rsidRDefault="00D70442" w:rsidP="003C3C0F">
      <w:pPr>
        <w:pStyle w:val="ListParagraph"/>
        <w:numPr>
          <w:ilvl w:val="0"/>
          <w:numId w:val="2"/>
        </w:numPr>
        <w:spacing w:line="360" w:lineRule="auto"/>
        <w:rPr>
          <w:rFonts w:ascii="Times New Roman" w:hAnsi="Times New Roman" w:cs="Times New Roman"/>
        </w:rPr>
      </w:pPr>
      <w:r w:rsidRPr="00D70442">
        <w:rPr>
          <w:rFonts w:ascii="Times New Roman" w:hAnsi="Times New Roman" w:cs="Times New Roman"/>
        </w:rPr>
        <w:t>Dastin, J. (</w:t>
      </w:r>
      <w:proofErr w:type="gramStart"/>
      <w:r w:rsidRPr="00D70442">
        <w:rPr>
          <w:rFonts w:ascii="Times New Roman" w:hAnsi="Times New Roman" w:cs="Times New Roman"/>
        </w:rPr>
        <w:t>2018)‘</w:t>
      </w:r>
      <w:proofErr w:type="gramEnd"/>
      <w:r w:rsidRPr="00D70442">
        <w:rPr>
          <w:rFonts w:ascii="Times New Roman" w:hAnsi="Times New Roman" w:cs="Times New Roman"/>
        </w:rPr>
        <w:t xml:space="preserve">Amazon scraps secret AI recruiting tool that showed bias against women’, </w:t>
      </w:r>
      <w:r w:rsidRPr="00D70442">
        <w:rPr>
          <w:rFonts w:ascii="Times New Roman" w:hAnsi="Times New Roman" w:cs="Times New Roman"/>
          <w:i/>
          <w:iCs/>
        </w:rPr>
        <w:t>Reuters</w:t>
      </w:r>
      <w:r w:rsidRPr="00D70442">
        <w:rPr>
          <w:rFonts w:ascii="Times New Roman" w:hAnsi="Times New Roman" w:cs="Times New Roman"/>
        </w:rPr>
        <w:t>, 10 October.</w:t>
      </w:r>
      <w:r w:rsidRPr="00D70442">
        <w:rPr>
          <w:rFonts w:ascii="Times New Roman" w:hAnsi="Times New Roman" w:cs="Times New Roman"/>
        </w:rPr>
        <w:br/>
        <w:t>Available at: https://www.reuters.com/article/us-amazon-com-jobs-automation-insight-idUSKCN1MK08G (Accessed: 21 April 2026).</w:t>
      </w:r>
    </w:p>
    <w:p w14:paraId="00B7E749" w14:textId="51AF38B9"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Edelman (2023) Edelman Trust Barometer 2023. Available at: https://www.edelman.com/trust/2023/trust-barometer</w:t>
      </w:r>
    </w:p>
    <w:p w14:paraId="25F176F8" w14:textId="1FAF82E6"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21 April 2026).</w:t>
      </w:r>
    </w:p>
    <w:p w14:paraId="3B6DCADB"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European Commission (2024) European approach to artificial intelligence. Available at: https://digital-strategy.ec.europa.eu/en/policies/european-approach-artificial-intelligence</w:t>
      </w:r>
    </w:p>
    <w:p w14:paraId="2E81FE34" w14:textId="0CFEA292"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19 April 2026).</w:t>
      </w:r>
    </w:p>
    <w:p w14:paraId="4C01DEE4"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European Commission (2025a) Regulatory framework for artificial intelligence (AI Act). Available at: https://digital-strategy.ec.europa.eu/en/policies/regulatory-framework-ai</w:t>
      </w:r>
    </w:p>
    <w:p w14:paraId="26B18DFA" w14:textId="2D8AFEA5"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19 April 2026).</w:t>
      </w:r>
    </w:p>
    <w:p w14:paraId="04A0694B"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European Commission (2025b) European AI Office: Role and responsibilities. Available at: https://digital-strategy.ec.europa.eu/en/policies/ai-office</w:t>
      </w:r>
    </w:p>
    <w:p w14:paraId="68C6B6CC" w14:textId="0E4E1EE6"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19 April 2026).</w:t>
      </w:r>
    </w:p>
    <w:p w14:paraId="2A5F9C4F"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European Data Protection Board (EDPB) (2024) EDPB adopts decision on Clearview AI. Available at: https://www.edpb.europa.eu/news/news/2024/edpb-adopts-decision-clearview-ai_en</w:t>
      </w:r>
    </w:p>
    <w:p w14:paraId="58609AE1" w14:textId="0FAA2B5C"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19 April 2026).</w:t>
      </w:r>
    </w:p>
    <w:p w14:paraId="0D228707"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lastRenderedPageBreak/>
        <w:t>Floridi, L. et al. (2018) ‘AI4People—An ethical framework for a good AI society: Opportunities, risks, principles, and recommendations’, Minds and Machines, 28(4), pp. 689–707. Available at: https://doi.org/10.1007/s11023-018-9482-5</w:t>
      </w:r>
    </w:p>
    <w:p w14:paraId="0125270D" w14:textId="525B326C"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19 April 2026).</w:t>
      </w:r>
    </w:p>
    <w:p w14:paraId="0957D6D3"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Information Commissioner’s Office (ICO) (2024a) Guidance on AI and data protection. Available at: https://ico.org.uk/for-organisations/uk-gdpr-guidance-and-resources/artificial-intelligence/</w:t>
      </w:r>
    </w:p>
    <w:p w14:paraId="65A19FDF" w14:textId="0D640D34"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18 April 2026).</w:t>
      </w:r>
    </w:p>
    <w:p w14:paraId="047F0AB6"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Information Commissioner’s Office (ICO) (2024b) Explaining decisions made with AI. Available at: https://ico.org.uk/for-organisations/guide-to-data-protection/key-dp-themes/explaining-decisions-made-with-ai/</w:t>
      </w:r>
    </w:p>
    <w:p w14:paraId="30414212" w14:textId="14B20B31"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18 April 2026).</w:t>
      </w:r>
    </w:p>
    <w:p w14:paraId="52908C4C"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Information Commissioner’s Office (ICO) (2024c) Google DeepMind and Royal Free NHS Foundation Trust. Available at: https://ico.org.uk/action-weve-taken/enforcement/google-deepmind-and-royal-free-nhs-foundation-trust/</w:t>
      </w:r>
    </w:p>
    <w:p w14:paraId="0B9D5966" w14:textId="4857C6C0"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18 April 2026).</w:t>
      </w:r>
    </w:p>
    <w:p w14:paraId="2E7B6384"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International Monetary Fund (IMF) (2024) Artificial intelligence and the future of work. Available at: https://www.imf.org/en/Publications/staff-discussion-notes/2024/01/14/artificial-intelligence-and-the-future-of-work</w:t>
      </w:r>
    </w:p>
    <w:p w14:paraId="3E543E6A" w14:textId="152A5957"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18 April 2026).</w:t>
      </w:r>
    </w:p>
    <w:p w14:paraId="40EB43EC"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Microsoft (2025a) Annual report 2025. Available at: https://www.microsoft.com/investor/reports/ar25/index.html</w:t>
      </w:r>
    </w:p>
    <w:p w14:paraId="47B50975" w14:textId="66B3A769"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18 April 2026).</w:t>
      </w:r>
    </w:p>
    <w:p w14:paraId="0738A39A"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Microsoft (2025b) Responsible AI resources and transparency. Available at: https://www.microsoft.com/en-us/ai/responsible-ai</w:t>
      </w:r>
    </w:p>
    <w:p w14:paraId="198A7027" w14:textId="06863BE0"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17 April 2026).</w:t>
      </w:r>
    </w:p>
    <w:p w14:paraId="6EFD581D"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National Institute of Standards and Technology (NIST) (2023) AI Risk Management Framework (AI RMF 1.0). Available at: https://www.nist.gov/itl/ai-risk-management-framework</w:t>
      </w:r>
    </w:p>
    <w:p w14:paraId="595160E0" w14:textId="43EDB672"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17 April 2026).</w:t>
      </w:r>
    </w:p>
    <w:p w14:paraId="21FE5AE0"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National Institute of Standards and Technology (NIST) (2024) Generative AI Profile. Available at: https://www.nist.gov/itl/ai-risk-management-framework/generative-ai-profile</w:t>
      </w:r>
    </w:p>
    <w:p w14:paraId="7C8AA934" w14:textId="0B75DEB7"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17 April 2026).</w:t>
      </w:r>
    </w:p>
    <w:p w14:paraId="6E8A260D"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lastRenderedPageBreak/>
        <w:t>Organisation for Economic Co-operation and Development (OECD) (2024) Artificial intelligence, data governance and privacy. Available at: https://www.oecd.org/digital/artificial-intelligence/</w:t>
      </w:r>
    </w:p>
    <w:p w14:paraId="46E57A50" w14:textId="6A70802D"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17 April 2026).</w:t>
      </w:r>
    </w:p>
    <w:p w14:paraId="6C923AA8"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PricewaterhouseCoopers (PwC) (2017) Sizing the prize: What’s the real value of AI for your business? Available at: https://www.pwc.com/gx/en/issues/data-and-analytics/publications/artificial-intelligence-study.html</w:t>
      </w:r>
    </w:p>
    <w:p w14:paraId="1B523D69" w14:textId="697B9C9E"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17 April 2026).</w:t>
      </w:r>
    </w:p>
    <w:p w14:paraId="34AFB7E4" w14:textId="0B533D90" w:rsidR="003C3C0F" w:rsidRPr="00714D2B" w:rsidRDefault="00714D2B" w:rsidP="00714D2B">
      <w:pPr>
        <w:pStyle w:val="ListParagraph"/>
        <w:numPr>
          <w:ilvl w:val="0"/>
          <w:numId w:val="2"/>
        </w:numPr>
        <w:spacing w:line="360" w:lineRule="auto"/>
        <w:rPr>
          <w:rFonts w:ascii="Times New Roman" w:hAnsi="Times New Roman" w:cs="Times New Roman"/>
        </w:rPr>
      </w:pPr>
      <w:r w:rsidRPr="00714D2B">
        <w:rPr>
          <w:rFonts w:ascii="Times New Roman" w:hAnsi="Times New Roman" w:cs="Times New Roman"/>
        </w:rPr>
        <w:t xml:space="preserve">Reuters (2024) ‘Clearview AI faces regulatory action in Europe’, </w:t>
      </w:r>
      <w:r w:rsidRPr="00714D2B">
        <w:rPr>
          <w:rFonts w:ascii="Times New Roman" w:hAnsi="Times New Roman" w:cs="Times New Roman"/>
          <w:i/>
          <w:iCs/>
        </w:rPr>
        <w:t>Reuters</w:t>
      </w:r>
      <w:r w:rsidRPr="00714D2B">
        <w:rPr>
          <w:rFonts w:ascii="Times New Roman" w:hAnsi="Times New Roman" w:cs="Times New Roman"/>
        </w:rPr>
        <w:t>.</w:t>
      </w:r>
      <w:r w:rsidRPr="00714D2B">
        <w:rPr>
          <w:rFonts w:ascii="Times New Roman" w:hAnsi="Times New Roman" w:cs="Times New Roman"/>
        </w:rPr>
        <w:br/>
        <w:t>Available at: https://www.reuters.com/technology/clearview-ai-faces-european-regulatory-action-2024 (Accessed: 17 April 2026).</w:t>
      </w:r>
    </w:p>
    <w:p w14:paraId="42DDE3F1" w14:textId="3BE93F88" w:rsidR="003C3C0F" w:rsidRPr="00714D2B" w:rsidRDefault="00714D2B" w:rsidP="00714D2B">
      <w:pPr>
        <w:pStyle w:val="ListParagraph"/>
        <w:numPr>
          <w:ilvl w:val="0"/>
          <w:numId w:val="2"/>
        </w:numPr>
        <w:spacing w:line="360" w:lineRule="auto"/>
        <w:rPr>
          <w:rFonts w:ascii="Times New Roman" w:hAnsi="Times New Roman" w:cs="Times New Roman"/>
        </w:rPr>
      </w:pPr>
      <w:r w:rsidRPr="00714D2B">
        <w:rPr>
          <w:rFonts w:ascii="Times New Roman" w:hAnsi="Times New Roman" w:cs="Times New Roman"/>
        </w:rPr>
        <w:t>Reuters (</w:t>
      </w:r>
      <w:proofErr w:type="gramStart"/>
      <w:r w:rsidRPr="00714D2B">
        <w:rPr>
          <w:rFonts w:ascii="Times New Roman" w:hAnsi="Times New Roman" w:cs="Times New Roman"/>
        </w:rPr>
        <w:t>2025)‘</w:t>
      </w:r>
      <w:proofErr w:type="gramEnd"/>
      <w:r w:rsidRPr="00714D2B">
        <w:rPr>
          <w:rFonts w:ascii="Times New Roman" w:hAnsi="Times New Roman" w:cs="Times New Roman"/>
        </w:rPr>
        <w:t xml:space="preserve">Clearview AI reaches settlement in US class-action lawsuit’, </w:t>
      </w:r>
      <w:r w:rsidRPr="00714D2B">
        <w:rPr>
          <w:rFonts w:ascii="Times New Roman" w:hAnsi="Times New Roman" w:cs="Times New Roman"/>
          <w:i/>
          <w:iCs/>
        </w:rPr>
        <w:t>Reuters</w:t>
      </w:r>
      <w:r w:rsidRPr="00714D2B">
        <w:rPr>
          <w:rFonts w:ascii="Times New Roman" w:hAnsi="Times New Roman" w:cs="Times New Roman"/>
        </w:rPr>
        <w:t>.</w:t>
      </w:r>
      <w:r w:rsidRPr="00714D2B">
        <w:rPr>
          <w:rFonts w:ascii="Times New Roman" w:hAnsi="Times New Roman" w:cs="Times New Roman"/>
        </w:rPr>
        <w:br/>
        <w:t>Available at: https://www.reuters.com/legal/clearview-ai-settlement-us-lawsuit-2025 (Accessed: 20 April 2026).</w:t>
      </w:r>
    </w:p>
    <w:p w14:paraId="557E6F10"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UK Government (2023) A pro-innovation approach to AI regulation. Available at: https://www.gov.uk/government/publications/ai-regulation-a-pro-innovation-approach</w:t>
      </w:r>
    </w:p>
    <w:p w14:paraId="7EAEC667" w14:textId="7FFB5F15"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20 April 2026).</w:t>
      </w:r>
    </w:p>
    <w:p w14:paraId="11FE5562"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UK Government (2024) Implementing the UK’s AI regulatory principles. Available at: https://www.gov.uk/government/publications/implementing-the-uks-ai-regulatory-principles</w:t>
      </w:r>
    </w:p>
    <w:p w14:paraId="540CD19C" w14:textId="46343A21"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20 April 2026).</w:t>
      </w:r>
    </w:p>
    <w:p w14:paraId="0AD23B4C"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United Nations Conference on Trade and Development (UNCTAD) (2025) Technology and Innovation Report 2025. Available at: https://unctad.org/publication/technology-and-innovation-report-2025</w:t>
      </w:r>
    </w:p>
    <w:p w14:paraId="3E5B7CDD" w14:textId="5CA6F0EF" w:rsidR="003C3C0F" w:rsidRPr="003C3C0F" w:rsidRDefault="003C3C0F" w:rsidP="00714D2B">
      <w:pPr>
        <w:pStyle w:val="ListParagraph"/>
        <w:spacing w:line="360" w:lineRule="auto"/>
        <w:rPr>
          <w:rFonts w:ascii="Times New Roman" w:hAnsi="Times New Roman" w:cs="Times New Roman"/>
        </w:rPr>
      </w:pPr>
      <w:r w:rsidRPr="003C3C0F">
        <w:rPr>
          <w:rFonts w:ascii="Times New Roman" w:hAnsi="Times New Roman" w:cs="Times New Roman"/>
        </w:rPr>
        <w:t>(Accessed: 21 April 2026).</w:t>
      </w:r>
    </w:p>
    <w:p w14:paraId="56D20EB0" w14:textId="77777777" w:rsidR="003C3C0F" w:rsidRPr="003C3C0F" w:rsidRDefault="003C3C0F" w:rsidP="003C3C0F">
      <w:pPr>
        <w:pStyle w:val="ListParagraph"/>
        <w:numPr>
          <w:ilvl w:val="0"/>
          <w:numId w:val="2"/>
        </w:numPr>
        <w:spacing w:line="360" w:lineRule="auto"/>
        <w:rPr>
          <w:rFonts w:ascii="Times New Roman" w:hAnsi="Times New Roman" w:cs="Times New Roman"/>
        </w:rPr>
      </w:pPr>
      <w:r w:rsidRPr="003C3C0F">
        <w:rPr>
          <w:rFonts w:ascii="Times New Roman" w:hAnsi="Times New Roman" w:cs="Times New Roman"/>
        </w:rPr>
        <w:t>U.S. Senate Committee on Commerce, Science, and Transportation (2021) Testimony of Frances Haugen on social media and platform accountability. Available at: https://www.commerce.senate.gov/2021/10/protecting-kids-online-testimony-of-frances-haugen</w:t>
      </w:r>
    </w:p>
    <w:p w14:paraId="36BD3827" w14:textId="5E0E6E64" w:rsidR="0098006C" w:rsidRPr="003C3C0F" w:rsidRDefault="003C3C0F" w:rsidP="003C3C0F">
      <w:pPr>
        <w:pStyle w:val="ListParagraph"/>
        <w:spacing w:line="360" w:lineRule="auto"/>
        <w:rPr>
          <w:rFonts w:ascii="Times New Roman" w:hAnsi="Times New Roman" w:cs="Times New Roman"/>
        </w:rPr>
      </w:pPr>
      <w:r w:rsidRPr="003C3C0F">
        <w:rPr>
          <w:rFonts w:ascii="Times New Roman" w:hAnsi="Times New Roman" w:cs="Times New Roman"/>
        </w:rPr>
        <w:t>(Accessed: 21 April 2026).</w:t>
      </w:r>
    </w:p>
    <w:sectPr w:rsidR="0098006C" w:rsidRPr="003C3C0F" w:rsidSect="00300A0A">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30665" w14:textId="77777777" w:rsidR="00FA1511" w:rsidRDefault="00FA1511" w:rsidP="00300A0A">
      <w:pPr>
        <w:spacing w:after="0" w:line="240" w:lineRule="auto"/>
      </w:pPr>
      <w:r>
        <w:separator/>
      </w:r>
    </w:p>
  </w:endnote>
  <w:endnote w:type="continuationSeparator" w:id="0">
    <w:p w14:paraId="78FF89B6" w14:textId="77777777" w:rsidR="00FA1511" w:rsidRDefault="00FA1511" w:rsidP="00300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0039061"/>
      <w:docPartObj>
        <w:docPartGallery w:val="Page Numbers (Bottom of Page)"/>
        <w:docPartUnique/>
      </w:docPartObj>
    </w:sdtPr>
    <w:sdtContent>
      <w:p w14:paraId="0321DBEE" w14:textId="7FF4A5F7" w:rsidR="00300A0A" w:rsidRDefault="00300A0A" w:rsidP="009D57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528A3D5" w14:textId="77777777" w:rsidR="00300A0A" w:rsidRDefault="00300A0A" w:rsidP="00300A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D556C" w14:textId="77777777" w:rsidR="00300A0A" w:rsidRDefault="00300A0A">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7CBED564" w14:textId="77777777" w:rsidR="00300A0A" w:rsidRDefault="00300A0A" w:rsidP="00300A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60ADD" w14:textId="77777777" w:rsidR="00FA1511" w:rsidRDefault="00FA1511" w:rsidP="00300A0A">
      <w:pPr>
        <w:spacing w:after="0" w:line="240" w:lineRule="auto"/>
      </w:pPr>
      <w:r>
        <w:separator/>
      </w:r>
    </w:p>
  </w:footnote>
  <w:footnote w:type="continuationSeparator" w:id="0">
    <w:p w14:paraId="1D90CB7A" w14:textId="77777777" w:rsidR="00FA1511" w:rsidRDefault="00FA1511" w:rsidP="00300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3535E"/>
    <w:multiLevelType w:val="hybridMultilevel"/>
    <w:tmpl w:val="72966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5B5327"/>
    <w:multiLevelType w:val="hybridMultilevel"/>
    <w:tmpl w:val="7AF80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3818549">
    <w:abstractNumId w:val="1"/>
  </w:num>
  <w:num w:numId="2" w16cid:durableId="1007175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A5B"/>
    <w:rsid w:val="00002A5B"/>
    <w:rsid w:val="00031FE3"/>
    <w:rsid w:val="00047317"/>
    <w:rsid w:val="00066973"/>
    <w:rsid w:val="000D47C5"/>
    <w:rsid w:val="000F5758"/>
    <w:rsid w:val="00145D1A"/>
    <w:rsid w:val="00300A0A"/>
    <w:rsid w:val="00391EEE"/>
    <w:rsid w:val="003C3C0F"/>
    <w:rsid w:val="004B6A17"/>
    <w:rsid w:val="004E5D65"/>
    <w:rsid w:val="00507C0A"/>
    <w:rsid w:val="005D5AF0"/>
    <w:rsid w:val="00625297"/>
    <w:rsid w:val="00714D2B"/>
    <w:rsid w:val="00863CFF"/>
    <w:rsid w:val="00962567"/>
    <w:rsid w:val="0098006C"/>
    <w:rsid w:val="009C76F4"/>
    <w:rsid w:val="00A547AE"/>
    <w:rsid w:val="00C03CBB"/>
    <w:rsid w:val="00C84A5B"/>
    <w:rsid w:val="00D32D7D"/>
    <w:rsid w:val="00D34A2B"/>
    <w:rsid w:val="00D70442"/>
    <w:rsid w:val="00DE394F"/>
    <w:rsid w:val="00E97DF6"/>
    <w:rsid w:val="00F60058"/>
    <w:rsid w:val="00FA1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1BC4A"/>
  <w15:chartTrackingRefBased/>
  <w15:docId w15:val="{B40CF482-19F9-B44A-B4D1-7112A1240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A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4A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4A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A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A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A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A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A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A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A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4A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4A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A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A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A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A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A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A5B"/>
    <w:rPr>
      <w:rFonts w:eastAsiaTheme="majorEastAsia" w:cstheme="majorBidi"/>
      <w:color w:val="272727" w:themeColor="text1" w:themeTint="D8"/>
    </w:rPr>
  </w:style>
  <w:style w:type="paragraph" w:styleId="Title">
    <w:name w:val="Title"/>
    <w:basedOn w:val="Normal"/>
    <w:next w:val="Normal"/>
    <w:link w:val="TitleChar"/>
    <w:uiPriority w:val="10"/>
    <w:qFormat/>
    <w:rsid w:val="00C84A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A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A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A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A5B"/>
    <w:pPr>
      <w:spacing w:before="160"/>
      <w:jc w:val="center"/>
    </w:pPr>
    <w:rPr>
      <w:i/>
      <w:iCs/>
      <w:color w:val="404040" w:themeColor="text1" w:themeTint="BF"/>
    </w:rPr>
  </w:style>
  <w:style w:type="character" w:customStyle="1" w:styleId="QuoteChar">
    <w:name w:val="Quote Char"/>
    <w:basedOn w:val="DefaultParagraphFont"/>
    <w:link w:val="Quote"/>
    <w:uiPriority w:val="29"/>
    <w:rsid w:val="00C84A5B"/>
    <w:rPr>
      <w:i/>
      <w:iCs/>
      <w:color w:val="404040" w:themeColor="text1" w:themeTint="BF"/>
    </w:rPr>
  </w:style>
  <w:style w:type="paragraph" w:styleId="ListParagraph">
    <w:name w:val="List Paragraph"/>
    <w:basedOn w:val="Normal"/>
    <w:uiPriority w:val="34"/>
    <w:qFormat/>
    <w:rsid w:val="00C84A5B"/>
    <w:pPr>
      <w:ind w:left="720"/>
      <w:contextualSpacing/>
    </w:pPr>
  </w:style>
  <w:style w:type="character" w:styleId="IntenseEmphasis">
    <w:name w:val="Intense Emphasis"/>
    <w:basedOn w:val="DefaultParagraphFont"/>
    <w:uiPriority w:val="21"/>
    <w:qFormat/>
    <w:rsid w:val="00C84A5B"/>
    <w:rPr>
      <w:i/>
      <w:iCs/>
      <w:color w:val="0F4761" w:themeColor="accent1" w:themeShade="BF"/>
    </w:rPr>
  </w:style>
  <w:style w:type="paragraph" w:styleId="IntenseQuote">
    <w:name w:val="Intense Quote"/>
    <w:basedOn w:val="Normal"/>
    <w:next w:val="Normal"/>
    <w:link w:val="IntenseQuoteChar"/>
    <w:uiPriority w:val="30"/>
    <w:qFormat/>
    <w:rsid w:val="00C84A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A5B"/>
    <w:rPr>
      <w:i/>
      <w:iCs/>
      <w:color w:val="0F4761" w:themeColor="accent1" w:themeShade="BF"/>
    </w:rPr>
  </w:style>
  <w:style w:type="character" w:styleId="IntenseReference">
    <w:name w:val="Intense Reference"/>
    <w:basedOn w:val="DefaultParagraphFont"/>
    <w:uiPriority w:val="32"/>
    <w:qFormat/>
    <w:rsid w:val="00C84A5B"/>
    <w:rPr>
      <w:b/>
      <w:bCs/>
      <w:smallCaps/>
      <w:color w:val="0F4761" w:themeColor="accent1" w:themeShade="BF"/>
      <w:spacing w:val="5"/>
    </w:rPr>
  </w:style>
  <w:style w:type="paragraph" w:styleId="NormalWeb">
    <w:name w:val="Normal (Web)"/>
    <w:basedOn w:val="Normal"/>
    <w:uiPriority w:val="99"/>
    <w:semiHidden/>
    <w:unhideWhenUsed/>
    <w:rsid w:val="000D47C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D47C5"/>
    <w:rPr>
      <w:b/>
      <w:bCs/>
    </w:rPr>
  </w:style>
  <w:style w:type="character" w:styleId="Emphasis">
    <w:name w:val="Emphasis"/>
    <w:basedOn w:val="DefaultParagraphFont"/>
    <w:uiPriority w:val="20"/>
    <w:qFormat/>
    <w:rsid w:val="0098006C"/>
    <w:rPr>
      <w:i/>
      <w:iCs/>
    </w:rPr>
  </w:style>
  <w:style w:type="character" w:styleId="Hyperlink">
    <w:name w:val="Hyperlink"/>
    <w:basedOn w:val="DefaultParagraphFont"/>
    <w:uiPriority w:val="99"/>
    <w:unhideWhenUsed/>
    <w:rsid w:val="0098006C"/>
    <w:rPr>
      <w:color w:val="0000FF"/>
      <w:u w:val="single"/>
    </w:rPr>
  </w:style>
  <w:style w:type="paragraph" w:styleId="NoSpacing">
    <w:name w:val="No Spacing"/>
    <w:link w:val="NoSpacingChar"/>
    <w:uiPriority w:val="1"/>
    <w:qFormat/>
    <w:rsid w:val="00300A0A"/>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00A0A"/>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300A0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00A0A"/>
    <w:pPr>
      <w:spacing w:before="120" w:after="0"/>
    </w:pPr>
    <w:rPr>
      <w:b/>
      <w:bCs/>
      <w:i/>
      <w:iCs/>
    </w:rPr>
  </w:style>
  <w:style w:type="paragraph" w:styleId="TOC2">
    <w:name w:val="toc 2"/>
    <w:basedOn w:val="Normal"/>
    <w:next w:val="Normal"/>
    <w:autoRedefine/>
    <w:uiPriority w:val="39"/>
    <w:unhideWhenUsed/>
    <w:rsid w:val="00300A0A"/>
    <w:pPr>
      <w:spacing w:before="120" w:after="0"/>
      <w:ind w:left="240"/>
    </w:pPr>
    <w:rPr>
      <w:b/>
      <w:bCs/>
      <w:sz w:val="22"/>
      <w:szCs w:val="22"/>
    </w:rPr>
  </w:style>
  <w:style w:type="paragraph" w:styleId="TOC3">
    <w:name w:val="toc 3"/>
    <w:basedOn w:val="Normal"/>
    <w:next w:val="Normal"/>
    <w:autoRedefine/>
    <w:uiPriority w:val="39"/>
    <w:unhideWhenUsed/>
    <w:rsid w:val="00300A0A"/>
    <w:pPr>
      <w:spacing w:after="0"/>
      <w:ind w:left="480"/>
    </w:pPr>
    <w:rPr>
      <w:sz w:val="20"/>
      <w:szCs w:val="20"/>
    </w:rPr>
  </w:style>
  <w:style w:type="paragraph" w:styleId="TOC4">
    <w:name w:val="toc 4"/>
    <w:basedOn w:val="Normal"/>
    <w:next w:val="Normal"/>
    <w:autoRedefine/>
    <w:uiPriority w:val="39"/>
    <w:semiHidden/>
    <w:unhideWhenUsed/>
    <w:rsid w:val="00300A0A"/>
    <w:pPr>
      <w:spacing w:after="0"/>
      <w:ind w:left="720"/>
    </w:pPr>
    <w:rPr>
      <w:sz w:val="20"/>
      <w:szCs w:val="20"/>
    </w:rPr>
  </w:style>
  <w:style w:type="paragraph" w:styleId="TOC5">
    <w:name w:val="toc 5"/>
    <w:basedOn w:val="Normal"/>
    <w:next w:val="Normal"/>
    <w:autoRedefine/>
    <w:uiPriority w:val="39"/>
    <w:semiHidden/>
    <w:unhideWhenUsed/>
    <w:rsid w:val="00300A0A"/>
    <w:pPr>
      <w:spacing w:after="0"/>
      <w:ind w:left="960"/>
    </w:pPr>
    <w:rPr>
      <w:sz w:val="20"/>
      <w:szCs w:val="20"/>
    </w:rPr>
  </w:style>
  <w:style w:type="paragraph" w:styleId="TOC6">
    <w:name w:val="toc 6"/>
    <w:basedOn w:val="Normal"/>
    <w:next w:val="Normal"/>
    <w:autoRedefine/>
    <w:uiPriority w:val="39"/>
    <w:semiHidden/>
    <w:unhideWhenUsed/>
    <w:rsid w:val="00300A0A"/>
    <w:pPr>
      <w:spacing w:after="0"/>
      <w:ind w:left="1200"/>
    </w:pPr>
    <w:rPr>
      <w:sz w:val="20"/>
      <w:szCs w:val="20"/>
    </w:rPr>
  </w:style>
  <w:style w:type="paragraph" w:styleId="TOC7">
    <w:name w:val="toc 7"/>
    <w:basedOn w:val="Normal"/>
    <w:next w:val="Normal"/>
    <w:autoRedefine/>
    <w:uiPriority w:val="39"/>
    <w:semiHidden/>
    <w:unhideWhenUsed/>
    <w:rsid w:val="00300A0A"/>
    <w:pPr>
      <w:spacing w:after="0"/>
      <w:ind w:left="1440"/>
    </w:pPr>
    <w:rPr>
      <w:sz w:val="20"/>
      <w:szCs w:val="20"/>
    </w:rPr>
  </w:style>
  <w:style w:type="paragraph" w:styleId="TOC8">
    <w:name w:val="toc 8"/>
    <w:basedOn w:val="Normal"/>
    <w:next w:val="Normal"/>
    <w:autoRedefine/>
    <w:uiPriority w:val="39"/>
    <w:semiHidden/>
    <w:unhideWhenUsed/>
    <w:rsid w:val="00300A0A"/>
    <w:pPr>
      <w:spacing w:after="0"/>
      <w:ind w:left="1680"/>
    </w:pPr>
    <w:rPr>
      <w:sz w:val="20"/>
      <w:szCs w:val="20"/>
    </w:rPr>
  </w:style>
  <w:style w:type="paragraph" w:styleId="TOC9">
    <w:name w:val="toc 9"/>
    <w:basedOn w:val="Normal"/>
    <w:next w:val="Normal"/>
    <w:autoRedefine/>
    <w:uiPriority w:val="39"/>
    <w:semiHidden/>
    <w:unhideWhenUsed/>
    <w:rsid w:val="00300A0A"/>
    <w:pPr>
      <w:spacing w:after="0"/>
      <w:ind w:left="1920"/>
    </w:pPr>
    <w:rPr>
      <w:sz w:val="20"/>
      <w:szCs w:val="20"/>
    </w:rPr>
  </w:style>
  <w:style w:type="paragraph" w:styleId="Footer">
    <w:name w:val="footer"/>
    <w:basedOn w:val="Normal"/>
    <w:link w:val="FooterChar"/>
    <w:uiPriority w:val="99"/>
    <w:unhideWhenUsed/>
    <w:rsid w:val="00300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A0A"/>
  </w:style>
  <w:style w:type="character" w:styleId="PageNumber">
    <w:name w:val="page number"/>
    <w:basedOn w:val="DefaultParagraphFont"/>
    <w:uiPriority w:val="99"/>
    <w:semiHidden/>
    <w:unhideWhenUsed/>
    <w:rsid w:val="00300A0A"/>
  </w:style>
  <w:style w:type="paragraph" w:styleId="Header">
    <w:name w:val="header"/>
    <w:basedOn w:val="Normal"/>
    <w:link w:val="HeaderChar"/>
    <w:uiPriority w:val="99"/>
    <w:unhideWhenUsed/>
    <w:rsid w:val="00300A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A0A"/>
  </w:style>
  <w:style w:type="character" w:styleId="UnresolvedMention">
    <w:name w:val="Unresolved Mention"/>
    <w:basedOn w:val="DefaultParagraphFont"/>
    <w:uiPriority w:val="99"/>
    <w:semiHidden/>
    <w:unhideWhenUsed/>
    <w:rsid w:val="00D34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690C2-7FFE-AD49-97CC-1ED427C70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21</Pages>
  <Words>6161</Words>
  <Characters>35121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Challenges – Microsoft</dc:title>
  <dc:subject/>
  <dc:creator>Bartosz Malinowski (2005342)</dc:creator>
  <cp:keywords/>
  <dc:description/>
  <cp:lastModifiedBy>Bartosz Malinowski (2005342)</cp:lastModifiedBy>
  <cp:revision>21</cp:revision>
  <dcterms:created xsi:type="dcterms:W3CDTF">2026-04-20T08:42:00Z</dcterms:created>
  <dcterms:modified xsi:type="dcterms:W3CDTF">2026-04-22T12:42:00Z</dcterms:modified>
</cp:coreProperties>
</file>