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24AD7D2" w:rsidP="1FA037C1" w:rsidRDefault="424AD7D2" w14:paraId="22FDD7BC" w14:textId="17DEFB4C">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424AD7D2">
        <w:rPr>
          <w:rFonts w:ascii="Calibri" w:hAnsi="Calibri" w:eastAsia="Calibri" w:cs="Calibri"/>
          <w:b w:val="1"/>
          <w:bCs w:val="1"/>
          <w:i w:val="0"/>
          <w:iCs w:val="0"/>
          <w:caps w:val="0"/>
          <w:smallCaps w:val="0"/>
          <w:noProof w:val="0"/>
          <w:color w:val="000000" w:themeColor="text1" w:themeTint="FF" w:themeShade="FF"/>
          <w:sz w:val="22"/>
          <w:szCs w:val="22"/>
          <w:lang w:val="en-GB"/>
        </w:rPr>
        <w:t>Student Name: Samia Anjum</w:t>
      </w:r>
    </w:p>
    <w:p w:rsidR="424AD7D2" w:rsidP="1FA037C1" w:rsidRDefault="424AD7D2" w14:paraId="76494E31" w14:textId="4B6BD08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424AD7D2">
        <w:rPr>
          <w:rFonts w:ascii="Calibri" w:hAnsi="Calibri" w:eastAsia="Calibri" w:cs="Calibri"/>
          <w:b w:val="1"/>
          <w:bCs w:val="1"/>
          <w:i w:val="0"/>
          <w:iCs w:val="0"/>
          <w:caps w:val="0"/>
          <w:smallCaps w:val="0"/>
          <w:noProof w:val="0"/>
          <w:color w:val="000000" w:themeColor="text1" w:themeTint="FF" w:themeShade="FF"/>
          <w:sz w:val="22"/>
          <w:szCs w:val="22"/>
          <w:lang w:val="en-GB"/>
        </w:rPr>
        <w:t>Student Number:2127146</w:t>
      </w:r>
    </w:p>
    <w:p w:rsidR="424AD7D2" w:rsidP="1FA037C1" w:rsidRDefault="424AD7D2" w14:paraId="0BF5A41A" w14:textId="01A1CF92">
      <w:pPr>
        <w:pStyle w:val="Normal"/>
        <w:spacing w:after="160" w:line="259" w:lineRule="auto"/>
        <w:jc w:val="center"/>
        <w:rPr>
          <w:rFonts w:ascii="Calibri" w:hAnsi="Calibri" w:eastAsia="Calibri" w:cs="Calibri"/>
          <w:b w:val="1"/>
          <w:bCs w:val="1"/>
          <w:noProof w:val="0"/>
          <w:sz w:val="22"/>
          <w:szCs w:val="22"/>
          <w:lang w:val="en-GB"/>
        </w:rPr>
      </w:pPr>
      <w:r w:rsidRPr="1FA037C1" w:rsidR="424AD7D2">
        <w:rPr>
          <w:rFonts w:ascii="Calibri" w:hAnsi="Calibri" w:eastAsia="Calibri" w:cs="Calibri"/>
          <w:b w:val="1"/>
          <w:bCs w:val="1"/>
          <w:i w:val="0"/>
          <w:iCs w:val="0"/>
          <w:caps w:val="0"/>
          <w:smallCaps w:val="0"/>
          <w:noProof w:val="0"/>
          <w:color w:val="000000" w:themeColor="text1" w:themeTint="FF" w:themeShade="FF"/>
          <w:sz w:val="22"/>
          <w:szCs w:val="22"/>
          <w:lang w:val="en-GB"/>
        </w:rPr>
        <w:t xml:space="preserve">Module Code: </w:t>
      </w:r>
      <w:r w:rsidRPr="1FA037C1" w:rsidR="424AD7D2">
        <w:rPr>
          <w:rFonts w:ascii="Calibri" w:hAnsi="Calibri" w:eastAsia="Calibri" w:cs="Calibri"/>
          <w:b w:val="1"/>
          <w:bCs w:val="1"/>
          <w:noProof w:val="0"/>
          <w:sz w:val="22"/>
          <w:szCs w:val="22"/>
          <w:lang w:val="en-GB"/>
        </w:rPr>
        <w:t>LCHS4006</w:t>
      </w:r>
    </w:p>
    <w:p w:rsidR="424AD7D2" w:rsidP="1FA037C1" w:rsidRDefault="424AD7D2" w14:paraId="6445B77F" w14:textId="719CDA11">
      <w:pPr>
        <w:pStyle w:val="Heading1"/>
        <w:ind w:left="2160" w:firstLine="720"/>
        <w:rPr>
          <w:b w:val="0"/>
          <w:bCs w:val="0"/>
          <w:i w:val="0"/>
          <w:iCs w:val="0"/>
          <w:caps w:val="0"/>
          <w:smallCaps w:val="0"/>
          <w:strike w:val="0"/>
          <w:dstrike w:val="0"/>
          <w:noProof w:val="0"/>
          <w:sz w:val="22"/>
          <w:szCs w:val="22"/>
          <w:lang w:val="en-GB"/>
        </w:rPr>
      </w:pPr>
      <w:r w:rsidRPr="1FA037C1" w:rsidR="424AD7D2">
        <w:rPr>
          <w:rFonts w:ascii="Calibri" w:hAnsi="Calibri" w:eastAsia="Calibri" w:cs="Calibri"/>
          <w:b w:val="1"/>
          <w:bCs w:val="1"/>
          <w:i w:val="0"/>
          <w:iCs w:val="0"/>
          <w:caps w:val="0"/>
          <w:smallCaps w:val="0"/>
          <w:noProof w:val="0"/>
          <w:color w:val="000000" w:themeColor="text1" w:themeTint="FF" w:themeShade="FF"/>
          <w:sz w:val="22"/>
          <w:szCs w:val="22"/>
          <w:lang w:val="en-GB"/>
        </w:rPr>
        <w:t>Module: Psychology in health and social care</w:t>
      </w:r>
    </w:p>
    <w:p w:rsidR="424AD7D2" w:rsidP="1FA037C1" w:rsidRDefault="424AD7D2" w14:paraId="6CD9A357" w14:textId="76493914">
      <w:pPr>
        <w:pStyle w:val="Normal"/>
        <w:keepNext w:val="1"/>
        <w:keepLines w:val="1"/>
        <w:ind w:left="2880" w:firstLine="0"/>
        <w:rPr>
          <w:rFonts w:ascii="Calibri" w:hAnsi="Calibri" w:eastAsia="Calibri" w:cs="Calibri"/>
          <w:b w:val="1"/>
          <w:bCs w:val="1"/>
          <w:i w:val="0"/>
          <w:iCs w:val="0"/>
          <w:caps w:val="0"/>
          <w:smallCaps w:val="0"/>
          <w:noProof w:val="0"/>
          <w:color w:val="000000" w:themeColor="text1" w:themeTint="FF" w:themeShade="FF"/>
          <w:sz w:val="22"/>
          <w:szCs w:val="22"/>
          <w:lang w:val="en-GB"/>
        </w:rPr>
      </w:pPr>
      <w:r w:rsidRPr="1FA037C1" w:rsidR="424AD7D2">
        <w:rPr>
          <w:rFonts w:ascii="Calibri" w:hAnsi="Calibri" w:eastAsia="Calibri" w:cs="Calibri"/>
          <w:b w:val="1"/>
          <w:bCs w:val="1"/>
          <w:i w:val="0"/>
          <w:iCs w:val="0"/>
          <w:caps w:val="0"/>
          <w:smallCaps w:val="0"/>
          <w:noProof w:val="0"/>
          <w:color w:val="000000" w:themeColor="text1" w:themeTint="FF" w:themeShade="FF"/>
          <w:sz w:val="22"/>
          <w:szCs w:val="22"/>
          <w:lang w:val="en-GB"/>
        </w:rPr>
        <w:t>Lecture Name:</w:t>
      </w:r>
      <w:r w:rsidRPr="1FA037C1" w:rsidR="5BF21C97">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Kennedy </w:t>
      </w:r>
      <w:r w:rsidRPr="1FA037C1" w:rsidR="5BF21C97">
        <w:rPr>
          <w:rFonts w:ascii="Calibri" w:hAnsi="Calibri" w:eastAsia="Calibri" w:cs="Calibri"/>
          <w:b w:val="1"/>
          <w:bCs w:val="1"/>
          <w:i w:val="0"/>
          <w:iCs w:val="0"/>
          <w:caps w:val="0"/>
          <w:smallCaps w:val="0"/>
          <w:noProof w:val="0"/>
          <w:color w:val="000000" w:themeColor="text1" w:themeTint="FF" w:themeShade="FF"/>
          <w:sz w:val="22"/>
          <w:szCs w:val="22"/>
          <w:lang w:val="en-GB"/>
        </w:rPr>
        <w:t>Obohwemu</w:t>
      </w:r>
    </w:p>
    <w:p w:rsidR="1FA037C1" w:rsidP="1FA037C1" w:rsidRDefault="1FA037C1" w14:paraId="5359BCFA" w14:textId="28A43B74">
      <w:pPr>
        <w:pStyle w:val="Normal"/>
        <w:keepNext w:val="1"/>
        <w:keepLines w:val="1"/>
        <w:ind w:left="2880" w:firstLine="0"/>
        <w:rPr>
          <w:rFonts w:ascii="Calibri" w:hAnsi="Calibri" w:eastAsia="Calibri" w:cs="Calibri"/>
          <w:b w:val="1"/>
          <w:bCs w:val="1"/>
          <w:i w:val="0"/>
          <w:iCs w:val="0"/>
          <w:caps w:val="0"/>
          <w:smallCaps w:val="0"/>
          <w:noProof w:val="0"/>
          <w:color w:val="000000" w:themeColor="text1" w:themeTint="FF" w:themeShade="FF"/>
          <w:sz w:val="22"/>
          <w:szCs w:val="22"/>
          <w:lang w:val="en-GB"/>
        </w:rPr>
      </w:pPr>
    </w:p>
    <w:p w:rsidR="1FA037C1" w:rsidP="1FA037C1" w:rsidRDefault="1FA037C1" w14:paraId="633F0CA7" w14:textId="25C08375">
      <w:pPr>
        <w:pStyle w:val="Normal"/>
        <w:keepNext w:val="1"/>
        <w:keepLines w:val="1"/>
        <w:ind w:left="2880" w:firstLine="0"/>
        <w:rPr>
          <w:rFonts w:ascii="Calibri" w:hAnsi="Calibri" w:eastAsia="Calibri" w:cs="Calibri"/>
          <w:b w:val="1"/>
          <w:bCs w:val="1"/>
          <w:i w:val="0"/>
          <w:iCs w:val="0"/>
          <w:caps w:val="0"/>
          <w:smallCaps w:val="0"/>
          <w:noProof w:val="0"/>
          <w:color w:val="000000" w:themeColor="text1" w:themeTint="FF" w:themeShade="FF"/>
          <w:sz w:val="22"/>
          <w:szCs w:val="22"/>
          <w:lang w:val="en-GB"/>
        </w:rPr>
      </w:pPr>
    </w:p>
    <w:p w:rsidR="1FA037C1" w:rsidP="1FA037C1" w:rsidRDefault="1FA037C1" w14:paraId="6D633F1A" w14:textId="56A8CF78">
      <w:pPr>
        <w:pStyle w:val="Normal"/>
        <w:jc w:val="left"/>
        <w:rPr>
          <w:rFonts w:ascii="Calibri" w:hAnsi="Calibri" w:eastAsia="Calibri" w:cs="Calibri"/>
          <w:color w:val="000000" w:themeColor="text1" w:themeTint="FF" w:themeShade="FF"/>
          <w:sz w:val="22"/>
          <w:szCs w:val="22"/>
        </w:rPr>
      </w:pPr>
    </w:p>
    <w:p w:rsidR="1FA037C1" w:rsidP="1FA037C1" w:rsidRDefault="1FA037C1" w14:paraId="64AA69D0" w14:textId="04756459">
      <w:pPr>
        <w:jc w:val="left"/>
        <w:rPr>
          <w:rFonts w:ascii="Calibri" w:hAnsi="Calibri" w:eastAsia="Calibri" w:cs="Calibri"/>
          <w:color w:val="000000" w:themeColor="text1" w:themeTint="FF" w:themeShade="FF"/>
          <w:sz w:val="22"/>
          <w:szCs w:val="22"/>
        </w:rPr>
      </w:pPr>
    </w:p>
    <w:p w:rsidR="1E72A7C3" w:rsidP="1FA037C1" w:rsidRDefault="1E72A7C3" w14:paraId="497DBF5F" w14:textId="062A3A06">
      <w:pPr>
        <w:jc w:val="left"/>
        <w:rPr>
          <w:rFonts w:ascii="Calibri" w:hAnsi="Calibri" w:eastAsia="Calibri" w:cs="Calibri"/>
          <w:color w:val="000000" w:themeColor="text1" w:themeTint="FF" w:themeShade="FF"/>
          <w:sz w:val="22"/>
          <w:szCs w:val="22"/>
        </w:rPr>
      </w:pPr>
      <w:bookmarkStart w:name="_GoBack" w:id="0"/>
      <w:bookmarkEnd w:id="0"/>
      <w:r w:rsidRPr="1FA037C1" w:rsidR="1E72A7C3">
        <w:rPr>
          <w:rFonts w:ascii="Calibri" w:hAnsi="Calibri" w:eastAsia="Calibri" w:cs="Calibri"/>
          <w:color w:val="000000" w:themeColor="text1" w:themeTint="FF" w:themeShade="FF"/>
          <w:sz w:val="22"/>
          <w:szCs w:val="22"/>
        </w:rPr>
        <w:t xml:space="preserve">Health and social care professionals play an essential role in promoting physical, emotional, and social well-being of their patients. They work with individuals of all ages, backgrounds, and with different health conditions, ranging from chronic illnesses to mental health problems. The knowledge and skills of a health and social care professional are critical in </w:t>
      </w:r>
      <w:r w:rsidRPr="1FA037C1" w:rsidR="1E72A7C3">
        <w:rPr>
          <w:rFonts w:ascii="Calibri" w:hAnsi="Calibri" w:eastAsia="Calibri" w:cs="Calibri"/>
          <w:color w:val="000000" w:themeColor="text1" w:themeTint="FF" w:themeShade="FF"/>
          <w:sz w:val="22"/>
          <w:szCs w:val="22"/>
        </w:rPr>
        <w:t>determining</w:t>
      </w:r>
      <w:r w:rsidRPr="1FA037C1" w:rsidR="1E72A7C3">
        <w:rPr>
          <w:rFonts w:ascii="Calibri" w:hAnsi="Calibri" w:eastAsia="Calibri" w:cs="Calibri"/>
          <w:color w:val="000000" w:themeColor="text1" w:themeTint="FF" w:themeShade="FF"/>
          <w:sz w:val="22"/>
          <w:szCs w:val="22"/>
        </w:rPr>
        <w:t xml:space="preserve"> the effectiveness of the care they provide to their patients. </w:t>
      </w:r>
      <w:r w:rsidRPr="1FA037C1" w:rsidR="1E72A7C3">
        <w:rPr>
          <w:rFonts w:ascii="Calibri" w:hAnsi="Calibri" w:eastAsia="Calibri" w:cs="Calibri"/>
          <w:color w:val="000000" w:themeColor="text1" w:themeTint="FF" w:themeShade="FF"/>
          <w:sz w:val="22"/>
          <w:szCs w:val="22"/>
        </w:rPr>
        <w:t xml:space="preserve">In this report, we will discuss the statement, "A health and social care professional who understands psychological theories of lifespan development and </w:t>
      </w:r>
      <w:r w:rsidRPr="1FA037C1" w:rsidR="1E72A7C3">
        <w:rPr>
          <w:rFonts w:ascii="Calibri" w:hAnsi="Calibri" w:eastAsia="Calibri" w:cs="Calibri"/>
          <w:color w:val="000000" w:themeColor="text1" w:themeTint="FF" w:themeShade="FF"/>
          <w:sz w:val="22"/>
          <w:szCs w:val="22"/>
        </w:rPr>
        <w:t>behaviour</w:t>
      </w:r>
      <w:r w:rsidRPr="1FA037C1" w:rsidR="1E72A7C3">
        <w:rPr>
          <w:rFonts w:ascii="Calibri" w:hAnsi="Calibri" w:eastAsia="Calibri" w:cs="Calibri"/>
          <w:color w:val="000000" w:themeColor="text1" w:themeTint="FF" w:themeShade="FF"/>
          <w:sz w:val="22"/>
          <w:szCs w:val="22"/>
        </w:rPr>
        <w:t xml:space="preserve"> can be more effective in their role than a health and social care professional who does not understand these theories." We will examine three psychological theories that are relevant to health and social care professionals and discuss how understanding these theories can enhance their effectiveness in their roles.</w:t>
      </w:r>
    </w:p>
    <w:p w:rsidR="39598EE7" w:rsidP="1FA037C1" w:rsidRDefault="39598EE7" w14:paraId="633EEBFE" w14:textId="6FA74590">
      <w:p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39598EE7">
        <w:rPr>
          <w:rFonts w:ascii="Calibri" w:hAnsi="Calibri" w:eastAsia="Calibri" w:cs="Calibri"/>
          <w:b w:val="0"/>
          <w:bCs w:val="0"/>
          <w:i w:val="0"/>
          <w:iCs w:val="0"/>
          <w:caps w:val="0"/>
          <w:smallCaps w:val="0"/>
          <w:noProof w:val="0"/>
          <w:color w:val="000000" w:themeColor="text1" w:themeTint="FF" w:themeShade="FF"/>
          <w:sz w:val="22"/>
          <w:szCs w:val="22"/>
          <w:lang w:val="en-GB"/>
        </w:rPr>
        <w:t>Erik Erikson's Stages of Psychosocial Development provide a framework for understanding the ways in which individuals develop throughout their lifespan. This theory has important implications for health and social care professionals who work with individuals at various stages of development.</w:t>
      </w:r>
    </w:p>
    <w:p w:rsidR="1E72A7C3" w:rsidP="1FA037C1" w:rsidRDefault="1E72A7C3" w14:paraId="3CC3FEC9" w14:textId="72BB744A">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1E72A7C3">
        <w:rPr>
          <w:rFonts w:ascii="Calibri" w:hAnsi="Calibri" w:eastAsia="Calibri" w:cs="Calibri"/>
          <w:color w:val="000000" w:themeColor="text1" w:themeTint="FF" w:themeShade="FF"/>
          <w:sz w:val="22"/>
          <w:szCs w:val="22"/>
        </w:rPr>
        <w:t xml:space="preserve"> </w:t>
      </w:r>
      <w:r w:rsidRPr="1FA037C1" w:rsidR="47FBBB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Erik Erikson's theory of psychosocial development proposes that individuals go through eight stages of development across the lifespan. </w:t>
      </w:r>
      <w:r w:rsidRPr="1FA037C1" w:rsidR="66B3FCE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FA037C1" w:rsidR="66B3FCEF">
        <w:rPr>
          <w:rFonts w:ascii="Arial" w:hAnsi="Arial" w:eastAsia="Arial" w:cs="Arial"/>
          <w:b w:val="0"/>
          <w:bCs w:val="0"/>
          <w:i w:val="0"/>
          <w:iCs w:val="0"/>
          <w:caps w:val="0"/>
          <w:smallCaps w:val="0"/>
          <w:noProof w:val="0"/>
          <w:color w:val="000000" w:themeColor="text1" w:themeTint="FF" w:themeShade="FF"/>
          <w:sz w:val="19"/>
          <w:szCs w:val="19"/>
          <w:lang w:val="en-GB"/>
        </w:rPr>
        <w:t>Knight, Z.G., 2017). Each</w:t>
      </w:r>
      <w:r w:rsidRPr="1FA037C1" w:rsidR="47FBBB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stage is characterized by a unique conflict that the individual must resolve. The stages are as follows:</w:t>
      </w:r>
    </w:p>
    <w:p w:rsidR="47FBBBE8" w:rsidP="1FA037C1" w:rsidRDefault="47FBBBE8" w14:paraId="300B51F1" w14:textId="2DAB1827">
      <w:pPr>
        <w:pStyle w:val="ListParagraph"/>
        <w:numPr>
          <w:ilvl w:val="0"/>
          <w:numId w:val="1"/>
        </w:num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47FBBBE8">
        <w:rPr>
          <w:rFonts w:ascii="Calibri" w:hAnsi="Calibri" w:eastAsia="Calibri" w:cs="Calibri"/>
          <w:b w:val="0"/>
          <w:bCs w:val="0"/>
          <w:i w:val="0"/>
          <w:iCs w:val="0"/>
          <w:caps w:val="0"/>
          <w:smallCaps w:val="0"/>
          <w:noProof w:val="0"/>
          <w:color w:val="000000" w:themeColor="text1" w:themeTint="FF" w:themeShade="FF"/>
          <w:sz w:val="22"/>
          <w:szCs w:val="22"/>
          <w:lang w:val="en-GB"/>
        </w:rPr>
        <w:t>Trust vs. Mistrust (infancy)</w:t>
      </w:r>
    </w:p>
    <w:p w:rsidR="47FBBBE8" w:rsidP="1FA037C1" w:rsidRDefault="47FBBBE8" w14:paraId="12F418DE" w14:textId="1FC25CE7">
      <w:pPr>
        <w:pStyle w:val="ListParagraph"/>
        <w:numPr>
          <w:ilvl w:val="0"/>
          <w:numId w:val="1"/>
        </w:num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47FBBBE8">
        <w:rPr>
          <w:rFonts w:ascii="Calibri" w:hAnsi="Calibri" w:eastAsia="Calibri" w:cs="Calibri"/>
          <w:b w:val="0"/>
          <w:bCs w:val="0"/>
          <w:i w:val="0"/>
          <w:iCs w:val="0"/>
          <w:caps w:val="0"/>
          <w:smallCaps w:val="0"/>
          <w:noProof w:val="0"/>
          <w:color w:val="000000" w:themeColor="text1" w:themeTint="FF" w:themeShade="FF"/>
          <w:sz w:val="22"/>
          <w:szCs w:val="22"/>
          <w:lang w:val="en-GB"/>
        </w:rPr>
        <w:t>Autonomy vs. Shame and Doubt (toddlerhood)</w:t>
      </w:r>
    </w:p>
    <w:p w:rsidR="47FBBBE8" w:rsidP="1FA037C1" w:rsidRDefault="47FBBBE8" w14:paraId="551FA113" w14:textId="292D7CE6">
      <w:pPr>
        <w:pStyle w:val="ListParagraph"/>
        <w:numPr>
          <w:ilvl w:val="0"/>
          <w:numId w:val="1"/>
        </w:num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47FBBBE8">
        <w:rPr>
          <w:rFonts w:ascii="Calibri" w:hAnsi="Calibri" w:eastAsia="Calibri" w:cs="Calibri"/>
          <w:b w:val="0"/>
          <w:bCs w:val="0"/>
          <w:i w:val="0"/>
          <w:iCs w:val="0"/>
          <w:caps w:val="0"/>
          <w:smallCaps w:val="0"/>
          <w:noProof w:val="0"/>
          <w:color w:val="000000" w:themeColor="text1" w:themeTint="FF" w:themeShade="FF"/>
          <w:sz w:val="22"/>
          <w:szCs w:val="22"/>
          <w:lang w:val="en-GB"/>
        </w:rPr>
        <w:t>Initiative vs. Guilt (early childhood)</w:t>
      </w:r>
    </w:p>
    <w:p w:rsidR="47FBBBE8" w:rsidP="1FA037C1" w:rsidRDefault="47FBBBE8" w14:paraId="075CBA32" w14:textId="52E759F6">
      <w:pPr>
        <w:pStyle w:val="ListParagraph"/>
        <w:numPr>
          <w:ilvl w:val="0"/>
          <w:numId w:val="1"/>
        </w:num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47FBBBE8">
        <w:rPr>
          <w:rFonts w:ascii="Calibri" w:hAnsi="Calibri" w:eastAsia="Calibri" w:cs="Calibri"/>
          <w:b w:val="0"/>
          <w:bCs w:val="0"/>
          <w:i w:val="0"/>
          <w:iCs w:val="0"/>
          <w:caps w:val="0"/>
          <w:smallCaps w:val="0"/>
          <w:noProof w:val="0"/>
          <w:color w:val="000000" w:themeColor="text1" w:themeTint="FF" w:themeShade="FF"/>
          <w:sz w:val="22"/>
          <w:szCs w:val="22"/>
          <w:lang w:val="en-GB"/>
        </w:rPr>
        <w:t>Industry vs. Inferiority (middle childhood)</w:t>
      </w:r>
    </w:p>
    <w:p w:rsidR="47FBBBE8" w:rsidP="1FA037C1" w:rsidRDefault="47FBBBE8" w14:paraId="11B2F88D" w14:textId="5565E788">
      <w:pPr>
        <w:pStyle w:val="ListParagraph"/>
        <w:numPr>
          <w:ilvl w:val="0"/>
          <w:numId w:val="1"/>
        </w:num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47FBBBE8">
        <w:rPr>
          <w:rFonts w:ascii="Calibri" w:hAnsi="Calibri" w:eastAsia="Calibri" w:cs="Calibri"/>
          <w:b w:val="0"/>
          <w:bCs w:val="0"/>
          <w:i w:val="0"/>
          <w:iCs w:val="0"/>
          <w:caps w:val="0"/>
          <w:smallCaps w:val="0"/>
          <w:noProof w:val="0"/>
          <w:color w:val="000000" w:themeColor="text1" w:themeTint="FF" w:themeShade="FF"/>
          <w:sz w:val="22"/>
          <w:szCs w:val="22"/>
          <w:lang w:val="en-GB"/>
        </w:rPr>
        <w:t>Identity vs. Role Confusion (adolescence)</w:t>
      </w:r>
    </w:p>
    <w:p w:rsidR="47FBBBE8" w:rsidP="1FA037C1" w:rsidRDefault="47FBBBE8" w14:paraId="2B99898B" w14:textId="0D00D914">
      <w:pPr>
        <w:pStyle w:val="ListParagraph"/>
        <w:numPr>
          <w:ilvl w:val="0"/>
          <w:numId w:val="1"/>
        </w:num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47FBBBE8">
        <w:rPr>
          <w:rFonts w:ascii="Calibri" w:hAnsi="Calibri" w:eastAsia="Calibri" w:cs="Calibri"/>
          <w:b w:val="0"/>
          <w:bCs w:val="0"/>
          <w:i w:val="0"/>
          <w:iCs w:val="0"/>
          <w:caps w:val="0"/>
          <w:smallCaps w:val="0"/>
          <w:noProof w:val="0"/>
          <w:color w:val="000000" w:themeColor="text1" w:themeTint="FF" w:themeShade="FF"/>
          <w:sz w:val="22"/>
          <w:szCs w:val="22"/>
          <w:lang w:val="en-GB"/>
        </w:rPr>
        <w:t>Intimacy vs. Isolation (young adulthood)</w:t>
      </w:r>
    </w:p>
    <w:p w:rsidR="47FBBBE8" w:rsidP="1FA037C1" w:rsidRDefault="47FBBBE8" w14:paraId="73CC2A6E" w14:textId="59601D80">
      <w:pPr>
        <w:pStyle w:val="ListParagraph"/>
        <w:numPr>
          <w:ilvl w:val="0"/>
          <w:numId w:val="1"/>
        </w:num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47FBBBE8">
        <w:rPr>
          <w:rFonts w:ascii="Calibri" w:hAnsi="Calibri" w:eastAsia="Calibri" w:cs="Calibri"/>
          <w:b w:val="0"/>
          <w:bCs w:val="0"/>
          <w:i w:val="0"/>
          <w:iCs w:val="0"/>
          <w:caps w:val="0"/>
          <w:smallCaps w:val="0"/>
          <w:noProof w:val="0"/>
          <w:color w:val="000000" w:themeColor="text1" w:themeTint="FF" w:themeShade="FF"/>
          <w:sz w:val="22"/>
          <w:szCs w:val="22"/>
          <w:lang w:val="en-GB"/>
        </w:rPr>
        <w:t>Generativity vs. Stagnation (middle adulthood)</w:t>
      </w:r>
    </w:p>
    <w:p w:rsidR="47FBBBE8" w:rsidP="1FA037C1" w:rsidRDefault="47FBBBE8" w14:paraId="256D5F84" w14:textId="6AACEFAA">
      <w:pPr>
        <w:pStyle w:val="ListParagraph"/>
        <w:numPr>
          <w:ilvl w:val="0"/>
          <w:numId w:val="1"/>
        </w:num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47FBBBE8">
        <w:rPr>
          <w:rFonts w:ascii="Calibri" w:hAnsi="Calibri" w:eastAsia="Calibri" w:cs="Calibri"/>
          <w:b w:val="0"/>
          <w:bCs w:val="0"/>
          <w:i w:val="0"/>
          <w:iCs w:val="0"/>
          <w:caps w:val="0"/>
          <w:smallCaps w:val="0"/>
          <w:noProof w:val="0"/>
          <w:color w:val="000000" w:themeColor="text1" w:themeTint="FF" w:themeShade="FF"/>
          <w:sz w:val="22"/>
          <w:szCs w:val="22"/>
          <w:lang w:val="en-GB"/>
        </w:rPr>
        <w:t>Ego Integrity vs. Despair (late adulthood)</w:t>
      </w:r>
    </w:p>
    <w:p w:rsidR="5432F126" w:rsidP="1FA037C1" w:rsidRDefault="5432F126" w14:paraId="255177FB" w14:textId="1F8DD985">
      <w:p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5432F12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resolution of these conflicts is critical to the individual's healthy development. Health and social care professionals can apply this principle by recognizing the challenges faced by individuals at each stage of development and providing </w:t>
      </w:r>
      <w:r w:rsidRPr="1FA037C1" w:rsidR="5432F126">
        <w:rPr>
          <w:rFonts w:ascii="Calibri" w:hAnsi="Calibri" w:eastAsia="Calibri" w:cs="Calibri"/>
          <w:b w:val="0"/>
          <w:bCs w:val="0"/>
          <w:i w:val="0"/>
          <w:iCs w:val="0"/>
          <w:caps w:val="0"/>
          <w:smallCaps w:val="0"/>
          <w:noProof w:val="0"/>
          <w:color w:val="000000" w:themeColor="text1" w:themeTint="FF" w:themeShade="FF"/>
          <w:sz w:val="22"/>
          <w:szCs w:val="22"/>
          <w:lang w:val="en-GB"/>
        </w:rPr>
        <w:t>appropriate support</w:t>
      </w:r>
      <w:r w:rsidRPr="1FA037C1" w:rsidR="5432F12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interventions.</w:t>
      </w:r>
    </w:p>
    <w:p w:rsidR="5432F126" w:rsidP="1FA037C1" w:rsidRDefault="5432F126" w14:paraId="5CBB94C4" w14:textId="6969A266">
      <w:p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5432F12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For example, a health visitor working with a new mother and her infant can use Erikson's theory to understand the challenges faced by the mother and the infant at each stage of development. During the first stage of development, the infant is focused on developing trust in their caregivers. The health visitor can </w:t>
      </w:r>
      <w:r w:rsidRPr="1FA037C1" w:rsidR="5432F126">
        <w:rPr>
          <w:rFonts w:ascii="Calibri" w:hAnsi="Calibri" w:eastAsia="Calibri" w:cs="Calibri"/>
          <w:b w:val="0"/>
          <w:bCs w:val="0"/>
          <w:i w:val="0"/>
          <w:iCs w:val="0"/>
          <w:caps w:val="0"/>
          <w:smallCaps w:val="0"/>
          <w:noProof w:val="0"/>
          <w:color w:val="000000" w:themeColor="text1" w:themeTint="FF" w:themeShade="FF"/>
          <w:sz w:val="22"/>
          <w:szCs w:val="22"/>
          <w:lang w:val="en-GB"/>
        </w:rPr>
        <w:t>provide</w:t>
      </w:r>
      <w:r w:rsidRPr="1FA037C1" w:rsidR="5432F12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support and guidance to the mother to help her create a nurturing and consistent environment that promotes the infant's sense of trust. During the second stage of development, the infant is focused on developing autonomy and independence. The health visitor can </w:t>
      </w:r>
      <w:r w:rsidRPr="1FA037C1" w:rsidR="5432F126">
        <w:rPr>
          <w:rFonts w:ascii="Calibri" w:hAnsi="Calibri" w:eastAsia="Calibri" w:cs="Calibri"/>
          <w:b w:val="0"/>
          <w:bCs w:val="0"/>
          <w:i w:val="0"/>
          <w:iCs w:val="0"/>
          <w:caps w:val="0"/>
          <w:smallCaps w:val="0"/>
          <w:noProof w:val="0"/>
          <w:color w:val="000000" w:themeColor="text1" w:themeTint="FF" w:themeShade="FF"/>
          <w:sz w:val="22"/>
          <w:szCs w:val="22"/>
          <w:lang w:val="en-GB"/>
        </w:rPr>
        <w:t>provide</w:t>
      </w:r>
      <w:r w:rsidRPr="1FA037C1" w:rsidR="5432F12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support and guidance to the mother to help her promote the infant's sense of independence while still ensuring their safety and well-being</w:t>
      </w:r>
      <w:r w:rsidRPr="1FA037C1" w:rsidR="12D7D6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(Erikson, E. H. 1963)</w:t>
      </w:r>
    </w:p>
    <w:p w:rsidR="5432F126" w:rsidP="1FA037C1" w:rsidRDefault="5432F126" w14:paraId="40E23CA7" w14:textId="58C67D84">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5432F12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Erikson's theory also emphasizes the importance of social interactions and relationships in healthy development. Health and social care professionals can apply this principle by recognizing the role of social support in promoting healthy development. For example, a mental health </w:t>
      </w:r>
      <w:r w:rsidRPr="1FA037C1" w:rsidR="0C713FF4">
        <w:rPr>
          <w:rFonts w:ascii="Calibri" w:hAnsi="Calibri" w:eastAsia="Calibri" w:cs="Calibri"/>
          <w:b w:val="0"/>
          <w:bCs w:val="0"/>
          <w:i w:val="0"/>
          <w:iCs w:val="0"/>
          <w:caps w:val="0"/>
          <w:smallCaps w:val="0"/>
          <w:noProof w:val="0"/>
          <w:color w:val="000000" w:themeColor="text1" w:themeTint="FF" w:themeShade="FF"/>
          <w:sz w:val="22"/>
          <w:szCs w:val="22"/>
          <w:lang w:val="en-GB"/>
        </w:rPr>
        <w:t>counsellor</w:t>
      </w:r>
      <w:r w:rsidRPr="1FA037C1" w:rsidR="5432F12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working with an adolescent struggling with identity issues can help them develop positive social relationships with peers and family members that promote a sense of belonging and </w:t>
      </w:r>
      <w:r w:rsidRPr="1FA037C1" w:rsidR="0936D835">
        <w:rPr>
          <w:rFonts w:ascii="Calibri" w:hAnsi="Calibri" w:eastAsia="Calibri" w:cs="Calibri"/>
          <w:b w:val="0"/>
          <w:bCs w:val="0"/>
          <w:i w:val="0"/>
          <w:iCs w:val="0"/>
          <w:caps w:val="0"/>
          <w:smallCaps w:val="0"/>
          <w:noProof w:val="0"/>
          <w:color w:val="000000" w:themeColor="text1" w:themeTint="FF" w:themeShade="FF"/>
          <w:sz w:val="22"/>
          <w:szCs w:val="22"/>
          <w:lang w:val="en-GB"/>
        </w:rPr>
        <w:t>identity (</w:t>
      </w:r>
      <w:r w:rsidRPr="1FA037C1" w:rsidR="0936D835">
        <w:rPr>
          <w:rFonts w:ascii="Calibri" w:hAnsi="Calibri" w:eastAsia="Calibri" w:cs="Calibri"/>
          <w:b w:val="0"/>
          <w:bCs w:val="0"/>
          <w:i w:val="0"/>
          <w:iCs w:val="0"/>
          <w:caps w:val="0"/>
          <w:smallCaps w:val="0"/>
          <w:noProof w:val="0"/>
          <w:color w:val="000000" w:themeColor="text1" w:themeTint="FF" w:themeShade="FF"/>
          <w:sz w:val="22"/>
          <w:szCs w:val="22"/>
          <w:lang w:val="en-GB"/>
        </w:rPr>
        <w:t>Erikson, E. H. 1980)</w:t>
      </w:r>
    </w:p>
    <w:p w:rsidR="5432F126" w:rsidP="1FA037C1" w:rsidRDefault="5432F126" w14:paraId="1F3E68AD" w14:textId="1BA42866">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5432F126">
        <w:rPr>
          <w:rFonts w:ascii="Calibri" w:hAnsi="Calibri" w:eastAsia="Calibri" w:cs="Calibri"/>
          <w:b w:val="0"/>
          <w:bCs w:val="0"/>
          <w:i w:val="0"/>
          <w:iCs w:val="0"/>
          <w:caps w:val="0"/>
          <w:smallCaps w:val="0"/>
          <w:noProof w:val="0"/>
          <w:color w:val="000000" w:themeColor="text1" w:themeTint="FF" w:themeShade="FF"/>
          <w:sz w:val="22"/>
          <w:szCs w:val="22"/>
          <w:lang w:val="en-GB"/>
        </w:rPr>
        <w:t>Finally, Erikson's theory highlights the importance of lifelong learning and growth. Health and social care professionals can apply this principle by promoting ongoing learning and personal growth in their patients. For example, a social worker working with an older adult can encourage them to pursue lifelong learning opportunities, such as volunteering or taking adult education classes, to promote their ongoing personal growth and development</w:t>
      </w:r>
      <w:r w:rsidRPr="1FA037C1" w:rsidR="517CBB8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(McLeod, S. 2018)</w:t>
      </w:r>
    </w:p>
    <w:p w:rsidR="5432F126" w:rsidP="1FA037C1" w:rsidRDefault="5432F126" w14:paraId="5F27112A" w14:textId="193C2902">
      <w:p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5432F12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Overall, Erikson's Stages of Psychosocial Development </w:t>
      </w:r>
      <w:r w:rsidRPr="1FA037C1" w:rsidR="5432F126">
        <w:rPr>
          <w:rFonts w:ascii="Calibri" w:hAnsi="Calibri" w:eastAsia="Calibri" w:cs="Calibri"/>
          <w:b w:val="0"/>
          <w:bCs w:val="0"/>
          <w:i w:val="0"/>
          <w:iCs w:val="0"/>
          <w:caps w:val="0"/>
          <w:smallCaps w:val="0"/>
          <w:noProof w:val="0"/>
          <w:color w:val="000000" w:themeColor="text1" w:themeTint="FF" w:themeShade="FF"/>
          <w:sz w:val="22"/>
          <w:szCs w:val="22"/>
          <w:lang w:val="en-GB"/>
        </w:rPr>
        <w:t>provide</w:t>
      </w:r>
      <w:r w:rsidRPr="1FA037C1" w:rsidR="5432F12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valuable framework for understanding the ways in which individuals develop throughout their lifespan. By recognizing the challenges faced by individuals at each stage of development, promoting positive social relationships, and encouraging ongoing learning and personal growth, health and social care professionals can </w:t>
      </w:r>
      <w:r w:rsidRPr="1FA037C1" w:rsidR="5432F126">
        <w:rPr>
          <w:rFonts w:ascii="Calibri" w:hAnsi="Calibri" w:eastAsia="Calibri" w:cs="Calibri"/>
          <w:b w:val="0"/>
          <w:bCs w:val="0"/>
          <w:i w:val="0"/>
          <w:iCs w:val="0"/>
          <w:caps w:val="0"/>
          <w:smallCaps w:val="0"/>
          <w:noProof w:val="0"/>
          <w:color w:val="000000" w:themeColor="text1" w:themeTint="FF" w:themeShade="FF"/>
          <w:sz w:val="22"/>
          <w:szCs w:val="22"/>
          <w:lang w:val="en-GB"/>
        </w:rPr>
        <w:t>provide</w:t>
      </w:r>
      <w:r w:rsidRPr="1FA037C1" w:rsidR="5432F12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more effective care that promotes positive outcomes for their patients.</w:t>
      </w:r>
    </w:p>
    <w:p w:rsidR="71366B2B" w:rsidP="1FA037C1" w:rsidRDefault="71366B2B" w14:paraId="7C921240" w14:textId="5D574EF4">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Vygotsky’s social-cognitive theory is highly relevant to health and social care professionals who work with individuals across the lifespan. The theory emphasizes the role of social interaction and culture in shaping cognitive development, providing valuable insights into the ways in which health and social care professionals can support their patients' growth and development.</w:t>
      </w:r>
    </w:p>
    <w:p w:rsidR="71366B2B" w:rsidP="1FA037C1" w:rsidRDefault="71366B2B" w14:paraId="020D3DD7" w14:textId="606B590A">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One of the main tenets of Vygotsky's social-cognitive theory is that </w:t>
      </w:r>
      <w:r w:rsidRPr="1FA037C1" w:rsidR="23018D9D">
        <w:rPr>
          <w:rFonts w:ascii="Calibri" w:hAnsi="Calibri" w:eastAsia="Calibri" w:cs="Calibri"/>
          <w:b w:val="0"/>
          <w:bCs w:val="0"/>
          <w:i w:val="0"/>
          <w:iCs w:val="0"/>
          <w:caps w:val="0"/>
          <w:smallCaps w:val="0"/>
          <w:noProof w:val="0"/>
          <w:color w:val="000000" w:themeColor="text1" w:themeTint="FF" w:themeShade="FF"/>
          <w:sz w:val="22"/>
          <w:szCs w:val="22"/>
          <w:lang w:val="en-GB"/>
        </w:rPr>
        <w:t>learning,</w:t>
      </w: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development occur through social interaction with more knowledgeable others. Health and social care professionals can apply this principle by fostering social interactions and providing opportunities for patients to learn from others with more experience or </w:t>
      </w: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expertise</w:t>
      </w: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 example, a health care professional working with a patient with a chronic illness may encourage them to join a support group where they can interact with others facing similar challenges and learn from their experiences. By doing so, the patient can gain new insights and knowledge that can help them manage their illness more </w:t>
      </w: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effectively</w:t>
      </w:r>
      <w:r w:rsidRPr="1FA037C1" w:rsidR="35B11EA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FA037C1" w:rsidR="35B11EA7">
        <w:rPr>
          <w:rFonts w:ascii="Calibri" w:hAnsi="Calibri" w:eastAsia="Calibri" w:cs="Calibri"/>
          <w:b w:val="0"/>
          <w:bCs w:val="0"/>
          <w:i w:val="0"/>
          <w:iCs w:val="0"/>
          <w:caps w:val="0"/>
          <w:smallCaps w:val="0"/>
          <w:noProof w:val="0"/>
          <w:color w:val="000000" w:themeColor="text1" w:themeTint="FF" w:themeShade="FF"/>
          <w:sz w:val="22"/>
          <w:szCs w:val="22"/>
          <w:lang w:val="en-GB"/>
        </w:rPr>
        <w:t>Vygotsky, L. S. 1978)</w:t>
      </w:r>
    </w:p>
    <w:p w:rsidR="71366B2B" w:rsidP="1FA037C1" w:rsidRDefault="71366B2B" w14:paraId="50C1DA66" w14:textId="6A131DF6">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Vygotsky's theory also emphasizes the importance of culture in shaping cognitive development. Health and social care professionals can apply this principle by </w:t>
      </w:r>
      <w:r w:rsidRPr="1FA037C1" w:rsidR="7C3ED83E">
        <w:rPr>
          <w:rFonts w:ascii="Calibri" w:hAnsi="Calibri" w:eastAsia="Calibri" w:cs="Calibri"/>
          <w:b w:val="0"/>
          <w:bCs w:val="0"/>
          <w:i w:val="0"/>
          <w:iCs w:val="0"/>
          <w:caps w:val="0"/>
          <w:smallCaps w:val="0"/>
          <w:noProof w:val="0"/>
          <w:color w:val="000000" w:themeColor="text1" w:themeTint="FF" w:themeShade="FF"/>
          <w:sz w:val="22"/>
          <w:szCs w:val="22"/>
          <w:lang w:val="en-GB"/>
        </w:rPr>
        <w:t>considering</w:t>
      </w: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cultural background and values of their patients when </w:t>
      </w: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providing</w:t>
      </w: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care. For example, a social worker working with a patient from </w:t>
      </w:r>
      <w:r w:rsidRPr="1FA037C1" w:rsidR="3378E9C1">
        <w:rPr>
          <w:rFonts w:ascii="Calibri" w:hAnsi="Calibri" w:eastAsia="Calibri" w:cs="Calibri"/>
          <w:b w:val="0"/>
          <w:bCs w:val="0"/>
          <w:i w:val="0"/>
          <w:iCs w:val="0"/>
          <w:caps w:val="0"/>
          <w:smallCaps w:val="0"/>
          <w:noProof w:val="0"/>
          <w:color w:val="000000" w:themeColor="text1" w:themeTint="FF" w:themeShade="FF"/>
          <w:sz w:val="22"/>
          <w:szCs w:val="22"/>
          <w:lang w:val="en-GB"/>
        </w:rPr>
        <w:t>a diverse cultural</w:t>
      </w: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background may need to be sensitive to their values and beliefs when </w:t>
      </w: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providing</w:t>
      </w: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advice or support</w:t>
      </w:r>
      <w:r w:rsidRPr="1FA037C1" w:rsidR="6DEF6D7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FA037C1" w:rsidR="6DEF6D74">
        <w:rPr>
          <w:rFonts w:ascii="Calibri" w:hAnsi="Calibri" w:eastAsia="Calibri" w:cs="Calibri"/>
          <w:b w:val="0"/>
          <w:bCs w:val="0"/>
          <w:i w:val="0"/>
          <w:iCs w:val="0"/>
          <w:caps w:val="0"/>
          <w:smallCaps w:val="0"/>
          <w:noProof w:val="0"/>
          <w:color w:val="000000" w:themeColor="text1" w:themeTint="FF" w:themeShade="FF"/>
          <w:sz w:val="22"/>
          <w:szCs w:val="22"/>
          <w:lang w:val="en-GB"/>
        </w:rPr>
        <w:t>Wertsch</w:t>
      </w:r>
      <w:r w:rsidRPr="1FA037C1" w:rsidR="6DEF6D74">
        <w:rPr>
          <w:rFonts w:ascii="Calibri" w:hAnsi="Calibri" w:eastAsia="Calibri" w:cs="Calibri"/>
          <w:b w:val="0"/>
          <w:bCs w:val="0"/>
          <w:i w:val="0"/>
          <w:iCs w:val="0"/>
          <w:caps w:val="0"/>
          <w:smallCaps w:val="0"/>
          <w:noProof w:val="0"/>
          <w:color w:val="000000" w:themeColor="text1" w:themeTint="FF" w:themeShade="FF"/>
          <w:sz w:val="22"/>
          <w:szCs w:val="22"/>
          <w:lang w:val="en-GB"/>
        </w:rPr>
        <w:t>, J. V. 1985)</w:t>
      </w:r>
    </w:p>
    <w:p w:rsidR="71366B2B" w:rsidP="1FA037C1" w:rsidRDefault="71366B2B" w14:paraId="64E2F517" w14:textId="0C5E70A1">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Another key aspect of Vygotsky's theory is the concept of the zone of proximal development (ZPD), which refers to the range of tasks that a person can perform with the help of others but cannot yet perform independently. Health and social care professionals can apply this principle by </w:t>
      </w: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identifying</w:t>
      </w: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patient's ZPD and </w:t>
      </w: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providing</w:t>
      </w: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support that helps them to bridge the gap between their current abilities and their potential. For example, a speech therapist working with a child with language delays may </w:t>
      </w: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provide</w:t>
      </w: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activities that are challenging but still within the child's ZPD to promote language </w:t>
      </w: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development</w:t>
      </w:r>
      <w:r w:rsidRPr="1FA037C1" w:rsidR="4D41E00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FA037C1" w:rsidR="4D41E00D">
        <w:rPr>
          <w:rFonts w:ascii="Calibri" w:hAnsi="Calibri" w:eastAsia="Calibri" w:cs="Calibri"/>
          <w:b w:val="0"/>
          <w:bCs w:val="0"/>
          <w:i w:val="0"/>
          <w:iCs w:val="0"/>
          <w:caps w:val="0"/>
          <w:smallCaps w:val="0"/>
          <w:noProof w:val="0"/>
          <w:color w:val="000000" w:themeColor="text1" w:themeTint="FF" w:themeShade="FF"/>
          <w:sz w:val="22"/>
          <w:szCs w:val="22"/>
          <w:lang w:val="en-GB"/>
        </w:rPr>
        <w:t>Wood, D., Bruner, J. S., &amp; Ross, G. 1976)</w:t>
      </w:r>
    </w:p>
    <w:p w:rsidR="71366B2B" w:rsidP="1FA037C1" w:rsidRDefault="71366B2B" w14:paraId="3A37187F" w14:textId="732E6306">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Overall, Vygotsky's social-cognitive theory offers valuable insights into the ways in which health and social care professionals can support the growth and development of their patients. By fostering social interaction, </w:t>
      </w:r>
      <w:r w:rsidRPr="1FA037C1" w:rsidR="7FC8BD4A">
        <w:rPr>
          <w:rFonts w:ascii="Calibri" w:hAnsi="Calibri" w:eastAsia="Calibri" w:cs="Calibri"/>
          <w:b w:val="0"/>
          <w:bCs w:val="0"/>
          <w:i w:val="0"/>
          <w:iCs w:val="0"/>
          <w:caps w:val="0"/>
          <w:smallCaps w:val="0"/>
          <w:noProof w:val="0"/>
          <w:color w:val="000000" w:themeColor="text1" w:themeTint="FF" w:themeShade="FF"/>
          <w:sz w:val="22"/>
          <w:szCs w:val="22"/>
          <w:lang w:val="en-GB"/>
        </w:rPr>
        <w:t>considering</w:t>
      </w: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cultural values, and </w:t>
      </w: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identifying</w:t>
      </w: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supporting the patient's ZPD, health and social care professionals can </w:t>
      </w: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provide</w:t>
      </w:r>
      <w:r w:rsidRPr="1FA037C1" w:rsidR="71366B2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more effective care that promotes positive outcomes for their patients.</w:t>
      </w:r>
    </w:p>
    <w:p w:rsidR="35B255B6" w:rsidP="1FA037C1" w:rsidRDefault="35B255B6" w14:paraId="21F547FC" w14:textId="45F73B02">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Aggressive Cues Model is a psychological theory that explains the ways in which aggressive </w:t>
      </w:r>
      <w:r w:rsidRPr="1FA037C1" w:rsidR="173DFC28">
        <w:rPr>
          <w:rFonts w:ascii="Calibri" w:hAnsi="Calibri" w:eastAsia="Calibri" w:cs="Calibri"/>
          <w:b w:val="0"/>
          <w:bCs w:val="0"/>
          <w:i w:val="0"/>
          <w:iCs w:val="0"/>
          <w:caps w:val="0"/>
          <w:smallCaps w:val="0"/>
          <w:noProof w:val="0"/>
          <w:color w:val="000000" w:themeColor="text1" w:themeTint="FF" w:themeShade="FF"/>
          <w:sz w:val="22"/>
          <w:szCs w:val="22"/>
          <w:lang w:val="en-GB"/>
        </w:rPr>
        <w:t>behaviour</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can be triggered by situational cues. This theory has important implications for health and social care professionals who work with individuals who have a history of aggressive </w:t>
      </w:r>
      <w:r w:rsidRPr="1FA037C1" w:rsidR="69D8FE93">
        <w:rPr>
          <w:rFonts w:ascii="Calibri" w:hAnsi="Calibri" w:eastAsia="Calibri" w:cs="Calibri"/>
          <w:b w:val="0"/>
          <w:bCs w:val="0"/>
          <w:i w:val="0"/>
          <w:iCs w:val="0"/>
          <w:caps w:val="0"/>
          <w:smallCaps w:val="0"/>
          <w:noProof w:val="0"/>
          <w:color w:val="000000" w:themeColor="text1" w:themeTint="FF" w:themeShade="FF"/>
          <w:sz w:val="22"/>
          <w:szCs w:val="22"/>
          <w:lang w:val="en-GB"/>
        </w:rPr>
        <w:t>behaviour</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or who are at risk for aggressive </w:t>
      </w:r>
      <w:r w:rsidRPr="1FA037C1" w:rsidR="70F608C9">
        <w:rPr>
          <w:rFonts w:ascii="Calibri" w:hAnsi="Calibri" w:eastAsia="Calibri" w:cs="Calibri"/>
          <w:b w:val="0"/>
          <w:bCs w:val="0"/>
          <w:i w:val="0"/>
          <w:iCs w:val="0"/>
          <w:caps w:val="0"/>
          <w:smallCaps w:val="0"/>
          <w:noProof w:val="0"/>
          <w:color w:val="000000" w:themeColor="text1" w:themeTint="FF" w:themeShade="FF"/>
          <w:sz w:val="22"/>
          <w:szCs w:val="22"/>
          <w:lang w:val="en-GB"/>
        </w:rPr>
        <w:t>behaviour</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5B255B6" w:rsidP="1FA037C1" w:rsidRDefault="35B255B6" w14:paraId="48012CD8" w14:textId="2CB89064">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According to the Aggressive Cues Model, aggressive </w:t>
      </w:r>
      <w:r w:rsidRPr="1FA037C1" w:rsidR="0E0B047A">
        <w:rPr>
          <w:rFonts w:ascii="Calibri" w:hAnsi="Calibri" w:eastAsia="Calibri" w:cs="Calibri"/>
          <w:b w:val="0"/>
          <w:bCs w:val="0"/>
          <w:i w:val="0"/>
          <w:iCs w:val="0"/>
          <w:caps w:val="0"/>
          <w:smallCaps w:val="0"/>
          <w:noProof w:val="0"/>
          <w:color w:val="000000" w:themeColor="text1" w:themeTint="FF" w:themeShade="FF"/>
          <w:sz w:val="22"/>
          <w:szCs w:val="22"/>
          <w:lang w:val="en-GB"/>
        </w:rPr>
        <w:t>behaviour</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can be triggered by situational cues, such as perceived threats or provocations. Health and social care professionals can apply this principle by identifying and minimizing the triggers that can lead to aggressive </w:t>
      </w:r>
      <w:r w:rsidRPr="1FA037C1" w:rsidR="1665F464">
        <w:rPr>
          <w:rFonts w:ascii="Calibri" w:hAnsi="Calibri" w:eastAsia="Calibri" w:cs="Calibri"/>
          <w:b w:val="0"/>
          <w:bCs w:val="0"/>
          <w:i w:val="0"/>
          <w:iCs w:val="0"/>
          <w:caps w:val="0"/>
          <w:smallCaps w:val="0"/>
          <w:noProof w:val="0"/>
          <w:color w:val="000000" w:themeColor="text1" w:themeTint="FF" w:themeShade="FF"/>
          <w:sz w:val="22"/>
          <w:szCs w:val="22"/>
          <w:lang w:val="en-GB"/>
        </w:rPr>
        <w:t>behaviour</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their patients. For example, a mental health nurse working with a patient with a history of aggressive </w:t>
      </w:r>
      <w:r w:rsidRPr="1FA037C1" w:rsidR="618F0E8F">
        <w:rPr>
          <w:rFonts w:ascii="Calibri" w:hAnsi="Calibri" w:eastAsia="Calibri" w:cs="Calibri"/>
          <w:b w:val="0"/>
          <w:bCs w:val="0"/>
          <w:i w:val="0"/>
          <w:iCs w:val="0"/>
          <w:caps w:val="0"/>
          <w:smallCaps w:val="0"/>
          <w:noProof w:val="0"/>
          <w:color w:val="000000" w:themeColor="text1" w:themeTint="FF" w:themeShade="FF"/>
          <w:sz w:val="22"/>
          <w:szCs w:val="22"/>
          <w:lang w:val="en-GB"/>
        </w:rPr>
        <w:t>behaviour</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may </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specific situations or stimuli that trigger their aggressive </w:t>
      </w:r>
      <w:r w:rsidRPr="1FA037C1" w:rsidR="7A3F5F55">
        <w:rPr>
          <w:rFonts w:ascii="Calibri" w:hAnsi="Calibri" w:eastAsia="Calibri" w:cs="Calibri"/>
          <w:b w:val="0"/>
          <w:bCs w:val="0"/>
          <w:i w:val="0"/>
          <w:iCs w:val="0"/>
          <w:caps w:val="0"/>
          <w:smallCaps w:val="0"/>
          <w:noProof w:val="0"/>
          <w:color w:val="000000" w:themeColor="text1" w:themeTint="FF" w:themeShade="FF"/>
          <w:sz w:val="22"/>
          <w:szCs w:val="22"/>
          <w:lang w:val="en-GB"/>
        </w:rPr>
        <w:t>behaviour</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develop strategies to avoid or minimize those </w:t>
      </w:r>
      <w:r w:rsidRPr="1FA037C1" w:rsidR="55E2E159">
        <w:rPr>
          <w:rFonts w:ascii="Calibri" w:hAnsi="Calibri" w:eastAsia="Calibri" w:cs="Calibri"/>
          <w:b w:val="0"/>
          <w:bCs w:val="0"/>
          <w:i w:val="0"/>
          <w:iCs w:val="0"/>
          <w:caps w:val="0"/>
          <w:smallCaps w:val="0"/>
          <w:noProof w:val="0"/>
          <w:color w:val="000000" w:themeColor="text1" w:themeTint="FF" w:themeShade="FF"/>
          <w:sz w:val="22"/>
          <w:szCs w:val="22"/>
          <w:lang w:val="en-GB"/>
        </w:rPr>
        <w:t>triggers (</w:t>
      </w:r>
      <w:r w:rsidRPr="1FA037C1" w:rsidR="55E2E159">
        <w:rPr>
          <w:rFonts w:ascii="Calibri" w:hAnsi="Calibri" w:eastAsia="Calibri" w:cs="Calibri"/>
          <w:b w:val="0"/>
          <w:bCs w:val="0"/>
          <w:i w:val="0"/>
          <w:iCs w:val="0"/>
          <w:caps w:val="0"/>
          <w:smallCaps w:val="0"/>
          <w:noProof w:val="0"/>
          <w:color w:val="000000" w:themeColor="text1" w:themeTint="FF" w:themeShade="FF"/>
          <w:sz w:val="22"/>
          <w:szCs w:val="22"/>
          <w:lang w:val="en-GB"/>
        </w:rPr>
        <w:t>Anderson, C. A., &amp; Bushman, B. J. 2002)</w:t>
      </w:r>
    </w:p>
    <w:p w:rsidR="35B255B6" w:rsidP="1FA037C1" w:rsidRDefault="35B255B6" w14:paraId="64E1A847" w14:textId="53477803">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Aggressive Cues Model also emphasizes the importance of cognitive and emotional factors in the development of aggressive </w:t>
      </w:r>
      <w:r w:rsidRPr="1FA037C1" w:rsidR="5D129900">
        <w:rPr>
          <w:rFonts w:ascii="Calibri" w:hAnsi="Calibri" w:eastAsia="Calibri" w:cs="Calibri"/>
          <w:b w:val="0"/>
          <w:bCs w:val="0"/>
          <w:i w:val="0"/>
          <w:iCs w:val="0"/>
          <w:caps w:val="0"/>
          <w:smallCaps w:val="0"/>
          <w:noProof w:val="0"/>
          <w:color w:val="000000" w:themeColor="text1" w:themeTint="FF" w:themeShade="FF"/>
          <w:sz w:val="22"/>
          <w:szCs w:val="22"/>
          <w:lang w:val="en-GB"/>
        </w:rPr>
        <w:t>behaviour</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Health and social care professionals can apply this principle by addressing the underlying cognitive and emotional factors that contribute to aggressive </w:t>
      </w:r>
      <w:r w:rsidRPr="1FA037C1" w:rsidR="491A1E11">
        <w:rPr>
          <w:rFonts w:ascii="Calibri" w:hAnsi="Calibri" w:eastAsia="Calibri" w:cs="Calibri"/>
          <w:b w:val="0"/>
          <w:bCs w:val="0"/>
          <w:i w:val="0"/>
          <w:iCs w:val="0"/>
          <w:caps w:val="0"/>
          <w:smallCaps w:val="0"/>
          <w:noProof w:val="0"/>
          <w:color w:val="000000" w:themeColor="text1" w:themeTint="FF" w:themeShade="FF"/>
          <w:sz w:val="22"/>
          <w:szCs w:val="22"/>
          <w:lang w:val="en-GB"/>
        </w:rPr>
        <w:t>behaviour</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 example, a </w:t>
      </w:r>
      <w:r w:rsidRPr="1FA037C1" w:rsidR="7B06DCA0">
        <w:rPr>
          <w:rFonts w:ascii="Calibri" w:hAnsi="Calibri" w:eastAsia="Calibri" w:cs="Calibri"/>
          <w:b w:val="0"/>
          <w:bCs w:val="0"/>
          <w:i w:val="0"/>
          <w:iCs w:val="0"/>
          <w:caps w:val="0"/>
          <w:smallCaps w:val="0"/>
          <w:noProof w:val="0"/>
          <w:color w:val="000000" w:themeColor="text1" w:themeTint="FF" w:themeShade="FF"/>
          <w:sz w:val="22"/>
          <w:szCs w:val="22"/>
          <w:lang w:val="en-GB"/>
        </w:rPr>
        <w:t>counsellor</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working with a patient with a history of aggressive </w:t>
      </w:r>
      <w:r w:rsidRPr="1FA037C1" w:rsidR="723BDDEA">
        <w:rPr>
          <w:rFonts w:ascii="Calibri" w:hAnsi="Calibri" w:eastAsia="Calibri" w:cs="Calibri"/>
          <w:b w:val="0"/>
          <w:bCs w:val="0"/>
          <w:i w:val="0"/>
          <w:iCs w:val="0"/>
          <w:caps w:val="0"/>
          <w:smallCaps w:val="0"/>
          <w:noProof w:val="0"/>
          <w:color w:val="000000" w:themeColor="text1" w:themeTint="FF" w:themeShade="FF"/>
          <w:sz w:val="22"/>
          <w:szCs w:val="22"/>
          <w:lang w:val="en-GB"/>
        </w:rPr>
        <w:t>behaviour</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may help them to develop coping strategies to manage their anger or address underlying issues such as depression or anxiety</w:t>
      </w:r>
      <w:r w:rsidRPr="1FA037C1" w:rsidR="417E4E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FA037C1" w:rsidR="417E4E98">
        <w:rPr>
          <w:rFonts w:ascii="Calibri" w:hAnsi="Calibri" w:eastAsia="Calibri" w:cs="Calibri"/>
          <w:b w:val="0"/>
          <w:bCs w:val="0"/>
          <w:i w:val="0"/>
          <w:iCs w:val="0"/>
          <w:caps w:val="0"/>
          <w:smallCaps w:val="0"/>
          <w:noProof w:val="0"/>
          <w:color w:val="000000" w:themeColor="text1" w:themeTint="FF" w:themeShade="FF"/>
          <w:sz w:val="22"/>
          <w:szCs w:val="22"/>
          <w:lang w:val="en-GB"/>
        </w:rPr>
        <w:t>Berkowitz, L. 1989)</w:t>
      </w:r>
    </w:p>
    <w:p w:rsidR="35B255B6" w:rsidP="1FA037C1" w:rsidRDefault="35B255B6" w14:paraId="09176250" w14:textId="318AC69D">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Finally, the Aggressive Cues Model highlights the role of social and cultural factors in shaping aggressive </w:t>
      </w:r>
      <w:r w:rsidRPr="1FA037C1" w:rsidR="700109D5">
        <w:rPr>
          <w:rFonts w:ascii="Calibri" w:hAnsi="Calibri" w:eastAsia="Calibri" w:cs="Calibri"/>
          <w:b w:val="0"/>
          <w:bCs w:val="0"/>
          <w:i w:val="0"/>
          <w:iCs w:val="0"/>
          <w:caps w:val="0"/>
          <w:smallCaps w:val="0"/>
          <w:noProof w:val="0"/>
          <w:color w:val="000000" w:themeColor="text1" w:themeTint="FF" w:themeShade="FF"/>
          <w:sz w:val="22"/>
          <w:szCs w:val="22"/>
          <w:lang w:val="en-GB"/>
        </w:rPr>
        <w:t>behaviour</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Health and social care professionals can apply this principle by </w:t>
      </w:r>
      <w:r w:rsidRPr="1FA037C1" w:rsidR="4D62C7AF">
        <w:rPr>
          <w:rFonts w:ascii="Calibri" w:hAnsi="Calibri" w:eastAsia="Calibri" w:cs="Calibri"/>
          <w:b w:val="0"/>
          <w:bCs w:val="0"/>
          <w:i w:val="0"/>
          <w:iCs w:val="0"/>
          <w:caps w:val="0"/>
          <w:smallCaps w:val="0"/>
          <w:noProof w:val="0"/>
          <w:color w:val="000000" w:themeColor="text1" w:themeTint="FF" w:themeShade="FF"/>
          <w:sz w:val="22"/>
          <w:szCs w:val="22"/>
          <w:lang w:val="en-GB"/>
        </w:rPr>
        <w:t>considering</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patient's social and cultural context when providing care. For example, a social worker working with a patient from a culture where aggression is more socially acceptable may need to be sensitive to the patient's beliefs and values while still promoting non-violent </w:t>
      </w:r>
      <w:r w:rsidRPr="1FA037C1" w:rsidR="0B2ED05E">
        <w:rPr>
          <w:rFonts w:ascii="Calibri" w:hAnsi="Calibri" w:eastAsia="Calibri" w:cs="Calibri"/>
          <w:b w:val="0"/>
          <w:bCs w:val="0"/>
          <w:i w:val="0"/>
          <w:iCs w:val="0"/>
          <w:caps w:val="0"/>
          <w:smallCaps w:val="0"/>
          <w:noProof w:val="0"/>
          <w:color w:val="000000" w:themeColor="text1" w:themeTint="FF" w:themeShade="FF"/>
          <w:sz w:val="22"/>
          <w:szCs w:val="22"/>
          <w:lang w:val="en-GB"/>
        </w:rPr>
        <w:t>behaviours</w:t>
      </w:r>
      <w:r w:rsidRPr="1FA037C1" w:rsidR="6D73A2B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FA037C1" w:rsidR="6D73A2BF">
        <w:rPr>
          <w:rFonts w:ascii="Calibri" w:hAnsi="Calibri" w:eastAsia="Calibri" w:cs="Calibri"/>
          <w:b w:val="0"/>
          <w:bCs w:val="0"/>
          <w:i w:val="0"/>
          <w:iCs w:val="0"/>
          <w:caps w:val="0"/>
          <w:smallCaps w:val="0"/>
          <w:noProof w:val="0"/>
          <w:color w:val="000000" w:themeColor="text1" w:themeTint="FF" w:themeShade="FF"/>
          <w:sz w:val="22"/>
          <w:szCs w:val="22"/>
          <w:lang w:val="en-GB"/>
        </w:rPr>
        <w:t>Dodge, K. A., &amp; Coie, J. D. 1987)</w:t>
      </w:r>
    </w:p>
    <w:p w:rsidR="35B255B6" w:rsidP="1FA037C1" w:rsidRDefault="35B255B6" w14:paraId="0636D160" w14:textId="7000F218">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Overall, the Aggressive Cues Model </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provides</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valuable insights into the ways in which health and social care professionals can </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address the underlying factors that contribute to aggressive </w:t>
      </w:r>
      <w:r w:rsidRPr="1FA037C1" w:rsidR="56543B5B">
        <w:rPr>
          <w:rFonts w:ascii="Calibri" w:hAnsi="Calibri" w:eastAsia="Calibri" w:cs="Calibri"/>
          <w:b w:val="0"/>
          <w:bCs w:val="0"/>
          <w:i w:val="0"/>
          <w:iCs w:val="0"/>
          <w:caps w:val="0"/>
          <w:smallCaps w:val="0"/>
          <w:noProof w:val="0"/>
          <w:color w:val="000000" w:themeColor="text1" w:themeTint="FF" w:themeShade="FF"/>
          <w:sz w:val="22"/>
          <w:szCs w:val="22"/>
          <w:lang w:val="en-GB"/>
        </w:rPr>
        <w:t>behaviour</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By minimizing triggers, addressing underlying cognitive and emotional factors, and </w:t>
      </w:r>
      <w:r w:rsidRPr="1FA037C1" w:rsidR="1C8A0918">
        <w:rPr>
          <w:rFonts w:ascii="Calibri" w:hAnsi="Calibri" w:eastAsia="Calibri" w:cs="Calibri"/>
          <w:b w:val="0"/>
          <w:bCs w:val="0"/>
          <w:i w:val="0"/>
          <w:iCs w:val="0"/>
          <w:caps w:val="0"/>
          <w:smallCaps w:val="0"/>
          <w:noProof w:val="0"/>
          <w:color w:val="000000" w:themeColor="text1" w:themeTint="FF" w:themeShade="FF"/>
          <w:sz w:val="22"/>
          <w:szCs w:val="22"/>
          <w:lang w:val="en-GB"/>
        </w:rPr>
        <w:t>considering</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patient's social and cultural context, health and social care professionals can </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provide</w:t>
      </w:r>
      <w:r w:rsidRPr="1FA037C1" w:rsidR="35B255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more effective care that promotes positive outcomes for their patients.</w:t>
      </w:r>
    </w:p>
    <w:p w:rsidR="3F1F667B" w:rsidP="1FA037C1" w:rsidRDefault="3F1F667B" w14:paraId="0DBBF32A" w14:textId="04038FF4">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3F1F66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conclusion, it is </w:t>
      </w:r>
      <w:r w:rsidRPr="1FA037C1" w:rsidR="3F1F667B">
        <w:rPr>
          <w:rFonts w:ascii="Calibri" w:hAnsi="Calibri" w:eastAsia="Calibri" w:cs="Calibri"/>
          <w:b w:val="0"/>
          <w:bCs w:val="0"/>
          <w:i w:val="0"/>
          <w:iCs w:val="0"/>
          <w:caps w:val="0"/>
          <w:smallCaps w:val="0"/>
          <w:noProof w:val="0"/>
          <w:color w:val="000000" w:themeColor="text1" w:themeTint="FF" w:themeShade="FF"/>
          <w:sz w:val="22"/>
          <w:szCs w:val="22"/>
          <w:lang w:val="en-GB"/>
        </w:rPr>
        <w:t>evident</w:t>
      </w:r>
      <w:r w:rsidRPr="1FA037C1" w:rsidR="3F1F66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a health and social care professional who understands psychological theories of lifespan development and behaviour can be more effective in their role than a professional who lacks this understanding. By having a solid understanding of psychological theories, health and social care professionals can better understand their patients' needs and tailor their care accordingly. They can also recognize the challenges faced by individuals at </w:t>
      </w:r>
      <w:r w:rsidRPr="1FA037C1" w:rsidR="5D16BE45">
        <w:rPr>
          <w:rFonts w:ascii="Calibri" w:hAnsi="Calibri" w:eastAsia="Calibri" w:cs="Calibri"/>
          <w:b w:val="0"/>
          <w:bCs w:val="0"/>
          <w:i w:val="0"/>
          <w:iCs w:val="0"/>
          <w:caps w:val="0"/>
          <w:smallCaps w:val="0"/>
          <w:noProof w:val="0"/>
          <w:color w:val="000000" w:themeColor="text1" w:themeTint="FF" w:themeShade="FF"/>
          <w:sz w:val="22"/>
          <w:szCs w:val="22"/>
          <w:lang w:val="en-GB"/>
        </w:rPr>
        <w:t>various stages</w:t>
      </w:r>
      <w:r w:rsidRPr="1FA037C1" w:rsidR="3F1F66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development, promote positive social relationships, and encourage ongoing learning and personal growth, leading to more positive outcomes for their patients.</w:t>
      </w:r>
    </w:p>
    <w:p w:rsidR="3F1F667B" w:rsidP="1FA037C1" w:rsidRDefault="3F1F667B" w14:paraId="74443366" w14:textId="57F14E7D">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3F1F667B">
        <w:rPr/>
        <w:t xml:space="preserve">I agree with the statement that a health and social care professional who understands psychological theories of lifespan development and behaviour can be more effective in their role than a health and social care professional who does not understand these theories. </w:t>
      </w:r>
      <w:r w:rsidRPr="1FA037C1" w:rsidR="3F1F66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Overall, incorporating psychological theories into health and social care practice has the potential to enhance the quality of care provided, improve patient outcomes, </w:t>
      </w:r>
      <w:r w:rsidRPr="1FA037C1" w:rsidR="3B8D4DEF">
        <w:rPr>
          <w:rFonts w:ascii="Calibri" w:hAnsi="Calibri" w:eastAsia="Calibri" w:cs="Calibri"/>
          <w:b w:val="0"/>
          <w:bCs w:val="0"/>
          <w:i w:val="0"/>
          <w:iCs w:val="0"/>
          <w:caps w:val="0"/>
          <w:smallCaps w:val="0"/>
          <w:noProof w:val="0"/>
          <w:color w:val="000000" w:themeColor="text1" w:themeTint="FF" w:themeShade="FF"/>
          <w:sz w:val="22"/>
          <w:szCs w:val="22"/>
          <w:lang w:val="en-GB"/>
        </w:rPr>
        <w:t>and contribute</w:t>
      </w:r>
      <w:r w:rsidRPr="1FA037C1" w:rsidR="3F1F66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the overall well-being of individuals in need of care. Therefore, it is imperative that health and social care professionals continuously </w:t>
      </w:r>
      <w:r w:rsidRPr="1FA037C1" w:rsidR="3F1F667B">
        <w:rPr>
          <w:rFonts w:ascii="Calibri" w:hAnsi="Calibri" w:eastAsia="Calibri" w:cs="Calibri"/>
          <w:b w:val="0"/>
          <w:bCs w:val="0"/>
          <w:i w:val="0"/>
          <w:iCs w:val="0"/>
          <w:caps w:val="0"/>
          <w:smallCaps w:val="0"/>
          <w:noProof w:val="0"/>
          <w:color w:val="000000" w:themeColor="text1" w:themeTint="FF" w:themeShade="FF"/>
          <w:sz w:val="22"/>
          <w:szCs w:val="22"/>
          <w:lang w:val="en-GB"/>
        </w:rPr>
        <w:t>seek</w:t>
      </w:r>
      <w:r w:rsidRPr="1FA037C1" w:rsidR="3F1F66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develop their knowledge and understanding of psychological theories to better serve their patients and the wider community.</w:t>
      </w:r>
    </w:p>
    <w:p w:rsidR="1FA037C1" w:rsidP="1FA037C1" w:rsidRDefault="1FA037C1" w14:paraId="0F47A679" w14:textId="587233D6">
      <w:pPr>
        <w:pStyle w:val="Normal"/>
      </w:pPr>
    </w:p>
    <w:p w:rsidR="1FA037C1" w:rsidP="1FA037C1" w:rsidRDefault="1FA037C1" w14:paraId="01EF56E1" w14:textId="7BC3CDEB">
      <w:pPr>
        <w:pStyle w:val="Normal"/>
      </w:pPr>
    </w:p>
    <w:p w:rsidR="1FA037C1" w:rsidP="1FA037C1" w:rsidRDefault="1FA037C1" w14:paraId="7DE18B61" w14:textId="7817F584">
      <w:pPr>
        <w:pStyle w:val="Normal"/>
      </w:pPr>
    </w:p>
    <w:p w:rsidR="1FA037C1" w:rsidP="1FA037C1" w:rsidRDefault="1FA037C1" w14:paraId="0707D1A6" w14:textId="0EF556D5">
      <w:pPr>
        <w:pStyle w:val="Normal"/>
      </w:pPr>
    </w:p>
    <w:p w:rsidR="1FA037C1" w:rsidP="1FA037C1" w:rsidRDefault="1FA037C1" w14:paraId="282BB7C5" w14:textId="7E3E89A6">
      <w:pPr>
        <w:pStyle w:val="Normal"/>
      </w:pPr>
    </w:p>
    <w:p w:rsidR="1FA037C1" w:rsidP="1FA037C1" w:rsidRDefault="1FA037C1" w14:paraId="056322A7" w14:textId="74037D55">
      <w:pPr>
        <w:pStyle w:val="Normal"/>
      </w:pPr>
    </w:p>
    <w:p w:rsidR="1FA037C1" w:rsidP="1FA037C1" w:rsidRDefault="1FA037C1" w14:paraId="38B28006" w14:textId="3C3A4B66">
      <w:pPr>
        <w:pStyle w:val="Normal"/>
      </w:pPr>
    </w:p>
    <w:p w:rsidR="1FA037C1" w:rsidP="1FA037C1" w:rsidRDefault="1FA037C1" w14:paraId="54ACEC1B" w14:textId="0A7BC139">
      <w:pPr>
        <w:pStyle w:val="Normal"/>
      </w:pPr>
    </w:p>
    <w:p w:rsidR="1FA037C1" w:rsidP="1FA037C1" w:rsidRDefault="1FA037C1" w14:paraId="411EAD32" w14:textId="38E46D6C">
      <w:pPr>
        <w:pStyle w:val="Normal"/>
      </w:pPr>
    </w:p>
    <w:p w:rsidR="1FA037C1" w:rsidP="1FA037C1" w:rsidRDefault="1FA037C1" w14:paraId="3FAD6766" w14:textId="6F412F5C">
      <w:pPr>
        <w:pStyle w:val="Normal"/>
      </w:pPr>
    </w:p>
    <w:p w:rsidR="1FA037C1" w:rsidP="1FA037C1" w:rsidRDefault="1FA037C1" w14:paraId="2834CC96" w14:textId="015B20E6">
      <w:pPr>
        <w:pStyle w:val="Normal"/>
      </w:pPr>
    </w:p>
    <w:p w:rsidR="1FA037C1" w:rsidP="1FA037C1" w:rsidRDefault="1FA037C1" w14:paraId="4C04DF4B" w14:textId="045450DA">
      <w:pPr>
        <w:pStyle w:val="Normal"/>
      </w:pPr>
    </w:p>
    <w:p w:rsidR="1FA037C1" w:rsidP="1FA037C1" w:rsidRDefault="1FA037C1" w14:paraId="1196D8ED" w14:textId="5B7AF4F0">
      <w:pPr>
        <w:pStyle w:val="Normal"/>
      </w:pPr>
    </w:p>
    <w:p w:rsidR="1FA037C1" w:rsidP="1FA037C1" w:rsidRDefault="1FA037C1" w14:paraId="41689CEE" w14:textId="4C88AF4F">
      <w:pPr>
        <w:pStyle w:val="Normal"/>
      </w:pPr>
    </w:p>
    <w:p w:rsidR="5D962F6E" w:rsidP="1FA037C1" w:rsidRDefault="5D962F6E" w14:paraId="5654A701" w14:textId="05A60575">
      <w:pPr>
        <w:pStyle w:val="Normal"/>
      </w:pPr>
      <w:r w:rsidR="5D962F6E">
        <w:rPr/>
        <w:t>References</w:t>
      </w:r>
    </w:p>
    <w:p w:rsidR="16898DFB" w:rsidP="1FA037C1" w:rsidRDefault="16898DFB" w14:paraId="7E8F4336" w14:textId="4D72C7A7">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16898D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Knight, Z.G., 2017. A proposed model of psychodynamic psychotherapy linked to Erik Erikson's eight stages of psychosocial development. </w:t>
      </w:r>
      <w:r w:rsidRPr="1FA037C1" w:rsidR="16898DFB">
        <w:rPr>
          <w:rFonts w:ascii="Calibri" w:hAnsi="Calibri" w:eastAsia="Calibri" w:cs="Calibri"/>
          <w:b w:val="0"/>
          <w:bCs w:val="0"/>
          <w:i w:val="1"/>
          <w:iCs w:val="1"/>
          <w:caps w:val="0"/>
          <w:smallCaps w:val="0"/>
          <w:noProof w:val="0"/>
          <w:color w:val="000000" w:themeColor="text1" w:themeTint="FF" w:themeShade="FF"/>
          <w:sz w:val="22"/>
          <w:szCs w:val="22"/>
          <w:lang w:val="en-GB"/>
        </w:rPr>
        <w:t>Clinical psychology &amp; psychotherapy</w:t>
      </w:r>
      <w:r w:rsidRPr="1FA037C1" w:rsidR="16898D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FA037C1" w:rsidR="16898DFB">
        <w:rPr>
          <w:rFonts w:ascii="Calibri" w:hAnsi="Calibri" w:eastAsia="Calibri" w:cs="Calibri"/>
          <w:b w:val="0"/>
          <w:bCs w:val="0"/>
          <w:i w:val="1"/>
          <w:iCs w:val="1"/>
          <w:caps w:val="0"/>
          <w:smallCaps w:val="0"/>
          <w:noProof w:val="0"/>
          <w:color w:val="000000" w:themeColor="text1" w:themeTint="FF" w:themeShade="FF"/>
          <w:sz w:val="22"/>
          <w:szCs w:val="22"/>
          <w:lang w:val="en-GB"/>
        </w:rPr>
        <w:t>24</w:t>
      </w:r>
      <w:r w:rsidRPr="1FA037C1" w:rsidR="16898DFB">
        <w:rPr>
          <w:rFonts w:ascii="Calibri" w:hAnsi="Calibri" w:eastAsia="Calibri" w:cs="Calibri"/>
          <w:b w:val="0"/>
          <w:bCs w:val="0"/>
          <w:i w:val="0"/>
          <w:iCs w:val="0"/>
          <w:caps w:val="0"/>
          <w:smallCaps w:val="0"/>
          <w:noProof w:val="0"/>
          <w:color w:val="000000" w:themeColor="text1" w:themeTint="FF" w:themeShade="FF"/>
          <w:sz w:val="22"/>
          <w:szCs w:val="22"/>
          <w:lang w:val="en-GB"/>
        </w:rPr>
        <w:t>(5), pp.1047-1058.</w:t>
      </w:r>
    </w:p>
    <w:p w:rsidR="5258553B" w:rsidP="1FA037C1" w:rsidRDefault="5258553B" w14:paraId="6F5FA03F" w14:textId="5E151FD3">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5258553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Baker-Smith, </w:t>
      </w:r>
      <w:r w:rsidRPr="1FA037C1" w:rsidR="0D370E24">
        <w:rPr>
          <w:rFonts w:ascii="Calibri" w:hAnsi="Calibri" w:eastAsia="Calibri" w:cs="Calibri"/>
          <w:b w:val="0"/>
          <w:bCs w:val="0"/>
          <w:i w:val="0"/>
          <w:iCs w:val="0"/>
          <w:caps w:val="0"/>
          <w:smallCaps w:val="0"/>
          <w:noProof w:val="0"/>
          <w:color w:val="000000" w:themeColor="text1" w:themeTint="FF" w:themeShade="FF"/>
          <w:sz w:val="22"/>
          <w:szCs w:val="22"/>
          <w:lang w:val="en-GB"/>
        </w:rPr>
        <w:t>K.,</w:t>
      </w:r>
      <w:r w:rsidRPr="1FA037C1" w:rsidR="5258553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Moore, K.A., 2012. Early onset of social anxiety: Impact on Erikson’s stages of psychosocial development. In </w:t>
      </w:r>
      <w:r w:rsidRPr="1FA037C1" w:rsidR="5258553B">
        <w:rPr>
          <w:rFonts w:ascii="Calibri" w:hAnsi="Calibri" w:eastAsia="Calibri" w:cs="Calibri"/>
          <w:b w:val="0"/>
          <w:bCs w:val="0"/>
          <w:i w:val="1"/>
          <w:iCs w:val="1"/>
          <w:caps w:val="0"/>
          <w:smallCaps w:val="0"/>
          <w:noProof w:val="0"/>
          <w:color w:val="000000" w:themeColor="text1" w:themeTint="FF" w:themeShade="FF"/>
          <w:sz w:val="22"/>
          <w:szCs w:val="22"/>
          <w:lang w:val="en-GB"/>
        </w:rPr>
        <w:t>Proceedings 1st Australian Psychological Society’s Psychology of Relationships Conference pp</w:t>
      </w:r>
      <w:r w:rsidRPr="1FA037C1" w:rsidR="5258553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(Vol. 19, p. 23).</w:t>
      </w:r>
    </w:p>
    <w:p w:rsidR="215DA46A" w:rsidP="1FA037C1" w:rsidRDefault="215DA46A" w14:paraId="423EB92A" w14:textId="3D490D61">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215DA46A">
        <w:rPr>
          <w:rFonts w:ascii="Calibri" w:hAnsi="Calibri" w:eastAsia="Calibri" w:cs="Calibri"/>
          <w:b w:val="0"/>
          <w:bCs w:val="0"/>
          <w:i w:val="0"/>
          <w:iCs w:val="0"/>
          <w:caps w:val="0"/>
          <w:smallCaps w:val="0"/>
          <w:noProof w:val="0"/>
          <w:color w:val="000000" w:themeColor="text1" w:themeTint="FF" w:themeShade="FF"/>
          <w:sz w:val="22"/>
          <w:szCs w:val="22"/>
          <w:lang w:val="en-GB"/>
        </w:rPr>
        <w:t>Vygotsky, L. S. (1978). Mind in society: The development of higher psychological processes. Harvard University Press.</w:t>
      </w:r>
    </w:p>
    <w:p w:rsidR="215DA46A" w:rsidP="1FA037C1" w:rsidRDefault="215DA46A" w14:paraId="6683628B" w14:textId="130C39F7">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215DA46A">
        <w:rPr>
          <w:rFonts w:ascii="Calibri" w:hAnsi="Calibri" w:eastAsia="Calibri" w:cs="Calibri"/>
          <w:b w:val="0"/>
          <w:bCs w:val="0"/>
          <w:i w:val="0"/>
          <w:iCs w:val="0"/>
          <w:caps w:val="0"/>
          <w:smallCaps w:val="0"/>
          <w:noProof w:val="0"/>
          <w:color w:val="000000" w:themeColor="text1" w:themeTint="FF" w:themeShade="FF"/>
          <w:sz w:val="22"/>
          <w:szCs w:val="22"/>
          <w:lang w:val="en-GB"/>
        </w:rPr>
        <w:t>Wertsch</w:t>
      </w:r>
      <w:r w:rsidRPr="1FA037C1" w:rsidR="215DA46A">
        <w:rPr>
          <w:rFonts w:ascii="Calibri" w:hAnsi="Calibri" w:eastAsia="Calibri" w:cs="Calibri"/>
          <w:b w:val="0"/>
          <w:bCs w:val="0"/>
          <w:i w:val="0"/>
          <w:iCs w:val="0"/>
          <w:caps w:val="0"/>
          <w:smallCaps w:val="0"/>
          <w:noProof w:val="0"/>
          <w:color w:val="000000" w:themeColor="text1" w:themeTint="FF" w:themeShade="FF"/>
          <w:sz w:val="22"/>
          <w:szCs w:val="22"/>
          <w:lang w:val="en-GB"/>
        </w:rPr>
        <w:t>, J. V. (1985). Vygotsky and the social formation of mind. Harvard University Press.</w:t>
      </w:r>
    </w:p>
    <w:p w:rsidR="215DA46A" w:rsidP="1FA037C1" w:rsidRDefault="215DA46A" w14:paraId="2215B0E2" w14:textId="06135ABD">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215DA46A">
        <w:rPr>
          <w:rFonts w:ascii="Calibri" w:hAnsi="Calibri" w:eastAsia="Calibri" w:cs="Calibri"/>
          <w:b w:val="0"/>
          <w:bCs w:val="0"/>
          <w:i w:val="0"/>
          <w:iCs w:val="0"/>
          <w:caps w:val="0"/>
          <w:smallCaps w:val="0"/>
          <w:noProof w:val="0"/>
          <w:color w:val="000000" w:themeColor="text1" w:themeTint="FF" w:themeShade="FF"/>
          <w:sz w:val="22"/>
          <w:szCs w:val="22"/>
          <w:lang w:val="en-GB"/>
        </w:rPr>
        <w:t>Wood, D., Bruner, J. S., &amp; Ross, G. (1976). The role of tutoring in problem solving. Journal of child psychology and psychiatry, 17(2), 89-100</w:t>
      </w:r>
    </w:p>
    <w:p w:rsidR="46BAF2F1" w:rsidP="1FA037C1" w:rsidRDefault="46BAF2F1" w14:paraId="221CE986" w14:textId="4C8A48B1">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46BAF2F1">
        <w:rPr>
          <w:rFonts w:ascii="Calibri" w:hAnsi="Calibri" w:eastAsia="Calibri" w:cs="Calibri"/>
          <w:b w:val="0"/>
          <w:bCs w:val="0"/>
          <w:i w:val="0"/>
          <w:iCs w:val="0"/>
          <w:caps w:val="0"/>
          <w:smallCaps w:val="0"/>
          <w:noProof w:val="0"/>
          <w:color w:val="000000" w:themeColor="text1" w:themeTint="FF" w:themeShade="FF"/>
          <w:sz w:val="22"/>
          <w:szCs w:val="22"/>
          <w:lang w:val="en-GB"/>
        </w:rPr>
        <w:t>Anderson, C. A., &amp; Bushman, B. J. (2002). Human aggression. Annual review of psychology, 53(1), 27-51.</w:t>
      </w:r>
    </w:p>
    <w:p w:rsidR="46BAF2F1" w:rsidP="1FA037C1" w:rsidRDefault="46BAF2F1" w14:paraId="05052F17" w14:textId="51ACC9D1">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46BAF2F1">
        <w:rPr>
          <w:rFonts w:ascii="Calibri" w:hAnsi="Calibri" w:eastAsia="Calibri" w:cs="Calibri"/>
          <w:b w:val="0"/>
          <w:bCs w:val="0"/>
          <w:i w:val="0"/>
          <w:iCs w:val="0"/>
          <w:caps w:val="0"/>
          <w:smallCaps w:val="0"/>
          <w:noProof w:val="0"/>
          <w:color w:val="000000" w:themeColor="text1" w:themeTint="FF" w:themeShade="FF"/>
          <w:sz w:val="22"/>
          <w:szCs w:val="22"/>
          <w:lang w:val="en-GB"/>
        </w:rPr>
        <w:t>Berkowitz, L. (1989). Frustration-aggression hypothesis: Examination and reformulation. Psychological Bulletin, 106(1), 59-73.</w:t>
      </w:r>
    </w:p>
    <w:p w:rsidR="46BAF2F1" w:rsidP="1FA037C1" w:rsidRDefault="46BAF2F1" w14:paraId="7E9D2191" w14:textId="25CD599F">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46BAF2F1">
        <w:rPr>
          <w:rFonts w:ascii="Calibri" w:hAnsi="Calibri" w:eastAsia="Calibri" w:cs="Calibri"/>
          <w:b w:val="0"/>
          <w:bCs w:val="0"/>
          <w:i w:val="0"/>
          <w:iCs w:val="0"/>
          <w:caps w:val="0"/>
          <w:smallCaps w:val="0"/>
          <w:noProof w:val="0"/>
          <w:color w:val="000000" w:themeColor="text1" w:themeTint="FF" w:themeShade="FF"/>
          <w:sz w:val="22"/>
          <w:szCs w:val="22"/>
          <w:lang w:val="en-GB"/>
        </w:rPr>
        <w:t>Dodge, K. A., &amp; Coie, J. D. (1987). Social-information-processing factors in reactive and proactive aggression in children's peer groups. Journal of personality and social psychology, 53(6), 1146-1158.</w:t>
      </w:r>
    </w:p>
    <w:p w:rsidR="322AF388" w:rsidP="1FA037C1" w:rsidRDefault="322AF388" w14:paraId="2B10167C" w14:textId="10EF1A6F">
      <w:p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322AF388">
        <w:rPr>
          <w:rFonts w:ascii="Calibri" w:hAnsi="Calibri" w:eastAsia="Calibri" w:cs="Calibri"/>
          <w:b w:val="0"/>
          <w:bCs w:val="0"/>
          <w:i w:val="0"/>
          <w:iCs w:val="0"/>
          <w:caps w:val="0"/>
          <w:smallCaps w:val="0"/>
          <w:noProof w:val="0"/>
          <w:color w:val="000000" w:themeColor="text1" w:themeTint="FF" w:themeShade="FF"/>
          <w:sz w:val="22"/>
          <w:szCs w:val="22"/>
          <w:lang w:val="en-GB"/>
        </w:rPr>
        <w:t>Erikson, E. H. (1963). Childhood and society. New York: Norton.</w:t>
      </w:r>
    </w:p>
    <w:p w:rsidR="322AF388" w:rsidP="1FA037C1" w:rsidRDefault="322AF388" w14:paraId="332DB2F1" w14:textId="60132C3E">
      <w:p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322AF388">
        <w:rPr>
          <w:rFonts w:ascii="Calibri" w:hAnsi="Calibri" w:eastAsia="Calibri" w:cs="Calibri"/>
          <w:b w:val="0"/>
          <w:bCs w:val="0"/>
          <w:i w:val="0"/>
          <w:iCs w:val="0"/>
          <w:caps w:val="0"/>
          <w:smallCaps w:val="0"/>
          <w:noProof w:val="0"/>
          <w:color w:val="000000" w:themeColor="text1" w:themeTint="FF" w:themeShade="FF"/>
          <w:sz w:val="22"/>
          <w:szCs w:val="22"/>
          <w:lang w:val="en-GB"/>
        </w:rPr>
        <w:t>Erikson, E. H. (1980). Identity and the life cycle. New York: Norton.</w:t>
      </w:r>
    </w:p>
    <w:p w:rsidR="322AF388" w:rsidP="1FA037C1" w:rsidRDefault="322AF388" w14:paraId="46828FDB" w14:textId="346346BB">
      <w:p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FA037C1" w:rsidR="322AF388">
        <w:rPr>
          <w:rFonts w:ascii="Calibri" w:hAnsi="Calibri" w:eastAsia="Calibri" w:cs="Calibri"/>
          <w:b w:val="0"/>
          <w:bCs w:val="0"/>
          <w:i w:val="0"/>
          <w:iCs w:val="0"/>
          <w:caps w:val="0"/>
          <w:smallCaps w:val="0"/>
          <w:noProof w:val="0"/>
          <w:color w:val="000000" w:themeColor="text1" w:themeTint="FF" w:themeShade="FF"/>
          <w:sz w:val="22"/>
          <w:szCs w:val="22"/>
          <w:lang w:val="en-GB"/>
        </w:rPr>
        <w:t>McLeod, S. (2018). Erik Erikson's stages of psychosocial development. Simply Psychology.</w:t>
      </w:r>
    </w:p>
    <w:p w:rsidR="1FA037C1" w:rsidP="1FA037C1" w:rsidRDefault="1FA037C1" w14:paraId="6EA8DCEC" w14:textId="03940023">
      <w:pPr>
        <w:pStyle w:val="Normal"/>
        <w:rPr>
          <w:rFonts w:ascii="Calibri" w:hAnsi="Calibri" w:eastAsia="Calibri" w:cs="Calibri"/>
          <w:color w:val="000000" w:themeColor="text1" w:themeTint="FF" w:themeShade="FF"/>
          <w:sz w:val="22"/>
          <w:szCs w:val="22"/>
        </w:rPr>
      </w:pPr>
    </w:p>
    <w:p w:rsidR="1FA037C1" w:rsidP="1FA037C1" w:rsidRDefault="1FA037C1" w14:paraId="79D541EC" w14:textId="157AB71B">
      <w:pPr>
        <w:pStyle w:val="Normal"/>
        <w:rPr>
          <w:rFonts w:ascii="Arial" w:hAnsi="Arial" w:eastAsia="Arial" w:cs="Arial"/>
          <w:b w:val="0"/>
          <w:bCs w:val="0"/>
          <w:i w:val="0"/>
          <w:iCs w:val="0"/>
          <w:caps w:val="0"/>
          <w:smallCaps w:val="0"/>
          <w:noProof w:val="0"/>
          <w:color w:val="222222"/>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bnVSOzKqgCoDp" int2:id="BCUtdoh5">
      <int2:state int2:type="AugLoop_Text_Critique" int2:value="Rejected"/>
    </int2:textHash>
    <int2:textHash int2:hashCode="liUYptCuMG03td" int2:id="QcaKkr0c">
      <int2:state int2:type="AugLoop_Text_Critique" int2:value="Rejected"/>
    </int2:textHash>
    <int2:bookmark int2:bookmarkName="_Int_xKKSyovI" int2:invalidationBookmarkName="" int2:hashCode="+uiYwTZ+mZorBp" int2:id="wUFb2nb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1f3ae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B26B51"/>
    <w:rsid w:val="01347776"/>
    <w:rsid w:val="089A704A"/>
    <w:rsid w:val="0936D835"/>
    <w:rsid w:val="0A3640AB"/>
    <w:rsid w:val="0B2ED05E"/>
    <w:rsid w:val="0BD2110C"/>
    <w:rsid w:val="0C713FF4"/>
    <w:rsid w:val="0D370E24"/>
    <w:rsid w:val="0E0B047A"/>
    <w:rsid w:val="12D7D658"/>
    <w:rsid w:val="12FF071E"/>
    <w:rsid w:val="15F9557B"/>
    <w:rsid w:val="1665F464"/>
    <w:rsid w:val="16898DFB"/>
    <w:rsid w:val="173DFC28"/>
    <w:rsid w:val="179525DC"/>
    <w:rsid w:val="1930F63D"/>
    <w:rsid w:val="1C8A0918"/>
    <w:rsid w:val="1E72A7C3"/>
    <w:rsid w:val="1FA037C1"/>
    <w:rsid w:val="2059911A"/>
    <w:rsid w:val="215DA46A"/>
    <w:rsid w:val="23018D9D"/>
    <w:rsid w:val="2669B1B2"/>
    <w:rsid w:val="28F4EEE8"/>
    <w:rsid w:val="2C15F7FE"/>
    <w:rsid w:val="2D469D1C"/>
    <w:rsid w:val="30D040C4"/>
    <w:rsid w:val="322AF388"/>
    <w:rsid w:val="3378E9C1"/>
    <w:rsid w:val="35B11EA7"/>
    <w:rsid w:val="35B255B6"/>
    <w:rsid w:val="370037A5"/>
    <w:rsid w:val="378998A3"/>
    <w:rsid w:val="37B26B51"/>
    <w:rsid w:val="39598EE7"/>
    <w:rsid w:val="3AC13965"/>
    <w:rsid w:val="3B8D4DEF"/>
    <w:rsid w:val="3CF70486"/>
    <w:rsid w:val="3DF8DA27"/>
    <w:rsid w:val="3E92D4E7"/>
    <w:rsid w:val="3F1F667B"/>
    <w:rsid w:val="417E4E98"/>
    <w:rsid w:val="423D6639"/>
    <w:rsid w:val="424AD7D2"/>
    <w:rsid w:val="46BAF2F1"/>
    <w:rsid w:val="47FBBBE8"/>
    <w:rsid w:val="48785EC5"/>
    <w:rsid w:val="48BA1956"/>
    <w:rsid w:val="491A1E11"/>
    <w:rsid w:val="4A55E9B7"/>
    <w:rsid w:val="4D41E00D"/>
    <w:rsid w:val="4D62C7AF"/>
    <w:rsid w:val="517CBB89"/>
    <w:rsid w:val="5258553B"/>
    <w:rsid w:val="5432F126"/>
    <w:rsid w:val="55E2E159"/>
    <w:rsid w:val="56543B5B"/>
    <w:rsid w:val="5782251A"/>
    <w:rsid w:val="57D21FD4"/>
    <w:rsid w:val="5BCE10D7"/>
    <w:rsid w:val="5BF21C97"/>
    <w:rsid w:val="5D129900"/>
    <w:rsid w:val="5D16BE45"/>
    <w:rsid w:val="5D21C31B"/>
    <w:rsid w:val="5D962F6E"/>
    <w:rsid w:val="5EA85234"/>
    <w:rsid w:val="5F20D234"/>
    <w:rsid w:val="618F0E8F"/>
    <w:rsid w:val="6391049F"/>
    <w:rsid w:val="66B3FCEF"/>
    <w:rsid w:val="6712BBBC"/>
    <w:rsid w:val="69D8FE93"/>
    <w:rsid w:val="6D73A2BF"/>
    <w:rsid w:val="6DEF6D74"/>
    <w:rsid w:val="6F1DCDA1"/>
    <w:rsid w:val="700109D5"/>
    <w:rsid w:val="70F608C9"/>
    <w:rsid w:val="71366B2B"/>
    <w:rsid w:val="723BDDEA"/>
    <w:rsid w:val="75CB907A"/>
    <w:rsid w:val="780181DE"/>
    <w:rsid w:val="78676677"/>
    <w:rsid w:val="786FDEE7"/>
    <w:rsid w:val="799D523F"/>
    <w:rsid w:val="7A0BAF48"/>
    <w:rsid w:val="7A3F5F55"/>
    <w:rsid w:val="7B06DCA0"/>
    <w:rsid w:val="7B9F0739"/>
    <w:rsid w:val="7C3ED83E"/>
    <w:rsid w:val="7D3AD79A"/>
    <w:rsid w:val="7D43500A"/>
    <w:rsid w:val="7EDF206B"/>
    <w:rsid w:val="7F3BD602"/>
    <w:rsid w:val="7FC8BD4A"/>
    <w:rsid w:val="7FDF6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26B51"/>
  <w15:chartTrackingRefBased/>
  <w15:docId w15:val="{C0AD8C91-E057-4152-B5AA-E6471B93E7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e8dbe0d706f47d6" /><Relationship Type="http://schemas.openxmlformats.org/officeDocument/2006/relationships/numbering" Target="/word/numbering.xml" Id="Rad232d2dc4ad4eb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Samia Anjum (2127146)</dc:creator>
  <keywords/>
  <dc:description/>
  <lastModifiedBy>Samia Anjum (2127146)</lastModifiedBy>
  <revision>2</revision>
  <dcterms:created xsi:type="dcterms:W3CDTF">2023-03-26T13:30:45.1644453Z</dcterms:created>
  <dcterms:modified xsi:type="dcterms:W3CDTF">2023-03-26T15:30:11.9368708Z</dcterms:modified>
</coreProperties>
</file>