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3197817" w14:textId="77777777" w:rsidR="00951534" w:rsidRDefault="00D92257">
      <w:pPr>
        <w:spacing w:before="28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rPr>
        <w:drawing>
          <wp:inline distT="114300" distB="114300" distL="114300" distR="114300" wp14:anchorId="68F0B174" wp14:editId="74D4B0D7">
            <wp:extent cx="5731200" cy="24003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6"/>
                    <a:srcRect/>
                    <a:stretch>
                      <a:fillRect/>
                    </a:stretch>
                  </pic:blipFill>
                  <pic:spPr>
                    <a:xfrm>
                      <a:off x="0" y="0"/>
                      <a:ext cx="5731200" cy="2400300"/>
                    </a:xfrm>
                    <a:prstGeom prst="rect">
                      <a:avLst/>
                    </a:prstGeom>
                    <a:ln/>
                  </pic:spPr>
                </pic:pic>
              </a:graphicData>
            </a:graphic>
          </wp:inline>
        </w:drawing>
      </w:r>
    </w:p>
    <w:p w14:paraId="5320B73D" w14:textId="7D9962F4" w:rsidR="00951534" w:rsidRPr="007C0CB3" w:rsidRDefault="007C0CB3">
      <w:pPr>
        <w:spacing w:before="280" w:line="360" w:lineRule="auto"/>
        <w:jc w:val="both"/>
        <w:rPr>
          <w:rFonts w:ascii="Times New Roman" w:eastAsia="Times New Roman" w:hAnsi="Times New Roman" w:cs="Times New Roman"/>
          <w:b/>
          <w:bCs/>
          <w:sz w:val="24"/>
          <w:szCs w:val="24"/>
        </w:rPr>
      </w:pPr>
      <w:r w:rsidRPr="007C0CB3">
        <w:rPr>
          <w:rFonts w:ascii="Times New Roman" w:eastAsia="Times New Roman" w:hAnsi="Times New Roman" w:cs="Times New Roman"/>
          <w:b/>
          <w:bCs/>
          <w:sz w:val="24"/>
          <w:szCs w:val="24"/>
        </w:rPr>
        <w:t xml:space="preserve">BA[Hons}Leadership and Management Skills for the Workplace </w:t>
      </w:r>
    </w:p>
    <w:p w14:paraId="2922716F" w14:textId="77777777" w:rsidR="00951534" w:rsidRDefault="00951534">
      <w:pPr>
        <w:spacing w:before="280" w:line="360" w:lineRule="auto"/>
        <w:jc w:val="both"/>
        <w:rPr>
          <w:rFonts w:ascii="Times New Roman" w:eastAsia="Times New Roman" w:hAnsi="Times New Roman" w:cs="Times New Roman"/>
          <w:b/>
          <w:bCs/>
          <w:sz w:val="24"/>
          <w:szCs w:val="24"/>
        </w:rPr>
      </w:pPr>
    </w:p>
    <w:p w14:paraId="296673BC" w14:textId="77777777" w:rsidR="00951534" w:rsidRDefault="00951534">
      <w:pPr>
        <w:spacing w:before="280" w:line="360" w:lineRule="auto"/>
        <w:jc w:val="both"/>
        <w:rPr>
          <w:rFonts w:ascii="Times New Roman" w:eastAsia="Times New Roman" w:hAnsi="Times New Roman" w:cs="Times New Roman"/>
          <w:b/>
          <w:bCs/>
          <w:sz w:val="24"/>
          <w:szCs w:val="24"/>
        </w:rPr>
      </w:pPr>
    </w:p>
    <w:p w14:paraId="5A72C6EA" w14:textId="163AA30F" w:rsidR="00951534" w:rsidRDefault="00D92257" w:rsidP="00D7643B">
      <w:pPr>
        <w:spacing w:before="28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Student Name:</w:t>
      </w:r>
      <w:r w:rsidR="007C0CB3">
        <w:rPr>
          <w:rFonts w:ascii="Times New Roman" w:eastAsia="Times New Roman" w:hAnsi="Times New Roman" w:cs="Times New Roman"/>
          <w:b/>
          <w:bCs/>
          <w:sz w:val="24"/>
          <w:szCs w:val="24"/>
        </w:rPr>
        <w:t xml:space="preserve"> Massamba Guy</w:t>
      </w:r>
    </w:p>
    <w:p w14:paraId="0045F420" w14:textId="412721DE" w:rsidR="00951534" w:rsidRDefault="00D92257" w:rsidP="00D7643B">
      <w:pPr>
        <w:shd w:val="clear" w:color="auto" w:fill="FFFFFF"/>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Student ID:</w:t>
      </w:r>
      <w:r w:rsidR="007C0CB3">
        <w:rPr>
          <w:rFonts w:ascii="Times New Roman" w:eastAsia="Times New Roman" w:hAnsi="Times New Roman" w:cs="Times New Roman"/>
          <w:b/>
          <w:bCs/>
          <w:sz w:val="24"/>
          <w:szCs w:val="24"/>
        </w:rPr>
        <w:t>2325805</w:t>
      </w:r>
    </w:p>
    <w:p w14:paraId="16B31F6F" w14:textId="50E490A7" w:rsidR="00951534" w:rsidRDefault="00D92257" w:rsidP="00D7643B">
      <w:pPr>
        <w:shd w:val="clear" w:color="auto" w:fill="FFFFFF"/>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Module Title:</w:t>
      </w:r>
      <w:r w:rsidR="007C0CB3">
        <w:rPr>
          <w:rFonts w:ascii="Times New Roman" w:eastAsia="Times New Roman" w:hAnsi="Times New Roman" w:cs="Times New Roman"/>
          <w:b/>
          <w:bCs/>
          <w:sz w:val="24"/>
          <w:szCs w:val="24"/>
        </w:rPr>
        <w:t xml:space="preserve"> Leading and </w:t>
      </w:r>
      <w:r w:rsidR="00D7643B">
        <w:rPr>
          <w:rFonts w:ascii="Times New Roman" w:eastAsia="Times New Roman" w:hAnsi="Times New Roman" w:cs="Times New Roman"/>
          <w:b/>
          <w:bCs/>
          <w:sz w:val="24"/>
          <w:szCs w:val="24"/>
        </w:rPr>
        <w:t>implementing Change</w:t>
      </w:r>
    </w:p>
    <w:p w14:paraId="0353651B" w14:textId="77777777" w:rsidR="00D7643B" w:rsidRDefault="00D92257" w:rsidP="00D7643B">
      <w:pPr>
        <w:shd w:val="clear" w:color="auto" w:fill="FFFFFF"/>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Module Code:</w:t>
      </w:r>
      <w:r w:rsidR="00D7643B">
        <w:rPr>
          <w:rFonts w:ascii="Times New Roman" w:eastAsia="Times New Roman" w:hAnsi="Times New Roman" w:cs="Times New Roman"/>
          <w:b/>
          <w:bCs/>
          <w:sz w:val="24"/>
          <w:szCs w:val="24"/>
        </w:rPr>
        <w:t>LCLM6003</w:t>
      </w:r>
    </w:p>
    <w:p w14:paraId="2965C215" w14:textId="74A0FD0E" w:rsidR="00D7643B" w:rsidRDefault="00D7643B" w:rsidP="00D7643B">
      <w:pPr>
        <w:shd w:val="clear" w:color="auto" w:fill="FFFFFF"/>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Lecture Name: Nadeem Mirza </w:t>
      </w:r>
    </w:p>
    <w:p w14:paraId="196171A3" w14:textId="3FA7712D" w:rsidR="00D7643B" w:rsidRDefault="00D7643B" w:rsidP="00D7643B">
      <w:pPr>
        <w:shd w:val="clear" w:color="auto" w:fill="FFFFFF"/>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Submission deadline: 21 August 2026</w:t>
      </w:r>
    </w:p>
    <w:p w14:paraId="00511804" w14:textId="77777777" w:rsidR="00951534" w:rsidRDefault="00D92257">
      <w:pPr>
        <w:spacing w:before="1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                    A Strategic Change Management Plan for Nissan UK's Sunderland Plant</w:t>
      </w:r>
    </w:p>
    <w:p w14:paraId="42131078" w14:textId="77777777" w:rsidR="00951534" w:rsidRDefault="00D92257">
      <w:pPr>
        <w:spacing w:after="400" w:line="360" w:lineRule="auto"/>
        <w:jc w:val="both"/>
        <w:rPr>
          <w:rFonts w:ascii="Times New Roman" w:eastAsia="Times New Roman" w:hAnsi="Times New Roman" w:cs="Times New Roman"/>
          <w:sz w:val="24"/>
          <w:szCs w:val="24"/>
        </w:rPr>
      </w:pPr>
      <w:r>
        <w:br w:type="page"/>
      </w:r>
    </w:p>
    <w:p w14:paraId="706B9C37" w14:textId="77777777" w:rsidR="00951534" w:rsidRDefault="00D92257">
      <w:pPr>
        <w:spacing w:before="320" w:after="160" w:line="360" w:lineRule="auto"/>
        <w:ind w:left="2160" w:firstLine="720"/>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Executive Summary</w:t>
      </w:r>
    </w:p>
    <w:p w14:paraId="6B54E349" w14:textId="77777777" w:rsidR="00951534" w:rsidRDefault="00951534">
      <w:pPr>
        <w:spacing w:before="320" w:after="160" w:line="360" w:lineRule="auto"/>
        <w:ind w:left="2160" w:firstLine="720"/>
        <w:jc w:val="both"/>
        <w:rPr>
          <w:rFonts w:ascii="Times New Roman" w:eastAsia="Times New Roman" w:hAnsi="Times New Roman" w:cs="Times New Roman"/>
          <w:sz w:val="24"/>
          <w:szCs w:val="24"/>
        </w:rPr>
      </w:pPr>
    </w:p>
    <w:p w14:paraId="32A06AB8" w14:textId="71BCD4BB" w:rsidR="00951534" w:rsidRDefault="00D92257">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report comes as the board has mandated the development of a strategic change plan for Nissan UK's largest manufacturing plant in Europe, Sunderland, in response to the company's ¥670.9 billion group-wide net loss for FY2024/25 and an initiative to recover the plant, '</w:t>
      </w:r>
      <w:r w:rsidR="00A76F4D">
        <w:rPr>
          <w:rFonts w:ascii="Times New Roman" w:eastAsia="Times New Roman" w:hAnsi="Times New Roman" w:cs="Times New Roman"/>
          <w:sz w:val="24"/>
          <w:szCs w:val="24"/>
        </w:rPr>
        <w:t>Re: Nissan</w:t>
      </w:r>
      <w:r>
        <w:rPr>
          <w:rFonts w:ascii="Times New Roman" w:eastAsia="Times New Roman" w:hAnsi="Times New Roman" w:cs="Times New Roman"/>
          <w:sz w:val="24"/>
          <w:szCs w:val="24"/>
        </w:rPr>
        <w:t xml:space="preserve">'. Sunderland has the added pressure of having to undergo cost and capacity restructuring under </w:t>
      </w:r>
      <w:r w:rsidR="00A76F4D">
        <w:rPr>
          <w:rFonts w:ascii="Times New Roman" w:eastAsia="Times New Roman" w:hAnsi="Times New Roman" w:cs="Times New Roman"/>
          <w:sz w:val="24"/>
          <w:szCs w:val="24"/>
        </w:rPr>
        <w:t>Re: Nissan</w:t>
      </w:r>
      <w:r>
        <w:rPr>
          <w:rFonts w:ascii="Times New Roman" w:eastAsia="Times New Roman" w:hAnsi="Times New Roman" w:cs="Times New Roman"/>
          <w:sz w:val="24"/>
          <w:szCs w:val="24"/>
        </w:rPr>
        <w:t>, a UK electrification requirement that runs ahead of market volume, and a wider industry move towards AI-driven digitalisation, while also remaining reliant on tariff free EU export access.</w:t>
      </w:r>
    </w:p>
    <w:p w14:paraId="4F2AF0C8" w14:textId="77777777" w:rsidR="00951534" w:rsidRDefault="00D92257">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Lewin's 3 step process and Kotter's 8 step process are each unable to sufficiently consider this compound, multi-year environment and so this report builds a hybrid of the models that incorporates Lewin's focus on unfreezing the existing routines, and Kotter's focus on building a coalition and using visible short-term wins. There is evidence that Re:Nissan has been actually put into place at Sunderland and a view to reducing the workforce through consultation and a voluntary-first approach with no apparent </w:t>
      </w:r>
      <w:r>
        <w:rPr>
          <w:rFonts w:ascii="Times New Roman" w:eastAsia="Times New Roman" w:hAnsi="Times New Roman" w:cs="Times New Roman"/>
          <w:sz w:val="24"/>
          <w:szCs w:val="24"/>
        </w:rPr>
        <w:t xml:space="preserve">production job losses, and there remains little public evidence of a formal reskilling programme. Nissan's leadership story shows elements of a credible transformational story – but the plant culture is more hierarchical and is willing to adopt automation rather than embrace open innovation. The proposed plan outlines four SMART objectives to be met by the end of month 18 and beyond, an indicative cost investment programme with contingency and stage-gate financial controls, a communication strategy that is </w:t>
      </w:r>
      <w:r>
        <w:rPr>
          <w:rFonts w:ascii="Times New Roman" w:eastAsia="Times New Roman" w:hAnsi="Times New Roman" w:cs="Times New Roman"/>
          <w:sz w:val="24"/>
          <w:szCs w:val="24"/>
        </w:rPr>
        <w:t>inclusive of stakeholders, and a risk register which captures the operational and human risks arising from AI enabled consolidation.</w:t>
      </w:r>
    </w:p>
    <w:p w14:paraId="3D63FDA0" w14:textId="77777777" w:rsidR="00951534" w:rsidRDefault="00951534">
      <w:pPr>
        <w:spacing w:after="160" w:line="360" w:lineRule="auto"/>
        <w:jc w:val="both"/>
        <w:rPr>
          <w:rFonts w:ascii="Times New Roman" w:eastAsia="Times New Roman" w:hAnsi="Times New Roman" w:cs="Times New Roman"/>
          <w:sz w:val="24"/>
          <w:szCs w:val="24"/>
        </w:rPr>
      </w:pPr>
    </w:p>
    <w:p w14:paraId="4005BC37" w14:textId="77777777" w:rsidR="00951534" w:rsidRDefault="00D92257">
      <w:pPr>
        <w:pStyle w:val="Heading1"/>
        <w:spacing w:before="320" w:after="160" w:line="360" w:lineRule="auto"/>
        <w:jc w:val="both"/>
        <w:rPr>
          <w:rFonts w:ascii="Times New Roman" w:eastAsia="Times New Roman" w:hAnsi="Times New Roman" w:cs="Times New Roman"/>
          <w:b/>
          <w:bCs/>
          <w:color w:val="000000"/>
          <w:sz w:val="24"/>
          <w:szCs w:val="24"/>
        </w:rPr>
      </w:pPr>
      <w:r>
        <w:br w:type="page"/>
      </w:r>
    </w:p>
    <w:p w14:paraId="371262B2" w14:textId="77777777" w:rsidR="00951534" w:rsidRDefault="00D92257">
      <w:pPr>
        <w:spacing w:before="320" w:after="160" w:line="360" w:lineRule="auto"/>
        <w:ind w:left="2880"/>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Table of Contents</w:t>
      </w:r>
    </w:p>
    <w:sdt>
      <w:sdtPr>
        <w:id w:val="-1093557588"/>
        <w:docPartObj>
          <w:docPartGallery w:val="Table of Contents"/>
          <w:docPartUnique/>
        </w:docPartObj>
      </w:sdtPr>
      <w:sdtEndPr/>
      <w:sdtContent>
        <w:p w14:paraId="576122E6" w14:textId="77777777" w:rsidR="00951534" w:rsidRDefault="00D92257">
          <w:pPr>
            <w:widowControl w:val="0"/>
            <w:tabs>
              <w:tab w:val="right" w:pos="9025"/>
            </w:tabs>
            <w:spacing w:before="60" w:line="360" w:lineRule="auto"/>
            <w:jc w:val="both"/>
            <w:rPr>
              <w:rFonts w:ascii="Times New Roman" w:eastAsia="Times New Roman" w:hAnsi="Times New Roman" w:cs="Times New Roman"/>
              <w:b/>
              <w:bCs/>
              <w:color w:val="000000"/>
              <w:sz w:val="24"/>
              <w:szCs w:val="24"/>
            </w:rPr>
          </w:pPr>
          <w:r>
            <w:fldChar w:fldCharType="begin"/>
          </w:r>
          <w:r>
            <w:instrText xml:space="preserve"> TOC \h \u \z \t "Heading 1,1,Heading 2,2,Heading 3,3,Heading 4,4,Heading 5,5,Heading 6,6,"</w:instrText>
          </w:r>
          <w:r>
            <w:fldChar w:fldCharType="separate"/>
          </w:r>
          <w:r>
            <w:rPr>
              <w:rFonts w:ascii="Times New Roman" w:eastAsia="Times New Roman" w:hAnsi="Times New Roman" w:cs="Times New Roman"/>
              <w:b/>
              <w:bCs/>
              <w:color w:val="000000"/>
              <w:sz w:val="24"/>
              <w:szCs w:val="24"/>
            </w:rPr>
            <w:t>1. Introduction</w:t>
          </w:r>
          <w:r>
            <w:rPr>
              <w:rFonts w:ascii="Times New Roman" w:eastAsia="Times New Roman" w:hAnsi="Times New Roman" w:cs="Times New Roman"/>
              <w:b/>
              <w:bCs/>
              <w:color w:val="000000"/>
              <w:sz w:val="24"/>
              <w:szCs w:val="24"/>
            </w:rPr>
            <w:tab/>
          </w:r>
          <w:r>
            <w:rPr>
              <w:rFonts w:ascii="Times New Roman" w:eastAsia="Times New Roman" w:hAnsi="Times New Roman" w:cs="Times New Roman"/>
              <w:b/>
              <w:bCs/>
              <w:sz w:val="24"/>
              <w:szCs w:val="24"/>
            </w:rPr>
            <w:t>4</w:t>
          </w:r>
        </w:p>
        <w:p w14:paraId="4484C266" w14:textId="77777777" w:rsidR="00951534" w:rsidRDefault="00D92257">
          <w:pPr>
            <w:widowControl w:val="0"/>
            <w:tabs>
              <w:tab w:val="right" w:pos="9025"/>
            </w:tabs>
            <w:spacing w:before="6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2. Organisational History and the Impact of Environmental Change</w:t>
          </w:r>
          <w:r>
            <w:rPr>
              <w:rFonts w:ascii="Times New Roman" w:eastAsia="Times New Roman" w:hAnsi="Times New Roman" w:cs="Times New Roman"/>
              <w:b/>
              <w:bCs/>
              <w:color w:val="000000"/>
              <w:sz w:val="24"/>
              <w:szCs w:val="24"/>
            </w:rPr>
            <w:tab/>
          </w:r>
          <w:r>
            <w:rPr>
              <w:rFonts w:ascii="Times New Roman" w:eastAsia="Times New Roman" w:hAnsi="Times New Roman" w:cs="Times New Roman"/>
              <w:b/>
              <w:bCs/>
              <w:sz w:val="24"/>
              <w:szCs w:val="24"/>
            </w:rPr>
            <w:t>4</w:t>
          </w:r>
        </w:p>
        <w:p w14:paraId="34228BA9" w14:textId="77777777" w:rsidR="00951534" w:rsidRDefault="00D92257">
          <w:pPr>
            <w:widowControl w:val="0"/>
            <w:tabs>
              <w:tab w:val="right" w:pos="9025"/>
            </w:tabs>
            <w:spacing w:before="6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3. Evaluation of Change Management Models</w:t>
          </w:r>
          <w:r>
            <w:rPr>
              <w:rFonts w:ascii="Times New Roman" w:eastAsia="Times New Roman" w:hAnsi="Times New Roman" w:cs="Times New Roman"/>
              <w:b/>
              <w:bCs/>
              <w:color w:val="000000"/>
              <w:sz w:val="24"/>
              <w:szCs w:val="24"/>
            </w:rPr>
            <w:tab/>
          </w:r>
          <w:r>
            <w:rPr>
              <w:rFonts w:ascii="Times New Roman" w:eastAsia="Times New Roman" w:hAnsi="Times New Roman" w:cs="Times New Roman"/>
              <w:b/>
              <w:bCs/>
              <w:sz w:val="24"/>
              <w:szCs w:val="24"/>
            </w:rPr>
            <w:t>7</w:t>
          </w:r>
        </w:p>
        <w:p w14:paraId="2C54AC9C" w14:textId="77777777" w:rsidR="00951534" w:rsidRDefault="00D92257">
          <w:pPr>
            <w:widowControl w:val="0"/>
            <w:tabs>
              <w:tab w:val="right" w:pos="9025"/>
            </w:tabs>
            <w:spacing w:before="6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4. How Re:Nissan Has Been Managed in Practice</w:t>
          </w:r>
          <w:r>
            <w:rPr>
              <w:rFonts w:ascii="Times New Roman" w:eastAsia="Times New Roman" w:hAnsi="Times New Roman" w:cs="Times New Roman"/>
              <w:b/>
              <w:bCs/>
              <w:color w:val="000000"/>
              <w:sz w:val="24"/>
              <w:szCs w:val="24"/>
            </w:rPr>
            <w:tab/>
          </w:r>
          <w:r>
            <w:rPr>
              <w:rFonts w:ascii="Times New Roman" w:eastAsia="Times New Roman" w:hAnsi="Times New Roman" w:cs="Times New Roman"/>
              <w:b/>
              <w:bCs/>
              <w:sz w:val="24"/>
              <w:szCs w:val="24"/>
            </w:rPr>
            <w:t>10</w:t>
          </w:r>
        </w:p>
        <w:p w14:paraId="476EAAD2" w14:textId="77777777" w:rsidR="00951534" w:rsidRDefault="00D92257">
          <w:pPr>
            <w:widowControl w:val="0"/>
            <w:tabs>
              <w:tab w:val="right" w:pos="9025"/>
            </w:tabs>
            <w:spacing w:before="6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5. Leadership and Organisational Culture Evaluation</w:t>
          </w:r>
          <w:r>
            <w:rPr>
              <w:rFonts w:ascii="Times New Roman" w:eastAsia="Times New Roman" w:hAnsi="Times New Roman" w:cs="Times New Roman"/>
              <w:b/>
              <w:bCs/>
              <w:color w:val="000000"/>
              <w:sz w:val="24"/>
              <w:szCs w:val="24"/>
            </w:rPr>
            <w:tab/>
          </w:r>
          <w:r>
            <w:rPr>
              <w:rFonts w:ascii="Times New Roman" w:eastAsia="Times New Roman" w:hAnsi="Times New Roman" w:cs="Times New Roman"/>
              <w:b/>
              <w:bCs/>
              <w:sz w:val="24"/>
              <w:szCs w:val="24"/>
            </w:rPr>
            <w:t>12</w:t>
          </w:r>
        </w:p>
        <w:p w14:paraId="7B9C256F" w14:textId="77777777" w:rsidR="00951534" w:rsidRDefault="00D92257">
          <w:pPr>
            <w:widowControl w:val="0"/>
            <w:tabs>
              <w:tab w:val="right" w:pos="9025"/>
            </w:tabs>
            <w:spacing w:before="6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6. Proposed Change Management Plan</w:t>
          </w:r>
          <w:r>
            <w:rPr>
              <w:rFonts w:ascii="Times New Roman" w:eastAsia="Times New Roman" w:hAnsi="Times New Roman" w:cs="Times New Roman"/>
              <w:b/>
              <w:bCs/>
              <w:color w:val="000000"/>
              <w:sz w:val="24"/>
              <w:szCs w:val="24"/>
            </w:rPr>
            <w:tab/>
          </w:r>
          <w:r>
            <w:rPr>
              <w:rFonts w:ascii="Times New Roman" w:eastAsia="Times New Roman" w:hAnsi="Times New Roman" w:cs="Times New Roman"/>
              <w:b/>
              <w:bCs/>
              <w:sz w:val="24"/>
              <w:szCs w:val="24"/>
            </w:rPr>
            <w:t>13</w:t>
          </w:r>
        </w:p>
        <w:p w14:paraId="305509CA" w14:textId="77777777" w:rsidR="00951534" w:rsidRDefault="00D92257">
          <w:pPr>
            <w:widowControl w:val="0"/>
            <w:tabs>
              <w:tab w:val="right" w:pos="9025"/>
            </w:tabs>
            <w:spacing w:before="60" w:line="360" w:lineRule="auto"/>
            <w:ind w:left="360"/>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6.1 SMART Objectives</w:t>
          </w:r>
          <w:r>
            <w:rPr>
              <w:rFonts w:ascii="Times New Roman" w:eastAsia="Times New Roman" w:hAnsi="Times New Roman" w:cs="Times New Roman"/>
              <w:b/>
              <w:bCs/>
              <w:color w:val="000000"/>
              <w:sz w:val="24"/>
              <w:szCs w:val="24"/>
            </w:rPr>
            <w:tab/>
          </w:r>
          <w:r>
            <w:rPr>
              <w:rFonts w:ascii="Times New Roman" w:eastAsia="Times New Roman" w:hAnsi="Times New Roman" w:cs="Times New Roman"/>
              <w:b/>
              <w:bCs/>
              <w:sz w:val="24"/>
              <w:szCs w:val="24"/>
            </w:rPr>
            <w:t>13</w:t>
          </w:r>
        </w:p>
        <w:p w14:paraId="4965449A" w14:textId="77777777" w:rsidR="00951534" w:rsidRDefault="00D92257">
          <w:pPr>
            <w:widowControl w:val="0"/>
            <w:tabs>
              <w:tab w:val="right" w:pos="9025"/>
            </w:tabs>
            <w:spacing w:before="60" w:line="360" w:lineRule="auto"/>
            <w:ind w:left="360"/>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6.2 Financial Plan</w:t>
          </w:r>
          <w:r>
            <w:rPr>
              <w:rFonts w:ascii="Times New Roman" w:eastAsia="Times New Roman" w:hAnsi="Times New Roman" w:cs="Times New Roman"/>
              <w:b/>
              <w:bCs/>
              <w:color w:val="000000"/>
              <w:sz w:val="24"/>
              <w:szCs w:val="24"/>
            </w:rPr>
            <w:tab/>
          </w:r>
          <w:r>
            <w:rPr>
              <w:rFonts w:ascii="Times New Roman" w:eastAsia="Times New Roman" w:hAnsi="Times New Roman" w:cs="Times New Roman"/>
              <w:b/>
              <w:bCs/>
              <w:sz w:val="24"/>
              <w:szCs w:val="24"/>
            </w:rPr>
            <w:t>15</w:t>
          </w:r>
        </w:p>
        <w:p w14:paraId="4D05A6F4" w14:textId="77777777" w:rsidR="00951534" w:rsidRDefault="00D92257">
          <w:pPr>
            <w:widowControl w:val="0"/>
            <w:tabs>
              <w:tab w:val="right" w:pos="9025"/>
            </w:tabs>
            <w:spacing w:before="60" w:line="360" w:lineRule="auto"/>
            <w:ind w:left="360"/>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6.3 Phased Timeline</w:t>
          </w:r>
          <w:r>
            <w:rPr>
              <w:rFonts w:ascii="Times New Roman" w:eastAsia="Times New Roman" w:hAnsi="Times New Roman" w:cs="Times New Roman"/>
              <w:b/>
              <w:bCs/>
              <w:color w:val="000000"/>
              <w:sz w:val="24"/>
              <w:szCs w:val="24"/>
            </w:rPr>
            <w:tab/>
          </w:r>
          <w:r>
            <w:rPr>
              <w:rFonts w:ascii="Times New Roman" w:eastAsia="Times New Roman" w:hAnsi="Times New Roman" w:cs="Times New Roman"/>
              <w:b/>
              <w:bCs/>
              <w:sz w:val="24"/>
              <w:szCs w:val="24"/>
            </w:rPr>
            <w:t>16</w:t>
          </w:r>
        </w:p>
        <w:p w14:paraId="6CE2C4C4" w14:textId="77777777" w:rsidR="00951534" w:rsidRDefault="00D92257">
          <w:pPr>
            <w:widowControl w:val="0"/>
            <w:tabs>
              <w:tab w:val="right" w:pos="9025"/>
            </w:tabs>
            <w:spacing w:before="60" w:line="360" w:lineRule="auto"/>
            <w:ind w:left="360"/>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6.4 Communication Plan and Stakeholder Participation</w:t>
          </w:r>
          <w:r>
            <w:rPr>
              <w:rFonts w:ascii="Times New Roman" w:eastAsia="Times New Roman" w:hAnsi="Times New Roman" w:cs="Times New Roman"/>
              <w:b/>
              <w:bCs/>
              <w:color w:val="000000"/>
              <w:sz w:val="24"/>
              <w:szCs w:val="24"/>
            </w:rPr>
            <w:tab/>
          </w:r>
          <w:r>
            <w:rPr>
              <w:rFonts w:ascii="Times New Roman" w:eastAsia="Times New Roman" w:hAnsi="Times New Roman" w:cs="Times New Roman"/>
              <w:b/>
              <w:bCs/>
              <w:sz w:val="24"/>
              <w:szCs w:val="24"/>
            </w:rPr>
            <w:t>17</w:t>
          </w:r>
        </w:p>
        <w:p w14:paraId="52A38325" w14:textId="77777777" w:rsidR="00951534" w:rsidRDefault="00D92257">
          <w:pPr>
            <w:widowControl w:val="0"/>
            <w:tabs>
              <w:tab w:val="right" w:pos="9025"/>
            </w:tabs>
            <w:spacing w:before="60" w:line="360" w:lineRule="auto"/>
            <w:ind w:left="360"/>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6.5 Change Risk Register</w:t>
          </w:r>
          <w:r>
            <w:rPr>
              <w:rFonts w:ascii="Times New Roman" w:eastAsia="Times New Roman" w:hAnsi="Times New Roman" w:cs="Times New Roman"/>
              <w:b/>
              <w:bCs/>
              <w:color w:val="000000"/>
              <w:sz w:val="24"/>
              <w:szCs w:val="24"/>
            </w:rPr>
            <w:tab/>
          </w:r>
          <w:r>
            <w:rPr>
              <w:rFonts w:ascii="Times New Roman" w:eastAsia="Times New Roman" w:hAnsi="Times New Roman" w:cs="Times New Roman"/>
              <w:b/>
              <w:bCs/>
              <w:sz w:val="24"/>
              <w:szCs w:val="24"/>
            </w:rPr>
            <w:t>19</w:t>
          </w:r>
        </w:p>
        <w:p w14:paraId="65EB0AAA" w14:textId="77777777" w:rsidR="00951534" w:rsidRDefault="00D92257">
          <w:pPr>
            <w:widowControl w:val="0"/>
            <w:tabs>
              <w:tab w:val="right" w:pos="9025"/>
            </w:tabs>
            <w:spacing w:before="60" w:line="360" w:lineRule="auto"/>
            <w:ind w:left="360"/>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6.6 Evaluation Plan</w:t>
          </w:r>
          <w:r>
            <w:rPr>
              <w:rFonts w:ascii="Times New Roman" w:eastAsia="Times New Roman" w:hAnsi="Times New Roman" w:cs="Times New Roman"/>
              <w:b/>
              <w:bCs/>
              <w:color w:val="000000"/>
              <w:sz w:val="24"/>
              <w:szCs w:val="24"/>
            </w:rPr>
            <w:tab/>
          </w:r>
          <w:r>
            <w:rPr>
              <w:rFonts w:ascii="Times New Roman" w:eastAsia="Times New Roman" w:hAnsi="Times New Roman" w:cs="Times New Roman"/>
              <w:b/>
              <w:bCs/>
              <w:sz w:val="24"/>
              <w:szCs w:val="24"/>
            </w:rPr>
            <w:t>20</w:t>
          </w:r>
        </w:p>
        <w:p w14:paraId="05050F00" w14:textId="77777777" w:rsidR="00951534" w:rsidRDefault="00D92257">
          <w:pPr>
            <w:widowControl w:val="0"/>
            <w:tabs>
              <w:tab w:val="right" w:pos="9025"/>
            </w:tabs>
            <w:spacing w:before="6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7. Conclusion</w:t>
          </w:r>
          <w:r>
            <w:rPr>
              <w:rFonts w:ascii="Times New Roman" w:eastAsia="Times New Roman" w:hAnsi="Times New Roman" w:cs="Times New Roman"/>
              <w:b/>
              <w:bCs/>
              <w:color w:val="000000"/>
              <w:sz w:val="24"/>
              <w:szCs w:val="24"/>
            </w:rPr>
            <w:tab/>
          </w:r>
          <w:r>
            <w:rPr>
              <w:rFonts w:ascii="Times New Roman" w:eastAsia="Times New Roman" w:hAnsi="Times New Roman" w:cs="Times New Roman"/>
              <w:b/>
              <w:bCs/>
              <w:sz w:val="24"/>
              <w:szCs w:val="24"/>
            </w:rPr>
            <w:t>21</w:t>
          </w:r>
        </w:p>
        <w:p w14:paraId="2E1D346A" w14:textId="77777777" w:rsidR="00951534" w:rsidRDefault="00D92257">
          <w:pPr>
            <w:widowControl w:val="0"/>
            <w:tabs>
              <w:tab w:val="right" w:pos="9025"/>
            </w:tabs>
            <w:spacing w:before="6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References</w:t>
          </w:r>
          <w:r>
            <w:rPr>
              <w:rFonts w:ascii="Times New Roman" w:eastAsia="Times New Roman" w:hAnsi="Times New Roman" w:cs="Times New Roman"/>
              <w:b/>
              <w:bCs/>
              <w:color w:val="000000"/>
              <w:sz w:val="24"/>
              <w:szCs w:val="24"/>
            </w:rPr>
            <w:tab/>
          </w:r>
          <w:r>
            <w:rPr>
              <w:rFonts w:ascii="Times New Roman" w:eastAsia="Times New Roman" w:hAnsi="Times New Roman" w:cs="Times New Roman"/>
              <w:b/>
              <w:bCs/>
              <w:sz w:val="24"/>
              <w:szCs w:val="24"/>
            </w:rPr>
            <w:t>22</w:t>
          </w:r>
          <w:r>
            <w:fldChar w:fldCharType="end"/>
          </w:r>
        </w:p>
      </w:sdtContent>
    </w:sdt>
    <w:p w14:paraId="31708FF0" w14:textId="77777777" w:rsidR="00951534" w:rsidRDefault="00951534">
      <w:pPr>
        <w:spacing w:before="320" w:after="160" w:line="360" w:lineRule="auto"/>
        <w:jc w:val="both"/>
        <w:rPr>
          <w:rFonts w:ascii="Times New Roman" w:eastAsia="Times New Roman" w:hAnsi="Times New Roman" w:cs="Times New Roman"/>
          <w:b/>
          <w:bCs/>
          <w:sz w:val="24"/>
          <w:szCs w:val="24"/>
        </w:rPr>
      </w:pPr>
    </w:p>
    <w:p w14:paraId="464EC454" w14:textId="77777777" w:rsidR="00951534" w:rsidRDefault="00951534">
      <w:pPr>
        <w:pStyle w:val="Heading1"/>
        <w:spacing w:before="320" w:after="160" w:line="360" w:lineRule="auto"/>
        <w:jc w:val="both"/>
        <w:rPr>
          <w:rFonts w:ascii="Times New Roman" w:eastAsia="Times New Roman" w:hAnsi="Times New Roman" w:cs="Times New Roman"/>
          <w:b/>
          <w:bCs/>
          <w:color w:val="000000"/>
          <w:sz w:val="24"/>
          <w:szCs w:val="24"/>
        </w:rPr>
      </w:pPr>
    </w:p>
    <w:p w14:paraId="56CE91B2" w14:textId="77777777" w:rsidR="00951534" w:rsidRDefault="00951534">
      <w:pPr>
        <w:pStyle w:val="Heading1"/>
        <w:spacing w:before="320" w:after="160" w:line="360" w:lineRule="auto"/>
        <w:jc w:val="both"/>
        <w:rPr>
          <w:rFonts w:ascii="Times New Roman" w:eastAsia="Times New Roman" w:hAnsi="Times New Roman" w:cs="Times New Roman"/>
          <w:b/>
          <w:bCs/>
          <w:color w:val="000000"/>
          <w:sz w:val="24"/>
          <w:szCs w:val="24"/>
        </w:rPr>
      </w:pPr>
    </w:p>
    <w:p w14:paraId="4DB848EF" w14:textId="77777777" w:rsidR="00951534" w:rsidRDefault="00951534">
      <w:pPr>
        <w:pStyle w:val="Heading1"/>
        <w:spacing w:before="320" w:after="160" w:line="360" w:lineRule="auto"/>
        <w:jc w:val="both"/>
        <w:rPr>
          <w:rFonts w:ascii="Times New Roman" w:eastAsia="Times New Roman" w:hAnsi="Times New Roman" w:cs="Times New Roman"/>
          <w:b/>
          <w:bCs/>
          <w:color w:val="000000"/>
          <w:sz w:val="24"/>
          <w:szCs w:val="24"/>
        </w:rPr>
      </w:pPr>
    </w:p>
    <w:p w14:paraId="31D2C88D" w14:textId="77777777" w:rsidR="00951534" w:rsidRDefault="00951534">
      <w:pPr>
        <w:pStyle w:val="Heading1"/>
        <w:spacing w:before="320" w:after="160" w:line="360" w:lineRule="auto"/>
        <w:jc w:val="both"/>
        <w:rPr>
          <w:rFonts w:ascii="Times New Roman" w:eastAsia="Times New Roman" w:hAnsi="Times New Roman" w:cs="Times New Roman"/>
          <w:b/>
          <w:bCs/>
          <w:color w:val="000000"/>
          <w:sz w:val="24"/>
          <w:szCs w:val="24"/>
        </w:rPr>
      </w:pPr>
    </w:p>
    <w:p w14:paraId="7E6486E3" w14:textId="77777777" w:rsidR="00951534" w:rsidRDefault="00951534">
      <w:pPr>
        <w:pStyle w:val="Heading1"/>
        <w:spacing w:before="320" w:after="160" w:line="360" w:lineRule="auto"/>
        <w:jc w:val="both"/>
        <w:rPr>
          <w:rFonts w:ascii="Times New Roman" w:eastAsia="Times New Roman" w:hAnsi="Times New Roman" w:cs="Times New Roman"/>
          <w:b/>
          <w:bCs/>
          <w:color w:val="000000"/>
          <w:sz w:val="24"/>
          <w:szCs w:val="24"/>
        </w:rPr>
      </w:pPr>
    </w:p>
    <w:p w14:paraId="71979F1C" w14:textId="77777777" w:rsidR="00951534" w:rsidRDefault="00951534">
      <w:pPr>
        <w:pStyle w:val="Heading1"/>
        <w:spacing w:before="320" w:after="160" w:line="360" w:lineRule="auto"/>
        <w:jc w:val="both"/>
        <w:rPr>
          <w:rFonts w:ascii="Times New Roman" w:eastAsia="Times New Roman" w:hAnsi="Times New Roman" w:cs="Times New Roman"/>
          <w:b/>
          <w:bCs/>
          <w:color w:val="000000"/>
          <w:sz w:val="24"/>
          <w:szCs w:val="24"/>
        </w:rPr>
      </w:pPr>
    </w:p>
    <w:p w14:paraId="60BFDDB2" w14:textId="77777777" w:rsidR="00951534" w:rsidRDefault="00951534">
      <w:pPr>
        <w:pStyle w:val="Heading1"/>
        <w:spacing w:before="320" w:after="160" w:line="360" w:lineRule="auto"/>
        <w:jc w:val="both"/>
        <w:rPr>
          <w:rFonts w:ascii="Times New Roman" w:eastAsia="Times New Roman" w:hAnsi="Times New Roman" w:cs="Times New Roman"/>
          <w:b/>
          <w:bCs/>
          <w:color w:val="000000"/>
          <w:sz w:val="24"/>
          <w:szCs w:val="24"/>
        </w:rPr>
      </w:pPr>
    </w:p>
    <w:p w14:paraId="3BA8DE7D" w14:textId="77777777" w:rsidR="00951534" w:rsidRDefault="00951534">
      <w:pPr>
        <w:pStyle w:val="Heading1"/>
        <w:spacing w:before="320" w:after="160" w:line="360" w:lineRule="auto"/>
        <w:jc w:val="both"/>
        <w:rPr>
          <w:rFonts w:ascii="Times New Roman" w:eastAsia="Times New Roman" w:hAnsi="Times New Roman" w:cs="Times New Roman"/>
          <w:b/>
          <w:bCs/>
          <w:color w:val="000000"/>
          <w:sz w:val="24"/>
          <w:szCs w:val="24"/>
        </w:rPr>
      </w:pPr>
    </w:p>
    <w:p w14:paraId="586C3FAB" w14:textId="77777777" w:rsidR="00951534" w:rsidRDefault="00951534"/>
    <w:p w14:paraId="4BD3704B" w14:textId="77777777" w:rsidR="00951534" w:rsidRDefault="00D92257">
      <w:pPr>
        <w:pStyle w:val="Heading1"/>
        <w:spacing w:before="320" w:after="16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1. Introduction</w:t>
      </w:r>
    </w:p>
    <w:p w14:paraId="0987B9AD"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report is my report as a Senior Strategic Manager for Nissan UK's Sunderland Plant. On behalf of the Executive Board, I have created a strategic change management plan to enable the implementation of the Re: Nissan transformation programme. My job is to coordinate strategic planning, engagement with stakeholders, financial oversight, and implementation governance to ensure the successful delivery of organisational change.</w:t>
      </w:r>
    </w:p>
    <w:p w14:paraId="36EADFD0" w14:textId="77777777" w:rsidR="00951534" w:rsidRDefault="00D92257">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Nissan Motor Co., Ltd. is also a founding member of the Renault-Nissan-Mitsubishi Alliance and its Sunderland manufacturing plant in North East England is the company's biggest manufacturing presence in Europe, with an estimated 6,000 direct jobs at the site and 30,000 at sites across the UK supply chain (Nissan Motor Co., Ltd., 2025). The report meets the requirements of the board to draw up a strategic change plan that can address the saturation of revenues, loss of market share and operational strain the</w:t>
      </w:r>
      <w:r>
        <w:rPr>
          <w:rFonts w:ascii="Times New Roman" w:eastAsia="Times New Roman" w:hAnsi="Times New Roman" w:cs="Times New Roman"/>
          <w:sz w:val="24"/>
          <w:szCs w:val="24"/>
        </w:rPr>
        <w:t xml:space="preserve"> organisation has faced in recent years from turbulence in the global automotive industry.</w:t>
      </w:r>
    </w:p>
    <w:p w14:paraId="6B9910B7" w14:textId="77777777" w:rsidR="00951534" w:rsidRDefault="00D92257">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Digital transformation (Lopez-Vega and Moodysson, 2023) is transforming the automotive industry with the aid of AI, connected mobility and electrification. The UK emission norms are also proving to be a challenge for Nissan, as is competition from the Chinese passenger electric vehicle market and tariff uncertainties. These challenges led to a net loss of ¥670.9 billion in 2024/25, which was under Ivan Espinosa's leadership, and the Nissan recovery plan (Nissan Motor Co., Ltd., 2025) was launched in Japan i</w:t>
      </w:r>
      <w:r>
        <w:rPr>
          <w:rFonts w:ascii="Times New Roman" w:eastAsia="Times New Roman" w:hAnsi="Times New Roman" w:cs="Times New Roman"/>
          <w:sz w:val="24"/>
          <w:szCs w:val="24"/>
        </w:rPr>
        <w:t>n response to these issues.</w:t>
      </w:r>
    </w:p>
    <w:p w14:paraId="6A233ABB" w14:textId="77777777" w:rsidR="00951534" w:rsidRDefault="00D92257">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Following a brief overview of the history and operating context of Sunderland, this report examines the different change management models available, and Nissan's own experience of change, as well as the leadership style and culture required for additional change, and proposes a change management plan incorporating SMART objectives, a costed financial plan, a phased timeline, a communication strategy which involves stakeholders, a risk register and an assessment framework.</w:t>
      </w:r>
    </w:p>
    <w:p w14:paraId="64911AAE" w14:textId="77777777" w:rsidR="00951534" w:rsidRDefault="00D92257">
      <w:pPr>
        <w:pStyle w:val="Heading1"/>
        <w:spacing w:before="320" w:after="16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bCs/>
          <w:color w:val="000000"/>
          <w:sz w:val="24"/>
          <w:szCs w:val="24"/>
        </w:rPr>
        <w:t>2. Organisational History and the Impact of Environmental Change</w:t>
      </w:r>
    </w:p>
    <w:p w14:paraId="2DB983FE" w14:textId="77777777" w:rsidR="00951534" w:rsidRDefault="00D92257">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Nissan's Sunderland plant has been the cornerstone of the EV36Zero programme since 2021, bringing together EV production, battery gigafactory (Envision AESC) and renewable energy infrastructure. By 2024, it attracted investments of more than £5 billion, to enable flexible production of hybrid and battery electric vehicles. The plant also adopted the latest digital </w:t>
      </w:r>
      <w:r>
        <w:rPr>
          <w:rFonts w:ascii="Times New Roman" w:eastAsia="Times New Roman" w:hAnsi="Times New Roman" w:cs="Times New Roman"/>
          <w:sz w:val="24"/>
          <w:szCs w:val="24"/>
        </w:rPr>
        <w:t>manufacturing technologies, including their big data analytics and digital mapping, further paving the way towards a smart and sustainable automotive manufacturing ecosystem.</w:t>
      </w:r>
    </w:p>
    <w:p w14:paraId="410967A3" w14:textId="77777777" w:rsidR="00951534" w:rsidRDefault="00D92257">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is a positive development, however, in a far more challenging external environment. The decline in the group's operating profit in fiscal 2024/25 is attributable to falling sales of the group's vehicle products in China because of the cooling market in the country and also rising tariffs levied by the United States on Chinese vehicle imports, the group has posted a net loss of ¥670.9 billion in fiscal 2025/26 (AInvest, 2025; GMK Center, 2025). The first quarter of 2025 saw a corresponding €2.2 billion </w:t>
      </w:r>
      <w:r>
        <w:rPr>
          <w:rFonts w:ascii="Times New Roman" w:eastAsia="Times New Roman" w:hAnsi="Times New Roman" w:cs="Times New Roman"/>
          <w:sz w:val="24"/>
          <w:szCs w:val="24"/>
        </w:rPr>
        <w:t>loss on these interdependent effects of the alliance, as Renault continues to hold a major stake in the company, representing a theoretical 32.7% of the company (GMK Center, 2025; Marketscreener, 2025). The board accepted the Re:Nissan recovery plan which proposes to eliminate 10% of the group's employees (from FY2024 to FY2027) globally, to downscale the production of the group from 17 to 10 plants worldwide, to cancel a planned lithium-iron-phosphate battery plant in Kyushu, Japan and to reduce the group'</w:t>
      </w:r>
      <w:r>
        <w:rPr>
          <w:rFonts w:ascii="Times New Roman" w:eastAsia="Times New Roman" w:hAnsi="Times New Roman" w:cs="Times New Roman"/>
          <w:sz w:val="24"/>
          <w:szCs w:val="24"/>
        </w:rPr>
        <w:t xml:space="preserve">s combined fixed- and variable-costs in the region by ¥500 billion compared with actuals for FY2024 (Nissan Motor Co., Ltd., 2025; Electrive, 2025). The main parameters of this restructuring are summarised here, both in the context of the wider organisation and to the UK operation in particular (Table 1). </w:t>
      </w:r>
    </w:p>
    <w:p w14:paraId="20D9B32E" w14:textId="77777777" w:rsidR="00951534" w:rsidRDefault="00D92257">
      <w:pPr>
        <w:spacing w:before="200" w:after="6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Table 1: Key parameters of the Re:Nissan restructuring plan (FY2024–FY2027)</w:t>
      </w:r>
    </w:p>
    <w:tbl>
      <w:tblPr>
        <w:tblStyle w:val="a"/>
        <w:tblW w:w="940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400"/>
        <w:gridCol w:w="3600"/>
        <w:gridCol w:w="3400"/>
      </w:tblGrid>
      <w:tr w:rsidR="00951534" w14:paraId="04DEECBE" w14:textId="77777777">
        <w:trPr>
          <w:tblHeader/>
        </w:trPr>
        <w:tc>
          <w:tcPr>
            <w:tcW w:w="2400" w:type="dxa"/>
            <w:shd w:val="clear" w:color="auto" w:fill="1F3864"/>
            <w:tcMar>
              <w:top w:w="80" w:type="dxa"/>
              <w:left w:w="100" w:type="dxa"/>
              <w:bottom w:w="80" w:type="dxa"/>
              <w:right w:w="100" w:type="dxa"/>
            </w:tcMar>
          </w:tcPr>
          <w:p w14:paraId="5ABBB2D1" w14:textId="77777777" w:rsidR="00951534" w:rsidRDefault="00D92257">
            <w:pPr>
              <w:spacing w:line="360" w:lineRule="auto"/>
              <w:jc w:val="both"/>
              <w:rPr>
                <w:rFonts w:ascii="Times New Roman" w:eastAsia="Times New Roman" w:hAnsi="Times New Roman" w:cs="Times New Roman"/>
                <w:color w:val="FFFFFF"/>
                <w:sz w:val="24"/>
                <w:szCs w:val="24"/>
              </w:rPr>
            </w:pPr>
            <w:r>
              <w:rPr>
                <w:rFonts w:ascii="Times New Roman" w:eastAsia="Times New Roman" w:hAnsi="Times New Roman" w:cs="Times New Roman"/>
                <w:b/>
                <w:bCs/>
                <w:color w:val="FFFFFF"/>
                <w:sz w:val="24"/>
                <w:szCs w:val="24"/>
              </w:rPr>
              <w:t>Dimension</w:t>
            </w:r>
          </w:p>
        </w:tc>
        <w:tc>
          <w:tcPr>
            <w:tcW w:w="3600" w:type="dxa"/>
            <w:shd w:val="clear" w:color="auto" w:fill="1F3864"/>
            <w:tcMar>
              <w:top w:w="80" w:type="dxa"/>
              <w:left w:w="100" w:type="dxa"/>
              <w:bottom w:w="80" w:type="dxa"/>
              <w:right w:w="100" w:type="dxa"/>
            </w:tcMar>
          </w:tcPr>
          <w:p w14:paraId="6DC7E439" w14:textId="77777777" w:rsidR="00951534" w:rsidRDefault="00D92257">
            <w:pPr>
              <w:spacing w:line="360" w:lineRule="auto"/>
              <w:jc w:val="both"/>
              <w:rPr>
                <w:rFonts w:ascii="Times New Roman" w:eastAsia="Times New Roman" w:hAnsi="Times New Roman" w:cs="Times New Roman"/>
                <w:color w:val="FFFFFF"/>
                <w:sz w:val="24"/>
                <w:szCs w:val="24"/>
              </w:rPr>
            </w:pPr>
            <w:r>
              <w:rPr>
                <w:rFonts w:ascii="Times New Roman" w:eastAsia="Times New Roman" w:hAnsi="Times New Roman" w:cs="Times New Roman"/>
                <w:b/>
                <w:bCs/>
                <w:color w:val="FFFFFF"/>
                <w:sz w:val="24"/>
                <w:szCs w:val="24"/>
              </w:rPr>
              <w:t>Group-wide target (Re:Nissan)</w:t>
            </w:r>
          </w:p>
        </w:tc>
        <w:tc>
          <w:tcPr>
            <w:tcW w:w="3400" w:type="dxa"/>
            <w:shd w:val="clear" w:color="auto" w:fill="1F3864"/>
            <w:tcMar>
              <w:top w:w="80" w:type="dxa"/>
              <w:left w:w="100" w:type="dxa"/>
              <w:bottom w:w="80" w:type="dxa"/>
              <w:right w:w="100" w:type="dxa"/>
            </w:tcMar>
          </w:tcPr>
          <w:p w14:paraId="288B58EB" w14:textId="77777777" w:rsidR="00951534" w:rsidRDefault="00D92257">
            <w:pPr>
              <w:spacing w:line="360" w:lineRule="auto"/>
              <w:jc w:val="both"/>
              <w:rPr>
                <w:rFonts w:ascii="Times New Roman" w:eastAsia="Times New Roman" w:hAnsi="Times New Roman" w:cs="Times New Roman"/>
                <w:color w:val="FFFFFF"/>
                <w:sz w:val="24"/>
                <w:szCs w:val="24"/>
              </w:rPr>
            </w:pPr>
            <w:r>
              <w:rPr>
                <w:rFonts w:ascii="Times New Roman" w:eastAsia="Times New Roman" w:hAnsi="Times New Roman" w:cs="Times New Roman"/>
                <w:b/>
                <w:bCs/>
                <w:color w:val="FFFFFF"/>
                <w:sz w:val="24"/>
                <w:szCs w:val="24"/>
              </w:rPr>
              <w:t>UK / Sunderland relevance</w:t>
            </w:r>
          </w:p>
        </w:tc>
      </w:tr>
      <w:tr w:rsidR="00951534" w14:paraId="5222BD6F" w14:textId="77777777">
        <w:tc>
          <w:tcPr>
            <w:tcW w:w="2400" w:type="dxa"/>
            <w:shd w:val="clear" w:color="auto" w:fill="F2F2F2"/>
            <w:tcMar>
              <w:top w:w="80" w:type="dxa"/>
              <w:left w:w="100" w:type="dxa"/>
              <w:bottom w:w="80" w:type="dxa"/>
              <w:right w:w="100" w:type="dxa"/>
            </w:tcMar>
          </w:tcPr>
          <w:p w14:paraId="772CDF6E"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Workforce</w:t>
            </w:r>
          </w:p>
        </w:tc>
        <w:tc>
          <w:tcPr>
            <w:tcW w:w="3600" w:type="dxa"/>
            <w:shd w:val="clear" w:color="auto" w:fill="F2F2F2"/>
            <w:tcMar>
              <w:top w:w="80" w:type="dxa"/>
              <w:left w:w="100" w:type="dxa"/>
              <w:bottom w:w="80" w:type="dxa"/>
              <w:right w:w="100" w:type="dxa"/>
            </w:tcMar>
          </w:tcPr>
          <w:p w14:paraId="0F8477D3"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20,000 roles globally, FY2024–FY2027 (incl. 9,000 previously announced)</w:t>
            </w:r>
          </w:p>
        </w:tc>
        <w:tc>
          <w:tcPr>
            <w:tcW w:w="3400" w:type="dxa"/>
            <w:shd w:val="clear" w:color="auto" w:fill="F2F2F2"/>
            <w:tcMar>
              <w:top w:w="80" w:type="dxa"/>
              <w:left w:w="100" w:type="dxa"/>
              <w:bottom w:w="80" w:type="dxa"/>
              <w:right w:w="100" w:type="dxa"/>
            </w:tcMar>
          </w:tcPr>
          <w:p w14:paraId="67F58CAD"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Approx. 900 roles cut across France, Spain and the UK, concentrated in white-collar and warehouse functions</w:t>
            </w:r>
          </w:p>
        </w:tc>
      </w:tr>
      <w:tr w:rsidR="00951534" w14:paraId="0A5C4732" w14:textId="77777777">
        <w:tc>
          <w:tcPr>
            <w:tcW w:w="2400" w:type="dxa"/>
            <w:tcMar>
              <w:top w:w="80" w:type="dxa"/>
              <w:left w:w="100" w:type="dxa"/>
              <w:bottom w:w="80" w:type="dxa"/>
              <w:right w:w="100" w:type="dxa"/>
            </w:tcMar>
          </w:tcPr>
          <w:p w14:paraId="19CA3D71"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Manufacturing footprint</w:t>
            </w:r>
          </w:p>
        </w:tc>
        <w:tc>
          <w:tcPr>
            <w:tcW w:w="3600" w:type="dxa"/>
            <w:tcMar>
              <w:top w:w="80" w:type="dxa"/>
              <w:left w:w="100" w:type="dxa"/>
              <w:bottom w:w="80" w:type="dxa"/>
              <w:right w:w="100" w:type="dxa"/>
            </w:tcMar>
          </w:tcPr>
          <w:p w14:paraId="7EA3E406"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Plants reduced from 17 to 10 worldwide by FY2027</w:t>
            </w:r>
          </w:p>
        </w:tc>
        <w:tc>
          <w:tcPr>
            <w:tcW w:w="3400" w:type="dxa"/>
            <w:tcMar>
              <w:top w:w="80" w:type="dxa"/>
              <w:left w:w="100" w:type="dxa"/>
              <w:bottom w:w="80" w:type="dxa"/>
              <w:right w:w="100" w:type="dxa"/>
            </w:tcMar>
          </w:tcPr>
          <w:p w14:paraId="706FC16C"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Sunderland confirmed as Nissan's sole surviving European hub; two production lines merged into one</w:t>
            </w:r>
          </w:p>
        </w:tc>
      </w:tr>
      <w:tr w:rsidR="00951534" w14:paraId="31C13282" w14:textId="77777777">
        <w:tc>
          <w:tcPr>
            <w:tcW w:w="2400" w:type="dxa"/>
            <w:shd w:val="clear" w:color="auto" w:fill="F2F2F2"/>
            <w:tcMar>
              <w:top w:w="80" w:type="dxa"/>
              <w:left w:w="100" w:type="dxa"/>
              <w:bottom w:w="80" w:type="dxa"/>
              <w:right w:w="100" w:type="dxa"/>
            </w:tcMar>
          </w:tcPr>
          <w:p w14:paraId="1123FF7E"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Cost savings</w:t>
            </w:r>
          </w:p>
        </w:tc>
        <w:tc>
          <w:tcPr>
            <w:tcW w:w="3600" w:type="dxa"/>
            <w:shd w:val="clear" w:color="auto" w:fill="F2F2F2"/>
            <w:tcMar>
              <w:top w:w="80" w:type="dxa"/>
              <w:left w:w="100" w:type="dxa"/>
              <w:bottom w:w="80" w:type="dxa"/>
              <w:right w:w="100" w:type="dxa"/>
            </w:tcMar>
          </w:tcPr>
          <w:p w14:paraId="2D0D2C56"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¥500 billion combined fixed/variable savings vs FY2024 actuals</w:t>
            </w:r>
          </w:p>
        </w:tc>
        <w:tc>
          <w:tcPr>
            <w:tcW w:w="3400" w:type="dxa"/>
            <w:shd w:val="clear" w:color="auto" w:fill="F2F2F2"/>
            <w:tcMar>
              <w:top w:w="80" w:type="dxa"/>
              <w:left w:w="100" w:type="dxa"/>
              <w:bottom w:w="80" w:type="dxa"/>
              <w:right w:w="100" w:type="dxa"/>
            </w:tcMar>
          </w:tcPr>
          <w:p w14:paraId="6D6AB57B"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Contribution expected via parts-complexity and engineering-hour reduction</w:t>
            </w:r>
          </w:p>
        </w:tc>
      </w:tr>
      <w:tr w:rsidR="00951534" w14:paraId="1DC6CE58" w14:textId="77777777">
        <w:tc>
          <w:tcPr>
            <w:tcW w:w="2400" w:type="dxa"/>
            <w:tcMar>
              <w:top w:w="80" w:type="dxa"/>
              <w:left w:w="100" w:type="dxa"/>
              <w:bottom w:w="80" w:type="dxa"/>
              <w:right w:w="100" w:type="dxa"/>
            </w:tcMar>
          </w:tcPr>
          <w:p w14:paraId="5BBB84C2"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Platform architecture</w:t>
            </w:r>
          </w:p>
        </w:tc>
        <w:tc>
          <w:tcPr>
            <w:tcW w:w="3600" w:type="dxa"/>
            <w:tcMar>
              <w:top w:w="80" w:type="dxa"/>
              <w:left w:w="100" w:type="dxa"/>
              <w:bottom w:w="80" w:type="dxa"/>
              <w:right w:w="100" w:type="dxa"/>
            </w:tcMar>
          </w:tcPr>
          <w:p w14:paraId="43E0F705"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Reduced from 13 to 7 platforms by 2035; parts complexity cut by 70%</w:t>
            </w:r>
          </w:p>
        </w:tc>
        <w:tc>
          <w:tcPr>
            <w:tcW w:w="3400" w:type="dxa"/>
            <w:tcMar>
              <w:top w:w="80" w:type="dxa"/>
              <w:left w:w="100" w:type="dxa"/>
              <w:bottom w:w="80" w:type="dxa"/>
              <w:right w:w="100" w:type="dxa"/>
            </w:tcMar>
          </w:tcPr>
          <w:p w14:paraId="28714DEA"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Supports the flexible ICE/hybrid/BEV shared-line assembly already used at Sunderland</w:t>
            </w:r>
          </w:p>
        </w:tc>
      </w:tr>
      <w:tr w:rsidR="00951534" w14:paraId="46B4EEB3" w14:textId="77777777">
        <w:tc>
          <w:tcPr>
            <w:tcW w:w="2400" w:type="dxa"/>
            <w:shd w:val="clear" w:color="auto" w:fill="F2F2F2"/>
            <w:tcMar>
              <w:top w:w="80" w:type="dxa"/>
              <w:left w:w="100" w:type="dxa"/>
              <w:bottom w:w="80" w:type="dxa"/>
              <w:right w:w="100" w:type="dxa"/>
            </w:tcMar>
          </w:tcPr>
          <w:p w14:paraId="6EE6D29E"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Development cycle</w:t>
            </w:r>
          </w:p>
        </w:tc>
        <w:tc>
          <w:tcPr>
            <w:tcW w:w="3600" w:type="dxa"/>
            <w:shd w:val="clear" w:color="auto" w:fill="F2F2F2"/>
            <w:tcMar>
              <w:top w:w="80" w:type="dxa"/>
              <w:left w:w="100" w:type="dxa"/>
              <w:bottom w:w="80" w:type="dxa"/>
              <w:right w:w="100" w:type="dxa"/>
            </w:tcMar>
          </w:tcPr>
          <w:p w14:paraId="282AF0A2"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Shortened to 30–37 months per model</w:t>
            </w:r>
          </w:p>
        </w:tc>
        <w:tc>
          <w:tcPr>
            <w:tcW w:w="3400" w:type="dxa"/>
            <w:shd w:val="clear" w:color="auto" w:fill="F2F2F2"/>
            <w:tcMar>
              <w:top w:w="80" w:type="dxa"/>
              <w:left w:w="100" w:type="dxa"/>
              <w:bottom w:w="80" w:type="dxa"/>
              <w:right w:w="100" w:type="dxa"/>
            </w:tcMar>
          </w:tcPr>
          <w:p w14:paraId="125E4CCC"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Applies to next-generation LEAF, Qashqai and Juke built at Sunderland</w:t>
            </w:r>
          </w:p>
        </w:tc>
      </w:tr>
    </w:tbl>
    <w:p w14:paraId="26361289" w14:textId="77777777" w:rsidR="00951534" w:rsidRDefault="00D92257">
      <w:pPr>
        <w:spacing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i/>
          <w:iCs/>
          <w:sz w:val="24"/>
          <w:szCs w:val="24"/>
        </w:rPr>
        <w:t>Source: compiled by the author from Nissan Motor Co., Ltd. (2025); Electrive (2025); GMK Center (2025); CBT News (2026); AInvest (2025).</w:t>
      </w:r>
    </w:p>
    <w:p w14:paraId="0371CC84" w14:textId="77777777" w:rsidR="00951534" w:rsidRDefault="00D92257">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effect on Sunderland has been the integration of two production lines and the loss of around 900 white collar, non-shop floor and warehousing jobs in the European factories of Nissan in France, Spain and the UK (CBT News, 2026; Automotive World, 2026). Sunderland has remained the last of Europe's manufacturing sites for Nissan, reflecting the productivity of the site and the site's ‘fitness' into the EV36Zero network in comparison to the other European manufacturing sites to be shut down (AInvest, 2025)</w:t>
      </w:r>
      <w:r>
        <w:rPr>
          <w:rFonts w:ascii="Times New Roman" w:eastAsia="Times New Roman" w:hAnsi="Times New Roman" w:cs="Times New Roman"/>
          <w:sz w:val="24"/>
          <w:szCs w:val="24"/>
        </w:rPr>
        <w:t>.</w:t>
      </w:r>
    </w:p>
    <w:p w14:paraId="3FBFA704" w14:textId="55FF6921" w:rsidR="00951534" w:rsidRDefault="00D92257">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industry's swift embrace of artificial intelligence and digitalisation is playing a major role in the company's restructuring, alongside Nissan.The fast-paced adoption of artificial intelligence and digitalisation in the industry is another facet of Nissan's </w:t>
      </w:r>
      <w:r w:rsidR="00D7643B">
        <w:rPr>
          <w:rFonts w:ascii="Times New Roman" w:eastAsia="Times New Roman" w:hAnsi="Times New Roman" w:cs="Times New Roman"/>
          <w:sz w:val="24"/>
          <w:szCs w:val="24"/>
        </w:rPr>
        <w:t>restructuring. Another</w:t>
      </w:r>
      <w:r>
        <w:rPr>
          <w:rFonts w:ascii="Times New Roman" w:eastAsia="Times New Roman" w:hAnsi="Times New Roman" w:cs="Times New Roman"/>
          <w:sz w:val="24"/>
          <w:szCs w:val="24"/>
        </w:rPr>
        <w:t xml:space="preserve"> aspect of Nissan's restructuring is the rapid pace at which AI and digitalisation have taken over the industry. Lopez-Vega and Moodysson state that Digital Transformation is a gradual approach that introduces capabilities in design, manufacturing and after sales. Nissan employs AI to predict maintenance needs, in its connected-vehicle solutions and automated quality monitoring. The advantages of AI in manufacturing, supply chains and customer services are emphasized by (Hossain, 2024). To realize the targe</w:t>
      </w:r>
      <w:r>
        <w:rPr>
          <w:rFonts w:ascii="Times New Roman" w:eastAsia="Times New Roman" w:hAnsi="Times New Roman" w:cs="Times New Roman"/>
          <w:sz w:val="24"/>
          <w:szCs w:val="24"/>
        </w:rPr>
        <w:t xml:space="preserve">ted parts reduction and engineering hours reduction (Nissan Motor Co., Ltd., 2025), </w:t>
      </w:r>
      <w:r w:rsidR="00D7643B">
        <w:rPr>
          <w:rFonts w:ascii="Times New Roman" w:eastAsia="Times New Roman" w:hAnsi="Times New Roman" w:cs="Times New Roman"/>
          <w:sz w:val="24"/>
          <w:szCs w:val="24"/>
        </w:rPr>
        <w:t>Re: Nissan</w:t>
      </w:r>
      <w:r>
        <w:rPr>
          <w:rFonts w:ascii="Times New Roman" w:eastAsia="Times New Roman" w:hAnsi="Times New Roman" w:cs="Times New Roman"/>
          <w:sz w:val="24"/>
          <w:szCs w:val="24"/>
        </w:rPr>
        <w:t xml:space="preserve"> support, AI driven design and predictive engineering are essential elements.</w:t>
      </w:r>
    </w:p>
    <w:p w14:paraId="36770DBC" w14:textId="77777777" w:rsidR="00951534" w:rsidRDefault="00D92257">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technologic pressure is supported by external legislative and market pressure. The U.K. 'Zero Emission Vehicle' rule was supposed to see battery electric vehicles (BEVs) become 28 per cent of new car sales by 2025, but that was not achieved, with BEVs making up 23.4 per cent of new car sales for the year (Society of Motor Manufacturers and Traders, 2026). </w:t>
      </w:r>
      <w:r>
        <w:rPr>
          <w:rFonts w:ascii="Times New Roman" w:eastAsia="Times New Roman" w:hAnsi="Times New Roman" w:cs="Times New Roman"/>
          <w:sz w:val="24"/>
          <w:szCs w:val="24"/>
        </w:rPr>
        <w:t>Meanwhile, vehicle production in the UK has declined by 15.5 per cent in 2025, while the proportion of electrified and hybrid vehicles has reached 41.7 per cent of the total manufactured in the country, marking a significant shift in the product mix towards electrification (Society of Motor Manufacturers and Traders, 2026).</w:t>
      </w:r>
    </w:p>
    <w:p w14:paraId="1056B181" w14:textId="77777777" w:rsidR="00951534" w:rsidRDefault="00951534">
      <w:pPr>
        <w:spacing w:after="160" w:line="360" w:lineRule="auto"/>
        <w:jc w:val="both"/>
        <w:rPr>
          <w:rFonts w:ascii="Times New Roman" w:eastAsia="Times New Roman" w:hAnsi="Times New Roman" w:cs="Times New Roman"/>
          <w:sz w:val="24"/>
          <w:szCs w:val="24"/>
        </w:rPr>
      </w:pPr>
    </w:p>
    <w:p w14:paraId="68E44AEC" w14:textId="77777777" w:rsidR="00951534" w:rsidRDefault="00D92257">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economic and trade outlook is unclear for Nissan. Government incentives and interest rates remain influential in EV demand, and the ability to make EVs more ‘affordable’ in a fast-growing and competitive market continues to be a motivation for AI to provide cost efficiencies in the motor sector (Society of Motor Manufacturers and Traders, 2026). Sunderland also relies on EU exports, and good UK-EU trade deals and tariff-free access to markets are vital to sustaining its export manufacturing competitiven</w:t>
      </w:r>
      <w:r>
        <w:rPr>
          <w:rFonts w:ascii="Times New Roman" w:eastAsia="Times New Roman" w:hAnsi="Times New Roman" w:cs="Times New Roman"/>
          <w:sz w:val="24"/>
          <w:szCs w:val="24"/>
        </w:rPr>
        <w:t>ess and future.</w:t>
      </w:r>
    </w:p>
    <w:p w14:paraId="191B2E42" w14:textId="77777777" w:rsidR="00951534" w:rsidRDefault="00D92257">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All three of these are at the same time challenging Nissan UK as it is undergoing three transitions: transition to cost and capacity reduction, transition to legislation and consumer demand shift towards electrification, and transition to the technology transition – AI and digitalisation is the way in which Nissan can achieve targets of cost and complexity reduction in a viable way. This compound environmental context, along with any individual shock, must be used as a basis for building the case for a stru</w:t>
      </w:r>
      <w:r>
        <w:rPr>
          <w:rFonts w:ascii="Times New Roman" w:eastAsia="Times New Roman" w:hAnsi="Times New Roman" w:cs="Times New Roman"/>
          <w:sz w:val="24"/>
          <w:szCs w:val="24"/>
        </w:rPr>
        <w:t xml:space="preserve">ctured change management response. </w:t>
      </w:r>
    </w:p>
    <w:p w14:paraId="42CA4A61" w14:textId="77777777" w:rsidR="00951534" w:rsidRDefault="00D92257">
      <w:pPr>
        <w:pStyle w:val="Heading1"/>
        <w:spacing w:before="320" w:after="16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bCs/>
          <w:color w:val="000000"/>
          <w:sz w:val="24"/>
          <w:szCs w:val="24"/>
        </w:rPr>
        <w:t>3. Evaluation of Change Management Models</w:t>
      </w:r>
    </w:p>
    <w:p w14:paraId="6594521D" w14:textId="77777777" w:rsidR="00951534" w:rsidRDefault="00D9225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a number of frameworks in change management literature that can be used for organisational transformation. The three-step model of Lewin and the eight-step model of Kotter are also relevant to the restructuring of Nissan (Gborogbosi and Amah, 2025). Other frameworks such as ADKAR and McKinsey's 7-S were considered but found to be less appropriate as they were seen as not being sufficiently holistic in tackling the financial, technological and leadership challenges that Sunderland faces.</w:t>
      </w:r>
    </w:p>
    <w:p w14:paraId="061F0B70" w14:textId="28370332" w:rsidR="00951534" w:rsidRDefault="00D9225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Lewin's three step model, change is a process that passes from current equilibrium, transitions, to new stable equilibrium (Gborogbosi and Amah, 2025). The unfreezing stage in Sunderland corresponds with the announcement of the results of the FY 2024 as a "wake up call", thereby establishing urgency and employee support (AInvest, 2025). The change stage draws on production-line and platform consolidation, and refreezing the digitally enabled working practices. Even though it is not directly app</w:t>
      </w:r>
      <w:r>
        <w:rPr>
          <w:rFonts w:ascii="Times New Roman" w:eastAsia="Times New Roman" w:hAnsi="Times New Roman" w:cs="Times New Roman"/>
          <w:sz w:val="24"/>
          <w:szCs w:val="24"/>
        </w:rPr>
        <w:t xml:space="preserve">licable to most change </w:t>
      </w:r>
      <w:r>
        <w:rPr>
          <w:rFonts w:ascii="Times New Roman" w:eastAsia="Times New Roman" w:hAnsi="Times New Roman" w:cs="Times New Roman"/>
          <w:sz w:val="24"/>
          <w:szCs w:val="24"/>
        </w:rPr>
        <w:t xml:space="preserve">models that focus on technical aspects, the model is still useful for highlighting the </w:t>
      </w:r>
      <w:r w:rsidR="00D7643B">
        <w:rPr>
          <w:rFonts w:ascii="Times New Roman" w:eastAsia="Times New Roman" w:hAnsi="Times New Roman" w:cs="Times New Roman"/>
          <w:sz w:val="24"/>
          <w:szCs w:val="24"/>
        </w:rPr>
        <w:t>behavioural</w:t>
      </w:r>
      <w:r>
        <w:rPr>
          <w:rFonts w:ascii="Times New Roman" w:eastAsia="Times New Roman" w:hAnsi="Times New Roman" w:cs="Times New Roman"/>
          <w:sz w:val="24"/>
          <w:szCs w:val="24"/>
        </w:rPr>
        <w:t xml:space="preserve"> and psychological dimensions that are frequently overlooked within these types of change models.</w:t>
      </w:r>
    </w:p>
    <w:p w14:paraId="7006868D" w14:textId="6C570FE8" w:rsidR="00951534" w:rsidRDefault="00D9225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views change as a series of steps rather than a continuous process, however, which is not in step with Nissan's own restructuring programme, which Nissan itself describes as running on a continuous basis across three fiscal years, with the platform consolidation and plant closure and workforce reduction being carried out in parallel (Nissan Motor Co., Ltd., 2025). The one-unfreeze-change-refreeze model is not the best fit for the challenging business of sustained, multi-year, multi-workstream transformat</w:t>
      </w:r>
      <w:r>
        <w:rPr>
          <w:rFonts w:ascii="Times New Roman" w:eastAsia="Times New Roman" w:hAnsi="Times New Roman" w:cs="Times New Roman"/>
          <w:sz w:val="24"/>
          <w:szCs w:val="24"/>
        </w:rPr>
        <w:t xml:space="preserve">ion, and can lead to a false sense of completion when a refreeze is achieved, only for the targets to extend into the future, as with </w:t>
      </w:r>
      <w:r w:rsidR="00D7643B">
        <w:rPr>
          <w:rFonts w:ascii="Times New Roman" w:eastAsia="Times New Roman" w:hAnsi="Times New Roman" w:cs="Times New Roman"/>
          <w:sz w:val="24"/>
          <w:szCs w:val="24"/>
        </w:rPr>
        <w:t>Re: Nissan</w:t>
      </w:r>
      <w:r>
        <w:rPr>
          <w:rFonts w:ascii="Times New Roman" w:eastAsia="Times New Roman" w:hAnsi="Times New Roman" w:cs="Times New Roman"/>
          <w:sz w:val="24"/>
          <w:szCs w:val="24"/>
        </w:rPr>
        <w:t>, to FY2027 for cost recovery and beyond FY2027 for platform architecture (Nissan Motor Co., Ltd., 2025).</w:t>
      </w:r>
    </w:p>
    <w:p w14:paraId="4564B846" w14:textId="77777777" w:rsidR="00951534" w:rsidRDefault="00D9225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Kotter's eight-step model sees transformation as an ongoing process, driven by personal leadership, and a sequence of phases: urgency, forming a coalition, creating a vision, making short-term wins, setting up for cultural change and integration, sustaining momentum, and institutionalizing change (Carreño, 2024). This is the way to go for Nissan's restructuring and to have to be aligned with the Alliance leaders, executives and Sunderland management. Such early achievements as introducing the next-generatio</w:t>
      </w:r>
      <w:r>
        <w:rPr>
          <w:rFonts w:ascii="Times New Roman" w:eastAsia="Times New Roman" w:hAnsi="Times New Roman" w:cs="Times New Roman"/>
          <w:sz w:val="24"/>
          <w:szCs w:val="24"/>
        </w:rPr>
        <w:t>n LEAF with AI-powered quality inspection may help build employee trust and continue the transformation (Nissan UK, 2025).</w:t>
      </w:r>
    </w:p>
    <w:p w14:paraId="43FE2262" w14:textId="77777777" w:rsidR="00951534" w:rsidRDefault="00D9225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Kotter's model has been critiqued as being linear and top-down, which might not give adequate flexibility in dynamically changing environments (Carreño, 2024). The sequence of the 8 steps has not been well established in the literature, as suggested by Gborogbosi and Amah (2025). While it is tempting for Nissan to emulate the model, doing so would be counterproductive and limit its ability to adapt in order to effectively support its complex restructuring programme.</w:t>
      </w:r>
    </w:p>
    <w:p w14:paraId="0779D1FC" w14:textId="77777777" w:rsidR="00951534" w:rsidRDefault="00D9225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Both models fail to consider the transformation of Sunderland. Lewin is a good resource for managing employee resistance and stabilizing change, while Kotter offers better leadership, building a coalition, quick wins, and culture change during long-term restructuring (Gborogbosi and Amah, 2025; Carreño, 2024). Therefore, a hybrid model is proposed, an amalgamation of the phases of Lewin with the change-embracing leadership aspects of Kotter. </w:t>
      </w:r>
    </w:p>
    <w:p w14:paraId="677975DA" w14:textId="77777777" w:rsidR="00951534" w:rsidRDefault="00951534">
      <w:pPr>
        <w:spacing w:after="160" w:line="360" w:lineRule="auto"/>
        <w:jc w:val="both"/>
        <w:rPr>
          <w:rFonts w:ascii="Times New Roman" w:eastAsia="Times New Roman" w:hAnsi="Times New Roman" w:cs="Times New Roman"/>
          <w:sz w:val="24"/>
          <w:szCs w:val="24"/>
        </w:rPr>
      </w:pPr>
    </w:p>
    <w:p w14:paraId="39AB2D13" w14:textId="77777777" w:rsidR="00951534" w:rsidRDefault="00951534">
      <w:pPr>
        <w:spacing w:after="160" w:line="360" w:lineRule="auto"/>
        <w:jc w:val="both"/>
        <w:rPr>
          <w:rFonts w:ascii="Times New Roman" w:eastAsia="Times New Roman" w:hAnsi="Times New Roman" w:cs="Times New Roman"/>
          <w:sz w:val="24"/>
          <w:szCs w:val="24"/>
        </w:rPr>
      </w:pPr>
    </w:p>
    <w:p w14:paraId="76ECF58F" w14:textId="77777777" w:rsidR="00951534" w:rsidRDefault="00D92257">
      <w:pPr>
        <w:spacing w:before="200" w:after="6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Table 2: Comparative critical evaluation of Lewin's and Kotter's models applied to Nissan UK</w:t>
      </w:r>
    </w:p>
    <w:tbl>
      <w:tblPr>
        <w:tblStyle w:val="a0"/>
        <w:tblW w:w="940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00"/>
        <w:gridCol w:w="3700"/>
        <w:gridCol w:w="3700"/>
      </w:tblGrid>
      <w:tr w:rsidR="00951534" w14:paraId="70EB053E" w14:textId="77777777">
        <w:trPr>
          <w:tblHeader/>
        </w:trPr>
        <w:tc>
          <w:tcPr>
            <w:tcW w:w="2000" w:type="dxa"/>
            <w:shd w:val="clear" w:color="auto" w:fill="1F3864"/>
            <w:tcMar>
              <w:top w:w="80" w:type="dxa"/>
              <w:left w:w="100" w:type="dxa"/>
              <w:bottom w:w="80" w:type="dxa"/>
              <w:right w:w="100" w:type="dxa"/>
            </w:tcMar>
          </w:tcPr>
          <w:p w14:paraId="7B956FF9" w14:textId="77777777" w:rsidR="00951534" w:rsidRDefault="00D92257">
            <w:pPr>
              <w:spacing w:line="360" w:lineRule="auto"/>
              <w:jc w:val="both"/>
              <w:rPr>
                <w:rFonts w:ascii="Times New Roman" w:eastAsia="Times New Roman" w:hAnsi="Times New Roman" w:cs="Times New Roman"/>
                <w:color w:val="FFFFFF"/>
                <w:sz w:val="24"/>
                <w:szCs w:val="24"/>
              </w:rPr>
            </w:pPr>
            <w:r>
              <w:rPr>
                <w:rFonts w:ascii="Times New Roman" w:eastAsia="Times New Roman" w:hAnsi="Times New Roman" w:cs="Times New Roman"/>
                <w:b/>
                <w:bCs/>
                <w:color w:val="FFFFFF"/>
                <w:sz w:val="24"/>
                <w:szCs w:val="24"/>
              </w:rPr>
              <w:t>Dimension</w:t>
            </w:r>
          </w:p>
        </w:tc>
        <w:tc>
          <w:tcPr>
            <w:tcW w:w="3700" w:type="dxa"/>
            <w:shd w:val="clear" w:color="auto" w:fill="1F3864"/>
            <w:tcMar>
              <w:top w:w="80" w:type="dxa"/>
              <w:left w:w="100" w:type="dxa"/>
              <w:bottom w:w="80" w:type="dxa"/>
              <w:right w:w="100" w:type="dxa"/>
            </w:tcMar>
          </w:tcPr>
          <w:p w14:paraId="2EF59B92" w14:textId="77777777" w:rsidR="00951534" w:rsidRDefault="00D92257">
            <w:pPr>
              <w:spacing w:line="360" w:lineRule="auto"/>
              <w:jc w:val="both"/>
              <w:rPr>
                <w:rFonts w:ascii="Times New Roman" w:eastAsia="Times New Roman" w:hAnsi="Times New Roman" w:cs="Times New Roman"/>
                <w:color w:val="FFFFFF"/>
                <w:sz w:val="24"/>
                <w:szCs w:val="24"/>
              </w:rPr>
            </w:pPr>
            <w:r>
              <w:rPr>
                <w:rFonts w:ascii="Times New Roman" w:eastAsia="Times New Roman" w:hAnsi="Times New Roman" w:cs="Times New Roman"/>
                <w:b/>
                <w:bCs/>
                <w:color w:val="FFFFFF"/>
                <w:sz w:val="24"/>
                <w:szCs w:val="24"/>
              </w:rPr>
              <w:t>Lewin's Three-Step Model</w:t>
            </w:r>
          </w:p>
        </w:tc>
        <w:tc>
          <w:tcPr>
            <w:tcW w:w="3700" w:type="dxa"/>
            <w:shd w:val="clear" w:color="auto" w:fill="1F3864"/>
            <w:tcMar>
              <w:top w:w="80" w:type="dxa"/>
              <w:left w:w="100" w:type="dxa"/>
              <w:bottom w:w="80" w:type="dxa"/>
              <w:right w:w="100" w:type="dxa"/>
            </w:tcMar>
          </w:tcPr>
          <w:p w14:paraId="1F5DEA1C" w14:textId="77777777" w:rsidR="00951534" w:rsidRDefault="00D92257">
            <w:pPr>
              <w:spacing w:line="360" w:lineRule="auto"/>
              <w:jc w:val="both"/>
              <w:rPr>
                <w:rFonts w:ascii="Times New Roman" w:eastAsia="Times New Roman" w:hAnsi="Times New Roman" w:cs="Times New Roman"/>
                <w:color w:val="FFFFFF"/>
                <w:sz w:val="24"/>
                <w:szCs w:val="24"/>
              </w:rPr>
            </w:pPr>
            <w:r>
              <w:rPr>
                <w:rFonts w:ascii="Times New Roman" w:eastAsia="Times New Roman" w:hAnsi="Times New Roman" w:cs="Times New Roman"/>
                <w:b/>
                <w:bCs/>
                <w:color w:val="FFFFFF"/>
                <w:sz w:val="24"/>
                <w:szCs w:val="24"/>
              </w:rPr>
              <w:t>Kotter's Eight-Step Model</w:t>
            </w:r>
          </w:p>
        </w:tc>
      </w:tr>
      <w:tr w:rsidR="00951534" w14:paraId="538206DE" w14:textId="77777777">
        <w:tc>
          <w:tcPr>
            <w:tcW w:w="2000" w:type="dxa"/>
            <w:shd w:val="clear" w:color="auto" w:fill="F2F2F2"/>
            <w:tcMar>
              <w:top w:w="80" w:type="dxa"/>
              <w:left w:w="100" w:type="dxa"/>
              <w:bottom w:w="80" w:type="dxa"/>
              <w:right w:w="100" w:type="dxa"/>
            </w:tcMar>
          </w:tcPr>
          <w:p w14:paraId="033509E6"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Core premise</w:t>
            </w:r>
          </w:p>
        </w:tc>
        <w:tc>
          <w:tcPr>
            <w:tcW w:w="3700" w:type="dxa"/>
            <w:shd w:val="clear" w:color="auto" w:fill="F2F2F2"/>
            <w:tcMar>
              <w:top w:w="80" w:type="dxa"/>
              <w:left w:w="100" w:type="dxa"/>
              <w:bottom w:w="80" w:type="dxa"/>
              <w:right w:w="100" w:type="dxa"/>
            </w:tcMar>
          </w:tcPr>
          <w:p w14:paraId="24C95F19"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Change as movement from one stable equilibrium, through transition, to a new stable state</w:t>
            </w:r>
          </w:p>
        </w:tc>
        <w:tc>
          <w:tcPr>
            <w:tcW w:w="3700" w:type="dxa"/>
            <w:shd w:val="clear" w:color="auto" w:fill="F2F2F2"/>
            <w:tcMar>
              <w:top w:w="80" w:type="dxa"/>
              <w:left w:w="100" w:type="dxa"/>
              <w:bottom w:w="80" w:type="dxa"/>
              <w:right w:w="100" w:type="dxa"/>
            </w:tcMar>
          </w:tcPr>
          <w:p w14:paraId="5C5211CF"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Change as an ongoing, leadership-driven process built on urgency, coalition and institutionalisation</w:t>
            </w:r>
          </w:p>
        </w:tc>
      </w:tr>
      <w:tr w:rsidR="00951534" w14:paraId="4D3E1C67" w14:textId="77777777">
        <w:tc>
          <w:tcPr>
            <w:tcW w:w="2000" w:type="dxa"/>
            <w:tcMar>
              <w:top w:w="80" w:type="dxa"/>
              <w:left w:w="100" w:type="dxa"/>
              <w:bottom w:w="80" w:type="dxa"/>
              <w:right w:w="100" w:type="dxa"/>
            </w:tcMar>
          </w:tcPr>
          <w:p w14:paraId="3E4E563B"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Treatment of urgency</w:t>
            </w:r>
          </w:p>
        </w:tc>
        <w:tc>
          <w:tcPr>
            <w:tcW w:w="3700" w:type="dxa"/>
            <w:tcMar>
              <w:top w:w="80" w:type="dxa"/>
              <w:left w:w="100" w:type="dxa"/>
              <w:bottom w:w="80" w:type="dxa"/>
              <w:right w:w="100" w:type="dxa"/>
            </w:tcMar>
          </w:tcPr>
          <w:p w14:paraId="5E4ED845"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Implicit, within the 'unfreeze' stage; limited guidance on how urgency is sustained</w:t>
            </w:r>
          </w:p>
        </w:tc>
        <w:tc>
          <w:tcPr>
            <w:tcW w:w="3700" w:type="dxa"/>
            <w:tcMar>
              <w:top w:w="80" w:type="dxa"/>
              <w:left w:w="100" w:type="dxa"/>
              <w:bottom w:w="80" w:type="dxa"/>
              <w:right w:w="100" w:type="dxa"/>
            </w:tcMar>
          </w:tcPr>
          <w:p w14:paraId="11CBA9CF"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Explicit first step; treated as something that must be actively maintained throughout</w:t>
            </w:r>
          </w:p>
        </w:tc>
      </w:tr>
      <w:tr w:rsidR="00951534" w14:paraId="016CD6AB" w14:textId="77777777">
        <w:tc>
          <w:tcPr>
            <w:tcW w:w="2000" w:type="dxa"/>
            <w:shd w:val="clear" w:color="auto" w:fill="F2F2F2"/>
            <w:tcMar>
              <w:top w:w="80" w:type="dxa"/>
              <w:left w:w="100" w:type="dxa"/>
              <w:bottom w:w="80" w:type="dxa"/>
              <w:right w:w="100" w:type="dxa"/>
            </w:tcMar>
          </w:tcPr>
          <w:p w14:paraId="62D469B7"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Structure</w:t>
            </w:r>
          </w:p>
        </w:tc>
        <w:tc>
          <w:tcPr>
            <w:tcW w:w="3700" w:type="dxa"/>
            <w:shd w:val="clear" w:color="auto" w:fill="F2F2F2"/>
            <w:tcMar>
              <w:top w:w="80" w:type="dxa"/>
              <w:left w:w="100" w:type="dxa"/>
              <w:bottom w:w="80" w:type="dxa"/>
              <w:right w:w="100" w:type="dxa"/>
            </w:tcMar>
          </w:tcPr>
          <w:p w14:paraId="09E88A91"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Simple, three linear phases; strong on the psychology of resistance</w:t>
            </w:r>
          </w:p>
        </w:tc>
        <w:tc>
          <w:tcPr>
            <w:tcW w:w="3700" w:type="dxa"/>
            <w:shd w:val="clear" w:color="auto" w:fill="F2F2F2"/>
            <w:tcMar>
              <w:top w:w="80" w:type="dxa"/>
              <w:left w:w="100" w:type="dxa"/>
              <w:bottom w:w="80" w:type="dxa"/>
              <w:right w:w="100" w:type="dxa"/>
            </w:tcMar>
          </w:tcPr>
          <w:p w14:paraId="3918A488"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Detailed eight-stage sequence; strong on leadership coalition and momentum-building</w:t>
            </w:r>
          </w:p>
        </w:tc>
      </w:tr>
      <w:tr w:rsidR="00951534" w14:paraId="12D6EFE1" w14:textId="77777777">
        <w:tc>
          <w:tcPr>
            <w:tcW w:w="2000" w:type="dxa"/>
            <w:tcMar>
              <w:top w:w="80" w:type="dxa"/>
              <w:left w:w="100" w:type="dxa"/>
              <w:bottom w:w="80" w:type="dxa"/>
              <w:right w:w="100" w:type="dxa"/>
            </w:tcMar>
          </w:tcPr>
          <w:p w14:paraId="477408C1"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Fit with multi-year restructuring</w:t>
            </w:r>
          </w:p>
        </w:tc>
        <w:tc>
          <w:tcPr>
            <w:tcW w:w="3700" w:type="dxa"/>
            <w:tcMar>
              <w:top w:w="80" w:type="dxa"/>
              <w:left w:w="100" w:type="dxa"/>
              <w:bottom w:w="80" w:type="dxa"/>
              <w:right w:w="100" w:type="dxa"/>
            </w:tcMar>
          </w:tcPr>
          <w:p w14:paraId="4980BB84"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Weaker; a single unfreeze-refreeze cycle understates a programme running to FY2027 and beyond</w:t>
            </w:r>
          </w:p>
        </w:tc>
        <w:tc>
          <w:tcPr>
            <w:tcW w:w="3700" w:type="dxa"/>
            <w:tcMar>
              <w:top w:w="80" w:type="dxa"/>
              <w:left w:w="100" w:type="dxa"/>
              <w:bottom w:w="80" w:type="dxa"/>
              <w:right w:w="100" w:type="dxa"/>
            </w:tcMar>
          </w:tcPr>
          <w:p w14:paraId="6AA68F5E"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Stronger; coalition and quick-wins steps suit a sustained, multi-workstream programme</w:t>
            </w:r>
          </w:p>
        </w:tc>
      </w:tr>
      <w:tr w:rsidR="00951534" w14:paraId="01481DB8" w14:textId="77777777">
        <w:tc>
          <w:tcPr>
            <w:tcW w:w="2000" w:type="dxa"/>
            <w:shd w:val="clear" w:color="auto" w:fill="F2F2F2"/>
            <w:tcMar>
              <w:top w:w="80" w:type="dxa"/>
              <w:left w:w="100" w:type="dxa"/>
              <w:bottom w:w="80" w:type="dxa"/>
              <w:right w:w="100" w:type="dxa"/>
            </w:tcMar>
          </w:tcPr>
          <w:p w14:paraId="5ABD3F56"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Principal critique</w:t>
            </w:r>
          </w:p>
        </w:tc>
        <w:tc>
          <w:tcPr>
            <w:tcW w:w="3700" w:type="dxa"/>
            <w:shd w:val="clear" w:color="auto" w:fill="F2F2F2"/>
            <w:tcMar>
              <w:top w:w="80" w:type="dxa"/>
              <w:left w:w="100" w:type="dxa"/>
              <w:bottom w:w="80" w:type="dxa"/>
              <w:right w:w="100" w:type="dxa"/>
            </w:tcMar>
          </w:tcPr>
          <w:p w14:paraId="2933B3B7"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Oversimplifies non-linear, continuous change environments (Gborogbosi and Amah, 2025)</w:t>
            </w:r>
          </w:p>
        </w:tc>
        <w:tc>
          <w:tcPr>
            <w:tcW w:w="3700" w:type="dxa"/>
            <w:shd w:val="clear" w:color="auto" w:fill="F2F2F2"/>
            <w:tcMar>
              <w:top w:w="80" w:type="dxa"/>
              <w:left w:w="100" w:type="dxa"/>
              <w:bottom w:w="80" w:type="dxa"/>
              <w:right w:w="100" w:type="dxa"/>
            </w:tcMar>
          </w:tcPr>
          <w:p w14:paraId="3F82356B"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Top-down, rigid sequencing limits adaptability in fast-moving, technologically volatile settings (Carreño, 2024)</w:t>
            </w:r>
          </w:p>
        </w:tc>
      </w:tr>
    </w:tbl>
    <w:p w14:paraId="46A8D923" w14:textId="77777777" w:rsidR="00951534" w:rsidRDefault="00951534">
      <w:pPr>
        <w:spacing w:before="200" w:after="60" w:line="360" w:lineRule="auto"/>
        <w:jc w:val="both"/>
        <w:rPr>
          <w:rFonts w:ascii="Times New Roman" w:eastAsia="Times New Roman" w:hAnsi="Times New Roman" w:cs="Times New Roman"/>
          <w:b/>
          <w:bCs/>
          <w:i/>
          <w:iCs/>
          <w:sz w:val="24"/>
          <w:szCs w:val="24"/>
        </w:rPr>
      </w:pPr>
    </w:p>
    <w:p w14:paraId="569EDD85" w14:textId="77777777" w:rsidR="00951534" w:rsidRDefault="00951534">
      <w:pPr>
        <w:spacing w:before="200" w:after="60" w:line="360" w:lineRule="auto"/>
        <w:jc w:val="both"/>
        <w:rPr>
          <w:rFonts w:ascii="Times New Roman" w:eastAsia="Times New Roman" w:hAnsi="Times New Roman" w:cs="Times New Roman"/>
          <w:b/>
          <w:bCs/>
          <w:i/>
          <w:iCs/>
          <w:sz w:val="24"/>
          <w:szCs w:val="24"/>
        </w:rPr>
      </w:pPr>
    </w:p>
    <w:p w14:paraId="27A51966" w14:textId="77777777" w:rsidR="00951534" w:rsidRDefault="00951534">
      <w:pPr>
        <w:spacing w:before="200" w:after="60" w:line="360" w:lineRule="auto"/>
        <w:jc w:val="both"/>
        <w:rPr>
          <w:rFonts w:ascii="Times New Roman" w:eastAsia="Times New Roman" w:hAnsi="Times New Roman" w:cs="Times New Roman"/>
          <w:b/>
          <w:bCs/>
          <w:i/>
          <w:iCs/>
          <w:sz w:val="24"/>
          <w:szCs w:val="24"/>
        </w:rPr>
      </w:pPr>
    </w:p>
    <w:p w14:paraId="03CC2EFB" w14:textId="77777777" w:rsidR="00951534" w:rsidRDefault="00951534">
      <w:pPr>
        <w:spacing w:before="200" w:after="60" w:line="360" w:lineRule="auto"/>
        <w:jc w:val="both"/>
        <w:rPr>
          <w:rFonts w:ascii="Times New Roman" w:eastAsia="Times New Roman" w:hAnsi="Times New Roman" w:cs="Times New Roman"/>
          <w:b/>
          <w:bCs/>
          <w:i/>
          <w:iCs/>
          <w:sz w:val="24"/>
          <w:szCs w:val="24"/>
        </w:rPr>
      </w:pPr>
    </w:p>
    <w:p w14:paraId="4B330D41" w14:textId="77777777" w:rsidR="00951534" w:rsidRDefault="00951534">
      <w:pPr>
        <w:spacing w:before="200" w:after="60" w:line="360" w:lineRule="auto"/>
        <w:jc w:val="both"/>
        <w:rPr>
          <w:rFonts w:ascii="Times New Roman" w:eastAsia="Times New Roman" w:hAnsi="Times New Roman" w:cs="Times New Roman"/>
          <w:b/>
          <w:bCs/>
          <w:i/>
          <w:iCs/>
          <w:sz w:val="24"/>
          <w:szCs w:val="24"/>
        </w:rPr>
      </w:pPr>
    </w:p>
    <w:p w14:paraId="009047B1" w14:textId="77777777" w:rsidR="00951534" w:rsidRDefault="00951534">
      <w:pPr>
        <w:spacing w:before="200" w:after="60" w:line="360" w:lineRule="auto"/>
        <w:jc w:val="both"/>
        <w:rPr>
          <w:rFonts w:ascii="Times New Roman" w:eastAsia="Times New Roman" w:hAnsi="Times New Roman" w:cs="Times New Roman"/>
          <w:b/>
          <w:bCs/>
          <w:i/>
          <w:iCs/>
          <w:sz w:val="24"/>
          <w:szCs w:val="24"/>
        </w:rPr>
      </w:pPr>
    </w:p>
    <w:p w14:paraId="3A1AF2F2" w14:textId="77777777" w:rsidR="00951534" w:rsidRDefault="00951534">
      <w:pPr>
        <w:spacing w:before="200" w:after="60" w:line="360" w:lineRule="auto"/>
        <w:jc w:val="both"/>
        <w:rPr>
          <w:rFonts w:ascii="Times New Roman" w:eastAsia="Times New Roman" w:hAnsi="Times New Roman" w:cs="Times New Roman"/>
          <w:b/>
          <w:bCs/>
          <w:i/>
          <w:iCs/>
          <w:sz w:val="24"/>
          <w:szCs w:val="24"/>
        </w:rPr>
      </w:pPr>
    </w:p>
    <w:p w14:paraId="36E6F6BF" w14:textId="77777777" w:rsidR="00951534" w:rsidRDefault="00D92257">
      <w:pPr>
        <w:spacing w:before="200" w:after="6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Figure 1: Proposed hybrid Lewin–Kotter change framework for Nissan UK's Re:Nissan transformation at Sunderland</w:t>
      </w:r>
    </w:p>
    <w:p w14:paraId="5594D19B" w14:textId="77777777" w:rsidR="00951534" w:rsidRDefault="00D92257">
      <w:pPr>
        <w:spacing w:after="22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E91120E" wp14:editId="3E6E76EE">
            <wp:extent cx="5731200" cy="27432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5731200" cy="2743200"/>
                    </a:xfrm>
                    <a:prstGeom prst="rect">
                      <a:avLst/>
                    </a:prstGeom>
                    <a:ln/>
                  </pic:spPr>
                </pic:pic>
              </a:graphicData>
            </a:graphic>
          </wp:inline>
        </w:drawing>
      </w:r>
    </w:p>
    <w:p w14:paraId="493A0771" w14:textId="26B3A36F" w:rsidR="00951534" w:rsidRDefault="00D92257">
      <w:pPr>
        <w:pStyle w:val="Heading1"/>
        <w:spacing w:before="320" w:after="16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bCs/>
          <w:color w:val="000000"/>
          <w:sz w:val="24"/>
          <w:szCs w:val="24"/>
        </w:rPr>
        <w:t xml:space="preserve">4. How </w:t>
      </w:r>
      <w:r w:rsidR="00D7643B">
        <w:rPr>
          <w:rFonts w:ascii="Times New Roman" w:eastAsia="Times New Roman" w:hAnsi="Times New Roman" w:cs="Times New Roman"/>
          <w:b/>
          <w:bCs/>
          <w:color w:val="000000"/>
          <w:sz w:val="24"/>
          <w:szCs w:val="24"/>
        </w:rPr>
        <w:t>Re: Nissan</w:t>
      </w:r>
      <w:r>
        <w:rPr>
          <w:rFonts w:ascii="Times New Roman" w:eastAsia="Times New Roman" w:hAnsi="Times New Roman" w:cs="Times New Roman"/>
          <w:b/>
          <w:bCs/>
          <w:color w:val="000000"/>
          <w:sz w:val="24"/>
          <w:szCs w:val="24"/>
        </w:rPr>
        <w:t xml:space="preserve"> Has Been Managed in Practice</w:t>
      </w:r>
    </w:p>
    <w:p w14:paraId="523C559D" w14:textId="0AE2C8D2" w:rsidR="00951534" w:rsidRDefault="00D9225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section looked at the theoretical aspects of models of change in section 3, and this section will explore how these models are applied at </w:t>
      </w:r>
      <w:r w:rsidR="00D7643B">
        <w:rPr>
          <w:rFonts w:ascii="Times New Roman" w:eastAsia="Times New Roman" w:hAnsi="Times New Roman" w:cs="Times New Roman"/>
          <w:sz w:val="24"/>
          <w:szCs w:val="24"/>
        </w:rPr>
        <w:t>Re: Nissan</w:t>
      </w:r>
      <w:r>
        <w:rPr>
          <w:rFonts w:ascii="Times New Roman" w:eastAsia="Times New Roman" w:hAnsi="Times New Roman" w:cs="Times New Roman"/>
          <w:sz w:val="24"/>
          <w:szCs w:val="24"/>
        </w:rPr>
        <w:t xml:space="preserve"> in Sunderland. In April 2025, Chief Executive Ivan Espinosa was appointed, who sponsors the group with the results from FY2024 being deemed as “urgent action” (Nissan Motor Co., Ltd., 2025). The Sunderland management announced the merger of two production lines to one, with the factory operating at about 50 per cent of its 500,000+ yearly capacity to manufacture 273,174 vehicles (Auto Express, 2026).</w:t>
      </w:r>
    </w:p>
    <w:p w14:paraId="6FAD4086" w14:textId="77777777" w:rsidR="00951534" w:rsidRDefault="00D9225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communication has largely been through formal presentations by a spokesperson, which characterize the restructuring as a “leaner, more resilient business” (Motor Trade News, 2026). A voluntary-first approach was used with talks of retirement being discussed before compulsory measures. Sunderland did not have to deal with job losses, and cuts were targeted at office positions. Constructive dialogue with unions and worker representatives (2026) was followed in a similar way in Spain.</w:t>
      </w:r>
    </w:p>
    <w:p w14:paraId="6491425F" w14:textId="77777777" w:rsidR="00951534" w:rsidRDefault="00D9225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line merger at Sunderland was not phased as was the case with the voluntary redundancies for offices. There was no formal reskilling programme found although there was redeployment experience in the past. Some external criticism said that the decreased assembly capacity might hinder future model expansion, which could pose a challenge to Nissan's restructuring plan (Motor Trade News, 2026). </w:t>
      </w:r>
    </w:p>
    <w:p w14:paraId="33AC33B8" w14:textId="77777777" w:rsidR="00951534" w:rsidRDefault="00951534">
      <w:pPr>
        <w:spacing w:after="160" w:line="360" w:lineRule="auto"/>
        <w:jc w:val="both"/>
        <w:rPr>
          <w:rFonts w:ascii="Times New Roman" w:eastAsia="Times New Roman" w:hAnsi="Times New Roman" w:cs="Times New Roman"/>
          <w:sz w:val="24"/>
          <w:szCs w:val="24"/>
        </w:rPr>
      </w:pPr>
    </w:p>
    <w:p w14:paraId="7048E153" w14:textId="77777777" w:rsidR="00951534" w:rsidRDefault="00D92257">
      <w:pPr>
        <w:spacing w:before="200" w:after="6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Table 3: Documented implementation evidence at Sunderland, mapped against change-model expectations</w:t>
      </w:r>
    </w:p>
    <w:tbl>
      <w:tblPr>
        <w:tblStyle w:val="a1"/>
        <w:tblW w:w="940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00"/>
        <w:gridCol w:w="4000"/>
        <w:gridCol w:w="3400"/>
      </w:tblGrid>
      <w:tr w:rsidR="00951534" w14:paraId="71A6F60E" w14:textId="77777777">
        <w:trPr>
          <w:tblHeader/>
        </w:trPr>
        <w:tc>
          <w:tcPr>
            <w:tcW w:w="2000" w:type="dxa"/>
            <w:shd w:val="clear" w:color="auto" w:fill="1F3864"/>
            <w:tcMar>
              <w:top w:w="80" w:type="dxa"/>
              <w:left w:w="100" w:type="dxa"/>
              <w:bottom w:w="80" w:type="dxa"/>
              <w:right w:w="100" w:type="dxa"/>
            </w:tcMar>
          </w:tcPr>
          <w:p w14:paraId="36F911EF" w14:textId="77777777" w:rsidR="00951534" w:rsidRDefault="00D92257">
            <w:pPr>
              <w:spacing w:line="360" w:lineRule="auto"/>
              <w:jc w:val="both"/>
              <w:rPr>
                <w:rFonts w:ascii="Times New Roman" w:eastAsia="Times New Roman" w:hAnsi="Times New Roman" w:cs="Times New Roman"/>
                <w:color w:val="FFFFFF"/>
                <w:sz w:val="24"/>
                <w:szCs w:val="24"/>
              </w:rPr>
            </w:pPr>
            <w:r>
              <w:rPr>
                <w:rFonts w:ascii="Times New Roman" w:eastAsia="Times New Roman" w:hAnsi="Times New Roman" w:cs="Times New Roman"/>
                <w:b/>
                <w:bCs/>
                <w:color w:val="FFFFFF"/>
                <w:sz w:val="24"/>
                <w:szCs w:val="24"/>
              </w:rPr>
              <w:t>Implementation dimension</w:t>
            </w:r>
          </w:p>
        </w:tc>
        <w:tc>
          <w:tcPr>
            <w:tcW w:w="4000" w:type="dxa"/>
            <w:shd w:val="clear" w:color="auto" w:fill="1F3864"/>
            <w:tcMar>
              <w:top w:w="80" w:type="dxa"/>
              <w:left w:w="100" w:type="dxa"/>
              <w:bottom w:w="80" w:type="dxa"/>
              <w:right w:w="100" w:type="dxa"/>
            </w:tcMar>
          </w:tcPr>
          <w:p w14:paraId="0C31BD24" w14:textId="77777777" w:rsidR="00951534" w:rsidRDefault="00D92257">
            <w:pPr>
              <w:spacing w:line="360" w:lineRule="auto"/>
              <w:jc w:val="both"/>
              <w:rPr>
                <w:rFonts w:ascii="Times New Roman" w:eastAsia="Times New Roman" w:hAnsi="Times New Roman" w:cs="Times New Roman"/>
                <w:color w:val="FFFFFF"/>
                <w:sz w:val="24"/>
                <w:szCs w:val="24"/>
              </w:rPr>
            </w:pPr>
            <w:r>
              <w:rPr>
                <w:rFonts w:ascii="Times New Roman" w:eastAsia="Times New Roman" w:hAnsi="Times New Roman" w:cs="Times New Roman"/>
                <w:b/>
                <w:bCs/>
                <w:color w:val="FFFFFF"/>
                <w:sz w:val="24"/>
                <w:szCs w:val="24"/>
              </w:rPr>
              <w:t>Evidence identified</w:t>
            </w:r>
          </w:p>
        </w:tc>
        <w:tc>
          <w:tcPr>
            <w:tcW w:w="3400" w:type="dxa"/>
            <w:shd w:val="clear" w:color="auto" w:fill="1F3864"/>
            <w:tcMar>
              <w:top w:w="80" w:type="dxa"/>
              <w:left w:w="100" w:type="dxa"/>
              <w:bottom w:w="80" w:type="dxa"/>
              <w:right w:w="100" w:type="dxa"/>
            </w:tcMar>
          </w:tcPr>
          <w:p w14:paraId="6B31D435" w14:textId="77777777" w:rsidR="00951534" w:rsidRDefault="00D92257">
            <w:pPr>
              <w:spacing w:line="360" w:lineRule="auto"/>
              <w:jc w:val="both"/>
              <w:rPr>
                <w:rFonts w:ascii="Times New Roman" w:eastAsia="Times New Roman" w:hAnsi="Times New Roman" w:cs="Times New Roman"/>
                <w:color w:val="FFFFFF"/>
                <w:sz w:val="24"/>
                <w:szCs w:val="24"/>
              </w:rPr>
            </w:pPr>
            <w:r>
              <w:rPr>
                <w:rFonts w:ascii="Times New Roman" w:eastAsia="Times New Roman" w:hAnsi="Times New Roman" w:cs="Times New Roman"/>
                <w:b/>
                <w:bCs/>
                <w:color w:val="FFFFFF"/>
                <w:sz w:val="24"/>
                <w:szCs w:val="24"/>
              </w:rPr>
              <w:t>Model-based observation</w:t>
            </w:r>
          </w:p>
        </w:tc>
      </w:tr>
      <w:tr w:rsidR="00951534" w14:paraId="1E1E3B44" w14:textId="77777777">
        <w:tc>
          <w:tcPr>
            <w:tcW w:w="2000" w:type="dxa"/>
            <w:shd w:val="clear" w:color="auto" w:fill="F2F2F2"/>
            <w:tcMar>
              <w:top w:w="80" w:type="dxa"/>
              <w:left w:w="100" w:type="dxa"/>
              <w:bottom w:w="80" w:type="dxa"/>
              <w:right w:w="100" w:type="dxa"/>
            </w:tcMar>
          </w:tcPr>
          <w:p w14:paraId="2D3A5A38"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Sponsorship</w:t>
            </w:r>
          </w:p>
        </w:tc>
        <w:tc>
          <w:tcPr>
            <w:tcW w:w="4000" w:type="dxa"/>
            <w:shd w:val="clear" w:color="auto" w:fill="F2F2F2"/>
            <w:tcMar>
              <w:top w:w="80" w:type="dxa"/>
              <w:left w:w="100" w:type="dxa"/>
              <w:bottom w:w="80" w:type="dxa"/>
              <w:right w:w="100" w:type="dxa"/>
            </w:tcMar>
          </w:tcPr>
          <w:p w14:paraId="32A3D5CF"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Group CEO Ivan Espinosa (from April 2025) sets direction; plant leadership implements locally</w:t>
            </w:r>
          </w:p>
        </w:tc>
        <w:tc>
          <w:tcPr>
            <w:tcW w:w="3400" w:type="dxa"/>
            <w:shd w:val="clear" w:color="auto" w:fill="F2F2F2"/>
            <w:tcMar>
              <w:top w:w="80" w:type="dxa"/>
              <w:left w:w="100" w:type="dxa"/>
              <w:bottom w:w="80" w:type="dxa"/>
              <w:right w:w="100" w:type="dxa"/>
            </w:tcMar>
          </w:tcPr>
          <w:p w14:paraId="524E3A45"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Consistent with Kotter's emphasis on visible leadership, but no named guiding coalition below CEO level was evidenced</w:t>
            </w:r>
          </w:p>
        </w:tc>
      </w:tr>
      <w:tr w:rsidR="00951534" w14:paraId="50DE7677" w14:textId="77777777">
        <w:tc>
          <w:tcPr>
            <w:tcW w:w="2000" w:type="dxa"/>
            <w:tcMar>
              <w:top w:w="80" w:type="dxa"/>
              <w:left w:w="100" w:type="dxa"/>
              <w:bottom w:w="80" w:type="dxa"/>
              <w:right w:w="100" w:type="dxa"/>
            </w:tcMar>
          </w:tcPr>
          <w:p w14:paraId="08D45D26"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w:t>
            </w:r>
          </w:p>
        </w:tc>
        <w:tc>
          <w:tcPr>
            <w:tcW w:w="4000" w:type="dxa"/>
            <w:tcMar>
              <w:top w:w="80" w:type="dxa"/>
              <w:left w:w="100" w:type="dxa"/>
              <w:bottom w:w="80" w:type="dxa"/>
              <w:right w:w="100" w:type="dxa"/>
            </w:tcMar>
          </w:tcPr>
          <w:p w14:paraId="56062C2E"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Formal spokesperson statements to trade/broadcast media; consistent 'leaner, more resilient' framing</w:t>
            </w:r>
          </w:p>
        </w:tc>
        <w:tc>
          <w:tcPr>
            <w:tcW w:w="3400" w:type="dxa"/>
            <w:tcMar>
              <w:top w:w="80" w:type="dxa"/>
              <w:left w:w="100" w:type="dxa"/>
              <w:bottom w:w="80" w:type="dxa"/>
              <w:right w:w="100" w:type="dxa"/>
            </w:tcMar>
          </w:tcPr>
          <w:p w14:paraId="45D9D573"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Matches Kotter Step 3 (vision) and Lewin's unfreezing narrative</w:t>
            </w:r>
          </w:p>
        </w:tc>
      </w:tr>
      <w:tr w:rsidR="00951534" w14:paraId="0D2B146B" w14:textId="77777777">
        <w:tc>
          <w:tcPr>
            <w:tcW w:w="2000" w:type="dxa"/>
            <w:shd w:val="clear" w:color="auto" w:fill="F2F2F2"/>
            <w:tcMar>
              <w:top w:w="80" w:type="dxa"/>
              <w:left w:w="100" w:type="dxa"/>
              <w:bottom w:w="80" w:type="dxa"/>
              <w:right w:w="100" w:type="dxa"/>
            </w:tcMar>
          </w:tcPr>
          <w:p w14:paraId="01739D55"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Redundancy handling</w:t>
            </w:r>
          </w:p>
        </w:tc>
        <w:tc>
          <w:tcPr>
            <w:tcW w:w="4000" w:type="dxa"/>
            <w:shd w:val="clear" w:color="auto" w:fill="F2F2F2"/>
            <w:tcMar>
              <w:top w:w="80" w:type="dxa"/>
              <w:left w:w="100" w:type="dxa"/>
              <w:bottom w:w="80" w:type="dxa"/>
              <w:right w:w="100" w:type="dxa"/>
            </w:tcMar>
          </w:tcPr>
          <w:p w14:paraId="4B678126"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Voluntary-first at Sunderland; no confirmed manufacturing job losses; comparable negotiated approach in Spain</w:t>
            </w:r>
          </w:p>
        </w:tc>
        <w:tc>
          <w:tcPr>
            <w:tcW w:w="3400" w:type="dxa"/>
            <w:shd w:val="clear" w:color="auto" w:fill="F2F2F2"/>
            <w:tcMar>
              <w:top w:w="80" w:type="dxa"/>
              <w:left w:w="100" w:type="dxa"/>
              <w:bottom w:w="80" w:type="dxa"/>
              <w:right w:w="100" w:type="dxa"/>
            </w:tcMar>
          </w:tcPr>
          <w:p w14:paraId="5CD25C48"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Consistent with individualised consideration within transformational leadership</w:t>
            </w:r>
          </w:p>
        </w:tc>
      </w:tr>
      <w:tr w:rsidR="00951534" w14:paraId="225D99A7" w14:textId="77777777">
        <w:tc>
          <w:tcPr>
            <w:tcW w:w="2000" w:type="dxa"/>
            <w:tcMar>
              <w:top w:w="80" w:type="dxa"/>
              <w:left w:w="100" w:type="dxa"/>
              <w:bottom w:w="80" w:type="dxa"/>
              <w:right w:w="100" w:type="dxa"/>
            </w:tcMar>
          </w:tcPr>
          <w:p w14:paraId="48BB13AE"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Line consolidation</w:t>
            </w:r>
          </w:p>
        </w:tc>
        <w:tc>
          <w:tcPr>
            <w:tcW w:w="4000" w:type="dxa"/>
            <w:tcMar>
              <w:top w:w="80" w:type="dxa"/>
              <w:left w:w="100" w:type="dxa"/>
              <w:bottom w:w="80" w:type="dxa"/>
              <w:right w:w="100" w:type="dxa"/>
            </w:tcMar>
          </w:tcPr>
          <w:p w14:paraId="4BEEC6A3"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Two lines merged to one, driven by under-used capacity (plant built 273,174 units against 500,000+ capacity)</w:t>
            </w:r>
          </w:p>
        </w:tc>
        <w:tc>
          <w:tcPr>
            <w:tcW w:w="3400" w:type="dxa"/>
            <w:tcMar>
              <w:top w:w="80" w:type="dxa"/>
              <w:left w:w="100" w:type="dxa"/>
              <w:bottom w:w="80" w:type="dxa"/>
              <w:right w:w="100" w:type="dxa"/>
            </w:tcMar>
          </w:tcPr>
          <w:p w14:paraId="22473F8C"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Presented as an immediate operational change; formal phasing not publicly evidenced</w:t>
            </w:r>
          </w:p>
        </w:tc>
      </w:tr>
      <w:tr w:rsidR="00951534" w14:paraId="19AEF1DF" w14:textId="77777777">
        <w:tc>
          <w:tcPr>
            <w:tcW w:w="2000" w:type="dxa"/>
            <w:shd w:val="clear" w:color="auto" w:fill="F2F2F2"/>
            <w:tcMar>
              <w:top w:w="80" w:type="dxa"/>
              <w:left w:w="100" w:type="dxa"/>
              <w:bottom w:w="80" w:type="dxa"/>
              <w:right w:w="100" w:type="dxa"/>
            </w:tcMar>
          </w:tcPr>
          <w:p w14:paraId="7BDC738E"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Reskilling / redeployment</w:t>
            </w:r>
          </w:p>
        </w:tc>
        <w:tc>
          <w:tcPr>
            <w:tcW w:w="4000" w:type="dxa"/>
            <w:shd w:val="clear" w:color="auto" w:fill="F2F2F2"/>
            <w:tcMar>
              <w:top w:w="80" w:type="dxa"/>
              <w:left w:w="100" w:type="dxa"/>
              <w:bottom w:w="80" w:type="dxa"/>
              <w:right w:w="100" w:type="dxa"/>
            </w:tcMar>
          </w:tcPr>
          <w:p w14:paraId="534A1143" w14:textId="6F736076"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 formally publicised </w:t>
            </w:r>
            <w:r w:rsidR="00D7643B">
              <w:rPr>
                <w:rFonts w:ascii="Times New Roman" w:eastAsia="Times New Roman" w:hAnsi="Times New Roman" w:cs="Times New Roman"/>
                <w:sz w:val="24"/>
                <w:szCs w:val="24"/>
              </w:rPr>
              <w:t>Re: Nissan</w:t>
            </w:r>
            <w:r>
              <w:rPr>
                <w:rFonts w:ascii="Times New Roman" w:eastAsia="Times New Roman" w:hAnsi="Times New Roman" w:cs="Times New Roman"/>
                <w:sz w:val="24"/>
                <w:szCs w:val="24"/>
              </w:rPr>
              <w:t xml:space="preserve"> programme found; historical precedent exists (Infiniti Q30 redeployment, 2019)</w:t>
            </w:r>
          </w:p>
        </w:tc>
        <w:tc>
          <w:tcPr>
            <w:tcW w:w="3400" w:type="dxa"/>
            <w:shd w:val="clear" w:color="auto" w:fill="F2F2F2"/>
            <w:tcMar>
              <w:top w:w="80" w:type="dxa"/>
              <w:left w:w="100" w:type="dxa"/>
              <w:bottom w:w="80" w:type="dxa"/>
              <w:right w:w="100" w:type="dxa"/>
            </w:tcMar>
          </w:tcPr>
          <w:p w14:paraId="5B8508C9"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Gap relative to Lewin's refreezing and Kotter's institutionalisation steps</w:t>
            </w:r>
          </w:p>
        </w:tc>
      </w:tr>
      <w:tr w:rsidR="00951534" w14:paraId="7EB15F24" w14:textId="77777777">
        <w:tc>
          <w:tcPr>
            <w:tcW w:w="2000" w:type="dxa"/>
            <w:tcMar>
              <w:top w:w="80" w:type="dxa"/>
              <w:left w:w="100" w:type="dxa"/>
              <w:bottom w:w="80" w:type="dxa"/>
              <w:right w:w="100" w:type="dxa"/>
            </w:tcMar>
          </w:tcPr>
          <w:p w14:paraId="6781AC3C"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EV36Zero governance</w:t>
            </w:r>
          </w:p>
        </w:tc>
        <w:tc>
          <w:tcPr>
            <w:tcW w:w="4000" w:type="dxa"/>
            <w:tcMar>
              <w:top w:w="80" w:type="dxa"/>
              <w:left w:w="100" w:type="dxa"/>
              <w:bottom w:w="80" w:type="dxa"/>
              <w:right w:w="100" w:type="dxa"/>
            </w:tcMar>
          </w:tcPr>
          <w:p w14:paraId="74B96AC9"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Joint structure already established with Envision AESC and Sunderland City Council</w:t>
            </w:r>
          </w:p>
        </w:tc>
        <w:tc>
          <w:tcPr>
            <w:tcW w:w="3400" w:type="dxa"/>
            <w:tcMar>
              <w:top w:w="80" w:type="dxa"/>
              <w:left w:w="100" w:type="dxa"/>
              <w:bottom w:w="80" w:type="dxa"/>
              <w:right w:w="100" w:type="dxa"/>
            </w:tcMar>
          </w:tcPr>
          <w:p w14:paraId="08429DEE" w14:textId="7E4FFC61"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Existing multi-stakeholder governance model available to extend to </w:t>
            </w:r>
            <w:r w:rsidR="00D7643B">
              <w:rPr>
                <w:rFonts w:ascii="Times New Roman" w:eastAsia="Times New Roman" w:hAnsi="Times New Roman" w:cs="Times New Roman"/>
                <w:sz w:val="24"/>
                <w:szCs w:val="24"/>
              </w:rPr>
              <w:t>Re: Nissan</w:t>
            </w:r>
            <w:r>
              <w:rPr>
                <w:rFonts w:ascii="Times New Roman" w:eastAsia="Times New Roman" w:hAnsi="Times New Roman" w:cs="Times New Roman"/>
                <w:sz w:val="24"/>
                <w:szCs w:val="24"/>
              </w:rPr>
              <w:t xml:space="preserve"> implementation</w:t>
            </w:r>
          </w:p>
        </w:tc>
      </w:tr>
    </w:tbl>
    <w:p w14:paraId="759BE44E" w14:textId="1EAB4DFA" w:rsidR="00951534" w:rsidRDefault="00D9225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Nissan supports Kotter's model in terms of its leaner, more resilient messaging—a bit like early steps—but there is </w:t>
      </w:r>
      <w:r w:rsidR="00A76F4D">
        <w:rPr>
          <w:rFonts w:ascii="Times New Roman" w:eastAsia="Times New Roman" w:hAnsi="Times New Roman" w:cs="Times New Roman"/>
          <w:sz w:val="24"/>
          <w:szCs w:val="24"/>
        </w:rPr>
        <w:t>no</w:t>
      </w:r>
      <w:r>
        <w:rPr>
          <w:rFonts w:ascii="Times New Roman" w:eastAsia="Times New Roman" w:hAnsi="Times New Roman" w:cs="Times New Roman"/>
          <w:sz w:val="24"/>
          <w:szCs w:val="24"/>
        </w:rPr>
        <w:t xml:space="preserve"> evidence of the presence of a guiding coalition nor of institutionalisation (Carreño, 2024). According to Lewin's model, there is evidence of creditable unfreezing through consultation, but there is no evidence of reskilling in order to refreeze. (Gborogbosi and Amah, 2025). Transformational leadership does not require staff dismissals, but rather reskilling follow-through, which is limited (Chukwuma and Zondo, 2024). </w:t>
      </w:r>
    </w:p>
    <w:p w14:paraId="78928AD4" w14:textId="77777777" w:rsidR="00951534" w:rsidRDefault="00D92257">
      <w:pPr>
        <w:pStyle w:val="Heading1"/>
        <w:spacing w:before="320" w:after="16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bCs/>
          <w:color w:val="000000"/>
          <w:sz w:val="24"/>
          <w:szCs w:val="24"/>
        </w:rPr>
        <w:t>5. Leadership and Organisational Culture Evaluation</w:t>
      </w:r>
    </w:p>
    <w:p w14:paraId="28E4E905" w14:textId="7B9B9DFD" w:rsidR="00951534" w:rsidRDefault="00D9225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much as the framework, change relies on leadership. Nissan's </w:t>
      </w:r>
      <w:r w:rsidR="00A76F4D">
        <w:rPr>
          <w:rFonts w:ascii="Times New Roman" w:eastAsia="Times New Roman" w:hAnsi="Times New Roman" w:cs="Times New Roman"/>
          <w:sz w:val="24"/>
          <w:szCs w:val="24"/>
        </w:rPr>
        <w:t>Re: Nissan</w:t>
      </w:r>
      <w:r>
        <w:rPr>
          <w:rFonts w:ascii="Times New Roman" w:eastAsia="Times New Roman" w:hAnsi="Times New Roman" w:cs="Times New Roman"/>
          <w:sz w:val="24"/>
          <w:szCs w:val="24"/>
        </w:rPr>
        <w:t xml:space="preserve"> is a strategy that points to transformational leadership as it establishes a compelling vision toward long-term profitability and organisation survival (Chukwuma and Zondo, 2024; Nissan Motor Co., Ltd., 2025). The findings indicate that transformational leadership helps to minimise resistance from employees, boost commitment, and improve performance through the benefit of increased job satisfaction (Azmy, 2023).</w:t>
      </w:r>
    </w:p>
    <w:p w14:paraId="70CC1DFC" w14:textId="2F3EB673" w:rsidR="00951534" w:rsidRDefault="00D9225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results are applicable to Espinosa's public framing of </w:t>
      </w:r>
      <w:r w:rsidR="00A76F4D">
        <w:rPr>
          <w:rFonts w:ascii="Times New Roman" w:eastAsia="Times New Roman" w:hAnsi="Times New Roman" w:cs="Times New Roman"/>
          <w:sz w:val="24"/>
          <w:szCs w:val="24"/>
        </w:rPr>
        <w:t>Re: Nissan</w:t>
      </w:r>
      <w:r>
        <w:rPr>
          <w:rFonts w:ascii="Times New Roman" w:eastAsia="Times New Roman" w:hAnsi="Times New Roman" w:cs="Times New Roman"/>
          <w:sz w:val="24"/>
          <w:szCs w:val="24"/>
        </w:rPr>
        <w:t>, and indicate that a leadership narrative that focuses on urgency and a clear vision for the future is a good match for the magnitude of change needed, and likely to garner the discretionary effort of those in place, rather than a message that is purely transactional and cost-cutting. The intellectual-stimulation element of transformational leadership is also subtly reflected in the technical vision of the plan: fewer parts in the car (70 per cent fewer) and fewer platforms in the range (13 vs 7). This imp</w:t>
      </w:r>
      <w:r>
        <w:rPr>
          <w:rFonts w:ascii="Times New Roman" w:eastAsia="Times New Roman" w:hAnsi="Times New Roman" w:cs="Times New Roman"/>
          <w:sz w:val="24"/>
          <w:szCs w:val="24"/>
        </w:rPr>
        <w:t>licit calling on engineering and manufacturing personnel to think differently, rather than follow orders from above (Nissan Motor Co., Ltd., 2025).</w:t>
      </w:r>
    </w:p>
    <w:p w14:paraId="61A73D16" w14:textId="6F5958EF" w:rsidR="00951534" w:rsidRDefault="00D9225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Individualised consideration is challenged by </w:t>
      </w:r>
      <w:r w:rsidR="00A76F4D">
        <w:rPr>
          <w:rFonts w:ascii="Times New Roman" w:eastAsia="Times New Roman" w:hAnsi="Times New Roman" w:cs="Times New Roman"/>
          <w:sz w:val="24"/>
          <w:szCs w:val="24"/>
        </w:rPr>
        <w:t>Re: Nissan’s</w:t>
      </w:r>
      <w:r>
        <w:rPr>
          <w:rFonts w:ascii="Times New Roman" w:eastAsia="Times New Roman" w:hAnsi="Times New Roman" w:cs="Times New Roman"/>
          <w:sz w:val="24"/>
          <w:szCs w:val="24"/>
        </w:rPr>
        <w:t xml:space="preserve"> workforce reduction which includes UK, French and Spanish workers (CBT News, 2026). Inspirational leadership is useless, according to Chukwuma and Zondo (2024) without the cooperation of the employees. The production-line rationalisation in Sunderland thus raises the question of whether the process of rationalisation is reflective of true transformative leadership or is transactional change.</w:t>
      </w:r>
    </w:p>
    <w:p w14:paraId="67DF6E99" w14:textId="49DA0FF3" w:rsidR="00951534" w:rsidRDefault="00D9225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Organisational culture also influences the outcomes of change. Cameron and Quinn's framework </w:t>
      </w:r>
      <w:r w:rsidR="00D7643B">
        <w:rPr>
          <w:rFonts w:ascii="Times New Roman" w:eastAsia="Times New Roman" w:hAnsi="Times New Roman" w:cs="Times New Roman"/>
          <w:sz w:val="24"/>
          <w:szCs w:val="24"/>
        </w:rPr>
        <w:t>suggest</w:t>
      </w:r>
      <w:r>
        <w:rPr>
          <w:rFonts w:ascii="Times New Roman" w:eastAsia="Times New Roman" w:hAnsi="Times New Roman" w:cs="Times New Roman"/>
          <w:sz w:val="24"/>
          <w:szCs w:val="24"/>
        </w:rPr>
        <w:t xml:space="preserve"> hierarchical cultures emphasise control and efficiency over flexibility (Başar, 2022). The manufacturing culture at Nissan matches this profile, in that they are willing to adopt the use of AI and automation, but are less receptive to broader Industry 4.0 transformation efforts (Wiese, 2024).</w:t>
      </w:r>
    </w:p>
    <w:p w14:paraId="01A2DC39" w14:textId="5C943713" w:rsidR="00951534" w:rsidRDefault="00D9225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Sunderland's culture is control oriented which enables AI solutions like predictive maintenance, automated inspection and production scheduling. The same culture can, however, pose a barrier to greater digital innovation that demands experimentation and cross-functional cooperation. Relying on uniform acceptance of AI can downplay the difficulties of achieving more complex transformation goals of </w:t>
      </w:r>
      <w:r w:rsidR="00A76F4D">
        <w:rPr>
          <w:rFonts w:ascii="Times New Roman" w:eastAsia="Times New Roman" w:hAnsi="Times New Roman" w:cs="Times New Roman"/>
          <w:sz w:val="24"/>
          <w:szCs w:val="24"/>
        </w:rPr>
        <w:t>Re: Nissan</w:t>
      </w:r>
      <w:r>
        <w:rPr>
          <w:rFonts w:ascii="Times New Roman" w:eastAsia="Times New Roman" w:hAnsi="Times New Roman" w:cs="Times New Roman"/>
          <w:sz w:val="24"/>
          <w:szCs w:val="24"/>
        </w:rPr>
        <w:t xml:space="preserve"> (Wiese,2024). </w:t>
      </w:r>
    </w:p>
    <w:p w14:paraId="5FE714C0" w14:textId="4CC0CCE2" w:rsidR="00951534" w:rsidRDefault="00D92257">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management and culture </w:t>
      </w:r>
      <w:r w:rsidR="00A76F4D">
        <w:rPr>
          <w:rFonts w:ascii="Times New Roman" w:eastAsia="Times New Roman" w:hAnsi="Times New Roman" w:cs="Times New Roman"/>
          <w:sz w:val="24"/>
          <w:szCs w:val="24"/>
        </w:rPr>
        <w:t>are</w:t>
      </w:r>
      <w:r>
        <w:rPr>
          <w:rFonts w:ascii="Times New Roman" w:eastAsia="Times New Roman" w:hAnsi="Times New Roman" w:cs="Times New Roman"/>
          <w:sz w:val="24"/>
          <w:szCs w:val="24"/>
        </w:rPr>
        <w:t xml:space="preserve"> manageable but not complete: the management is transformational, strong sense of ambition to change, credible today, but will require follow-up work in terms of individualised consideration and reskilling work, and there is no evidence of this; culture is hierarchical and may support the change in technology well, but will need effort to support open-ended innovation (Carscoops, 2025). </w:t>
      </w:r>
    </w:p>
    <w:p w14:paraId="3F1403BC" w14:textId="77777777" w:rsidR="00951534" w:rsidRDefault="00D92257">
      <w:pPr>
        <w:pStyle w:val="Heading1"/>
        <w:spacing w:before="320" w:after="16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bCs/>
          <w:color w:val="000000"/>
          <w:sz w:val="24"/>
          <w:szCs w:val="24"/>
        </w:rPr>
        <w:t>6. Proposed Change Management Plan</w:t>
      </w:r>
    </w:p>
    <w:p w14:paraId="7DE01D82" w14:textId="77777777" w:rsidR="00951534" w:rsidRDefault="00D92257">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section outlines a change management plan, derived from the evaluation in the previous section, which includes SMART objectives, a phased change management timeline, a costed financial plan, a communication plan that lists the stakeholders, a change-risk register and an evaluation plan, following the hybrid Lewin-Kotter model presented in Figure 1. </w:t>
      </w:r>
    </w:p>
    <w:p w14:paraId="19D8F8BE" w14:textId="77777777" w:rsidR="00951534" w:rsidRDefault="00D92257">
      <w:pPr>
        <w:pStyle w:val="Heading2"/>
        <w:spacing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6.1 SMART Objectives</w:t>
      </w:r>
    </w:p>
    <w:p w14:paraId="33CB55E2" w14:textId="77777777" w:rsidR="00951534" w:rsidRDefault="00D92257">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plan sets four objectives for the Sunderland site, each expressed with a baseline, a target and a deadline rather than as an open-ended aspiration (Table 4).</w:t>
      </w:r>
    </w:p>
    <w:p w14:paraId="1AAA962C" w14:textId="77777777" w:rsidR="00951534" w:rsidRDefault="00951534">
      <w:pPr>
        <w:spacing w:before="200" w:after="60" w:line="360" w:lineRule="auto"/>
        <w:jc w:val="both"/>
        <w:rPr>
          <w:rFonts w:ascii="Times New Roman" w:eastAsia="Times New Roman" w:hAnsi="Times New Roman" w:cs="Times New Roman"/>
          <w:b/>
          <w:bCs/>
          <w:i/>
          <w:iCs/>
          <w:sz w:val="24"/>
          <w:szCs w:val="24"/>
        </w:rPr>
      </w:pPr>
    </w:p>
    <w:p w14:paraId="1D4FCC03" w14:textId="77777777" w:rsidR="00951534" w:rsidRDefault="00951534">
      <w:pPr>
        <w:spacing w:before="200" w:after="60" w:line="360" w:lineRule="auto"/>
        <w:jc w:val="both"/>
        <w:rPr>
          <w:rFonts w:ascii="Times New Roman" w:eastAsia="Times New Roman" w:hAnsi="Times New Roman" w:cs="Times New Roman"/>
          <w:b/>
          <w:bCs/>
          <w:i/>
          <w:iCs/>
          <w:sz w:val="24"/>
          <w:szCs w:val="24"/>
        </w:rPr>
      </w:pPr>
    </w:p>
    <w:p w14:paraId="19524125" w14:textId="77777777" w:rsidR="00951534" w:rsidRDefault="00951534">
      <w:pPr>
        <w:spacing w:before="200" w:after="60" w:line="360" w:lineRule="auto"/>
        <w:jc w:val="both"/>
        <w:rPr>
          <w:rFonts w:ascii="Times New Roman" w:eastAsia="Times New Roman" w:hAnsi="Times New Roman" w:cs="Times New Roman"/>
          <w:b/>
          <w:bCs/>
          <w:i/>
          <w:iCs/>
          <w:sz w:val="24"/>
          <w:szCs w:val="24"/>
        </w:rPr>
      </w:pPr>
    </w:p>
    <w:p w14:paraId="0399E8CF" w14:textId="77777777" w:rsidR="00951534" w:rsidRDefault="00D92257">
      <w:pPr>
        <w:spacing w:before="200" w:after="6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Table 4: SMART objectives for the Sunderland change programme</w:t>
      </w:r>
    </w:p>
    <w:tbl>
      <w:tblPr>
        <w:tblStyle w:val="a2"/>
        <w:tblW w:w="957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595"/>
        <w:gridCol w:w="2295"/>
        <w:gridCol w:w="2295"/>
        <w:gridCol w:w="2385"/>
      </w:tblGrid>
      <w:tr w:rsidR="00951534" w14:paraId="79BC1578" w14:textId="77777777">
        <w:trPr>
          <w:tblHeader/>
        </w:trPr>
        <w:tc>
          <w:tcPr>
            <w:tcW w:w="2595" w:type="dxa"/>
            <w:shd w:val="clear" w:color="auto" w:fill="1F3864"/>
            <w:tcMar>
              <w:top w:w="80" w:type="dxa"/>
              <w:left w:w="100" w:type="dxa"/>
              <w:bottom w:w="80" w:type="dxa"/>
              <w:right w:w="100" w:type="dxa"/>
            </w:tcMar>
          </w:tcPr>
          <w:p w14:paraId="428501CD" w14:textId="77777777" w:rsidR="00951534" w:rsidRDefault="00D92257">
            <w:pPr>
              <w:spacing w:line="360" w:lineRule="auto"/>
              <w:jc w:val="both"/>
              <w:rPr>
                <w:rFonts w:ascii="Times New Roman" w:eastAsia="Times New Roman" w:hAnsi="Times New Roman" w:cs="Times New Roman"/>
                <w:color w:val="FFFFFF"/>
                <w:sz w:val="24"/>
                <w:szCs w:val="24"/>
              </w:rPr>
            </w:pPr>
            <w:r>
              <w:rPr>
                <w:rFonts w:ascii="Times New Roman" w:eastAsia="Times New Roman" w:hAnsi="Times New Roman" w:cs="Times New Roman"/>
                <w:b/>
                <w:bCs/>
                <w:color w:val="FFFFFF"/>
                <w:sz w:val="24"/>
                <w:szCs w:val="24"/>
              </w:rPr>
              <w:t>Objective</w:t>
            </w:r>
          </w:p>
        </w:tc>
        <w:tc>
          <w:tcPr>
            <w:tcW w:w="2295" w:type="dxa"/>
            <w:shd w:val="clear" w:color="auto" w:fill="1F3864"/>
            <w:tcMar>
              <w:top w:w="80" w:type="dxa"/>
              <w:left w:w="100" w:type="dxa"/>
              <w:bottom w:w="80" w:type="dxa"/>
              <w:right w:w="100" w:type="dxa"/>
            </w:tcMar>
          </w:tcPr>
          <w:p w14:paraId="03A2DC95" w14:textId="77777777" w:rsidR="00951534" w:rsidRDefault="00D92257">
            <w:pPr>
              <w:spacing w:line="360" w:lineRule="auto"/>
              <w:jc w:val="both"/>
              <w:rPr>
                <w:rFonts w:ascii="Times New Roman" w:eastAsia="Times New Roman" w:hAnsi="Times New Roman" w:cs="Times New Roman"/>
                <w:color w:val="FFFFFF"/>
                <w:sz w:val="24"/>
                <w:szCs w:val="24"/>
              </w:rPr>
            </w:pPr>
            <w:r>
              <w:rPr>
                <w:rFonts w:ascii="Times New Roman" w:eastAsia="Times New Roman" w:hAnsi="Times New Roman" w:cs="Times New Roman"/>
                <w:b/>
                <w:bCs/>
                <w:color w:val="FFFFFF"/>
                <w:sz w:val="24"/>
                <w:szCs w:val="24"/>
              </w:rPr>
              <w:t>Baseline</w:t>
            </w:r>
          </w:p>
        </w:tc>
        <w:tc>
          <w:tcPr>
            <w:tcW w:w="2295" w:type="dxa"/>
            <w:shd w:val="clear" w:color="auto" w:fill="1F3864"/>
            <w:tcMar>
              <w:top w:w="80" w:type="dxa"/>
              <w:left w:w="100" w:type="dxa"/>
              <w:bottom w:w="80" w:type="dxa"/>
              <w:right w:w="100" w:type="dxa"/>
            </w:tcMar>
          </w:tcPr>
          <w:p w14:paraId="19F50212" w14:textId="77777777" w:rsidR="00951534" w:rsidRDefault="00D92257">
            <w:pPr>
              <w:spacing w:line="360" w:lineRule="auto"/>
              <w:jc w:val="both"/>
              <w:rPr>
                <w:rFonts w:ascii="Times New Roman" w:eastAsia="Times New Roman" w:hAnsi="Times New Roman" w:cs="Times New Roman"/>
                <w:color w:val="FFFFFF"/>
                <w:sz w:val="24"/>
                <w:szCs w:val="24"/>
              </w:rPr>
            </w:pPr>
            <w:r>
              <w:rPr>
                <w:rFonts w:ascii="Times New Roman" w:eastAsia="Times New Roman" w:hAnsi="Times New Roman" w:cs="Times New Roman"/>
                <w:b/>
                <w:bCs/>
                <w:color w:val="FFFFFF"/>
                <w:sz w:val="24"/>
                <w:szCs w:val="24"/>
              </w:rPr>
              <w:t>Target</w:t>
            </w:r>
          </w:p>
        </w:tc>
        <w:tc>
          <w:tcPr>
            <w:tcW w:w="2385" w:type="dxa"/>
            <w:shd w:val="clear" w:color="auto" w:fill="1F3864"/>
            <w:tcMar>
              <w:top w:w="80" w:type="dxa"/>
              <w:left w:w="100" w:type="dxa"/>
              <w:bottom w:w="80" w:type="dxa"/>
              <w:right w:w="100" w:type="dxa"/>
            </w:tcMar>
          </w:tcPr>
          <w:p w14:paraId="675D1A05" w14:textId="77777777" w:rsidR="00951534" w:rsidRDefault="00D92257">
            <w:pPr>
              <w:spacing w:line="360" w:lineRule="auto"/>
              <w:jc w:val="both"/>
              <w:rPr>
                <w:rFonts w:ascii="Times New Roman" w:eastAsia="Times New Roman" w:hAnsi="Times New Roman" w:cs="Times New Roman"/>
                <w:color w:val="FFFFFF"/>
                <w:sz w:val="24"/>
                <w:szCs w:val="24"/>
              </w:rPr>
            </w:pPr>
            <w:r>
              <w:rPr>
                <w:rFonts w:ascii="Times New Roman" w:eastAsia="Times New Roman" w:hAnsi="Times New Roman" w:cs="Times New Roman"/>
                <w:b/>
                <w:bCs/>
                <w:color w:val="FFFFFF"/>
                <w:sz w:val="24"/>
                <w:szCs w:val="24"/>
              </w:rPr>
              <w:t>Deadline</w:t>
            </w:r>
          </w:p>
        </w:tc>
      </w:tr>
      <w:tr w:rsidR="00951534" w14:paraId="4CD2AC7B" w14:textId="77777777">
        <w:tc>
          <w:tcPr>
            <w:tcW w:w="2595" w:type="dxa"/>
            <w:shd w:val="clear" w:color="auto" w:fill="F2F2F2"/>
            <w:tcMar>
              <w:top w:w="80" w:type="dxa"/>
              <w:left w:w="100" w:type="dxa"/>
              <w:bottom w:w="80" w:type="dxa"/>
              <w:right w:w="100" w:type="dxa"/>
            </w:tcMar>
          </w:tcPr>
          <w:p w14:paraId="3F908CC3"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Reduce unplanned downtime on priority production lines</w:t>
            </w:r>
          </w:p>
        </w:tc>
        <w:tc>
          <w:tcPr>
            <w:tcW w:w="2295" w:type="dxa"/>
            <w:shd w:val="clear" w:color="auto" w:fill="F2F2F2"/>
            <w:tcMar>
              <w:top w:w="80" w:type="dxa"/>
              <w:left w:w="100" w:type="dxa"/>
              <w:bottom w:w="80" w:type="dxa"/>
              <w:right w:w="100" w:type="dxa"/>
            </w:tcMar>
          </w:tcPr>
          <w:p w14:paraId="2774EB89"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Confirmed during Phase 1 diagnostic using Sunderland's own line data</w:t>
            </w:r>
          </w:p>
        </w:tc>
        <w:tc>
          <w:tcPr>
            <w:tcW w:w="2295" w:type="dxa"/>
            <w:shd w:val="clear" w:color="auto" w:fill="F2F2F2"/>
            <w:tcMar>
              <w:top w:w="80" w:type="dxa"/>
              <w:left w:w="100" w:type="dxa"/>
              <w:bottom w:w="80" w:type="dxa"/>
              <w:right w:w="100" w:type="dxa"/>
            </w:tcMar>
          </w:tcPr>
          <w:p w14:paraId="4B7CA050"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Reduce by 15%</w:t>
            </w:r>
          </w:p>
        </w:tc>
        <w:tc>
          <w:tcPr>
            <w:tcW w:w="2385" w:type="dxa"/>
            <w:shd w:val="clear" w:color="auto" w:fill="F2F2F2"/>
            <w:tcMar>
              <w:top w:w="80" w:type="dxa"/>
              <w:left w:w="100" w:type="dxa"/>
              <w:bottom w:w="80" w:type="dxa"/>
              <w:right w:w="100" w:type="dxa"/>
            </w:tcMar>
          </w:tcPr>
          <w:p w14:paraId="071F0A16"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Month 12</w:t>
            </w:r>
          </w:p>
        </w:tc>
      </w:tr>
      <w:tr w:rsidR="00951534" w14:paraId="7537FC7E" w14:textId="77777777">
        <w:tc>
          <w:tcPr>
            <w:tcW w:w="2595" w:type="dxa"/>
            <w:tcMar>
              <w:top w:w="80" w:type="dxa"/>
              <w:left w:w="100" w:type="dxa"/>
              <w:bottom w:w="80" w:type="dxa"/>
              <w:right w:w="100" w:type="dxa"/>
            </w:tcMar>
          </w:tcPr>
          <w:p w14:paraId="492FD741"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Reduce manufacturing defects on pilot lines</w:t>
            </w:r>
          </w:p>
        </w:tc>
        <w:tc>
          <w:tcPr>
            <w:tcW w:w="2295" w:type="dxa"/>
            <w:tcMar>
              <w:top w:w="80" w:type="dxa"/>
              <w:left w:w="100" w:type="dxa"/>
              <w:bottom w:w="80" w:type="dxa"/>
              <w:right w:w="100" w:type="dxa"/>
            </w:tcMar>
          </w:tcPr>
          <w:p w14:paraId="4B61BA05"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Confirmed during Phase 1 diagnostic (defects per million, ppm)</w:t>
            </w:r>
          </w:p>
        </w:tc>
        <w:tc>
          <w:tcPr>
            <w:tcW w:w="2295" w:type="dxa"/>
            <w:tcMar>
              <w:top w:w="80" w:type="dxa"/>
              <w:left w:w="100" w:type="dxa"/>
              <w:bottom w:w="80" w:type="dxa"/>
              <w:right w:w="100" w:type="dxa"/>
            </w:tcMar>
          </w:tcPr>
          <w:p w14:paraId="7F2A30BF"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Reduce by 10%</w:t>
            </w:r>
          </w:p>
        </w:tc>
        <w:tc>
          <w:tcPr>
            <w:tcW w:w="2385" w:type="dxa"/>
            <w:tcMar>
              <w:top w:w="80" w:type="dxa"/>
              <w:left w:w="100" w:type="dxa"/>
              <w:bottom w:w="80" w:type="dxa"/>
              <w:right w:w="100" w:type="dxa"/>
            </w:tcMar>
          </w:tcPr>
          <w:p w14:paraId="109D14EA"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Month 18</w:t>
            </w:r>
          </w:p>
        </w:tc>
      </w:tr>
      <w:tr w:rsidR="00951534" w14:paraId="7DB41910" w14:textId="77777777">
        <w:tc>
          <w:tcPr>
            <w:tcW w:w="2595" w:type="dxa"/>
            <w:shd w:val="clear" w:color="auto" w:fill="F2F2F2"/>
            <w:tcMar>
              <w:top w:w="80" w:type="dxa"/>
              <w:left w:w="100" w:type="dxa"/>
              <w:bottom w:w="80" w:type="dxa"/>
              <w:right w:w="100" w:type="dxa"/>
            </w:tcMar>
          </w:tcPr>
          <w:p w14:paraId="7FDE6368"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Improve employee engagement survey score</w:t>
            </w:r>
          </w:p>
        </w:tc>
        <w:tc>
          <w:tcPr>
            <w:tcW w:w="2295" w:type="dxa"/>
            <w:shd w:val="clear" w:color="auto" w:fill="F2F2F2"/>
            <w:tcMar>
              <w:top w:w="80" w:type="dxa"/>
              <w:left w:w="100" w:type="dxa"/>
              <w:bottom w:w="80" w:type="dxa"/>
              <w:right w:w="100" w:type="dxa"/>
            </w:tcMar>
          </w:tcPr>
          <w:p w14:paraId="119893E1" w14:textId="1857E8D6"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Current engagement score at programme </w:t>
            </w:r>
            <w:r w:rsidR="00A76F4D">
              <w:rPr>
                <w:rFonts w:ascii="Times New Roman" w:eastAsia="Times New Roman" w:hAnsi="Times New Roman" w:cs="Times New Roman"/>
                <w:sz w:val="24"/>
                <w:szCs w:val="24"/>
              </w:rPr>
              <w:t>starts</w:t>
            </w:r>
          </w:p>
        </w:tc>
        <w:tc>
          <w:tcPr>
            <w:tcW w:w="2295" w:type="dxa"/>
            <w:shd w:val="clear" w:color="auto" w:fill="F2F2F2"/>
            <w:tcMar>
              <w:top w:w="80" w:type="dxa"/>
              <w:left w:w="100" w:type="dxa"/>
              <w:bottom w:w="80" w:type="dxa"/>
              <w:right w:w="100" w:type="dxa"/>
            </w:tcMar>
          </w:tcPr>
          <w:p w14:paraId="256DE566"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Improve by 8 percentage points</w:t>
            </w:r>
          </w:p>
        </w:tc>
        <w:tc>
          <w:tcPr>
            <w:tcW w:w="2385" w:type="dxa"/>
            <w:shd w:val="clear" w:color="auto" w:fill="F2F2F2"/>
            <w:tcMar>
              <w:top w:w="80" w:type="dxa"/>
              <w:left w:w="100" w:type="dxa"/>
              <w:bottom w:w="80" w:type="dxa"/>
              <w:right w:w="100" w:type="dxa"/>
            </w:tcMar>
          </w:tcPr>
          <w:p w14:paraId="0406388D"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Month 18</w:t>
            </w:r>
          </w:p>
        </w:tc>
      </w:tr>
      <w:tr w:rsidR="00951534" w14:paraId="4BB78D6B" w14:textId="77777777">
        <w:tc>
          <w:tcPr>
            <w:tcW w:w="2595" w:type="dxa"/>
            <w:tcMar>
              <w:top w:w="80" w:type="dxa"/>
              <w:left w:w="100" w:type="dxa"/>
              <w:bottom w:w="80" w:type="dxa"/>
              <w:right w:w="100" w:type="dxa"/>
            </w:tcMar>
          </w:tcPr>
          <w:p w14:paraId="01328296"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Train affected production/engineering staff in AI-enabled systems</w:t>
            </w:r>
          </w:p>
        </w:tc>
        <w:tc>
          <w:tcPr>
            <w:tcW w:w="2295" w:type="dxa"/>
            <w:tcMar>
              <w:top w:w="80" w:type="dxa"/>
              <w:left w:w="100" w:type="dxa"/>
              <w:bottom w:w="80" w:type="dxa"/>
              <w:right w:w="100" w:type="dxa"/>
            </w:tcMar>
          </w:tcPr>
          <w:p w14:paraId="09C86D11"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 trained at programme start</w:t>
            </w:r>
          </w:p>
        </w:tc>
        <w:tc>
          <w:tcPr>
            <w:tcW w:w="2295" w:type="dxa"/>
            <w:tcMar>
              <w:top w:w="80" w:type="dxa"/>
              <w:left w:w="100" w:type="dxa"/>
              <w:bottom w:w="80" w:type="dxa"/>
              <w:right w:w="100" w:type="dxa"/>
            </w:tcMar>
          </w:tcPr>
          <w:p w14:paraId="690CDDF8"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90% trained</w:t>
            </w:r>
          </w:p>
        </w:tc>
        <w:tc>
          <w:tcPr>
            <w:tcW w:w="2385" w:type="dxa"/>
            <w:tcMar>
              <w:top w:w="80" w:type="dxa"/>
              <w:left w:w="100" w:type="dxa"/>
              <w:bottom w:w="80" w:type="dxa"/>
              <w:right w:w="100" w:type="dxa"/>
            </w:tcMar>
          </w:tcPr>
          <w:p w14:paraId="2DAC72A9"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Month 9</w:t>
            </w:r>
          </w:p>
        </w:tc>
      </w:tr>
      <w:tr w:rsidR="00951534" w14:paraId="43D6CACF" w14:textId="77777777">
        <w:tc>
          <w:tcPr>
            <w:tcW w:w="2595" w:type="dxa"/>
            <w:shd w:val="clear" w:color="auto" w:fill="F2F2F2"/>
            <w:tcMar>
              <w:top w:w="80" w:type="dxa"/>
              <w:left w:w="100" w:type="dxa"/>
              <w:bottom w:w="80" w:type="dxa"/>
              <w:right w:w="100" w:type="dxa"/>
            </w:tcMar>
          </w:tcPr>
          <w:p w14:paraId="5BB91B69"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Reduce cost per vehicle on pilot line(s)</w:t>
            </w:r>
          </w:p>
        </w:tc>
        <w:tc>
          <w:tcPr>
            <w:tcW w:w="2295" w:type="dxa"/>
            <w:shd w:val="clear" w:color="auto" w:fill="F2F2F2"/>
            <w:tcMar>
              <w:top w:w="80" w:type="dxa"/>
              <w:left w:w="100" w:type="dxa"/>
              <w:bottom w:w="80" w:type="dxa"/>
              <w:right w:w="100" w:type="dxa"/>
            </w:tcMar>
          </w:tcPr>
          <w:p w14:paraId="675D674E"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Confirmed during Phase 1 diagnostic</w:t>
            </w:r>
          </w:p>
        </w:tc>
        <w:tc>
          <w:tcPr>
            <w:tcW w:w="2295" w:type="dxa"/>
            <w:shd w:val="clear" w:color="auto" w:fill="F2F2F2"/>
            <w:tcMar>
              <w:top w:w="80" w:type="dxa"/>
              <w:left w:w="100" w:type="dxa"/>
              <w:bottom w:w="80" w:type="dxa"/>
              <w:right w:w="100" w:type="dxa"/>
            </w:tcMar>
          </w:tcPr>
          <w:p w14:paraId="05510537" w14:textId="49695709"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Quantified reduction, benchmarked against </w:t>
            </w:r>
            <w:r w:rsidR="00A76F4D">
              <w:rPr>
                <w:rFonts w:ascii="Times New Roman" w:eastAsia="Times New Roman" w:hAnsi="Times New Roman" w:cs="Times New Roman"/>
                <w:sz w:val="24"/>
                <w:szCs w:val="24"/>
              </w:rPr>
              <w:t>Re: Nissan’s</w:t>
            </w:r>
            <w:r>
              <w:rPr>
                <w:rFonts w:ascii="Times New Roman" w:eastAsia="Times New Roman" w:hAnsi="Times New Roman" w:cs="Times New Roman"/>
                <w:sz w:val="24"/>
                <w:szCs w:val="24"/>
              </w:rPr>
              <w:t xml:space="preserve"> 20% engineering-hour ambition</w:t>
            </w:r>
          </w:p>
        </w:tc>
        <w:tc>
          <w:tcPr>
            <w:tcW w:w="2385" w:type="dxa"/>
            <w:shd w:val="clear" w:color="auto" w:fill="F2F2F2"/>
            <w:tcMar>
              <w:top w:w="80" w:type="dxa"/>
              <w:left w:w="100" w:type="dxa"/>
              <w:bottom w:w="80" w:type="dxa"/>
              <w:right w:w="100" w:type="dxa"/>
            </w:tcMar>
          </w:tcPr>
          <w:p w14:paraId="1041B559"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Month 18 (pilot end)</w:t>
            </w:r>
          </w:p>
        </w:tc>
      </w:tr>
    </w:tbl>
    <w:p w14:paraId="222F38E0" w14:textId="77777777" w:rsidR="00951534" w:rsidRDefault="00D92257">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targets are not necessarily an impossible goal, but are based on the literature: In the automotive industry, the use of an AI-based inspection system can increase the decision-accuracy by around 10 percentage points, which gives a 10 per cent reduction nothing to dream of. As with the targets for downtime, engagement and cost-per-vehicle, these targets are planning assumptions, to be validated against Sunderland's own base data, as part of the Phase 1 diagnostic (Table 6). </w:t>
      </w:r>
    </w:p>
    <w:p w14:paraId="08A59C68" w14:textId="77777777" w:rsidR="00951534" w:rsidRDefault="00D92257">
      <w:pPr>
        <w:pStyle w:val="Heading2"/>
        <w:spacing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6.2 Financial Plan</w:t>
      </w:r>
    </w:p>
    <w:p w14:paraId="546DE9A4" w14:textId="5FD8B013" w:rsidR="00951534" w:rsidRDefault="00D92257">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plan recognises that financial planning isn't about making changes to existing budgets but rather the indicative cost investment areas, expected benefits, payback measures and financial controls (Table 5). No data are disclosed for Nissan budget lines so the figures are presented as planning level estimates, based on the scope of the </w:t>
      </w:r>
      <w:r w:rsidR="00D7643B">
        <w:rPr>
          <w:rFonts w:ascii="Times New Roman" w:eastAsia="Times New Roman" w:hAnsi="Times New Roman" w:cs="Times New Roman"/>
          <w:sz w:val="24"/>
          <w:szCs w:val="24"/>
        </w:rPr>
        <w:t>Re: Nissan’s</w:t>
      </w:r>
      <w:r>
        <w:rPr>
          <w:rFonts w:ascii="Times New Roman" w:eastAsia="Times New Roman" w:hAnsi="Times New Roman" w:cs="Times New Roman"/>
          <w:sz w:val="24"/>
          <w:szCs w:val="24"/>
        </w:rPr>
        <w:t xml:space="preserve"> overall group-wide savings plan of ¥500 billion and on the evidence of predictive-maintenance and quality-system from </w:t>
      </w:r>
      <w:r>
        <w:rPr>
          <w:rFonts w:ascii="Times New Roman" w:eastAsia="Times New Roman" w:hAnsi="Times New Roman" w:cs="Times New Roman"/>
          <w:sz w:val="24"/>
          <w:szCs w:val="24"/>
        </w:rPr>
        <w:t xml:space="preserve">the automotive industry used in this report (Hossain,2024; Nissan Motor Co., Ltd., 2025). A typical level of uncertainty for the implementation (10-15%) is included. </w:t>
      </w:r>
    </w:p>
    <w:p w14:paraId="17A92AB2" w14:textId="77777777" w:rsidR="00951534" w:rsidRDefault="00D92257">
      <w:pPr>
        <w:spacing w:before="200" w:after="6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Table 5: Indicative Sunderland financial plan (planning estimates)</w:t>
      </w:r>
    </w:p>
    <w:tbl>
      <w:tblPr>
        <w:tblStyle w:val="a3"/>
        <w:tblW w:w="940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300"/>
        <w:gridCol w:w="1700"/>
        <w:gridCol w:w="1900"/>
        <w:gridCol w:w="1900"/>
        <w:gridCol w:w="1600"/>
      </w:tblGrid>
      <w:tr w:rsidR="00951534" w14:paraId="7626F6BC" w14:textId="77777777">
        <w:trPr>
          <w:tblHeader/>
        </w:trPr>
        <w:tc>
          <w:tcPr>
            <w:tcW w:w="2300" w:type="dxa"/>
            <w:shd w:val="clear" w:color="auto" w:fill="1F3864"/>
            <w:tcMar>
              <w:top w:w="80" w:type="dxa"/>
              <w:left w:w="100" w:type="dxa"/>
              <w:bottom w:w="80" w:type="dxa"/>
              <w:right w:w="100" w:type="dxa"/>
            </w:tcMar>
          </w:tcPr>
          <w:p w14:paraId="4FD7BAA4" w14:textId="77777777" w:rsidR="00951534" w:rsidRDefault="00D92257">
            <w:pPr>
              <w:spacing w:line="360" w:lineRule="auto"/>
              <w:jc w:val="both"/>
              <w:rPr>
                <w:rFonts w:ascii="Times New Roman" w:eastAsia="Times New Roman" w:hAnsi="Times New Roman" w:cs="Times New Roman"/>
                <w:color w:val="FFFFFF"/>
                <w:sz w:val="24"/>
                <w:szCs w:val="24"/>
              </w:rPr>
            </w:pPr>
            <w:r>
              <w:rPr>
                <w:rFonts w:ascii="Times New Roman" w:eastAsia="Times New Roman" w:hAnsi="Times New Roman" w:cs="Times New Roman"/>
                <w:b/>
                <w:bCs/>
                <w:color w:val="FFFFFF"/>
                <w:sz w:val="24"/>
                <w:szCs w:val="24"/>
              </w:rPr>
              <w:t>Investment area</w:t>
            </w:r>
          </w:p>
        </w:tc>
        <w:tc>
          <w:tcPr>
            <w:tcW w:w="1700" w:type="dxa"/>
            <w:shd w:val="clear" w:color="auto" w:fill="1F3864"/>
            <w:tcMar>
              <w:top w:w="80" w:type="dxa"/>
              <w:left w:w="100" w:type="dxa"/>
              <w:bottom w:w="80" w:type="dxa"/>
              <w:right w:w="100" w:type="dxa"/>
            </w:tcMar>
          </w:tcPr>
          <w:p w14:paraId="22200676" w14:textId="77777777" w:rsidR="00951534" w:rsidRDefault="00D92257">
            <w:pPr>
              <w:spacing w:line="360" w:lineRule="auto"/>
              <w:jc w:val="both"/>
              <w:rPr>
                <w:rFonts w:ascii="Times New Roman" w:eastAsia="Times New Roman" w:hAnsi="Times New Roman" w:cs="Times New Roman"/>
                <w:color w:val="FFFFFF"/>
                <w:sz w:val="24"/>
                <w:szCs w:val="24"/>
              </w:rPr>
            </w:pPr>
            <w:r>
              <w:rPr>
                <w:rFonts w:ascii="Times New Roman" w:eastAsia="Times New Roman" w:hAnsi="Times New Roman" w:cs="Times New Roman"/>
                <w:b/>
                <w:bCs/>
                <w:color w:val="FFFFFF"/>
                <w:sz w:val="24"/>
                <w:szCs w:val="24"/>
              </w:rPr>
              <w:t>Indicative initial cost</w:t>
            </w:r>
          </w:p>
        </w:tc>
        <w:tc>
          <w:tcPr>
            <w:tcW w:w="1900" w:type="dxa"/>
            <w:shd w:val="clear" w:color="auto" w:fill="1F3864"/>
            <w:tcMar>
              <w:top w:w="80" w:type="dxa"/>
              <w:left w:w="100" w:type="dxa"/>
              <w:bottom w:w="80" w:type="dxa"/>
              <w:right w:w="100" w:type="dxa"/>
            </w:tcMar>
          </w:tcPr>
          <w:p w14:paraId="41A4B163" w14:textId="77777777" w:rsidR="00951534" w:rsidRDefault="00D92257">
            <w:pPr>
              <w:spacing w:line="360" w:lineRule="auto"/>
              <w:jc w:val="both"/>
              <w:rPr>
                <w:rFonts w:ascii="Times New Roman" w:eastAsia="Times New Roman" w:hAnsi="Times New Roman" w:cs="Times New Roman"/>
                <w:color w:val="FFFFFF"/>
                <w:sz w:val="24"/>
                <w:szCs w:val="24"/>
              </w:rPr>
            </w:pPr>
            <w:r>
              <w:rPr>
                <w:rFonts w:ascii="Times New Roman" w:eastAsia="Times New Roman" w:hAnsi="Times New Roman" w:cs="Times New Roman"/>
                <w:b/>
                <w:bCs/>
                <w:color w:val="FFFFFF"/>
                <w:sz w:val="24"/>
                <w:szCs w:val="24"/>
              </w:rPr>
              <w:t>Indicative annual operating cost</w:t>
            </w:r>
          </w:p>
        </w:tc>
        <w:tc>
          <w:tcPr>
            <w:tcW w:w="1900" w:type="dxa"/>
            <w:shd w:val="clear" w:color="auto" w:fill="1F3864"/>
            <w:tcMar>
              <w:top w:w="80" w:type="dxa"/>
              <w:left w:w="100" w:type="dxa"/>
              <w:bottom w:w="80" w:type="dxa"/>
              <w:right w:w="100" w:type="dxa"/>
            </w:tcMar>
          </w:tcPr>
          <w:p w14:paraId="6635F89B" w14:textId="77777777" w:rsidR="00951534" w:rsidRDefault="00D92257">
            <w:pPr>
              <w:spacing w:line="360" w:lineRule="auto"/>
              <w:jc w:val="both"/>
              <w:rPr>
                <w:rFonts w:ascii="Times New Roman" w:eastAsia="Times New Roman" w:hAnsi="Times New Roman" w:cs="Times New Roman"/>
                <w:color w:val="FFFFFF"/>
                <w:sz w:val="24"/>
                <w:szCs w:val="24"/>
              </w:rPr>
            </w:pPr>
            <w:r>
              <w:rPr>
                <w:rFonts w:ascii="Times New Roman" w:eastAsia="Times New Roman" w:hAnsi="Times New Roman" w:cs="Times New Roman"/>
                <w:b/>
                <w:bCs/>
                <w:color w:val="FFFFFF"/>
                <w:sz w:val="24"/>
                <w:szCs w:val="24"/>
              </w:rPr>
              <w:t>Expected annual benefit</w:t>
            </w:r>
          </w:p>
        </w:tc>
        <w:tc>
          <w:tcPr>
            <w:tcW w:w="1600" w:type="dxa"/>
            <w:shd w:val="clear" w:color="auto" w:fill="1F3864"/>
            <w:tcMar>
              <w:top w:w="80" w:type="dxa"/>
              <w:left w:w="100" w:type="dxa"/>
              <w:bottom w:w="80" w:type="dxa"/>
              <w:right w:w="100" w:type="dxa"/>
            </w:tcMar>
          </w:tcPr>
          <w:p w14:paraId="3F8F43C0" w14:textId="77777777" w:rsidR="00951534" w:rsidRDefault="00D92257">
            <w:pPr>
              <w:spacing w:line="360" w:lineRule="auto"/>
              <w:jc w:val="both"/>
              <w:rPr>
                <w:rFonts w:ascii="Times New Roman" w:eastAsia="Times New Roman" w:hAnsi="Times New Roman" w:cs="Times New Roman"/>
                <w:color w:val="FFFFFF"/>
                <w:sz w:val="24"/>
                <w:szCs w:val="24"/>
              </w:rPr>
            </w:pPr>
            <w:r>
              <w:rPr>
                <w:rFonts w:ascii="Times New Roman" w:eastAsia="Times New Roman" w:hAnsi="Times New Roman" w:cs="Times New Roman"/>
                <w:b/>
                <w:bCs/>
                <w:color w:val="FFFFFF"/>
                <w:sz w:val="24"/>
                <w:szCs w:val="24"/>
              </w:rPr>
              <w:t>Payback measure</w:t>
            </w:r>
          </w:p>
        </w:tc>
      </w:tr>
      <w:tr w:rsidR="00951534" w14:paraId="449B2D2C" w14:textId="77777777">
        <w:tc>
          <w:tcPr>
            <w:tcW w:w="2300" w:type="dxa"/>
            <w:shd w:val="clear" w:color="auto" w:fill="F2F2F2"/>
            <w:tcMar>
              <w:top w:w="80" w:type="dxa"/>
              <w:left w:w="100" w:type="dxa"/>
              <w:bottom w:w="80" w:type="dxa"/>
              <w:right w:w="100" w:type="dxa"/>
            </w:tcMar>
          </w:tcPr>
          <w:p w14:paraId="4FD49045"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Predictive-maintenance pilot (2 priority lines)</w:t>
            </w:r>
          </w:p>
        </w:tc>
        <w:tc>
          <w:tcPr>
            <w:tcW w:w="1700" w:type="dxa"/>
            <w:shd w:val="clear" w:color="auto" w:fill="F2F2F2"/>
            <w:tcMar>
              <w:top w:w="80" w:type="dxa"/>
              <w:left w:w="100" w:type="dxa"/>
              <w:bottom w:w="80" w:type="dxa"/>
              <w:right w:w="100" w:type="dxa"/>
            </w:tcMar>
          </w:tcPr>
          <w:p w14:paraId="28AF7837"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£0.8m</w:t>
            </w:r>
          </w:p>
        </w:tc>
        <w:tc>
          <w:tcPr>
            <w:tcW w:w="1900" w:type="dxa"/>
            <w:shd w:val="clear" w:color="auto" w:fill="F2F2F2"/>
            <w:tcMar>
              <w:top w:w="80" w:type="dxa"/>
              <w:left w:w="100" w:type="dxa"/>
              <w:bottom w:w="80" w:type="dxa"/>
              <w:right w:w="100" w:type="dxa"/>
            </w:tcMar>
          </w:tcPr>
          <w:p w14:paraId="6EA3A4F4"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£150k</w:t>
            </w:r>
          </w:p>
        </w:tc>
        <w:tc>
          <w:tcPr>
            <w:tcW w:w="1900" w:type="dxa"/>
            <w:shd w:val="clear" w:color="auto" w:fill="F2F2F2"/>
            <w:tcMar>
              <w:top w:w="80" w:type="dxa"/>
              <w:left w:w="100" w:type="dxa"/>
              <w:bottom w:w="80" w:type="dxa"/>
              <w:right w:w="100" w:type="dxa"/>
            </w:tcMar>
          </w:tcPr>
          <w:p w14:paraId="16FC0FB7"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Reduced unplanned downtime; est. £0.6m saved p.a.</w:t>
            </w:r>
          </w:p>
        </w:tc>
        <w:tc>
          <w:tcPr>
            <w:tcW w:w="1600" w:type="dxa"/>
            <w:shd w:val="clear" w:color="auto" w:fill="F2F2F2"/>
            <w:tcMar>
              <w:top w:w="80" w:type="dxa"/>
              <w:left w:w="100" w:type="dxa"/>
              <w:bottom w:w="80" w:type="dxa"/>
              <w:right w:w="100" w:type="dxa"/>
            </w:tcMar>
          </w:tcPr>
          <w:p w14:paraId="5EF3A8AF"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~16 months</w:t>
            </w:r>
          </w:p>
        </w:tc>
      </w:tr>
      <w:tr w:rsidR="00951534" w14:paraId="0D86BA35" w14:textId="77777777">
        <w:tc>
          <w:tcPr>
            <w:tcW w:w="2300" w:type="dxa"/>
            <w:tcMar>
              <w:top w:w="80" w:type="dxa"/>
              <w:left w:w="100" w:type="dxa"/>
              <w:bottom w:w="80" w:type="dxa"/>
              <w:right w:w="100" w:type="dxa"/>
            </w:tcMar>
          </w:tcPr>
          <w:p w14:paraId="1020C488"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AI-enabled quality inspection</w:t>
            </w:r>
          </w:p>
        </w:tc>
        <w:tc>
          <w:tcPr>
            <w:tcW w:w="1700" w:type="dxa"/>
            <w:tcMar>
              <w:top w:w="80" w:type="dxa"/>
              <w:left w:w="100" w:type="dxa"/>
              <w:bottom w:w="80" w:type="dxa"/>
              <w:right w:w="100" w:type="dxa"/>
            </w:tcMar>
          </w:tcPr>
          <w:p w14:paraId="54205D30"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£1.2m</w:t>
            </w:r>
          </w:p>
        </w:tc>
        <w:tc>
          <w:tcPr>
            <w:tcW w:w="1900" w:type="dxa"/>
            <w:tcMar>
              <w:top w:w="80" w:type="dxa"/>
              <w:left w:w="100" w:type="dxa"/>
              <w:bottom w:w="80" w:type="dxa"/>
              <w:right w:w="100" w:type="dxa"/>
            </w:tcMar>
          </w:tcPr>
          <w:p w14:paraId="78A3D4B9"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£200k</w:t>
            </w:r>
          </w:p>
        </w:tc>
        <w:tc>
          <w:tcPr>
            <w:tcW w:w="1900" w:type="dxa"/>
            <w:tcMar>
              <w:top w:w="80" w:type="dxa"/>
              <w:left w:w="100" w:type="dxa"/>
              <w:bottom w:w="80" w:type="dxa"/>
              <w:right w:w="100" w:type="dxa"/>
            </w:tcMar>
          </w:tcPr>
          <w:p w14:paraId="4024B8B0"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Lower defect/rework cost; est. £0.75m saved p.a.</w:t>
            </w:r>
          </w:p>
        </w:tc>
        <w:tc>
          <w:tcPr>
            <w:tcW w:w="1600" w:type="dxa"/>
            <w:tcMar>
              <w:top w:w="80" w:type="dxa"/>
              <w:left w:w="100" w:type="dxa"/>
              <w:bottom w:w="80" w:type="dxa"/>
              <w:right w:w="100" w:type="dxa"/>
            </w:tcMar>
          </w:tcPr>
          <w:p w14:paraId="5BCE1EF6"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~19 months</w:t>
            </w:r>
          </w:p>
        </w:tc>
      </w:tr>
      <w:tr w:rsidR="00951534" w14:paraId="569AEE32" w14:textId="77777777">
        <w:tc>
          <w:tcPr>
            <w:tcW w:w="2300" w:type="dxa"/>
            <w:shd w:val="clear" w:color="auto" w:fill="F2F2F2"/>
            <w:tcMar>
              <w:top w:w="80" w:type="dxa"/>
              <w:left w:w="100" w:type="dxa"/>
              <w:bottom w:w="80" w:type="dxa"/>
              <w:right w:w="100" w:type="dxa"/>
            </w:tcMar>
          </w:tcPr>
          <w:p w14:paraId="04A239E1"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Employee digital-skills training (90% of affected staff)</w:t>
            </w:r>
          </w:p>
        </w:tc>
        <w:tc>
          <w:tcPr>
            <w:tcW w:w="1700" w:type="dxa"/>
            <w:shd w:val="clear" w:color="auto" w:fill="F2F2F2"/>
            <w:tcMar>
              <w:top w:w="80" w:type="dxa"/>
              <w:left w:w="100" w:type="dxa"/>
              <w:bottom w:w="80" w:type="dxa"/>
              <w:right w:w="100" w:type="dxa"/>
            </w:tcMar>
          </w:tcPr>
          <w:p w14:paraId="5E93302C"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£0.45m</w:t>
            </w:r>
          </w:p>
        </w:tc>
        <w:tc>
          <w:tcPr>
            <w:tcW w:w="1900" w:type="dxa"/>
            <w:shd w:val="clear" w:color="auto" w:fill="F2F2F2"/>
            <w:tcMar>
              <w:top w:w="80" w:type="dxa"/>
              <w:left w:w="100" w:type="dxa"/>
              <w:bottom w:w="80" w:type="dxa"/>
              <w:right w:w="100" w:type="dxa"/>
            </w:tcMar>
          </w:tcPr>
          <w:p w14:paraId="4FABF41B"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£100k (refresher)</w:t>
            </w:r>
          </w:p>
        </w:tc>
        <w:tc>
          <w:tcPr>
            <w:tcW w:w="1900" w:type="dxa"/>
            <w:shd w:val="clear" w:color="auto" w:fill="F2F2F2"/>
            <w:tcMar>
              <w:top w:w="80" w:type="dxa"/>
              <w:left w:w="100" w:type="dxa"/>
              <w:bottom w:w="80" w:type="dxa"/>
              <w:right w:w="100" w:type="dxa"/>
            </w:tcMar>
          </w:tcPr>
          <w:p w14:paraId="12C08DC6"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Higher system adoption and productivity; est. £0.3m value p.a.</w:t>
            </w:r>
          </w:p>
        </w:tc>
        <w:tc>
          <w:tcPr>
            <w:tcW w:w="1600" w:type="dxa"/>
            <w:shd w:val="clear" w:color="auto" w:fill="F2F2F2"/>
            <w:tcMar>
              <w:top w:w="80" w:type="dxa"/>
              <w:left w:w="100" w:type="dxa"/>
              <w:bottom w:w="80" w:type="dxa"/>
              <w:right w:w="100" w:type="dxa"/>
            </w:tcMar>
          </w:tcPr>
          <w:p w14:paraId="000B8FDE"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~18 months</w:t>
            </w:r>
          </w:p>
        </w:tc>
      </w:tr>
      <w:tr w:rsidR="00951534" w14:paraId="02904BC1" w14:textId="77777777">
        <w:tc>
          <w:tcPr>
            <w:tcW w:w="2300" w:type="dxa"/>
            <w:tcMar>
              <w:top w:w="80" w:type="dxa"/>
              <w:left w:w="100" w:type="dxa"/>
              <w:bottom w:w="80" w:type="dxa"/>
              <w:right w:w="100" w:type="dxa"/>
            </w:tcMar>
          </w:tcPr>
          <w:p w14:paraId="10B0D700"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 and consultation programme</w:t>
            </w:r>
          </w:p>
        </w:tc>
        <w:tc>
          <w:tcPr>
            <w:tcW w:w="1700" w:type="dxa"/>
            <w:tcMar>
              <w:top w:w="80" w:type="dxa"/>
              <w:left w:w="100" w:type="dxa"/>
              <w:bottom w:w="80" w:type="dxa"/>
              <w:right w:w="100" w:type="dxa"/>
            </w:tcMar>
          </w:tcPr>
          <w:p w14:paraId="6B34CC27"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£0.15m</w:t>
            </w:r>
          </w:p>
        </w:tc>
        <w:tc>
          <w:tcPr>
            <w:tcW w:w="1900" w:type="dxa"/>
            <w:tcMar>
              <w:top w:w="80" w:type="dxa"/>
              <w:left w:w="100" w:type="dxa"/>
              <w:bottom w:w="80" w:type="dxa"/>
              <w:right w:w="100" w:type="dxa"/>
            </w:tcMar>
          </w:tcPr>
          <w:p w14:paraId="6388D400"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£60k</w:t>
            </w:r>
          </w:p>
        </w:tc>
        <w:tc>
          <w:tcPr>
            <w:tcW w:w="1900" w:type="dxa"/>
            <w:tcMar>
              <w:top w:w="80" w:type="dxa"/>
              <w:left w:w="100" w:type="dxa"/>
              <w:bottom w:w="80" w:type="dxa"/>
              <w:right w:w="100" w:type="dxa"/>
            </w:tcMar>
          </w:tcPr>
          <w:p w14:paraId="1339EA21"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Reduced resistance and disruption; fewer delivery delays</w:t>
            </w:r>
          </w:p>
        </w:tc>
        <w:tc>
          <w:tcPr>
            <w:tcW w:w="1600" w:type="dxa"/>
            <w:tcMar>
              <w:top w:w="80" w:type="dxa"/>
              <w:left w:w="100" w:type="dxa"/>
              <w:bottom w:w="80" w:type="dxa"/>
              <w:right w:w="100" w:type="dxa"/>
            </w:tcMar>
          </w:tcPr>
          <w:p w14:paraId="2FD7BD92"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Engagement/absenteeism KPIs</w:t>
            </w:r>
          </w:p>
        </w:tc>
      </w:tr>
      <w:tr w:rsidR="00951534" w14:paraId="116315BD" w14:textId="77777777">
        <w:tc>
          <w:tcPr>
            <w:tcW w:w="2300" w:type="dxa"/>
            <w:shd w:val="clear" w:color="auto" w:fill="F2F2F2"/>
            <w:tcMar>
              <w:top w:w="80" w:type="dxa"/>
              <w:left w:w="100" w:type="dxa"/>
              <w:bottom w:w="80" w:type="dxa"/>
              <w:right w:w="100" w:type="dxa"/>
            </w:tcMar>
          </w:tcPr>
          <w:p w14:paraId="74B6EA0D"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Contingency (10–15% of above)</w:t>
            </w:r>
          </w:p>
        </w:tc>
        <w:tc>
          <w:tcPr>
            <w:tcW w:w="1700" w:type="dxa"/>
            <w:shd w:val="clear" w:color="auto" w:fill="F2F2F2"/>
            <w:tcMar>
              <w:top w:w="80" w:type="dxa"/>
              <w:left w:w="100" w:type="dxa"/>
              <w:bottom w:w="80" w:type="dxa"/>
              <w:right w:w="100" w:type="dxa"/>
            </w:tcMar>
          </w:tcPr>
          <w:p w14:paraId="283DE4BF"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£0.33m–£0.40m</w:t>
            </w:r>
          </w:p>
        </w:tc>
        <w:tc>
          <w:tcPr>
            <w:tcW w:w="1900" w:type="dxa"/>
            <w:shd w:val="clear" w:color="auto" w:fill="F2F2F2"/>
            <w:tcMar>
              <w:top w:w="80" w:type="dxa"/>
              <w:left w:w="100" w:type="dxa"/>
              <w:bottom w:w="80" w:type="dxa"/>
              <w:right w:w="100" w:type="dxa"/>
            </w:tcMar>
          </w:tcPr>
          <w:p w14:paraId="697D2CB4"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1900" w:type="dxa"/>
            <w:shd w:val="clear" w:color="auto" w:fill="F2F2F2"/>
            <w:tcMar>
              <w:top w:w="80" w:type="dxa"/>
              <w:left w:w="100" w:type="dxa"/>
              <w:bottom w:w="80" w:type="dxa"/>
              <w:right w:w="100" w:type="dxa"/>
            </w:tcMar>
          </w:tcPr>
          <w:p w14:paraId="0228F3E0"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Covers implementation uncertainty</w:t>
            </w:r>
          </w:p>
        </w:tc>
        <w:tc>
          <w:tcPr>
            <w:tcW w:w="1600" w:type="dxa"/>
            <w:shd w:val="clear" w:color="auto" w:fill="F2F2F2"/>
            <w:tcMar>
              <w:top w:w="80" w:type="dxa"/>
              <w:left w:w="100" w:type="dxa"/>
              <w:bottom w:w="80" w:type="dxa"/>
              <w:right w:w="100" w:type="dxa"/>
            </w:tcMar>
          </w:tcPr>
          <w:p w14:paraId="78207CDD"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Budget variance tracked quarterly</w:t>
            </w:r>
          </w:p>
        </w:tc>
      </w:tr>
    </w:tbl>
    <w:p w14:paraId="2145A9FC" w14:textId="02D7A39A" w:rsidR="00951534" w:rsidRDefault="00D92257">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Authorisation and monitoring </w:t>
      </w:r>
      <w:r w:rsidR="00A76F4D">
        <w:rPr>
          <w:rFonts w:ascii="Times New Roman" w:eastAsia="Times New Roman" w:hAnsi="Times New Roman" w:cs="Times New Roman"/>
          <w:sz w:val="24"/>
          <w:szCs w:val="24"/>
        </w:rPr>
        <w:t>consist</w:t>
      </w:r>
      <w:r>
        <w:rPr>
          <w:rFonts w:ascii="Times New Roman" w:eastAsia="Times New Roman" w:hAnsi="Times New Roman" w:cs="Times New Roman"/>
          <w:sz w:val="24"/>
          <w:szCs w:val="24"/>
        </w:rPr>
        <w:t xml:space="preserve"> of two users, the Plant Director and a nominated Digital Transformation Lead and reports quarterly to group finance on the milestones in Table 6 (the milestones are achieved as a series of stage gates, not as one big promise up front). If the AI systems do not perform as intended, however, or not exist, then some of the savings will not be realised, and will be added to the risk register (Table 8) and directly via the stage-gate funding mechanism. </w:t>
      </w:r>
    </w:p>
    <w:p w14:paraId="0896F67A" w14:textId="77777777" w:rsidR="00951534" w:rsidRDefault="00D92257">
      <w:pPr>
        <w:pStyle w:val="Heading2"/>
        <w:spacing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6.3 Phased Timeline</w:t>
      </w:r>
    </w:p>
    <w:p w14:paraId="227A5634" w14:textId="4056A652" w:rsidR="00951534" w:rsidRDefault="00D92257">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goals of the plan are broken down into 4 phases—all part of the </w:t>
      </w:r>
      <w:r w:rsidR="00D7643B">
        <w:rPr>
          <w:rFonts w:ascii="Times New Roman" w:eastAsia="Times New Roman" w:hAnsi="Times New Roman" w:cs="Times New Roman"/>
          <w:sz w:val="24"/>
          <w:szCs w:val="24"/>
        </w:rPr>
        <w:t>Re: Nissan</w:t>
      </w:r>
      <w:r>
        <w:rPr>
          <w:rFonts w:ascii="Times New Roman" w:eastAsia="Times New Roman" w:hAnsi="Times New Roman" w:cs="Times New Roman"/>
          <w:sz w:val="24"/>
          <w:szCs w:val="24"/>
        </w:rPr>
        <w:t xml:space="preserve"> programme for FY2027 (Table 6). This is a step-wise approach to the apparent conflict of 18 months objectives and the group-wide </w:t>
      </w:r>
      <w:r w:rsidR="00D7643B">
        <w:rPr>
          <w:rFonts w:ascii="Times New Roman" w:eastAsia="Times New Roman" w:hAnsi="Times New Roman" w:cs="Times New Roman"/>
          <w:sz w:val="24"/>
          <w:szCs w:val="24"/>
        </w:rPr>
        <w:t>Re: Nissan</w:t>
      </w:r>
      <w:r>
        <w:rPr>
          <w:rFonts w:ascii="Times New Roman" w:eastAsia="Times New Roman" w:hAnsi="Times New Roman" w:cs="Times New Roman"/>
          <w:sz w:val="24"/>
          <w:szCs w:val="24"/>
        </w:rPr>
        <w:t xml:space="preserve"> programme, recognising that Phases 1-3 will be a bounded and assessable pilot of the group-wide programme, which will end at month 18; and Phase 4 will introduce validated practices into the group-wide programme. </w:t>
      </w:r>
    </w:p>
    <w:p w14:paraId="4A49BEFD" w14:textId="77777777" w:rsidR="00951534" w:rsidRDefault="00D92257">
      <w:pPr>
        <w:spacing w:before="200" w:after="6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Table 6: Phased implementation timeline</w:t>
      </w:r>
    </w:p>
    <w:tbl>
      <w:tblPr>
        <w:tblStyle w:val="a4"/>
        <w:tblW w:w="937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395"/>
        <w:gridCol w:w="1395"/>
        <w:gridCol w:w="2595"/>
        <w:gridCol w:w="3990"/>
      </w:tblGrid>
      <w:tr w:rsidR="00951534" w14:paraId="15D385C2" w14:textId="77777777">
        <w:trPr>
          <w:tblHeader/>
        </w:trPr>
        <w:tc>
          <w:tcPr>
            <w:tcW w:w="1395" w:type="dxa"/>
            <w:shd w:val="clear" w:color="auto" w:fill="1F3864"/>
            <w:tcMar>
              <w:top w:w="80" w:type="dxa"/>
              <w:left w:w="100" w:type="dxa"/>
              <w:bottom w:w="80" w:type="dxa"/>
              <w:right w:w="100" w:type="dxa"/>
            </w:tcMar>
          </w:tcPr>
          <w:p w14:paraId="0A30CF4C" w14:textId="77777777" w:rsidR="00951534" w:rsidRDefault="00D92257">
            <w:pPr>
              <w:spacing w:line="360" w:lineRule="auto"/>
              <w:jc w:val="both"/>
              <w:rPr>
                <w:rFonts w:ascii="Times New Roman" w:eastAsia="Times New Roman" w:hAnsi="Times New Roman" w:cs="Times New Roman"/>
                <w:color w:val="FFFFFF"/>
                <w:sz w:val="24"/>
                <w:szCs w:val="24"/>
              </w:rPr>
            </w:pPr>
            <w:r>
              <w:rPr>
                <w:rFonts w:ascii="Times New Roman" w:eastAsia="Times New Roman" w:hAnsi="Times New Roman" w:cs="Times New Roman"/>
                <w:b/>
                <w:bCs/>
                <w:color w:val="FFFFFF"/>
                <w:sz w:val="24"/>
                <w:szCs w:val="24"/>
              </w:rPr>
              <w:t>Phase</w:t>
            </w:r>
          </w:p>
        </w:tc>
        <w:tc>
          <w:tcPr>
            <w:tcW w:w="1395" w:type="dxa"/>
            <w:shd w:val="clear" w:color="auto" w:fill="1F3864"/>
            <w:tcMar>
              <w:top w:w="80" w:type="dxa"/>
              <w:left w:w="100" w:type="dxa"/>
              <w:bottom w:w="80" w:type="dxa"/>
              <w:right w:w="100" w:type="dxa"/>
            </w:tcMar>
          </w:tcPr>
          <w:p w14:paraId="0D8D52DB" w14:textId="77777777" w:rsidR="00951534" w:rsidRDefault="00D92257">
            <w:pPr>
              <w:spacing w:line="360" w:lineRule="auto"/>
              <w:jc w:val="both"/>
              <w:rPr>
                <w:rFonts w:ascii="Times New Roman" w:eastAsia="Times New Roman" w:hAnsi="Times New Roman" w:cs="Times New Roman"/>
                <w:color w:val="FFFFFF"/>
                <w:sz w:val="24"/>
                <w:szCs w:val="24"/>
              </w:rPr>
            </w:pPr>
            <w:r>
              <w:rPr>
                <w:rFonts w:ascii="Times New Roman" w:eastAsia="Times New Roman" w:hAnsi="Times New Roman" w:cs="Times New Roman"/>
                <w:b/>
                <w:bCs/>
                <w:color w:val="FFFFFF"/>
                <w:sz w:val="24"/>
                <w:szCs w:val="24"/>
              </w:rPr>
              <w:t>Months</w:t>
            </w:r>
          </w:p>
        </w:tc>
        <w:tc>
          <w:tcPr>
            <w:tcW w:w="2595" w:type="dxa"/>
            <w:shd w:val="clear" w:color="auto" w:fill="1F3864"/>
            <w:tcMar>
              <w:top w:w="80" w:type="dxa"/>
              <w:left w:w="100" w:type="dxa"/>
              <w:bottom w:w="80" w:type="dxa"/>
              <w:right w:w="100" w:type="dxa"/>
            </w:tcMar>
          </w:tcPr>
          <w:p w14:paraId="01B05089" w14:textId="77777777" w:rsidR="00951534" w:rsidRDefault="00D92257">
            <w:pPr>
              <w:spacing w:line="360" w:lineRule="auto"/>
              <w:jc w:val="both"/>
              <w:rPr>
                <w:rFonts w:ascii="Times New Roman" w:eastAsia="Times New Roman" w:hAnsi="Times New Roman" w:cs="Times New Roman"/>
                <w:color w:val="FFFFFF"/>
                <w:sz w:val="24"/>
                <w:szCs w:val="24"/>
              </w:rPr>
            </w:pPr>
            <w:r>
              <w:rPr>
                <w:rFonts w:ascii="Times New Roman" w:eastAsia="Times New Roman" w:hAnsi="Times New Roman" w:cs="Times New Roman"/>
                <w:b/>
                <w:bCs/>
                <w:color w:val="FFFFFF"/>
                <w:sz w:val="24"/>
                <w:szCs w:val="24"/>
              </w:rPr>
              <w:t>Focus</w:t>
            </w:r>
          </w:p>
        </w:tc>
        <w:tc>
          <w:tcPr>
            <w:tcW w:w="3990" w:type="dxa"/>
            <w:shd w:val="clear" w:color="auto" w:fill="1F3864"/>
            <w:tcMar>
              <w:top w:w="80" w:type="dxa"/>
              <w:left w:w="100" w:type="dxa"/>
              <w:bottom w:w="80" w:type="dxa"/>
              <w:right w:w="100" w:type="dxa"/>
            </w:tcMar>
          </w:tcPr>
          <w:p w14:paraId="640E5B5A" w14:textId="77777777" w:rsidR="00951534" w:rsidRDefault="00D92257">
            <w:pPr>
              <w:spacing w:line="360" w:lineRule="auto"/>
              <w:jc w:val="both"/>
              <w:rPr>
                <w:rFonts w:ascii="Times New Roman" w:eastAsia="Times New Roman" w:hAnsi="Times New Roman" w:cs="Times New Roman"/>
                <w:color w:val="FFFFFF"/>
                <w:sz w:val="24"/>
                <w:szCs w:val="24"/>
              </w:rPr>
            </w:pPr>
            <w:r>
              <w:rPr>
                <w:rFonts w:ascii="Times New Roman" w:eastAsia="Times New Roman" w:hAnsi="Times New Roman" w:cs="Times New Roman"/>
                <w:b/>
                <w:bCs/>
                <w:color w:val="FFFFFF"/>
                <w:sz w:val="24"/>
                <w:szCs w:val="24"/>
              </w:rPr>
              <w:t>Key milestones</w:t>
            </w:r>
          </w:p>
        </w:tc>
      </w:tr>
      <w:tr w:rsidR="00951534" w14:paraId="07F30CAC" w14:textId="77777777">
        <w:tc>
          <w:tcPr>
            <w:tcW w:w="1395" w:type="dxa"/>
            <w:shd w:val="clear" w:color="auto" w:fill="F2F2F2"/>
            <w:tcMar>
              <w:top w:w="80" w:type="dxa"/>
              <w:left w:w="100" w:type="dxa"/>
              <w:bottom w:w="80" w:type="dxa"/>
              <w:right w:w="100" w:type="dxa"/>
            </w:tcMar>
          </w:tcPr>
          <w:p w14:paraId="6EBF29D5"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Phase 1</w:t>
            </w:r>
          </w:p>
        </w:tc>
        <w:tc>
          <w:tcPr>
            <w:tcW w:w="1395" w:type="dxa"/>
            <w:shd w:val="clear" w:color="auto" w:fill="F2F2F2"/>
            <w:tcMar>
              <w:top w:w="80" w:type="dxa"/>
              <w:left w:w="100" w:type="dxa"/>
              <w:bottom w:w="80" w:type="dxa"/>
              <w:right w:w="100" w:type="dxa"/>
            </w:tcMar>
          </w:tcPr>
          <w:p w14:paraId="36B4BFB9"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1–3</w:t>
            </w:r>
          </w:p>
        </w:tc>
        <w:tc>
          <w:tcPr>
            <w:tcW w:w="2595" w:type="dxa"/>
            <w:shd w:val="clear" w:color="auto" w:fill="F2F2F2"/>
            <w:tcMar>
              <w:top w:w="80" w:type="dxa"/>
              <w:left w:w="100" w:type="dxa"/>
              <w:bottom w:w="80" w:type="dxa"/>
              <w:right w:w="100" w:type="dxa"/>
            </w:tcMar>
          </w:tcPr>
          <w:p w14:paraId="4F2BF30C"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Unfreeze and diagnose</w:t>
            </w:r>
          </w:p>
        </w:tc>
        <w:tc>
          <w:tcPr>
            <w:tcW w:w="3990" w:type="dxa"/>
            <w:shd w:val="clear" w:color="auto" w:fill="F2F2F2"/>
            <w:tcMar>
              <w:top w:w="80" w:type="dxa"/>
              <w:left w:w="100" w:type="dxa"/>
              <w:bottom w:w="80" w:type="dxa"/>
              <w:right w:w="100" w:type="dxa"/>
            </w:tcMar>
          </w:tcPr>
          <w:p w14:paraId="64180134"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Baseline downtime/defect/engagement data confirmed; guiding coalition formed; urgency communicated (Kotter Step 1; Lewin unfreeze)</w:t>
            </w:r>
          </w:p>
        </w:tc>
      </w:tr>
      <w:tr w:rsidR="00951534" w14:paraId="21060B78" w14:textId="77777777">
        <w:tc>
          <w:tcPr>
            <w:tcW w:w="1395" w:type="dxa"/>
            <w:tcMar>
              <w:top w:w="80" w:type="dxa"/>
              <w:left w:w="100" w:type="dxa"/>
              <w:bottom w:w="80" w:type="dxa"/>
              <w:right w:w="100" w:type="dxa"/>
            </w:tcMar>
          </w:tcPr>
          <w:p w14:paraId="1239E1BA"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Phase 2</w:t>
            </w:r>
          </w:p>
        </w:tc>
        <w:tc>
          <w:tcPr>
            <w:tcW w:w="1395" w:type="dxa"/>
            <w:tcMar>
              <w:top w:w="80" w:type="dxa"/>
              <w:left w:w="100" w:type="dxa"/>
              <w:bottom w:w="80" w:type="dxa"/>
              <w:right w:w="100" w:type="dxa"/>
            </w:tcMar>
          </w:tcPr>
          <w:p w14:paraId="51955BBC"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4–9</w:t>
            </w:r>
          </w:p>
        </w:tc>
        <w:tc>
          <w:tcPr>
            <w:tcW w:w="2595" w:type="dxa"/>
            <w:tcMar>
              <w:top w:w="80" w:type="dxa"/>
              <w:left w:w="100" w:type="dxa"/>
              <w:bottom w:w="80" w:type="dxa"/>
              <w:right w:w="100" w:type="dxa"/>
            </w:tcMar>
          </w:tcPr>
          <w:p w14:paraId="69ED19DB"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Pilot and capability building</w:t>
            </w:r>
          </w:p>
        </w:tc>
        <w:tc>
          <w:tcPr>
            <w:tcW w:w="3990" w:type="dxa"/>
            <w:tcMar>
              <w:top w:w="80" w:type="dxa"/>
              <w:left w:w="100" w:type="dxa"/>
              <w:bottom w:w="80" w:type="dxa"/>
              <w:right w:w="100" w:type="dxa"/>
            </w:tcMar>
          </w:tcPr>
          <w:p w14:paraId="4805C93D"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Predictive-maintenance and AI-inspection pilots live on 1–2 lines; 90% of affected staff trained</w:t>
            </w:r>
          </w:p>
        </w:tc>
      </w:tr>
      <w:tr w:rsidR="00951534" w14:paraId="35D11837" w14:textId="77777777">
        <w:tc>
          <w:tcPr>
            <w:tcW w:w="1395" w:type="dxa"/>
            <w:shd w:val="clear" w:color="auto" w:fill="F2F2F2"/>
            <w:tcMar>
              <w:top w:w="80" w:type="dxa"/>
              <w:left w:w="100" w:type="dxa"/>
              <w:bottom w:w="80" w:type="dxa"/>
              <w:right w:w="100" w:type="dxa"/>
            </w:tcMar>
          </w:tcPr>
          <w:p w14:paraId="7FF2BA0E"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Phase 3</w:t>
            </w:r>
          </w:p>
        </w:tc>
        <w:tc>
          <w:tcPr>
            <w:tcW w:w="1395" w:type="dxa"/>
            <w:shd w:val="clear" w:color="auto" w:fill="F2F2F2"/>
            <w:tcMar>
              <w:top w:w="80" w:type="dxa"/>
              <w:left w:w="100" w:type="dxa"/>
              <w:bottom w:w="80" w:type="dxa"/>
              <w:right w:w="100" w:type="dxa"/>
            </w:tcMar>
          </w:tcPr>
          <w:p w14:paraId="1DD8A585"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10–18</w:t>
            </w:r>
          </w:p>
        </w:tc>
        <w:tc>
          <w:tcPr>
            <w:tcW w:w="2595" w:type="dxa"/>
            <w:shd w:val="clear" w:color="auto" w:fill="F2F2F2"/>
            <w:tcMar>
              <w:top w:w="80" w:type="dxa"/>
              <w:left w:w="100" w:type="dxa"/>
              <w:bottom w:w="80" w:type="dxa"/>
              <w:right w:w="100" w:type="dxa"/>
            </w:tcMar>
          </w:tcPr>
          <w:p w14:paraId="1B52B1AA"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Scale and consolidate</w:t>
            </w:r>
          </w:p>
        </w:tc>
        <w:tc>
          <w:tcPr>
            <w:tcW w:w="3990" w:type="dxa"/>
            <w:shd w:val="clear" w:color="auto" w:fill="F2F2F2"/>
            <w:tcMar>
              <w:top w:w="80" w:type="dxa"/>
              <w:left w:w="100" w:type="dxa"/>
              <w:bottom w:w="80" w:type="dxa"/>
              <w:right w:w="100" w:type="dxa"/>
            </w:tcMar>
          </w:tcPr>
          <w:p w14:paraId="4E769223"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Pilot results reviewed at stage-gate; successful elements scaled; short-term wins communicated (Kotter Steps 4–6)</w:t>
            </w:r>
          </w:p>
        </w:tc>
      </w:tr>
      <w:tr w:rsidR="00951534" w14:paraId="48BD2960" w14:textId="77777777">
        <w:tc>
          <w:tcPr>
            <w:tcW w:w="1395" w:type="dxa"/>
            <w:tcMar>
              <w:top w:w="80" w:type="dxa"/>
              <w:left w:w="100" w:type="dxa"/>
              <w:bottom w:w="80" w:type="dxa"/>
              <w:right w:w="100" w:type="dxa"/>
            </w:tcMar>
          </w:tcPr>
          <w:p w14:paraId="319AC51B"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Phase 4 (continuation)</w:t>
            </w:r>
          </w:p>
        </w:tc>
        <w:tc>
          <w:tcPr>
            <w:tcW w:w="1395" w:type="dxa"/>
            <w:tcMar>
              <w:top w:w="80" w:type="dxa"/>
              <w:left w:w="100" w:type="dxa"/>
              <w:bottom w:w="80" w:type="dxa"/>
              <w:right w:w="100" w:type="dxa"/>
            </w:tcMar>
          </w:tcPr>
          <w:p w14:paraId="19886F75"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19–36 / to FY2027</w:t>
            </w:r>
          </w:p>
        </w:tc>
        <w:tc>
          <w:tcPr>
            <w:tcW w:w="2595" w:type="dxa"/>
            <w:tcMar>
              <w:top w:w="80" w:type="dxa"/>
              <w:left w:w="100" w:type="dxa"/>
              <w:bottom w:w="80" w:type="dxa"/>
              <w:right w:w="100" w:type="dxa"/>
            </w:tcMar>
          </w:tcPr>
          <w:p w14:paraId="22289C65" w14:textId="4CEBE970"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Institutionalise within </w:t>
            </w:r>
            <w:r w:rsidR="00D7643B">
              <w:rPr>
                <w:rFonts w:ascii="Times New Roman" w:eastAsia="Times New Roman" w:hAnsi="Times New Roman" w:cs="Times New Roman"/>
                <w:sz w:val="24"/>
                <w:szCs w:val="24"/>
              </w:rPr>
              <w:t>Re: Nissan</w:t>
            </w:r>
          </w:p>
        </w:tc>
        <w:tc>
          <w:tcPr>
            <w:tcW w:w="3990" w:type="dxa"/>
            <w:tcMar>
              <w:top w:w="80" w:type="dxa"/>
              <w:left w:w="100" w:type="dxa"/>
              <w:bottom w:w="80" w:type="dxa"/>
              <w:right w:w="100" w:type="dxa"/>
            </w:tcMar>
          </w:tcPr>
          <w:p w14:paraId="0B048DB6"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New practices embedded as standard operating procedure (Lewin refreeze; Kotter Step 8); aligned to group FY2027 deadline</w:t>
            </w:r>
          </w:p>
        </w:tc>
      </w:tr>
    </w:tbl>
    <w:p w14:paraId="1BE932CD" w14:textId="77777777" w:rsidR="00951534" w:rsidRDefault="00951534">
      <w:pPr>
        <w:pStyle w:val="Heading2"/>
        <w:spacing w:line="360" w:lineRule="auto"/>
        <w:jc w:val="both"/>
        <w:rPr>
          <w:rFonts w:ascii="Times New Roman" w:eastAsia="Times New Roman" w:hAnsi="Times New Roman" w:cs="Times New Roman"/>
          <w:color w:val="000000"/>
          <w:sz w:val="24"/>
          <w:szCs w:val="24"/>
        </w:rPr>
      </w:pPr>
    </w:p>
    <w:p w14:paraId="5C4E9DAA" w14:textId="77777777" w:rsidR="00951534" w:rsidRDefault="00951534">
      <w:pPr>
        <w:pStyle w:val="Heading2"/>
        <w:spacing w:line="360" w:lineRule="auto"/>
        <w:jc w:val="both"/>
        <w:rPr>
          <w:rFonts w:ascii="Times New Roman" w:eastAsia="Times New Roman" w:hAnsi="Times New Roman" w:cs="Times New Roman"/>
          <w:b/>
          <w:bCs/>
          <w:color w:val="000000"/>
          <w:sz w:val="24"/>
          <w:szCs w:val="24"/>
        </w:rPr>
      </w:pPr>
    </w:p>
    <w:p w14:paraId="4F036FA1" w14:textId="77777777" w:rsidR="00951534" w:rsidRDefault="00951534">
      <w:pPr>
        <w:pStyle w:val="Heading2"/>
        <w:spacing w:line="360" w:lineRule="auto"/>
        <w:jc w:val="both"/>
        <w:rPr>
          <w:rFonts w:ascii="Times New Roman" w:eastAsia="Times New Roman" w:hAnsi="Times New Roman" w:cs="Times New Roman"/>
          <w:b/>
          <w:bCs/>
          <w:color w:val="000000"/>
          <w:sz w:val="24"/>
          <w:szCs w:val="24"/>
        </w:rPr>
      </w:pPr>
    </w:p>
    <w:p w14:paraId="51DE4A68" w14:textId="77777777" w:rsidR="00951534" w:rsidRDefault="00D92257">
      <w:pPr>
        <w:pStyle w:val="Heading2"/>
        <w:spacing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6.4 Communication Plan and Stakeholder Participation</w:t>
      </w:r>
    </w:p>
    <w:p w14:paraId="57D9463B" w14:textId="77777777" w:rsidR="00951534" w:rsidRDefault="00D9225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essential to tailor the message and the communication channel to the needs of the target groups for the change in the organisation to be communicated effectively, as argued by </w:t>
      </w:r>
      <w:r>
        <w:rPr>
          <w:rFonts w:ascii="Times New Roman" w:eastAsia="Times New Roman" w:hAnsi="Times New Roman" w:cs="Times New Roman"/>
          <w:sz w:val="24"/>
          <w:szCs w:val="24"/>
        </w:rPr>
        <w:t>Shrivastava et al. (2022). This includes leadership town halls, customized meetings with trade unions and dashboards for monitoring on the ground in the short-term to drive change in Sunderland (Carreño 2024). Engage employees in the implementation of AI, such as design, testing, safety review, feedback and continual improvement of AI pilots. It is depicted in the communication cascade model (Figure 2) and in Table 7 the different groups of people who can be involved in the communication cascade and how the</w:t>
      </w:r>
      <w:r>
        <w:rPr>
          <w:rFonts w:ascii="Times New Roman" w:eastAsia="Times New Roman" w:hAnsi="Times New Roman" w:cs="Times New Roman"/>
          <w:sz w:val="24"/>
          <w:szCs w:val="24"/>
        </w:rPr>
        <w:t xml:space="preserve">y can be involved depending on their interest and power in the situation are identified. </w:t>
      </w:r>
    </w:p>
    <w:p w14:paraId="45682617" w14:textId="77777777" w:rsidR="00951534" w:rsidRDefault="00D92257">
      <w:pPr>
        <w:spacing w:before="200" w:after="6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Figure 2: Proposed communication cascade for the Sunderland change programme</w:t>
      </w:r>
    </w:p>
    <w:p w14:paraId="478A2655" w14:textId="77777777" w:rsidR="00951534" w:rsidRDefault="00D92257">
      <w:pPr>
        <w:spacing w:after="22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ED56C1E" wp14:editId="4CA184B4">
            <wp:extent cx="4238700" cy="5386388"/>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238700" cy="5386388"/>
                    </a:xfrm>
                    <a:prstGeom prst="rect">
                      <a:avLst/>
                    </a:prstGeom>
                    <a:ln/>
                  </pic:spPr>
                </pic:pic>
              </a:graphicData>
            </a:graphic>
          </wp:inline>
        </w:drawing>
      </w:r>
    </w:p>
    <w:p w14:paraId="19ED6CE3" w14:textId="77777777" w:rsidR="00951534" w:rsidRDefault="00D92257">
      <w:pPr>
        <w:spacing w:before="200" w:after="6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Table 7: Stakeholder matrix for the Sunderland change programme</w:t>
      </w:r>
    </w:p>
    <w:tbl>
      <w:tblPr>
        <w:tblStyle w:val="a5"/>
        <w:tblW w:w="880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900"/>
        <w:gridCol w:w="1000"/>
        <w:gridCol w:w="1000"/>
        <w:gridCol w:w="2600"/>
        <w:gridCol w:w="2300"/>
      </w:tblGrid>
      <w:tr w:rsidR="00951534" w14:paraId="71452F0C" w14:textId="77777777">
        <w:trPr>
          <w:tblHeader/>
        </w:trPr>
        <w:tc>
          <w:tcPr>
            <w:tcW w:w="1900" w:type="dxa"/>
            <w:shd w:val="clear" w:color="auto" w:fill="1F3864"/>
            <w:tcMar>
              <w:top w:w="80" w:type="dxa"/>
              <w:left w:w="100" w:type="dxa"/>
              <w:bottom w:w="80" w:type="dxa"/>
              <w:right w:w="100" w:type="dxa"/>
            </w:tcMar>
          </w:tcPr>
          <w:p w14:paraId="44770A6B" w14:textId="77777777" w:rsidR="00951534" w:rsidRDefault="00D92257">
            <w:pPr>
              <w:spacing w:line="360" w:lineRule="auto"/>
              <w:jc w:val="both"/>
              <w:rPr>
                <w:rFonts w:ascii="Times New Roman" w:eastAsia="Times New Roman" w:hAnsi="Times New Roman" w:cs="Times New Roman"/>
                <w:color w:val="FFFFFF"/>
                <w:sz w:val="24"/>
                <w:szCs w:val="24"/>
              </w:rPr>
            </w:pPr>
            <w:r>
              <w:rPr>
                <w:rFonts w:ascii="Times New Roman" w:eastAsia="Times New Roman" w:hAnsi="Times New Roman" w:cs="Times New Roman"/>
                <w:b/>
                <w:bCs/>
                <w:color w:val="FFFFFF"/>
                <w:sz w:val="24"/>
                <w:szCs w:val="24"/>
              </w:rPr>
              <w:t>Stakeholder</w:t>
            </w:r>
          </w:p>
        </w:tc>
        <w:tc>
          <w:tcPr>
            <w:tcW w:w="1000" w:type="dxa"/>
            <w:shd w:val="clear" w:color="auto" w:fill="1F3864"/>
            <w:tcMar>
              <w:top w:w="80" w:type="dxa"/>
              <w:left w:w="100" w:type="dxa"/>
              <w:bottom w:w="80" w:type="dxa"/>
              <w:right w:w="100" w:type="dxa"/>
            </w:tcMar>
          </w:tcPr>
          <w:p w14:paraId="25D78F6D" w14:textId="77777777" w:rsidR="00951534" w:rsidRDefault="00D92257">
            <w:pPr>
              <w:spacing w:line="360" w:lineRule="auto"/>
              <w:jc w:val="both"/>
              <w:rPr>
                <w:rFonts w:ascii="Times New Roman" w:eastAsia="Times New Roman" w:hAnsi="Times New Roman" w:cs="Times New Roman"/>
                <w:color w:val="FFFFFF"/>
                <w:sz w:val="24"/>
                <w:szCs w:val="24"/>
              </w:rPr>
            </w:pPr>
            <w:r>
              <w:rPr>
                <w:rFonts w:ascii="Times New Roman" w:eastAsia="Times New Roman" w:hAnsi="Times New Roman" w:cs="Times New Roman"/>
                <w:b/>
                <w:bCs/>
                <w:color w:val="FFFFFF"/>
                <w:sz w:val="24"/>
                <w:szCs w:val="24"/>
              </w:rPr>
              <w:t>Power</w:t>
            </w:r>
          </w:p>
        </w:tc>
        <w:tc>
          <w:tcPr>
            <w:tcW w:w="1000" w:type="dxa"/>
            <w:shd w:val="clear" w:color="auto" w:fill="1F3864"/>
            <w:tcMar>
              <w:top w:w="80" w:type="dxa"/>
              <w:left w:w="100" w:type="dxa"/>
              <w:bottom w:w="80" w:type="dxa"/>
              <w:right w:w="100" w:type="dxa"/>
            </w:tcMar>
          </w:tcPr>
          <w:p w14:paraId="59A6194B" w14:textId="77777777" w:rsidR="00951534" w:rsidRDefault="00D92257">
            <w:pPr>
              <w:spacing w:line="360" w:lineRule="auto"/>
              <w:jc w:val="both"/>
              <w:rPr>
                <w:rFonts w:ascii="Times New Roman" w:eastAsia="Times New Roman" w:hAnsi="Times New Roman" w:cs="Times New Roman"/>
                <w:color w:val="FFFFFF"/>
                <w:sz w:val="24"/>
                <w:szCs w:val="24"/>
              </w:rPr>
            </w:pPr>
            <w:r>
              <w:rPr>
                <w:rFonts w:ascii="Times New Roman" w:eastAsia="Times New Roman" w:hAnsi="Times New Roman" w:cs="Times New Roman"/>
                <w:b/>
                <w:bCs/>
                <w:color w:val="FFFFFF"/>
                <w:sz w:val="24"/>
                <w:szCs w:val="24"/>
              </w:rPr>
              <w:t>Interest</w:t>
            </w:r>
          </w:p>
        </w:tc>
        <w:tc>
          <w:tcPr>
            <w:tcW w:w="2600" w:type="dxa"/>
            <w:shd w:val="clear" w:color="auto" w:fill="1F3864"/>
            <w:tcMar>
              <w:top w:w="80" w:type="dxa"/>
              <w:left w:w="100" w:type="dxa"/>
              <w:bottom w:w="80" w:type="dxa"/>
              <w:right w:w="100" w:type="dxa"/>
            </w:tcMar>
          </w:tcPr>
          <w:p w14:paraId="54254423" w14:textId="77777777" w:rsidR="00951534" w:rsidRDefault="00D92257">
            <w:pPr>
              <w:spacing w:line="360" w:lineRule="auto"/>
              <w:jc w:val="both"/>
              <w:rPr>
                <w:rFonts w:ascii="Times New Roman" w:eastAsia="Times New Roman" w:hAnsi="Times New Roman" w:cs="Times New Roman"/>
                <w:color w:val="FFFFFF"/>
                <w:sz w:val="24"/>
                <w:szCs w:val="24"/>
              </w:rPr>
            </w:pPr>
            <w:r>
              <w:rPr>
                <w:rFonts w:ascii="Times New Roman" w:eastAsia="Times New Roman" w:hAnsi="Times New Roman" w:cs="Times New Roman"/>
                <w:b/>
                <w:bCs/>
                <w:color w:val="FFFFFF"/>
                <w:sz w:val="24"/>
                <w:szCs w:val="24"/>
              </w:rPr>
              <w:t>Key concerns</w:t>
            </w:r>
          </w:p>
        </w:tc>
        <w:tc>
          <w:tcPr>
            <w:tcW w:w="2300" w:type="dxa"/>
            <w:shd w:val="clear" w:color="auto" w:fill="1F3864"/>
            <w:tcMar>
              <w:top w:w="80" w:type="dxa"/>
              <w:left w:w="100" w:type="dxa"/>
              <w:bottom w:w="80" w:type="dxa"/>
              <w:right w:w="100" w:type="dxa"/>
            </w:tcMar>
          </w:tcPr>
          <w:p w14:paraId="34B3D027" w14:textId="77777777" w:rsidR="00951534" w:rsidRDefault="00D92257">
            <w:pPr>
              <w:spacing w:line="360" w:lineRule="auto"/>
              <w:jc w:val="both"/>
              <w:rPr>
                <w:rFonts w:ascii="Times New Roman" w:eastAsia="Times New Roman" w:hAnsi="Times New Roman" w:cs="Times New Roman"/>
                <w:color w:val="FFFFFF"/>
                <w:sz w:val="24"/>
                <w:szCs w:val="24"/>
              </w:rPr>
            </w:pPr>
            <w:r>
              <w:rPr>
                <w:rFonts w:ascii="Times New Roman" w:eastAsia="Times New Roman" w:hAnsi="Times New Roman" w:cs="Times New Roman"/>
                <w:b/>
                <w:bCs/>
                <w:color w:val="FFFFFF"/>
                <w:sz w:val="24"/>
                <w:szCs w:val="24"/>
              </w:rPr>
              <w:t>Engagement method</w:t>
            </w:r>
          </w:p>
        </w:tc>
      </w:tr>
      <w:tr w:rsidR="00951534" w14:paraId="47610ABB" w14:textId="77777777">
        <w:tc>
          <w:tcPr>
            <w:tcW w:w="1900" w:type="dxa"/>
            <w:shd w:val="clear" w:color="auto" w:fill="F2F2F2"/>
            <w:tcMar>
              <w:top w:w="80" w:type="dxa"/>
              <w:left w:w="100" w:type="dxa"/>
              <w:bottom w:w="80" w:type="dxa"/>
              <w:right w:w="100" w:type="dxa"/>
            </w:tcMar>
          </w:tcPr>
          <w:p w14:paraId="062AD91F"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Plant leadership</w:t>
            </w:r>
          </w:p>
        </w:tc>
        <w:tc>
          <w:tcPr>
            <w:tcW w:w="1000" w:type="dxa"/>
            <w:shd w:val="clear" w:color="auto" w:fill="F2F2F2"/>
            <w:tcMar>
              <w:top w:w="80" w:type="dxa"/>
              <w:left w:w="100" w:type="dxa"/>
              <w:bottom w:w="80" w:type="dxa"/>
              <w:right w:w="100" w:type="dxa"/>
            </w:tcMar>
          </w:tcPr>
          <w:p w14:paraId="34D8342F"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1000" w:type="dxa"/>
            <w:shd w:val="clear" w:color="auto" w:fill="F2F2F2"/>
            <w:tcMar>
              <w:top w:w="80" w:type="dxa"/>
              <w:left w:w="100" w:type="dxa"/>
              <w:bottom w:w="80" w:type="dxa"/>
              <w:right w:w="100" w:type="dxa"/>
            </w:tcMar>
          </w:tcPr>
          <w:p w14:paraId="6556B235"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2600" w:type="dxa"/>
            <w:shd w:val="clear" w:color="auto" w:fill="F2F2F2"/>
            <w:tcMar>
              <w:top w:w="80" w:type="dxa"/>
              <w:left w:w="100" w:type="dxa"/>
              <w:bottom w:w="80" w:type="dxa"/>
              <w:right w:w="100" w:type="dxa"/>
            </w:tcMar>
          </w:tcPr>
          <w:p w14:paraId="49FF91DD" w14:textId="0E22FCA6"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Delivery of </w:t>
            </w:r>
            <w:r w:rsidR="00D7643B">
              <w:rPr>
                <w:rFonts w:ascii="Times New Roman" w:eastAsia="Times New Roman" w:hAnsi="Times New Roman" w:cs="Times New Roman"/>
                <w:sz w:val="24"/>
                <w:szCs w:val="24"/>
              </w:rPr>
              <w:t>Re: Nissan</w:t>
            </w:r>
            <w:r>
              <w:rPr>
                <w:rFonts w:ascii="Times New Roman" w:eastAsia="Times New Roman" w:hAnsi="Times New Roman" w:cs="Times New Roman"/>
                <w:sz w:val="24"/>
                <w:szCs w:val="24"/>
              </w:rPr>
              <w:t xml:space="preserve"> targets at Sunderland</w:t>
            </w:r>
          </w:p>
        </w:tc>
        <w:tc>
          <w:tcPr>
            <w:tcW w:w="2300" w:type="dxa"/>
            <w:shd w:val="clear" w:color="auto" w:fill="F2F2F2"/>
            <w:tcMar>
              <w:top w:w="80" w:type="dxa"/>
              <w:left w:w="100" w:type="dxa"/>
              <w:bottom w:w="80" w:type="dxa"/>
              <w:right w:w="100" w:type="dxa"/>
            </w:tcMar>
          </w:tcPr>
          <w:p w14:paraId="6C8BB9BA"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Weekly steering group; sponsor of guiding coalition</w:t>
            </w:r>
          </w:p>
        </w:tc>
      </w:tr>
      <w:tr w:rsidR="00951534" w14:paraId="73969DCA" w14:textId="77777777">
        <w:tc>
          <w:tcPr>
            <w:tcW w:w="1900" w:type="dxa"/>
            <w:tcMar>
              <w:top w:w="80" w:type="dxa"/>
              <w:left w:w="100" w:type="dxa"/>
              <w:bottom w:w="80" w:type="dxa"/>
              <w:right w:w="100" w:type="dxa"/>
            </w:tcMar>
          </w:tcPr>
          <w:p w14:paraId="70E59301"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Shop-floor employees</w:t>
            </w:r>
          </w:p>
        </w:tc>
        <w:tc>
          <w:tcPr>
            <w:tcW w:w="1000" w:type="dxa"/>
            <w:tcMar>
              <w:top w:w="80" w:type="dxa"/>
              <w:left w:w="100" w:type="dxa"/>
              <w:bottom w:w="80" w:type="dxa"/>
              <w:right w:w="100" w:type="dxa"/>
            </w:tcMar>
          </w:tcPr>
          <w:p w14:paraId="32457CDC"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Medium</w:t>
            </w:r>
          </w:p>
        </w:tc>
        <w:tc>
          <w:tcPr>
            <w:tcW w:w="1000" w:type="dxa"/>
            <w:tcMar>
              <w:top w:w="80" w:type="dxa"/>
              <w:left w:w="100" w:type="dxa"/>
              <w:bottom w:w="80" w:type="dxa"/>
              <w:right w:w="100" w:type="dxa"/>
            </w:tcMar>
          </w:tcPr>
          <w:p w14:paraId="2ED3C230"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2600" w:type="dxa"/>
            <w:tcMar>
              <w:top w:w="80" w:type="dxa"/>
              <w:left w:w="100" w:type="dxa"/>
              <w:bottom w:w="80" w:type="dxa"/>
              <w:right w:w="100" w:type="dxa"/>
            </w:tcMar>
          </w:tcPr>
          <w:p w14:paraId="0CCD831B"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Job security, workload, fairness of AI-supported decisions</w:t>
            </w:r>
          </w:p>
        </w:tc>
        <w:tc>
          <w:tcPr>
            <w:tcW w:w="2300" w:type="dxa"/>
            <w:tcMar>
              <w:top w:w="80" w:type="dxa"/>
              <w:left w:w="100" w:type="dxa"/>
              <w:bottom w:w="80" w:type="dxa"/>
              <w:right w:w="100" w:type="dxa"/>
            </w:tcMar>
          </w:tcPr>
          <w:p w14:paraId="432B6A37"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Town halls; pilot-design workshops; continuous-improvement teams</w:t>
            </w:r>
          </w:p>
        </w:tc>
      </w:tr>
      <w:tr w:rsidR="00951534" w14:paraId="081C0768" w14:textId="77777777">
        <w:tc>
          <w:tcPr>
            <w:tcW w:w="1900" w:type="dxa"/>
            <w:shd w:val="clear" w:color="auto" w:fill="F2F2F2"/>
            <w:tcMar>
              <w:top w:w="80" w:type="dxa"/>
              <w:left w:w="100" w:type="dxa"/>
              <w:bottom w:w="80" w:type="dxa"/>
              <w:right w:w="100" w:type="dxa"/>
            </w:tcMar>
          </w:tcPr>
          <w:p w14:paraId="7430381B"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Trade unions (e.g. Unite)</w:t>
            </w:r>
          </w:p>
        </w:tc>
        <w:tc>
          <w:tcPr>
            <w:tcW w:w="1000" w:type="dxa"/>
            <w:shd w:val="clear" w:color="auto" w:fill="F2F2F2"/>
            <w:tcMar>
              <w:top w:w="80" w:type="dxa"/>
              <w:left w:w="100" w:type="dxa"/>
              <w:bottom w:w="80" w:type="dxa"/>
              <w:right w:w="100" w:type="dxa"/>
            </w:tcMar>
          </w:tcPr>
          <w:p w14:paraId="78E54909"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1000" w:type="dxa"/>
            <w:shd w:val="clear" w:color="auto" w:fill="F2F2F2"/>
            <w:tcMar>
              <w:top w:w="80" w:type="dxa"/>
              <w:left w:w="100" w:type="dxa"/>
              <w:bottom w:w="80" w:type="dxa"/>
              <w:right w:w="100" w:type="dxa"/>
            </w:tcMar>
          </w:tcPr>
          <w:p w14:paraId="0F2FC766"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2600" w:type="dxa"/>
            <w:shd w:val="clear" w:color="auto" w:fill="F2F2F2"/>
            <w:tcMar>
              <w:top w:w="80" w:type="dxa"/>
              <w:left w:w="100" w:type="dxa"/>
              <w:bottom w:w="80" w:type="dxa"/>
              <w:right w:w="100" w:type="dxa"/>
            </w:tcMar>
          </w:tcPr>
          <w:p w14:paraId="37014189"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Consultation rights, redundancy handling, terms and conditions</w:t>
            </w:r>
          </w:p>
        </w:tc>
        <w:tc>
          <w:tcPr>
            <w:tcW w:w="2300" w:type="dxa"/>
            <w:shd w:val="clear" w:color="auto" w:fill="F2F2F2"/>
            <w:tcMar>
              <w:top w:w="80" w:type="dxa"/>
              <w:left w:w="100" w:type="dxa"/>
              <w:bottom w:w="80" w:type="dxa"/>
              <w:right w:w="100" w:type="dxa"/>
            </w:tcMar>
          </w:tcPr>
          <w:p w14:paraId="463C086D"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Formal two-way consultation; joint monitoring of KPIs</w:t>
            </w:r>
          </w:p>
        </w:tc>
      </w:tr>
      <w:tr w:rsidR="00951534" w14:paraId="300084E9" w14:textId="77777777">
        <w:tc>
          <w:tcPr>
            <w:tcW w:w="1900" w:type="dxa"/>
            <w:tcMar>
              <w:top w:w="80" w:type="dxa"/>
              <w:left w:w="100" w:type="dxa"/>
              <w:bottom w:w="80" w:type="dxa"/>
              <w:right w:w="100" w:type="dxa"/>
            </w:tcMar>
          </w:tcPr>
          <w:p w14:paraId="3654D109"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Engineering and IT teams</w:t>
            </w:r>
          </w:p>
        </w:tc>
        <w:tc>
          <w:tcPr>
            <w:tcW w:w="1000" w:type="dxa"/>
            <w:tcMar>
              <w:top w:w="80" w:type="dxa"/>
              <w:left w:w="100" w:type="dxa"/>
              <w:bottom w:w="80" w:type="dxa"/>
              <w:right w:w="100" w:type="dxa"/>
            </w:tcMar>
          </w:tcPr>
          <w:p w14:paraId="6EE41F35"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Medium</w:t>
            </w:r>
          </w:p>
        </w:tc>
        <w:tc>
          <w:tcPr>
            <w:tcW w:w="1000" w:type="dxa"/>
            <w:tcMar>
              <w:top w:w="80" w:type="dxa"/>
              <w:left w:w="100" w:type="dxa"/>
              <w:bottom w:w="80" w:type="dxa"/>
              <w:right w:w="100" w:type="dxa"/>
            </w:tcMar>
          </w:tcPr>
          <w:p w14:paraId="408E2565"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2600" w:type="dxa"/>
            <w:tcMar>
              <w:top w:w="80" w:type="dxa"/>
              <w:left w:w="100" w:type="dxa"/>
              <w:bottom w:w="80" w:type="dxa"/>
              <w:right w:w="100" w:type="dxa"/>
            </w:tcMar>
          </w:tcPr>
          <w:p w14:paraId="283D7852"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Technical feasibility, data quality, system integration</w:t>
            </w:r>
          </w:p>
        </w:tc>
        <w:tc>
          <w:tcPr>
            <w:tcW w:w="2300" w:type="dxa"/>
            <w:tcMar>
              <w:top w:w="80" w:type="dxa"/>
              <w:left w:w="100" w:type="dxa"/>
              <w:bottom w:w="80" w:type="dxa"/>
              <w:right w:w="100" w:type="dxa"/>
            </w:tcMar>
          </w:tcPr>
          <w:p w14:paraId="593DB974"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Working groups; pilot ownership</w:t>
            </w:r>
          </w:p>
        </w:tc>
      </w:tr>
      <w:tr w:rsidR="00951534" w14:paraId="51A389B6" w14:textId="77777777">
        <w:tc>
          <w:tcPr>
            <w:tcW w:w="1900" w:type="dxa"/>
            <w:shd w:val="clear" w:color="auto" w:fill="F2F2F2"/>
            <w:tcMar>
              <w:top w:w="80" w:type="dxa"/>
              <w:left w:w="100" w:type="dxa"/>
              <w:bottom w:w="80" w:type="dxa"/>
              <w:right w:w="100" w:type="dxa"/>
            </w:tcMar>
          </w:tcPr>
          <w:p w14:paraId="1EF7BC75"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HR</w:t>
            </w:r>
          </w:p>
        </w:tc>
        <w:tc>
          <w:tcPr>
            <w:tcW w:w="1000" w:type="dxa"/>
            <w:shd w:val="clear" w:color="auto" w:fill="F2F2F2"/>
            <w:tcMar>
              <w:top w:w="80" w:type="dxa"/>
              <w:left w:w="100" w:type="dxa"/>
              <w:bottom w:w="80" w:type="dxa"/>
              <w:right w:w="100" w:type="dxa"/>
            </w:tcMar>
          </w:tcPr>
          <w:p w14:paraId="210597DE"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Medium</w:t>
            </w:r>
          </w:p>
        </w:tc>
        <w:tc>
          <w:tcPr>
            <w:tcW w:w="1000" w:type="dxa"/>
            <w:shd w:val="clear" w:color="auto" w:fill="F2F2F2"/>
            <w:tcMar>
              <w:top w:w="80" w:type="dxa"/>
              <w:left w:w="100" w:type="dxa"/>
              <w:bottom w:w="80" w:type="dxa"/>
              <w:right w:w="100" w:type="dxa"/>
            </w:tcMar>
          </w:tcPr>
          <w:p w14:paraId="6E9FDE70"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Medium</w:t>
            </w:r>
          </w:p>
        </w:tc>
        <w:tc>
          <w:tcPr>
            <w:tcW w:w="2600" w:type="dxa"/>
            <w:shd w:val="clear" w:color="auto" w:fill="F2F2F2"/>
            <w:tcMar>
              <w:top w:w="80" w:type="dxa"/>
              <w:left w:w="100" w:type="dxa"/>
              <w:bottom w:w="80" w:type="dxa"/>
              <w:right w:w="100" w:type="dxa"/>
            </w:tcMar>
          </w:tcPr>
          <w:p w14:paraId="062550C6"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Employee wellbeing, training delivery, engagement scores</w:t>
            </w:r>
          </w:p>
        </w:tc>
        <w:tc>
          <w:tcPr>
            <w:tcW w:w="2300" w:type="dxa"/>
            <w:shd w:val="clear" w:color="auto" w:fill="F2F2F2"/>
            <w:tcMar>
              <w:top w:w="80" w:type="dxa"/>
              <w:left w:w="100" w:type="dxa"/>
              <w:bottom w:w="80" w:type="dxa"/>
              <w:right w:w="100" w:type="dxa"/>
            </w:tcMar>
          </w:tcPr>
          <w:p w14:paraId="60986690"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Joint reporting with plant leadership</w:t>
            </w:r>
          </w:p>
        </w:tc>
      </w:tr>
      <w:tr w:rsidR="00951534" w14:paraId="01DF1DE8" w14:textId="77777777">
        <w:tc>
          <w:tcPr>
            <w:tcW w:w="1900" w:type="dxa"/>
            <w:tcMar>
              <w:top w:w="80" w:type="dxa"/>
              <w:left w:w="100" w:type="dxa"/>
              <w:bottom w:w="80" w:type="dxa"/>
              <w:right w:w="100" w:type="dxa"/>
            </w:tcMar>
          </w:tcPr>
          <w:p w14:paraId="09E6FE6F"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Suppliers</w:t>
            </w:r>
          </w:p>
        </w:tc>
        <w:tc>
          <w:tcPr>
            <w:tcW w:w="1000" w:type="dxa"/>
            <w:tcMar>
              <w:top w:w="80" w:type="dxa"/>
              <w:left w:w="100" w:type="dxa"/>
              <w:bottom w:w="80" w:type="dxa"/>
              <w:right w:w="100" w:type="dxa"/>
            </w:tcMar>
          </w:tcPr>
          <w:p w14:paraId="7DBBB0B4"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Medium</w:t>
            </w:r>
          </w:p>
        </w:tc>
        <w:tc>
          <w:tcPr>
            <w:tcW w:w="1000" w:type="dxa"/>
            <w:tcMar>
              <w:top w:w="80" w:type="dxa"/>
              <w:left w:w="100" w:type="dxa"/>
              <w:bottom w:w="80" w:type="dxa"/>
              <w:right w:w="100" w:type="dxa"/>
            </w:tcMar>
          </w:tcPr>
          <w:p w14:paraId="2476D511"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Medium</w:t>
            </w:r>
          </w:p>
        </w:tc>
        <w:tc>
          <w:tcPr>
            <w:tcW w:w="2600" w:type="dxa"/>
            <w:tcMar>
              <w:top w:w="80" w:type="dxa"/>
              <w:left w:w="100" w:type="dxa"/>
              <w:bottom w:w="80" w:type="dxa"/>
              <w:right w:w="100" w:type="dxa"/>
            </w:tcMar>
          </w:tcPr>
          <w:p w14:paraId="7DD8A166"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Compatibility with new digital/AI systems</w:t>
            </w:r>
          </w:p>
        </w:tc>
        <w:tc>
          <w:tcPr>
            <w:tcW w:w="2300" w:type="dxa"/>
            <w:tcMar>
              <w:top w:w="80" w:type="dxa"/>
              <w:left w:w="100" w:type="dxa"/>
              <w:bottom w:w="80" w:type="dxa"/>
              <w:right w:w="100" w:type="dxa"/>
            </w:tcMar>
          </w:tcPr>
          <w:p w14:paraId="7AB4B70B"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Supplier readiness briefings</w:t>
            </w:r>
          </w:p>
        </w:tc>
      </w:tr>
      <w:tr w:rsidR="00951534" w14:paraId="1E6F2097" w14:textId="77777777">
        <w:tc>
          <w:tcPr>
            <w:tcW w:w="1900" w:type="dxa"/>
            <w:shd w:val="clear" w:color="auto" w:fill="F2F2F2"/>
            <w:tcMar>
              <w:top w:w="80" w:type="dxa"/>
              <w:left w:w="100" w:type="dxa"/>
              <w:bottom w:w="80" w:type="dxa"/>
              <w:right w:w="100" w:type="dxa"/>
            </w:tcMar>
          </w:tcPr>
          <w:p w14:paraId="678AF8F6"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Envision AESC</w:t>
            </w:r>
          </w:p>
        </w:tc>
        <w:tc>
          <w:tcPr>
            <w:tcW w:w="1000" w:type="dxa"/>
            <w:shd w:val="clear" w:color="auto" w:fill="F2F2F2"/>
            <w:tcMar>
              <w:top w:w="80" w:type="dxa"/>
              <w:left w:w="100" w:type="dxa"/>
              <w:bottom w:w="80" w:type="dxa"/>
              <w:right w:w="100" w:type="dxa"/>
            </w:tcMar>
          </w:tcPr>
          <w:p w14:paraId="597DF199"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Medium</w:t>
            </w:r>
          </w:p>
        </w:tc>
        <w:tc>
          <w:tcPr>
            <w:tcW w:w="1000" w:type="dxa"/>
            <w:shd w:val="clear" w:color="auto" w:fill="F2F2F2"/>
            <w:tcMar>
              <w:top w:w="80" w:type="dxa"/>
              <w:left w:w="100" w:type="dxa"/>
              <w:bottom w:w="80" w:type="dxa"/>
              <w:right w:w="100" w:type="dxa"/>
            </w:tcMar>
          </w:tcPr>
          <w:p w14:paraId="4FAA7191"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Medium</w:t>
            </w:r>
          </w:p>
        </w:tc>
        <w:tc>
          <w:tcPr>
            <w:tcW w:w="2600" w:type="dxa"/>
            <w:shd w:val="clear" w:color="auto" w:fill="F2F2F2"/>
            <w:tcMar>
              <w:top w:w="80" w:type="dxa"/>
              <w:left w:w="100" w:type="dxa"/>
              <w:bottom w:w="80" w:type="dxa"/>
              <w:right w:w="100" w:type="dxa"/>
            </w:tcMar>
          </w:tcPr>
          <w:p w14:paraId="58D3B299"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Alignment with EV36Zero battery/gigafactory operations</w:t>
            </w:r>
          </w:p>
        </w:tc>
        <w:tc>
          <w:tcPr>
            <w:tcW w:w="2300" w:type="dxa"/>
            <w:shd w:val="clear" w:color="auto" w:fill="F2F2F2"/>
            <w:tcMar>
              <w:top w:w="80" w:type="dxa"/>
              <w:left w:w="100" w:type="dxa"/>
              <w:bottom w:w="80" w:type="dxa"/>
              <w:right w:w="100" w:type="dxa"/>
            </w:tcMar>
          </w:tcPr>
          <w:p w14:paraId="4C777923"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Joint governance forum (existing EV36Zero structure)</w:t>
            </w:r>
          </w:p>
        </w:tc>
      </w:tr>
      <w:tr w:rsidR="00951534" w14:paraId="310B6259" w14:textId="77777777">
        <w:tc>
          <w:tcPr>
            <w:tcW w:w="1900" w:type="dxa"/>
            <w:tcMar>
              <w:top w:w="80" w:type="dxa"/>
              <w:left w:w="100" w:type="dxa"/>
              <w:bottom w:w="80" w:type="dxa"/>
              <w:right w:w="100" w:type="dxa"/>
            </w:tcMar>
          </w:tcPr>
          <w:p w14:paraId="2841F169"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UK government / local authorities</w:t>
            </w:r>
          </w:p>
        </w:tc>
        <w:tc>
          <w:tcPr>
            <w:tcW w:w="1000" w:type="dxa"/>
            <w:tcMar>
              <w:top w:w="80" w:type="dxa"/>
              <w:left w:w="100" w:type="dxa"/>
              <w:bottom w:w="80" w:type="dxa"/>
              <w:right w:w="100" w:type="dxa"/>
            </w:tcMar>
          </w:tcPr>
          <w:p w14:paraId="04D71799"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Low–Medium</w:t>
            </w:r>
          </w:p>
        </w:tc>
        <w:tc>
          <w:tcPr>
            <w:tcW w:w="1000" w:type="dxa"/>
            <w:tcMar>
              <w:top w:w="80" w:type="dxa"/>
              <w:left w:w="100" w:type="dxa"/>
              <w:bottom w:w="80" w:type="dxa"/>
              <w:right w:w="100" w:type="dxa"/>
            </w:tcMar>
          </w:tcPr>
          <w:p w14:paraId="4AB102E0"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Medium</w:t>
            </w:r>
          </w:p>
        </w:tc>
        <w:tc>
          <w:tcPr>
            <w:tcW w:w="2600" w:type="dxa"/>
            <w:tcMar>
              <w:top w:w="80" w:type="dxa"/>
              <w:left w:w="100" w:type="dxa"/>
              <w:bottom w:w="80" w:type="dxa"/>
              <w:right w:w="100" w:type="dxa"/>
            </w:tcMar>
          </w:tcPr>
          <w:p w14:paraId="03C8315B"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Regional employment, investment continuity</w:t>
            </w:r>
          </w:p>
        </w:tc>
        <w:tc>
          <w:tcPr>
            <w:tcW w:w="2300" w:type="dxa"/>
            <w:tcMar>
              <w:top w:w="80" w:type="dxa"/>
              <w:left w:w="100" w:type="dxa"/>
              <w:bottom w:w="80" w:type="dxa"/>
              <w:right w:w="100" w:type="dxa"/>
            </w:tcMar>
          </w:tcPr>
          <w:p w14:paraId="321A2BB4"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Periodic briefings via existing Sunderland City Council relationship</w:t>
            </w:r>
          </w:p>
        </w:tc>
      </w:tr>
      <w:tr w:rsidR="00951534" w14:paraId="323BDF22" w14:textId="77777777">
        <w:tc>
          <w:tcPr>
            <w:tcW w:w="1900" w:type="dxa"/>
            <w:shd w:val="clear" w:color="auto" w:fill="F2F2F2"/>
            <w:tcMar>
              <w:top w:w="80" w:type="dxa"/>
              <w:left w:w="100" w:type="dxa"/>
              <w:bottom w:w="80" w:type="dxa"/>
              <w:right w:w="100" w:type="dxa"/>
            </w:tcMar>
          </w:tcPr>
          <w:p w14:paraId="1CC8AE86"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Nissan Alliance leadership</w:t>
            </w:r>
          </w:p>
        </w:tc>
        <w:tc>
          <w:tcPr>
            <w:tcW w:w="1000" w:type="dxa"/>
            <w:shd w:val="clear" w:color="auto" w:fill="F2F2F2"/>
            <w:tcMar>
              <w:top w:w="80" w:type="dxa"/>
              <w:left w:w="100" w:type="dxa"/>
              <w:bottom w:w="80" w:type="dxa"/>
              <w:right w:w="100" w:type="dxa"/>
            </w:tcMar>
          </w:tcPr>
          <w:p w14:paraId="59DC1B60"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1000" w:type="dxa"/>
            <w:shd w:val="clear" w:color="auto" w:fill="F2F2F2"/>
            <w:tcMar>
              <w:top w:w="80" w:type="dxa"/>
              <w:left w:w="100" w:type="dxa"/>
              <w:bottom w:w="80" w:type="dxa"/>
              <w:right w:w="100" w:type="dxa"/>
            </w:tcMar>
          </w:tcPr>
          <w:p w14:paraId="6C1323C3"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Medium</w:t>
            </w:r>
          </w:p>
        </w:tc>
        <w:tc>
          <w:tcPr>
            <w:tcW w:w="2600" w:type="dxa"/>
            <w:shd w:val="clear" w:color="auto" w:fill="F2F2F2"/>
            <w:tcMar>
              <w:top w:w="80" w:type="dxa"/>
              <w:left w:w="100" w:type="dxa"/>
              <w:bottom w:w="80" w:type="dxa"/>
              <w:right w:w="100" w:type="dxa"/>
            </w:tcMar>
          </w:tcPr>
          <w:p w14:paraId="354FF3A4" w14:textId="1EC3AC68"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Consistency with group-wide </w:t>
            </w:r>
            <w:r w:rsidR="00D7643B">
              <w:rPr>
                <w:rFonts w:ascii="Times New Roman" w:eastAsia="Times New Roman" w:hAnsi="Times New Roman" w:cs="Times New Roman"/>
                <w:sz w:val="24"/>
                <w:szCs w:val="24"/>
              </w:rPr>
              <w:t>Re: Nissan</w:t>
            </w:r>
            <w:r>
              <w:rPr>
                <w:rFonts w:ascii="Times New Roman" w:eastAsia="Times New Roman" w:hAnsi="Times New Roman" w:cs="Times New Roman"/>
                <w:sz w:val="24"/>
                <w:szCs w:val="24"/>
              </w:rPr>
              <w:t xml:space="preserve"> targets</w:t>
            </w:r>
          </w:p>
        </w:tc>
        <w:tc>
          <w:tcPr>
            <w:tcW w:w="2300" w:type="dxa"/>
            <w:shd w:val="clear" w:color="auto" w:fill="F2F2F2"/>
            <w:tcMar>
              <w:top w:w="80" w:type="dxa"/>
              <w:left w:w="100" w:type="dxa"/>
              <w:bottom w:w="80" w:type="dxa"/>
              <w:right w:w="100" w:type="dxa"/>
            </w:tcMar>
          </w:tcPr>
          <w:p w14:paraId="5742A189"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Quarterly stage-gate reporting</w:t>
            </w:r>
          </w:p>
        </w:tc>
      </w:tr>
    </w:tbl>
    <w:p w14:paraId="3DEBF770" w14:textId="77777777" w:rsidR="00951534" w:rsidRDefault="00951534">
      <w:pPr>
        <w:pStyle w:val="Heading2"/>
        <w:spacing w:line="360" w:lineRule="auto"/>
        <w:jc w:val="both"/>
        <w:rPr>
          <w:rFonts w:ascii="Times New Roman" w:eastAsia="Times New Roman" w:hAnsi="Times New Roman" w:cs="Times New Roman"/>
          <w:color w:val="000000"/>
          <w:sz w:val="24"/>
          <w:szCs w:val="24"/>
        </w:rPr>
      </w:pPr>
    </w:p>
    <w:p w14:paraId="20806698" w14:textId="77777777" w:rsidR="00951534" w:rsidRDefault="00D92257">
      <w:pPr>
        <w:pStyle w:val="Heading2"/>
        <w:spacing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6.5 Change Risk Register</w:t>
      </w:r>
    </w:p>
    <w:p w14:paraId="78ECA610" w14:textId="77777777" w:rsidR="00951534" w:rsidRDefault="00951534"/>
    <w:p w14:paraId="29ABB3A4" w14:textId="77777777" w:rsidR="00951534" w:rsidRDefault="00D92257">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New operational and human risks have emerged with the production consolidation and new systems with AI - in addition to the communication plan's. The probability of the change risk, along with the consequence of the change risk, indicated in the table is also included and was considered at each stage-gate in relation to the mitigation. The table also includes financial and SMART objective indicators. </w:t>
      </w:r>
    </w:p>
    <w:p w14:paraId="3B176FEC" w14:textId="77777777" w:rsidR="00951534" w:rsidRDefault="00D92257">
      <w:pPr>
        <w:spacing w:before="200" w:after="6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Table 8: Change-risk register</w:t>
      </w:r>
    </w:p>
    <w:tbl>
      <w:tblPr>
        <w:tblStyle w:val="a6"/>
        <w:tblW w:w="925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595"/>
        <w:gridCol w:w="1500"/>
        <w:gridCol w:w="5160"/>
      </w:tblGrid>
      <w:tr w:rsidR="00951534" w14:paraId="0B7EECEB" w14:textId="77777777">
        <w:trPr>
          <w:tblHeader/>
        </w:trPr>
        <w:tc>
          <w:tcPr>
            <w:tcW w:w="2595" w:type="dxa"/>
            <w:shd w:val="clear" w:color="auto" w:fill="1F3864"/>
            <w:tcMar>
              <w:top w:w="80" w:type="dxa"/>
              <w:left w:w="100" w:type="dxa"/>
              <w:bottom w:w="80" w:type="dxa"/>
              <w:right w:w="100" w:type="dxa"/>
            </w:tcMar>
          </w:tcPr>
          <w:p w14:paraId="0D2D864E" w14:textId="77777777" w:rsidR="00951534" w:rsidRDefault="00D92257">
            <w:pPr>
              <w:spacing w:line="360" w:lineRule="auto"/>
              <w:jc w:val="both"/>
              <w:rPr>
                <w:rFonts w:ascii="Times New Roman" w:eastAsia="Times New Roman" w:hAnsi="Times New Roman" w:cs="Times New Roman"/>
                <w:color w:val="FFFFFF"/>
                <w:sz w:val="24"/>
                <w:szCs w:val="24"/>
              </w:rPr>
            </w:pPr>
            <w:r>
              <w:rPr>
                <w:rFonts w:ascii="Times New Roman" w:eastAsia="Times New Roman" w:hAnsi="Times New Roman" w:cs="Times New Roman"/>
                <w:b/>
                <w:bCs/>
                <w:color w:val="FFFFFF"/>
                <w:sz w:val="24"/>
                <w:szCs w:val="24"/>
              </w:rPr>
              <w:t>Risk</w:t>
            </w:r>
          </w:p>
        </w:tc>
        <w:tc>
          <w:tcPr>
            <w:tcW w:w="1500" w:type="dxa"/>
            <w:shd w:val="clear" w:color="auto" w:fill="1F3864"/>
            <w:tcMar>
              <w:top w:w="80" w:type="dxa"/>
              <w:left w:w="100" w:type="dxa"/>
              <w:bottom w:w="80" w:type="dxa"/>
              <w:right w:w="100" w:type="dxa"/>
            </w:tcMar>
          </w:tcPr>
          <w:p w14:paraId="26862273" w14:textId="77777777" w:rsidR="00951534" w:rsidRDefault="00D92257">
            <w:pPr>
              <w:spacing w:line="360" w:lineRule="auto"/>
              <w:jc w:val="both"/>
              <w:rPr>
                <w:rFonts w:ascii="Times New Roman" w:eastAsia="Times New Roman" w:hAnsi="Times New Roman" w:cs="Times New Roman"/>
                <w:color w:val="FFFFFF"/>
                <w:sz w:val="24"/>
                <w:szCs w:val="24"/>
              </w:rPr>
            </w:pPr>
            <w:r>
              <w:rPr>
                <w:rFonts w:ascii="Times New Roman" w:eastAsia="Times New Roman" w:hAnsi="Times New Roman" w:cs="Times New Roman"/>
                <w:b/>
                <w:bCs/>
                <w:color w:val="FFFFFF"/>
                <w:sz w:val="24"/>
                <w:szCs w:val="24"/>
              </w:rPr>
              <w:t>Likelihood / impact</w:t>
            </w:r>
          </w:p>
        </w:tc>
        <w:tc>
          <w:tcPr>
            <w:tcW w:w="5160" w:type="dxa"/>
            <w:shd w:val="clear" w:color="auto" w:fill="1F3864"/>
            <w:tcMar>
              <w:top w:w="80" w:type="dxa"/>
              <w:left w:w="100" w:type="dxa"/>
              <w:bottom w:w="80" w:type="dxa"/>
              <w:right w:w="100" w:type="dxa"/>
            </w:tcMar>
          </w:tcPr>
          <w:p w14:paraId="02E44D87" w14:textId="77777777" w:rsidR="00951534" w:rsidRDefault="00D92257">
            <w:pPr>
              <w:spacing w:line="360" w:lineRule="auto"/>
              <w:jc w:val="both"/>
              <w:rPr>
                <w:rFonts w:ascii="Times New Roman" w:eastAsia="Times New Roman" w:hAnsi="Times New Roman" w:cs="Times New Roman"/>
                <w:color w:val="FFFFFF"/>
                <w:sz w:val="24"/>
                <w:szCs w:val="24"/>
              </w:rPr>
            </w:pPr>
            <w:r>
              <w:rPr>
                <w:rFonts w:ascii="Times New Roman" w:eastAsia="Times New Roman" w:hAnsi="Times New Roman" w:cs="Times New Roman"/>
                <w:b/>
                <w:bCs/>
                <w:color w:val="FFFFFF"/>
                <w:sz w:val="24"/>
                <w:szCs w:val="24"/>
              </w:rPr>
              <w:t>Mitigation</w:t>
            </w:r>
          </w:p>
        </w:tc>
      </w:tr>
      <w:tr w:rsidR="00951534" w14:paraId="4B1AF2FE" w14:textId="77777777">
        <w:tc>
          <w:tcPr>
            <w:tcW w:w="2595" w:type="dxa"/>
            <w:shd w:val="clear" w:color="auto" w:fill="F2F2F2"/>
            <w:tcMar>
              <w:top w:w="80" w:type="dxa"/>
              <w:left w:w="100" w:type="dxa"/>
              <w:bottom w:w="80" w:type="dxa"/>
              <w:right w:w="100" w:type="dxa"/>
            </w:tcMar>
          </w:tcPr>
          <w:p w14:paraId="1F53A1AE"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Employee resistance and job insecurity</w:t>
            </w:r>
          </w:p>
        </w:tc>
        <w:tc>
          <w:tcPr>
            <w:tcW w:w="1500" w:type="dxa"/>
            <w:shd w:val="clear" w:color="auto" w:fill="F2F2F2"/>
            <w:tcMar>
              <w:top w:w="80" w:type="dxa"/>
              <w:left w:w="100" w:type="dxa"/>
              <w:bottom w:w="80" w:type="dxa"/>
              <w:right w:w="100" w:type="dxa"/>
            </w:tcMar>
          </w:tcPr>
          <w:p w14:paraId="666E646B"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5160" w:type="dxa"/>
            <w:shd w:val="clear" w:color="auto" w:fill="F2F2F2"/>
            <w:tcMar>
              <w:top w:w="80" w:type="dxa"/>
              <w:left w:w="100" w:type="dxa"/>
              <w:bottom w:w="80" w:type="dxa"/>
              <w:right w:w="100" w:type="dxa"/>
            </w:tcMar>
          </w:tcPr>
          <w:p w14:paraId="340F541F"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Union consultation; transparent role-impact information</w:t>
            </w:r>
          </w:p>
        </w:tc>
      </w:tr>
      <w:tr w:rsidR="00951534" w14:paraId="1ECC6CAB" w14:textId="77777777">
        <w:tc>
          <w:tcPr>
            <w:tcW w:w="2595" w:type="dxa"/>
            <w:tcMar>
              <w:top w:w="80" w:type="dxa"/>
              <w:left w:w="100" w:type="dxa"/>
              <w:bottom w:w="80" w:type="dxa"/>
              <w:right w:w="100" w:type="dxa"/>
            </w:tcMar>
          </w:tcPr>
          <w:p w14:paraId="63E8C9EC"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Insufficient digital skills</w:t>
            </w:r>
          </w:p>
        </w:tc>
        <w:tc>
          <w:tcPr>
            <w:tcW w:w="1500" w:type="dxa"/>
            <w:tcMar>
              <w:top w:w="80" w:type="dxa"/>
              <w:left w:w="100" w:type="dxa"/>
              <w:bottom w:w="80" w:type="dxa"/>
              <w:right w:w="100" w:type="dxa"/>
            </w:tcMar>
          </w:tcPr>
          <w:p w14:paraId="74973FCB"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5160" w:type="dxa"/>
            <w:tcMar>
              <w:top w:w="80" w:type="dxa"/>
              <w:left w:w="100" w:type="dxa"/>
              <w:bottom w:w="80" w:type="dxa"/>
              <w:right w:w="100" w:type="dxa"/>
            </w:tcMar>
          </w:tcPr>
          <w:p w14:paraId="69773F83"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Training; protected learning time; specialist support</w:t>
            </w:r>
          </w:p>
        </w:tc>
      </w:tr>
      <w:tr w:rsidR="00951534" w14:paraId="3F4B809D" w14:textId="77777777">
        <w:tc>
          <w:tcPr>
            <w:tcW w:w="2595" w:type="dxa"/>
            <w:shd w:val="clear" w:color="auto" w:fill="F2F2F2"/>
            <w:tcMar>
              <w:top w:w="80" w:type="dxa"/>
              <w:left w:w="100" w:type="dxa"/>
              <w:bottom w:w="80" w:type="dxa"/>
              <w:right w:w="100" w:type="dxa"/>
            </w:tcMar>
          </w:tcPr>
          <w:p w14:paraId="23719B10"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Poor AI data quality</w:t>
            </w:r>
          </w:p>
        </w:tc>
        <w:tc>
          <w:tcPr>
            <w:tcW w:w="1500" w:type="dxa"/>
            <w:shd w:val="clear" w:color="auto" w:fill="F2F2F2"/>
            <w:tcMar>
              <w:top w:w="80" w:type="dxa"/>
              <w:left w:w="100" w:type="dxa"/>
              <w:bottom w:w="80" w:type="dxa"/>
              <w:right w:w="100" w:type="dxa"/>
            </w:tcMar>
          </w:tcPr>
          <w:p w14:paraId="58567E77"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Medium–High</w:t>
            </w:r>
          </w:p>
        </w:tc>
        <w:tc>
          <w:tcPr>
            <w:tcW w:w="5160" w:type="dxa"/>
            <w:shd w:val="clear" w:color="auto" w:fill="F2F2F2"/>
            <w:tcMar>
              <w:top w:w="80" w:type="dxa"/>
              <w:left w:w="100" w:type="dxa"/>
              <w:bottom w:w="80" w:type="dxa"/>
              <w:right w:w="100" w:type="dxa"/>
            </w:tcMar>
          </w:tcPr>
          <w:p w14:paraId="093E8A47"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Data governance; pilot validation before scaling</w:t>
            </w:r>
          </w:p>
        </w:tc>
      </w:tr>
      <w:tr w:rsidR="00951534" w14:paraId="776F8530" w14:textId="77777777">
        <w:tc>
          <w:tcPr>
            <w:tcW w:w="2595" w:type="dxa"/>
            <w:tcMar>
              <w:top w:w="80" w:type="dxa"/>
              <w:left w:w="100" w:type="dxa"/>
              <w:bottom w:w="80" w:type="dxa"/>
              <w:right w:w="100" w:type="dxa"/>
            </w:tcMar>
          </w:tcPr>
          <w:p w14:paraId="4E91D110"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Cybersecurity or system failure</w:t>
            </w:r>
          </w:p>
        </w:tc>
        <w:tc>
          <w:tcPr>
            <w:tcW w:w="1500" w:type="dxa"/>
            <w:tcMar>
              <w:top w:w="80" w:type="dxa"/>
              <w:left w:w="100" w:type="dxa"/>
              <w:bottom w:w="80" w:type="dxa"/>
              <w:right w:w="100" w:type="dxa"/>
            </w:tcMar>
          </w:tcPr>
          <w:p w14:paraId="4B0E3E56"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5160" w:type="dxa"/>
            <w:tcMar>
              <w:top w:w="80" w:type="dxa"/>
              <w:left w:w="100" w:type="dxa"/>
              <w:bottom w:w="80" w:type="dxa"/>
              <w:right w:w="100" w:type="dxa"/>
            </w:tcMar>
          </w:tcPr>
          <w:p w14:paraId="7C7A35D1"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Security testing; manual fallback processes</w:t>
            </w:r>
          </w:p>
        </w:tc>
      </w:tr>
      <w:tr w:rsidR="00951534" w14:paraId="33F3F31A" w14:textId="77777777">
        <w:tc>
          <w:tcPr>
            <w:tcW w:w="2595" w:type="dxa"/>
            <w:shd w:val="clear" w:color="auto" w:fill="F2F2F2"/>
            <w:tcMar>
              <w:top w:w="80" w:type="dxa"/>
              <w:left w:w="100" w:type="dxa"/>
              <w:bottom w:w="80" w:type="dxa"/>
              <w:right w:w="100" w:type="dxa"/>
            </w:tcMar>
          </w:tcPr>
          <w:p w14:paraId="0C5582CB"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Supplier incompatibility</w:t>
            </w:r>
          </w:p>
        </w:tc>
        <w:tc>
          <w:tcPr>
            <w:tcW w:w="1500" w:type="dxa"/>
            <w:shd w:val="clear" w:color="auto" w:fill="F2F2F2"/>
            <w:tcMar>
              <w:top w:w="80" w:type="dxa"/>
              <w:left w:w="100" w:type="dxa"/>
              <w:bottom w:w="80" w:type="dxa"/>
              <w:right w:w="100" w:type="dxa"/>
            </w:tcMar>
          </w:tcPr>
          <w:p w14:paraId="47875F11"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Medium</w:t>
            </w:r>
          </w:p>
        </w:tc>
        <w:tc>
          <w:tcPr>
            <w:tcW w:w="5160" w:type="dxa"/>
            <w:shd w:val="clear" w:color="auto" w:fill="F2F2F2"/>
            <w:tcMar>
              <w:top w:w="80" w:type="dxa"/>
              <w:left w:w="100" w:type="dxa"/>
              <w:bottom w:w="80" w:type="dxa"/>
              <w:right w:w="100" w:type="dxa"/>
            </w:tcMar>
          </w:tcPr>
          <w:p w14:paraId="2F56E74B"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Supplier readiness assessment</w:t>
            </w:r>
          </w:p>
        </w:tc>
      </w:tr>
      <w:tr w:rsidR="00951534" w14:paraId="67789ADC" w14:textId="77777777">
        <w:tc>
          <w:tcPr>
            <w:tcW w:w="2595" w:type="dxa"/>
            <w:tcMar>
              <w:top w:w="80" w:type="dxa"/>
              <w:left w:w="100" w:type="dxa"/>
              <w:bottom w:w="80" w:type="dxa"/>
              <w:right w:w="100" w:type="dxa"/>
            </w:tcMar>
          </w:tcPr>
          <w:p w14:paraId="30C1F188"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Savings not realised</w:t>
            </w:r>
          </w:p>
        </w:tc>
        <w:tc>
          <w:tcPr>
            <w:tcW w:w="1500" w:type="dxa"/>
            <w:tcMar>
              <w:top w:w="80" w:type="dxa"/>
              <w:left w:w="100" w:type="dxa"/>
              <w:bottom w:w="80" w:type="dxa"/>
              <w:right w:w="100" w:type="dxa"/>
            </w:tcMar>
          </w:tcPr>
          <w:p w14:paraId="1B5BB404"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Medium–High</w:t>
            </w:r>
          </w:p>
        </w:tc>
        <w:tc>
          <w:tcPr>
            <w:tcW w:w="5160" w:type="dxa"/>
            <w:tcMar>
              <w:top w:w="80" w:type="dxa"/>
              <w:left w:w="100" w:type="dxa"/>
              <w:bottom w:w="80" w:type="dxa"/>
              <w:right w:w="100" w:type="dxa"/>
            </w:tcMar>
          </w:tcPr>
          <w:p w14:paraId="2815CD7A"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Stage-gate funding release; benefit tracking (Tables 5 and 6)</w:t>
            </w:r>
          </w:p>
        </w:tc>
      </w:tr>
      <w:tr w:rsidR="00951534" w14:paraId="57551CB2" w14:textId="77777777">
        <w:tc>
          <w:tcPr>
            <w:tcW w:w="2595" w:type="dxa"/>
            <w:shd w:val="clear" w:color="auto" w:fill="F2F2F2"/>
            <w:tcMar>
              <w:top w:w="80" w:type="dxa"/>
              <w:left w:w="100" w:type="dxa"/>
              <w:bottom w:w="80" w:type="dxa"/>
              <w:right w:w="100" w:type="dxa"/>
            </w:tcMar>
          </w:tcPr>
          <w:p w14:paraId="18D9C616"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AI bias or excessive employee monitoring</w:t>
            </w:r>
          </w:p>
        </w:tc>
        <w:tc>
          <w:tcPr>
            <w:tcW w:w="1500" w:type="dxa"/>
            <w:shd w:val="clear" w:color="auto" w:fill="F2F2F2"/>
            <w:tcMar>
              <w:top w:w="80" w:type="dxa"/>
              <w:left w:w="100" w:type="dxa"/>
              <w:bottom w:w="80" w:type="dxa"/>
              <w:right w:w="100" w:type="dxa"/>
            </w:tcMar>
          </w:tcPr>
          <w:p w14:paraId="7590FD80"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Medium</w:t>
            </w:r>
          </w:p>
        </w:tc>
        <w:tc>
          <w:tcPr>
            <w:tcW w:w="5160" w:type="dxa"/>
            <w:shd w:val="clear" w:color="auto" w:fill="F2F2F2"/>
            <w:tcMar>
              <w:top w:w="80" w:type="dxa"/>
              <w:left w:w="100" w:type="dxa"/>
              <w:bottom w:w="80" w:type="dxa"/>
              <w:right w:w="100" w:type="dxa"/>
            </w:tcMar>
          </w:tcPr>
          <w:p w14:paraId="565A0A97"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Ethical governance; human oversight</w:t>
            </w:r>
          </w:p>
        </w:tc>
      </w:tr>
      <w:tr w:rsidR="00951534" w14:paraId="4A9F39E3" w14:textId="77777777">
        <w:tc>
          <w:tcPr>
            <w:tcW w:w="2595" w:type="dxa"/>
            <w:tcMar>
              <w:top w:w="80" w:type="dxa"/>
              <w:left w:w="100" w:type="dxa"/>
              <w:bottom w:w="80" w:type="dxa"/>
              <w:right w:w="100" w:type="dxa"/>
            </w:tcMar>
          </w:tcPr>
          <w:p w14:paraId="773AAA55"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Production disruption during deployment</w:t>
            </w:r>
          </w:p>
        </w:tc>
        <w:tc>
          <w:tcPr>
            <w:tcW w:w="1500" w:type="dxa"/>
            <w:tcMar>
              <w:top w:w="80" w:type="dxa"/>
              <w:left w:w="100" w:type="dxa"/>
              <w:bottom w:w="80" w:type="dxa"/>
              <w:right w:w="100" w:type="dxa"/>
            </w:tcMar>
          </w:tcPr>
          <w:p w14:paraId="20A57EA2"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5160" w:type="dxa"/>
            <w:tcMar>
              <w:top w:w="80" w:type="dxa"/>
              <w:left w:w="100" w:type="dxa"/>
              <w:bottom w:w="80" w:type="dxa"/>
              <w:right w:w="100" w:type="dxa"/>
            </w:tcMar>
          </w:tcPr>
          <w:p w14:paraId="07F7DB28" w14:textId="77777777" w:rsidR="00951534" w:rsidRDefault="00D922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Pilot on one line before scaling (Phase 2)</w:t>
            </w:r>
          </w:p>
        </w:tc>
      </w:tr>
    </w:tbl>
    <w:p w14:paraId="597CA7AF" w14:textId="77777777" w:rsidR="00951534" w:rsidRDefault="00951534">
      <w:pPr>
        <w:pStyle w:val="Heading2"/>
        <w:spacing w:line="360" w:lineRule="auto"/>
        <w:jc w:val="both"/>
        <w:rPr>
          <w:rFonts w:ascii="Times New Roman" w:eastAsia="Times New Roman" w:hAnsi="Times New Roman" w:cs="Times New Roman"/>
          <w:color w:val="000000"/>
          <w:sz w:val="24"/>
          <w:szCs w:val="24"/>
        </w:rPr>
      </w:pPr>
    </w:p>
    <w:p w14:paraId="1E39C5D5" w14:textId="77777777" w:rsidR="00951534" w:rsidRDefault="00D92257">
      <w:pPr>
        <w:pStyle w:val="Heading2"/>
        <w:spacing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6.6 Evaluation Plan</w:t>
      </w:r>
    </w:p>
    <w:p w14:paraId="29674D61" w14:textId="51A4F68B" w:rsidR="00951534" w:rsidRDefault="00D9225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Lewin's refreeze phase occurs in parallel with the evaluation phase with the goal of assisting in the implementation of new practices. Progress is measured via phase gates, SMART objectives and financial measures, with an </w:t>
      </w:r>
      <w:r w:rsidR="00D7643B">
        <w:rPr>
          <w:rFonts w:ascii="Times New Roman" w:eastAsia="Times New Roman" w:hAnsi="Times New Roman" w:cs="Times New Roman"/>
          <w:sz w:val="24"/>
          <w:szCs w:val="24"/>
        </w:rPr>
        <w:t>18-month</w:t>
      </w:r>
      <w:r>
        <w:rPr>
          <w:rFonts w:ascii="Times New Roman" w:eastAsia="Times New Roman" w:hAnsi="Times New Roman" w:cs="Times New Roman"/>
          <w:sz w:val="24"/>
          <w:szCs w:val="24"/>
        </w:rPr>
        <w:t xml:space="preserve"> review prior to FY2027. If the performances are not up to scratch, Nissan can play it safe and opt for a more modest approach to automation, being less innovative in digital and more automation than Sunderland (Wiese, Lehmann and Beckmann, 2024). </w:t>
      </w:r>
    </w:p>
    <w:p w14:paraId="7B104346" w14:textId="77777777" w:rsidR="00951534" w:rsidRDefault="00D92257">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They make the evaluation in Sections 3-5 a tangible, sequenced and financially-managed programme and they assign Lewin and Kotter the control of the programme, Transformational Leadership the delivery of the programme, and the financial controls to the risk register/stage-gate. </w:t>
      </w:r>
    </w:p>
    <w:p w14:paraId="39F1C7BF" w14:textId="77777777" w:rsidR="00951534" w:rsidRDefault="00D92257">
      <w:pPr>
        <w:pStyle w:val="Heading1"/>
        <w:spacing w:before="320" w:after="16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7. Conclusion</w:t>
      </w:r>
    </w:p>
    <w:p w14:paraId="0B88B2D9" w14:textId="3062749D" w:rsidR="00951534" w:rsidRDefault="00D9225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problems faced by Nissan Sunderland are not exclusive, as it is </w:t>
      </w:r>
      <w:r w:rsidR="00D7643B">
        <w:rPr>
          <w:rFonts w:ascii="Times New Roman" w:eastAsia="Times New Roman" w:hAnsi="Times New Roman" w:cs="Times New Roman"/>
          <w:sz w:val="24"/>
          <w:szCs w:val="24"/>
        </w:rPr>
        <w:t>Re: Nissan</w:t>
      </w:r>
      <w:r>
        <w:rPr>
          <w:rFonts w:ascii="Times New Roman" w:eastAsia="Times New Roman" w:hAnsi="Times New Roman" w:cs="Times New Roman"/>
          <w:sz w:val="24"/>
          <w:szCs w:val="24"/>
        </w:rPr>
        <w:t xml:space="preserve"> restructuring going hand-in-hand with electrification and AI based digitalisation. A better model for this type of change is a blended model of Lewin's and Kotter's change models; this is a complex change. Only if it is due to transformational leadership and good employee engagement will the transformation be successful. Beyond FY2027, there is a plan in place which incorporates SMART objectives, financial controls, stakeholder engagement and a phased implementation with a risk management process in place </w:t>
      </w:r>
      <w:r>
        <w:rPr>
          <w:rFonts w:ascii="Times New Roman" w:eastAsia="Times New Roman" w:hAnsi="Times New Roman" w:cs="Times New Roman"/>
          <w:sz w:val="24"/>
          <w:szCs w:val="24"/>
        </w:rPr>
        <w:t xml:space="preserve">to further strengthen Sunderland's role as Nissan's primary manufacturing hub in Europe. </w:t>
      </w:r>
    </w:p>
    <w:p w14:paraId="1641D4C0" w14:textId="77777777" w:rsidR="00951534" w:rsidRDefault="00951534">
      <w:pPr>
        <w:spacing w:after="160" w:line="360" w:lineRule="auto"/>
        <w:jc w:val="both"/>
        <w:rPr>
          <w:rFonts w:ascii="Times New Roman" w:eastAsia="Times New Roman" w:hAnsi="Times New Roman" w:cs="Times New Roman"/>
          <w:sz w:val="24"/>
          <w:szCs w:val="24"/>
        </w:rPr>
      </w:pPr>
    </w:p>
    <w:p w14:paraId="768B79C7" w14:textId="77777777" w:rsidR="00951534" w:rsidRDefault="00D92257">
      <w:pPr>
        <w:spacing w:line="360" w:lineRule="auto"/>
        <w:jc w:val="both"/>
        <w:rPr>
          <w:rFonts w:ascii="Times New Roman" w:eastAsia="Times New Roman" w:hAnsi="Times New Roman" w:cs="Times New Roman"/>
          <w:sz w:val="24"/>
          <w:szCs w:val="24"/>
        </w:rPr>
      </w:pPr>
      <w:r>
        <w:br w:type="page"/>
      </w:r>
    </w:p>
    <w:p w14:paraId="5FCBB1B1" w14:textId="77777777" w:rsidR="00951534" w:rsidRDefault="00D92257">
      <w:pPr>
        <w:pStyle w:val="Heading1"/>
        <w:spacing w:before="320" w:after="16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References</w:t>
      </w:r>
    </w:p>
    <w:p w14:paraId="246CAA72" w14:textId="77777777" w:rsidR="00951534" w:rsidRDefault="00951534">
      <w:pPr>
        <w:spacing w:line="360" w:lineRule="auto"/>
        <w:jc w:val="both"/>
        <w:rPr>
          <w:rFonts w:ascii="Times New Roman" w:eastAsia="Times New Roman" w:hAnsi="Times New Roman" w:cs="Times New Roman"/>
          <w:sz w:val="24"/>
          <w:szCs w:val="24"/>
        </w:rPr>
      </w:pPr>
    </w:p>
    <w:p w14:paraId="77D39467" w14:textId="77777777" w:rsidR="00951534" w:rsidRDefault="00D9225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AInvest (2025) Nissan's Restructuring: Turnaround or Terminal Decline? [Online]. Available at:</w:t>
      </w:r>
      <w:hyperlink r:id="rId9">
        <w:r w:rsidR="00951534">
          <w:rPr>
            <w:rFonts w:ascii="Times New Roman" w:eastAsia="Times New Roman" w:hAnsi="Times New Roman" w:cs="Times New Roman"/>
            <w:sz w:val="24"/>
            <w:szCs w:val="24"/>
          </w:rPr>
          <w:t xml:space="preserve"> </w:t>
        </w:r>
      </w:hyperlink>
      <w:hyperlink r:id="rId10">
        <w:r w:rsidR="00951534">
          <w:rPr>
            <w:rFonts w:ascii="Times New Roman" w:eastAsia="Times New Roman" w:hAnsi="Times New Roman" w:cs="Times New Roman"/>
            <w:sz w:val="24"/>
            <w:szCs w:val="24"/>
            <w:u w:val="single"/>
          </w:rPr>
          <w:t>https://www.ainvest.com/news/nissan-restructuring-turnaround-terminal-decline-2505/</w:t>
        </w:r>
      </w:hyperlink>
      <w:r>
        <w:rPr>
          <w:rFonts w:ascii="Times New Roman" w:eastAsia="Times New Roman" w:hAnsi="Times New Roman" w:cs="Times New Roman"/>
          <w:sz w:val="24"/>
          <w:szCs w:val="24"/>
        </w:rPr>
        <w:t xml:space="preserve"> (Accessed: 21 July 2026).</w:t>
      </w:r>
    </w:p>
    <w:p w14:paraId="0AF12E14" w14:textId="77777777" w:rsidR="00951534" w:rsidRDefault="00D9225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Auto Express (2026) Nissan Shuts One Sunderland Production Line but Qashqai, Juke and Leaf Output to Be Unaffected [Online]. Available at:</w:t>
      </w:r>
      <w:hyperlink r:id="rId11">
        <w:r w:rsidR="00951534">
          <w:rPr>
            <w:rFonts w:ascii="Times New Roman" w:eastAsia="Times New Roman" w:hAnsi="Times New Roman" w:cs="Times New Roman"/>
            <w:sz w:val="24"/>
            <w:szCs w:val="24"/>
          </w:rPr>
          <w:t xml:space="preserve"> </w:t>
        </w:r>
      </w:hyperlink>
      <w:hyperlink r:id="rId12">
        <w:r w:rsidR="00951534">
          <w:rPr>
            <w:rFonts w:ascii="Times New Roman" w:eastAsia="Times New Roman" w:hAnsi="Times New Roman" w:cs="Times New Roman"/>
            <w:sz w:val="24"/>
            <w:szCs w:val="24"/>
            <w:u w:val="single"/>
          </w:rPr>
          <w:t>https://www.autoexpress.co.uk/nissan/369516/nissan-shuts-one-sunderland-production-line-qashqai-juke-and-leaf-output-be</w:t>
        </w:r>
      </w:hyperlink>
      <w:r>
        <w:rPr>
          <w:rFonts w:ascii="Times New Roman" w:eastAsia="Times New Roman" w:hAnsi="Times New Roman" w:cs="Times New Roman"/>
          <w:sz w:val="24"/>
          <w:szCs w:val="24"/>
        </w:rPr>
        <w:t xml:space="preserve"> (Accessed: 21 July 2026).</w:t>
      </w:r>
    </w:p>
    <w:p w14:paraId="61817614" w14:textId="77777777" w:rsidR="00951534" w:rsidRDefault="00D9225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Automotive World (2026) Nissan Trims 900 European Jobs, Cuts Sunderland to One Line [Online]. Available at:</w:t>
      </w:r>
      <w:hyperlink r:id="rId13">
        <w:r w:rsidR="00951534">
          <w:rPr>
            <w:rFonts w:ascii="Times New Roman" w:eastAsia="Times New Roman" w:hAnsi="Times New Roman" w:cs="Times New Roman"/>
            <w:sz w:val="24"/>
            <w:szCs w:val="24"/>
          </w:rPr>
          <w:t xml:space="preserve"> </w:t>
        </w:r>
      </w:hyperlink>
      <w:hyperlink r:id="rId14">
        <w:r w:rsidR="00951534">
          <w:rPr>
            <w:rFonts w:ascii="Times New Roman" w:eastAsia="Times New Roman" w:hAnsi="Times New Roman" w:cs="Times New Roman"/>
            <w:sz w:val="24"/>
            <w:szCs w:val="24"/>
            <w:u w:val="single"/>
          </w:rPr>
          <w:t>https://www.automotiveworld.com/news/nissan-trims-900-european-jobs-cuts-sunderland-to-one-line/</w:t>
        </w:r>
      </w:hyperlink>
      <w:r>
        <w:rPr>
          <w:rFonts w:ascii="Times New Roman" w:eastAsia="Times New Roman" w:hAnsi="Times New Roman" w:cs="Times New Roman"/>
          <w:sz w:val="24"/>
          <w:szCs w:val="24"/>
        </w:rPr>
        <w:t xml:space="preserve"> (Accessed: 21 July 2026).</w:t>
      </w:r>
    </w:p>
    <w:p w14:paraId="3E9BBBAD" w14:textId="77777777" w:rsidR="00951534" w:rsidRDefault="00D9225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Azmy, A., Hartono, D.K. and Mirza, M., 2023. The effect of organizational transformation, organizational culture, and transformational leadership on employee performance through job satisfaction: An evidence from automotive component manufacturing companies. Management, 27(1).</w:t>
      </w:r>
    </w:p>
    <w:p w14:paraId="777BB097" w14:textId="71F7F65C" w:rsidR="00951534" w:rsidRDefault="00D9225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Başar, P., İlkan, E. and Mutair, F., 2022. Cameron and Quinn's model of organizational culture: A case study in CAC bank. Journal of Organizational </w:t>
      </w:r>
      <w:r w:rsidR="00D7643B">
        <w:rPr>
          <w:rFonts w:ascii="Times New Roman" w:eastAsia="Times New Roman" w:hAnsi="Times New Roman" w:cs="Times New Roman"/>
          <w:sz w:val="24"/>
          <w:szCs w:val="24"/>
        </w:rPr>
        <w:t>Behaviour</w:t>
      </w:r>
      <w:r>
        <w:rPr>
          <w:rFonts w:ascii="Times New Roman" w:eastAsia="Times New Roman" w:hAnsi="Times New Roman" w:cs="Times New Roman"/>
          <w:sz w:val="24"/>
          <w:szCs w:val="24"/>
        </w:rPr>
        <w:t xml:space="preserve"> Research, 7(2), pp.259-266.</w:t>
      </w:r>
    </w:p>
    <w:p w14:paraId="5F327B67" w14:textId="77777777" w:rsidR="00951534" w:rsidRDefault="00D9225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Carreño, A.M., 2024. An analytical review of John Kotter's change leadership framework: A modern approach to sustainable organizational transformation. Available at SSRN 5044428.</w:t>
      </w:r>
    </w:p>
    <w:p w14:paraId="2EB503A6" w14:textId="77777777" w:rsidR="00951534" w:rsidRDefault="00D9225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Carscoops (2025) Nissan's Radical Overhaul Will Slash Platforms and Speed Up Development [Online]. Available at:</w:t>
      </w:r>
      <w:hyperlink r:id="rId15">
        <w:r w:rsidR="00951534">
          <w:rPr>
            <w:rFonts w:ascii="Times New Roman" w:eastAsia="Times New Roman" w:hAnsi="Times New Roman" w:cs="Times New Roman"/>
            <w:sz w:val="24"/>
            <w:szCs w:val="24"/>
          </w:rPr>
          <w:t xml:space="preserve"> </w:t>
        </w:r>
      </w:hyperlink>
      <w:hyperlink r:id="rId16">
        <w:r w:rsidR="00951534">
          <w:rPr>
            <w:rFonts w:ascii="Times New Roman" w:eastAsia="Times New Roman" w:hAnsi="Times New Roman" w:cs="Times New Roman"/>
            <w:sz w:val="24"/>
            <w:szCs w:val="24"/>
            <w:u w:val="single"/>
          </w:rPr>
          <w:t>https://www.carscoops.com/2025/05/nissan-slashing-platforms-development-times-and-20000-jobs/</w:t>
        </w:r>
      </w:hyperlink>
      <w:r>
        <w:rPr>
          <w:rFonts w:ascii="Times New Roman" w:eastAsia="Times New Roman" w:hAnsi="Times New Roman" w:cs="Times New Roman"/>
          <w:sz w:val="24"/>
          <w:szCs w:val="24"/>
        </w:rPr>
        <w:t xml:space="preserve"> (Accessed: 21 July 2026).</w:t>
      </w:r>
    </w:p>
    <w:p w14:paraId="7159B9FD" w14:textId="77777777" w:rsidR="00951534" w:rsidRDefault="00D9225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CBT News (2026) Nissan Cuts 900 Jobs as Restructuring Plan Accelerates [Online]. Available at:</w:t>
      </w:r>
      <w:hyperlink r:id="rId17">
        <w:r w:rsidR="00951534">
          <w:rPr>
            <w:rFonts w:ascii="Times New Roman" w:eastAsia="Times New Roman" w:hAnsi="Times New Roman" w:cs="Times New Roman"/>
            <w:sz w:val="24"/>
            <w:szCs w:val="24"/>
          </w:rPr>
          <w:t xml:space="preserve"> </w:t>
        </w:r>
      </w:hyperlink>
      <w:hyperlink r:id="rId18">
        <w:r w:rsidR="00951534">
          <w:rPr>
            <w:rFonts w:ascii="Times New Roman" w:eastAsia="Times New Roman" w:hAnsi="Times New Roman" w:cs="Times New Roman"/>
            <w:sz w:val="24"/>
            <w:szCs w:val="24"/>
            <w:u w:val="single"/>
          </w:rPr>
          <w:t>https://www.cbtnews.com/nissan-cuts-hundreds-of-jobs/</w:t>
        </w:r>
      </w:hyperlink>
      <w:r>
        <w:rPr>
          <w:rFonts w:ascii="Times New Roman" w:eastAsia="Times New Roman" w:hAnsi="Times New Roman" w:cs="Times New Roman"/>
          <w:sz w:val="24"/>
          <w:szCs w:val="24"/>
        </w:rPr>
        <w:t xml:space="preserve"> (Accessed: 21 July 2026).</w:t>
      </w:r>
    </w:p>
    <w:p w14:paraId="1A411214" w14:textId="77777777" w:rsidR="00951534" w:rsidRDefault="00D9225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Chukwuma, N. and Zondo, R.W.D., 2024. Effect of transformational leadership on employee resistance to change at eThekwini automobiles: a perspective of leaders' inspirational motivation. International Journal of Research in Business and Social Science, 13(3), pp.179-193.</w:t>
      </w:r>
    </w:p>
    <w:p w14:paraId="4D5F43C9" w14:textId="77777777" w:rsidR="00951534" w:rsidRDefault="00D9225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Electrive (2025) 'Nissan cuts 20,000 jobs and refocuses EV strategy', Electrive.com, 13 May. Available at:</w:t>
      </w:r>
      <w:hyperlink r:id="rId19">
        <w:r w:rsidR="00951534">
          <w:rPr>
            <w:rFonts w:ascii="Times New Roman" w:eastAsia="Times New Roman" w:hAnsi="Times New Roman" w:cs="Times New Roman"/>
            <w:sz w:val="24"/>
            <w:szCs w:val="24"/>
          </w:rPr>
          <w:t xml:space="preserve"> </w:t>
        </w:r>
      </w:hyperlink>
      <w:hyperlink r:id="rId20">
        <w:r w:rsidR="00951534">
          <w:rPr>
            <w:rFonts w:ascii="Times New Roman" w:eastAsia="Times New Roman" w:hAnsi="Times New Roman" w:cs="Times New Roman"/>
            <w:sz w:val="24"/>
            <w:szCs w:val="24"/>
            <w:u w:val="single"/>
          </w:rPr>
          <w:t>https://www.electrive.com/2025/05/13/nissan-cuts-20000-jobs-and-refocuses-ev-strategy/</w:t>
        </w:r>
      </w:hyperlink>
      <w:r>
        <w:rPr>
          <w:rFonts w:ascii="Times New Roman" w:eastAsia="Times New Roman" w:hAnsi="Times New Roman" w:cs="Times New Roman"/>
          <w:sz w:val="24"/>
          <w:szCs w:val="24"/>
        </w:rPr>
        <w:t xml:space="preserve"> (Accessed: 21 July 2026).</w:t>
      </w:r>
    </w:p>
    <w:p w14:paraId="5AB84A8A" w14:textId="77777777" w:rsidR="00951534" w:rsidRDefault="00D9225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Gborogbosi, L.G., 2025. The effectiveness of change management models in different industries. South Asian Research Journal of Business and Management.</w:t>
      </w:r>
    </w:p>
    <w:p w14:paraId="6B1065C6" w14:textId="4556F788" w:rsidR="00951534" w:rsidRDefault="00D9225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GMK Center (2025) Nissan to Close Seven Plants and Cut 20 </w:t>
      </w:r>
      <w:r w:rsidR="00D7643B">
        <w:rPr>
          <w:rFonts w:ascii="Times New Roman" w:eastAsia="Times New Roman" w:hAnsi="Times New Roman" w:cs="Times New Roman"/>
          <w:sz w:val="24"/>
          <w:szCs w:val="24"/>
        </w:rPr>
        <w:t>thousand</w:t>
      </w:r>
      <w:r>
        <w:rPr>
          <w:rFonts w:ascii="Times New Roman" w:eastAsia="Times New Roman" w:hAnsi="Times New Roman" w:cs="Times New Roman"/>
          <w:sz w:val="24"/>
          <w:szCs w:val="24"/>
        </w:rPr>
        <w:t xml:space="preserve"> Jobs [Online]. Available at:</w:t>
      </w:r>
      <w:hyperlink r:id="rId21">
        <w:r w:rsidR="00951534">
          <w:rPr>
            <w:rFonts w:ascii="Times New Roman" w:eastAsia="Times New Roman" w:hAnsi="Times New Roman" w:cs="Times New Roman"/>
            <w:sz w:val="24"/>
            <w:szCs w:val="24"/>
          </w:rPr>
          <w:t xml:space="preserve"> </w:t>
        </w:r>
      </w:hyperlink>
      <w:hyperlink r:id="rId22">
        <w:r w:rsidR="00951534">
          <w:rPr>
            <w:rFonts w:ascii="Times New Roman" w:eastAsia="Times New Roman" w:hAnsi="Times New Roman" w:cs="Times New Roman"/>
            <w:sz w:val="24"/>
            <w:szCs w:val="24"/>
            <w:u w:val="single"/>
          </w:rPr>
          <w:t>https://gmk.center/en/news/nissan-to-close-seven-plants-and-cut-20-thousand-jobs/</w:t>
        </w:r>
      </w:hyperlink>
      <w:r>
        <w:rPr>
          <w:rFonts w:ascii="Times New Roman" w:eastAsia="Times New Roman" w:hAnsi="Times New Roman" w:cs="Times New Roman"/>
          <w:sz w:val="24"/>
          <w:szCs w:val="24"/>
        </w:rPr>
        <w:t xml:space="preserve"> (Accessed: 21 July 2026).</w:t>
      </w:r>
    </w:p>
    <w:p w14:paraId="6F1D4E5E" w14:textId="77777777" w:rsidR="00951534" w:rsidRDefault="00D9225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Hossain, M.N., 2024. Artificial intelligence revolutionising the automotive sector: A comprehensive review of current insights, challenges, and future scope. Challenges, and Future Scope (December 02, 2024).</w:t>
      </w:r>
    </w:p>
    <w:p w14:paraId="52546CA6" w14:textId="77777777" w:rsidR="00951534" w:rsidRDefault="00D9225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Lopez-Vega, H. and Moodysson, J., 2023. Digital transformation of the automotive industry: an integrating framework to analyse technological novelty and breadth. Industry and innovation, 30(1), pp.67-102.</w:t>
      </w:r>
    </w:p>
    <w:p w14:paraId="0BD909EE" w14:textId="1FE19091" w:rsidR="00951534" w:rsidRDefault="00D9225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MarketScreener (2025) </w:t>
      </w:r>
      <w:r w:rsidR="00D7643B">
        <w:rPr>
          <w:rFonts w:ascii="Times New Roman" w:eastAsia="Times New Roman" w:hAnsi="Times New Roman" w:cs="Times New Roman"/>
          <w:sz w:val="24"/>
          <w:szCs w:val="24"/>
        </w:rPr>
        <w:t>Re: Nissan</w:t>
      </w:r>
      <w:r>
        <w:rPr>
          <w:rFonts w:ascii="Times New Roman" w:eastAsia="Times New Roman" w:hAnsi="Times New Roman" w:cs="Times New Roman"/>
          <w:sz w:val="24"/>
          <w:szCs w:val="24"/>
        </w:rPr>
        <w:t>, the Plan That Is Costing Renault Dearly [Online]. Available at:</w:t>
      </w:r>
      <w:hyperlink r:id="rId23">
        <w:r w:rsidR="00951534">
          <w:rPr>
            <w:rFonts w:ascii="Times New Roman" w:eastAsia="Times New Roman" w:hAnsi="Times New Roman" w:cs="Times New Roman"/>
            <w:sz w:val="24"/>
            <w:szCs w:val="24"/>
          </w:rPr>
          <w:t xml:space="preserve"> </w:t>
        </w:r>
      </w:hyperlink>
      <w:hyperlink r:id="rId24">
        <w:r w:rsidR="00951534">
          <w:rPr>
            <w:rFonts w:ascii="Times New Roman" w:eastAsia="Times New Roman" w:hAnsi="Times New Roman" w:cs="Times New Roman"/>
            <w:sz w:val="24"/>
            <w:szCs w:val="24"/>
            <w:u w:val="single"/>
          </w:rPr>
          <w:t>https://www.marketscreener.com/quote/stock/RENAULT-4688/news/Re-Nissan-the-plan-that-is-costing-Re-nault-dearly-49925709/</w:t>
        </w:r>
      </w:hyperlink>
      <w:r>
        <w:rPr>
          <w:rFonts w:ascii="Times New Roman" w:eastAsia="Times New Roman" w:hAnsi="Times New Roman" w:cs="Times New Roman"/>
          <w:sz w:val="24"/>
          <w:szCs w:val="24"/>
        </w:rPr>
        <w:t xml:space="preserve"> (Accessed: 21 July 2026).</w:t>
      </w:r>
    </w:p>
    <w:p w14:paraId="205E98F9" w14:textId="77777777" w:rsidR="00951534" w:rsidRDefault="00D9225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Mexico Business News (2026) Nissan Cut 900 European Jobs, Scale Back Sunderland Output [Online]. Available at:</w:t>
      </w:r>
      <w:hyperlink r:id="rId25">
        <w:r w:rsidR="00951534">
          <w:rPr>
            <w:rFonts w:ascii="Times New Roman" w:eastAsia="Times New Roman" w:hAnsi="Times New Roman" w:cs="Times New Roman"/>
            <w:sz w:val="24"/>
            <w:szCs w:val="24"/>
          </w:rPr>
          <w:t xml:space="preserve"> </w:t>
        </w:r>
      </w:hyperlink>
      <w:hyperlink r:id="rId26">
        <w:r w:rsidR="00951534">
          <w:rPr>
            <w:rFonts w:ascii="Times New Roman" w:eastAsia="Times New Roman" w:hAnsi="Times New Roman" w:cs="Times New Roman"/>
            <w:sz w:val="24"/>
            <w:szCs w:val="24"/>
            <w:u w:val="single"/>
          </w:rPr>
          <w:t>https://mexicobusiness.news/automotive/news/nissan-cut-900-european-jobs-scale-back-sunderland-output</w:t>
        </w:r>
      </w:hyperlink>
      <w:r>
        <w:rPr>
          <w:rFonts w:ascii="Times New Roman" w:eastAsia="Times New Roman" w:hAnsi="Times New Roman" w:cs="Times New Roman"/>
          <w:sz w:val="24"/>
          <w:szCs w:val="24"/>
        </w:rPr>
        <w:t xml:space="preserve"> (Accessed: 21 July 2026).</w:t>
      </w:r>
    </w:p>
    <w:p w14:paraId="681F540F" w14:textId="77777777" w:rsidR="00951534" w:rsidRDefault="00D9225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Motor Trade News (2026) Nissan to Merge Production Lines in Sunderland, Cut 10% of European Workforce [Online]. Available at:</w:t>
      </w:r>
      <w:hyperlink r:id="rId27">
        <w:r w:rsidR="00951534">
          <w:rPr>
            <w:rFonts w:ascii="Times New Roman" w:eastAsia="Times New Roman" w:hAnsi="Times New Roman" w:cs="Times New Roman"/>
            <w:sz w:val="24"/>
            <w:szCs w:val="24"/>
          </w:rPr>
          <w:t xml:space="preserve"> </w:t>
        </w:r>
      </w:hyperlink>
      <w:hyperlink r:id="rId28">
        <w:r w:rsidR="00951534">
          <w:rPr>
            <w:rFonts w:ascii="Times New Roman" w:eastAsia="Times New Roman" w:hAnsi="Times New Roman" w:cs="Times New Roman"/>
            <w:sz w:val="24"/>
            <w:szCs w:val="24"/>
            <w:u w:val="single"/>
          </w:rPr>
          <w:t>https://www.motortradenews.com/electric-vehicles/nissan-to-merge-production-lines-in-sunderland-cut-10-of-european-workforce/</w:t>
        </w:r>
      </w:hyperlink>
      <w:r>
        <w:rPr>
          <w:rFonts w:ascii="Times New Roman" w:eastAsia="Times New Roman" w:hAnsi="Times New Roman" w:cs="Times New Roman"/>
          <w:sz w:val="24"/>
          <w:szCs w:val="24"/>
        </w:rPr>
        <w:t xml:space="preserve"> (Accessed: 21 July 2026).</w:t>
      </w:r>
    </w:p>
    <w:p w14:paraId="14E8A7DB" w14:textId="77777777" w:rsidR="00951534" w:rsidRDefault="00D9225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Nissan Global Newsroom (2021) Nissan Announces EV36Zero £1 Billion EV Hub to Accelerate the Journey to Carbon Neutrality [Online]. Available at:</w:t>
      </w:r>
      <w:hyperlink r:id="rId29">
        <w:r w:rsidR="00951534">
          <w:rPr>
            <w:rFonts w:ascii="Times New Roman" w:eastAsia="Times New Roman" w:hAnsi="Times New Roman" w:cs="Times New Roman"/>
            <w:sz w:val="24"/>
            <w:szCs w:val="24"/>
          </w:rPr>
          <w:t xml:space="preserve"> </w:t>
        </w:r>
      </w:hyperlink>
      <w:hyperlink r:id="rId30">
        <w:r w:rsidR="00951534">
          <w:rPr>
            <w:rFonts w:ascii="Times New Roman" w:eastAsia="Times New Roman" w:hAnsi="Times New Roman" w:cs="Times New Roman"/>
            <w:sz w:val="24"/>
            <w:szCs w:val="24"/>
            <w:u w:val="single"/>
          </w:rPr>
          <w:t>https://global.nissannews.com/en/releases/210701-03-e</w:t>
        </w:r>
      </w:hyperlink>
      <w:r>
        <w:rPr>
          <w:rFonts w:ascii="Times New Roman" w:eastAsia="Times New Roman" w:hAnsi="Times New Roman" w:cs="Times New Roman"/>
          <w:sz w:val="24"/>
          <w:szCs w:val="24"/>
        </w:rPr>
        <w:t xml:space="preserve"> (Accessed: 21 July 2026).</w:t>
      </w:r>
    </w:p>
    <w:p w14:paraId="3C7C3F52" w14:textId="55CE7204" w:rsidR="00951534" w:rsidRDefault="00D9225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Nissan Motor Co., Ltd. (2025) Nissan Sets the Stage for Change with the Bold </w:t>
      </w:r>
      <w:r w:rsidR="00D7643B">
        <w:rPr>
          <w:rFonts w:ascii="Times New Roman" w:eastAsia="Times New Roman" w:hAnsi="Times New Roman" w:cs="Times New Roman"/>
          <w:sz w:val="24"/>
          <w:szCs w:val="24"/>
        </w:rPr>
        <w:t>Re: Nissan</w:t>
      </w:r>
      <w:r>
        <w:rPr>
          <w:rFonts w:ascii="Times New Roman" w:eastAsia="Times New Roman" w:hAnsi="Times New Roman" w:cs="Times New Roman"/>
          <w:sz w:val="24"/>
          <w:szCs w:val="24"/>
        </w:rPr>
        <w:t xml:space="preserve"> Plan [Online]. Available at:</w:t>
      </w:r>
      <w:hyperlink r:id="rId31">
        <w:r w:rsidR="00951534">
          <w:rPr>
            <w:rFonts w:ascii="Times New Roman" w:eastAsia="Times New Roman" w:hAnsi="Times New Roman" w:cs="Times New Roman"/>
            <w:sz w:val="24"/>
            <w:szCs w:val="24"/>
          </w:rPr>
          <w:t xml:space="preserve"> </w:t>
        </w:r>
      </w:hyperlink>
      <w:hyperlink r:id="rId32">
        <w:r w:rsidR="00951534">
          <w:rPr>
            <w:rFonts w:ascii="Times New Roman" w:eastAsia="Times New Roman" w:hAnsi="Times New Roman" w:cs="Times New Roman"/>
            <w:sz w:val="24"/>
            <w:szCs w:val="24"/>
            <w:u w:val="single"/>
          </w:rPr>
          <w:t>https://global.nissannews.com/en/releases/250513-02-e</w:t>
        </w:r>
      </w:hyperlink>
      <w:r>
        <w:rPr>
          <w:rFonts w:ascii="Times New Roman" w:eastAsia="Times New Roman" w:hAnsi="Times New Roman" w:cs="Times New Roman"/>
          <w:sz w:val="24"/>
          <w:szCs w:val="24"/>
        </w:rPr>
        <w:t xml:space="preserve"> (Accessed: 21 July 2026).</w:t>
      </w:r>
    </w:p>
    <w:p w14:paraId="05960090" w14:textId="77777777" w:rsidR="00951534" w:rsidRDefault="00D9225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Nissan UK (2025) Next Generation Nissan LEAF Brings EV36Zero Vision to Life at Sunderland Plant [Online]. Available at:</w:t>
      </w:r>
      <w:hyperlink r:id="rId33">
        <w:r w:rsidR="00951534">
          <w:rPr>
            <w:rFonts w:ascii="Times New Roman" w:eastAsia="Times New Roman" w:hAnsi="Times New Roman" w:cs="Times New Roman"/>
            <w:sz w:val="24"/>
            <w:szCs w:val="24"/>
          </w:rPr>
          <w:t xml:space="preserve"> </w:t>
        </w:r>
      </w:hyperlink>
      <w:hyperlink r:id="rId34">
        <w:r w:rsidR="00951534">
          <w:rPr>
            <w:rFonts w:ascii="Times New Roman" w:eastAsia="Times New Roman" w:hAnsi="Times New Roman" w:cs="Times New Roman"/>
            <w:sz w:val="24"/>
            <w:szCs w:val="24"/>
            <w:u w:val="single"/>
          </w:rPr>
          <w:t>https://uk.nissannews.com/en-GB/releases/next-generation-nissan-leaf-brings-ev36zero-vision-to-life-at-sunderland-plant</w:t>
        </w:r>
      </w:hyperlink>
      <w:r>
        <w:rPr>
          <w:rFonts w:ascii="Times New Roman" w:eastAsia="Times New Roman" w:hAnsi="Times New Roman" w:cs="Times New Roman"/>
          <w:sz w:val="24"/>
          <w:szCs w:val="24"/>
        </w:rPr>
        <w:t xml:space="preserve"> (Accessed: 21 July 2026).</w:t>
      </w:r>
    </w:p>
    <w:p w14:paraId="66A04AA2" w14:textId="77777777" w:rsidR="00951534" w:rsidRDefault="00D9225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Shrivastava, S., Pazzaglia, F., Sonpar, K. and McLoughlin, D., 2022. Effective communication during organizational change: a cross-cultural perspective. Cross Cultural &amp; Strategic Management, 29(3), pp.675-697.</w:t>
      </w:r>
    </w:p>
    <w:p w14:paraId="2E5C1D24" w14:textId="77777777" w:rsidR="00951534" w:rsidRDefault="00D9225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Society of Motor Manufacturers and Traders (SMMT) (2026) UK New Car Market Breaches Two Million as Almost One in Four Buyers Go Electric [Online]. Available at:</w:t>
      </w:r>
      <w:hyperlink r:id="rId35">
        <w:r w:rsidR="00951534">
          <w:rPr>
            <w:rFonts w:ascii="Times New Roman" w:eastAsia="Times New Roman" w:hAnsi="Times New Roman" w:cs="Times New Roman"/>
            <w:sz w:val="24"/>
            <w:szCs w:val="24"/>
          </w:rPr>
          <w:t xml:space="preserve"> </w:t>
        </w:r>
      </w:hyperlink>
      <w:hyperlink r:id="rId36">
        <w:r w:rsidR="00951534">
          <w:rPr>
            <w:rFonts w:ascii="Times New Roman" w:eastAsia="Times New Roman" w:hAnsi="Times New Roman" w:cs="Times New Roman"/>
            <w:sz w:val="24"/>
            <w:szCs w:val="24"/>
            <w:u w:val="single"/>
          </w:rPr>
          <w:t>https://www.smmt.co.uk/uk-new-car-market-breaches-two-million-as-almost-one-in-four-buyers-go-electric/</w:t>
        </w:r>
      </w:hyperlink>
      <w:r>
        <w:rPr>
          <w:rFonts w:ascii="Times New Roman" w:eastAsia="Times New Roman" w:hAnsi="Times New Roman" w:cs="Times New Roman"/>
          <w:sz w:val="24"/>
          <w:szCs w:val="24"/>
        </w:rPr>
        <w:t xml:space="preserve"> (Accessed: 21 July 2026).</w:t>
      </w:r>
    </w:p>
    <w:p w14:paraId="1ED6C453" w14:textId="77777777" w:rsidR="00951534" w:rsidRDefault="00D9225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Wiese, S.A., Lehmann, J. and Beckmann, M., 2024. Organizational culture and the usage of Industry 4.0 technologies: Evidence from Swiss businesses. arXiv preprint arXiv:2412.12752.</w:t>
      </w:r>
    </w:p>
    <w:p w14:paraId="30365A40" w14:textId="77777777" w:rsidR="00951534" w:rsidRDefault="00951534">
      <w:pPr>
        <w:spacing w:after="160" w:line="360" w:lineRule="auto"/>
        <w:ind w:left="480" w:hanging="480"/>
        <w:jc w:val="both"/>
        <w:rPr>
          <w:rFonts w:ascii="Times New Roman" w:eastAsia="Times New Roman" w:hAnsi="Times New Roman" w:cs="Times New Roman"/>
          <w:sz w:val="24"/>
          <w:szCs w:val="24"/>
        </w:rPr>
      </w:pPr>
    </w:p>
    <w:p w14:paraId="303128A3" w14:textId="77777777" w:rsidR="00951534" w:rsidRDefault="00951534">
      <w:pPr>
        <w:spacing w:after="160" w:line="360" w:lineRule="auto"/>
        <w:ind w:left="480" w:hanging="480"/>
        <w:jc w:val="both"/>
        <w:rPr>
          <w:rFonts w:ascii="Times New Roman" w:eastAsia="Times New Roman" w:hAnsi="Times New Roman" w:cs="Times New Roman"/>
          <w:sz w:val="24"/>
          <w:szCs w:val="24"/>
        </w:rPr>
      </w:pPr>
    </w:p>
    <w:sectPr w:rsidR="00951534" w:rsidSect="007C0CB3">
      <w:headerReference w:type="default" r:id="rId37"/>
      <w:footerReference w:type="first" r:id="rId38"/>
      <w:pgSz w:w="11906" w:h="16838"/>
      <w:pgMar w:top="1440" w:right="1440" w:bottom="1440" w:left="1440" w:header="708" w:footer="708" w:gutter="0"/>
      <w:pgNumType w:start="1"/>
      <w:cols w:space="720"/>
      <w:docGrid w:linePitch="313"/>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4A9C79B" w14:textId="77777777" w:rsidR="00DF56DC" w:rsidRDefault="00DF56DC">
      <w:r>
        <w:separator/>
      </w:r>
    </w:p>
  </w:endnote>
  <w:endnote w:type="continuationSeparator" w:id="0">
    <w:p w14:paraId="41F58626" w14:textId="77777777" w:rsidR="00DF56DC" w:rsidRDefault="00DF56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00002FF" w:usb1="4000ACFF" w:usb2="00000001" w:usb3="00000000" w:csb0="0000019F" w:csb1="00000000"/>
    <w:embedRegular r:id="rId1" w:fontKey="{D0905E3C-8E9B-48BB-97F6-553E1C2585FE}"/>
    <w:embedItalic r:id="rId2" w:fontKey="{F41E6D1F-8EE0-4530-BF9B-1D8F786A8945}"/>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3" w:fontKey="{90DC7B39-1AF6-4A8E-A039-F3627D112A5E}"/>
  </w:font>
  <w:font w:name="Cambria">
    <w:panose1 w:val="02040503050406030204"/>
    <w:charset w:val="00"/>
    <w:family w:val="roman"/>
    <w:pitch w:val="variable"/>
    <w:sig w:usb0="E00006FF" w:usb1="420024FF" w:usb2="02000000" w:usb3="00000000" w:csb0="0000019F" w:csb1="00000000"/>
    <w:embedRegular r:id="rId4" w:fontKey="{D22D4849-4F17-47BE-B02E-AC7D6C4D154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35047669"/>
      <w:docPartObj>
        <w:docPartGallery w:val="Page Numbers (Bottom of Page)"/>
        <w:docPartUnique/>
      </w:docPartObj>
    </w:sdtPr>
    <w:sdtEndPr>
      <w:rPr>
        <w:noProof/>
      </w:rPr>
    </w:sdtEndPr>
    <w:sdtContent>
      <w:p w14:paraId="5774CA6E" w14:textId="6B7F2B89" w:rsidR="00E3682A" w:rsidRDefault="00E3682A">
        <w:pPr>
          <w:pStyle w:val="Footer"/>
        </w:pPr>
        <w:r>
          <w:fldChar w:fldCharType="begin"/>
        </w:r>
        <w:r>
          <w:instrText xml:space="preserve"> PAGE   \* MERGEFORMAT </w:instrText>
        </w:r>
        <w:r>
          <w:fldChar w:fldCharType="separate"/>
        </w:r>
        <w:r>
          <w:rPr>
            <w:noProof/>
          </w:rPr>
          <w:t>2</w:t>
        </w:r>
        <w:r>
          <w:rPr>
            <w:noProof/>
          </w:rPr>
          <w:fldChar w:fldCharType="end"/>
        </w:r>
      </w:p>
    </w:sdtContent>
  </w:sdt>
  <w:p w14:paraId="69F6B644" w14:textId="77777777" w:rsidR="00E3682A" w:rsidRDefault="00E368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D85069E" w14:textId="77777777" w:rsidR="00DF56DC" w:rsidRDefault="00DF56DC">
      <w:r>
        <w:separator/>
      </w:r>
    </w:p>
  </w:footnote>
  <w:footnote w:type="continuationSeparator" w:id="0">
    <w:p w14:paraId="16776F86" w14:textId="77777777" w:rsidR="00DF56DC" w:rsidRDefault="00DF56D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644156839"/>
      <w:docPartObj>
        <w:docPartGallery w:val="Page Numbers (Top of Page)"/>
        <w:docPartUnique/>
      </w:docPartObj>
    </w:sdtPr>
    <w:sdtEndPr>
      <w:rPr>
        <w:noProof/>
      </w:rPr>
    </w:sdtEndPr>
    <w:sdtContent>
      <w:p w14:paraId="44208410" w14:textId="2D47A7E0" w:rsidR="007C0CB3" w:rsidRDefault="007C0CB3">
        <w:pPr>
          <w:pStyle w:val="Header"/>
        </w:pPr>
        <w:r>
          <w:fldChar w:fldCharType="begin"/>
        </w:r>
        <w:r>
          <w:instrText xml:space="preserve"> PAGE   \* MERGEFORMAT </w:instrText>
        </w:r>
        <w:r>
          <w:fldChar w:fldCharType="separate"/>
        </w:r>
        <w:r>
          <w:rPr>
            <w:noProof/>
          </w:rPr>
          <w:t>2</w:t>
        </w:r>
        <w:r>
          <w:rPr>
            <w:noProof/>
          </w:rPr>
          <w:fldChar w:fldCharType="end"/>
        </w:r>
      </w:p>
    </w:sdtContent>
  </w:sdt>
  <w:p w14:paraId="0ABD42CE" w14:textId="48E995B1" w:rsidR="00951534" w:rsidRDefault="00951534">
    <w:pPr>
      <w:jc w:val="right"/>
    </w:pPr>
  </w:p>
</w:hdr>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51"/>
  <w:embedTrueTypeFonts/>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51534"/>
    <w:rsid w:val="007C0CB3"/>
    <w:rsid w:val="007F10A0"/>
    <w:rsid w:val="00951534"/>
    <w:rsid w:val="00A62D0B"/>
    <w:rsid w:val="00A76F4D"/>
    <w:rsid w:val="00B336D2"/>
    <w:rsid w:val="00D7643B"/>
    <w:rsid w:val="00D92257"/>
    <w:rsid w:val="00DF56DC"/>
    <w:rsid w:val="00E368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CDD833"/>
  <w15:docId w15:val="{7697F454-2756-4A4A-985D-59690AEB14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Calibri" w:eastAsia="Calibri" w:hAnsi="Calibri" w:cs="Calibri"/>
        <w:sz w:val="23"/>
        <w:szCs w:val="23"/>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pBdr>
        <w:top w:val="nil"/>
        <w:left w:val="nil"/>
        <w:bottom w:val="nil"/>
        <w:right w:val="nil"/>
        <w:between w:val="nil"/>
      </w:pBdr>
      <w:outlineLvl w:val="0"/>
    </w:pPr>
    <w:rPr>
      <w:color w:val="2E74B5"/>
      <w:sz w:val="32"/>
      <w:szCs w:val="32"/>
    </w:rPr>
  </w:style>
  <w:style w:type="paragraph" w:styleId="Heading2">
    <w:name w:val="heading 2"/>
    <w:basedOn w:val="Normal"/>
    <w:next w:val="Normal"/>
    <w:uiPriority w:val="9"/>
    <w:unhideWhenUsed/>
    <w:qFormat/>
    <w:pPr>
      <w:pBdr>
        <w:top w:val="nil"/>
        <w:left w:val="nil"/>
        <w:bottom w:val="nil"/>
        <w:right w:val="nil"/>
        <w:between w:val="nil"/>
      </w:pBdr>
      <w:outlineLvl w:val="1"/>
    </w:pPr>
    <w:rPr>
      <w:color w:val="2E74B5"/>
      <w:sz w:val="26"/>
      <w:szCs w:val="26"/>
    </w:rPr>
  </w:style>
  <w:style w:type="paragraph" w:styleId="Heading3">
    <w:name w:val="heading 3"/>
    <w:basedOn w:val="Normal"/>
    <w:next w:val="Normal"/>
    <w:uiPriority w:val="9"/>
    <w:semiHidden/>
    <w:unhideWhenUsed/>
    <w:qFormat/>
    <w:pPr>
      <w:pBdr>
        <w:top w:val="nil"/>
        <w:left w:val="nil"/>
        <w:bottom w:val="nil"/>
        <w:right w:val="nil"/>
        <w:between w:val="nil"/>
      </w:pBdr>
      <w:outlineLvl w:val="2"/>
    </w:pPr>
    <w:rPr>
      <w:color w:val="1F4D78"/>
      <w:sz w:val="24"/>
      <w:szCs w:val="24"/>
    </w:rPr>
  </w:style>
  <w:style w:type="paragraph" w:styleId="Heading4">
    <w:name w:val="heading 4"/>
    <w:basedOn w:val="Normal"/>
    <w:next w:val="Normal"/>
    <w:uiPriority w:val="9"/>
    <w:semiHidden/>
    <w:unhideWhenUsed/>
    <w:qFormat/>
    <w:pPr>
      <w:pBdr>
        <w:top w:val="nil"/>
        <w:left w:val="nil"/>
        <w:bottom w:val="nil"/>
        <w:right w:val="nil"/>
        <w:between w:val="nil"/>
      </w:pBdr>
      <w:outlineLvl w:val="3"/>
    </w:pPr>
    <w:rPr>
      <w:i/>
      <w:iCs/>
      <w:color w:val="2E74B5"/>
    </w:rPr>
  </w:style>
  <w:style w:type="paragraph" w:styleId="Heading5">
    <w:name w:val="heading 5"/>
    <w:basedOn w:val="Normal"/>
    <w:next w:val="Normal"/>
    <w:uiPriority w:val="9"/>
    <w:semiHidden/>
    <w:unhideWhenUsed/>
    <w:qFormat/>
    <w:pPr>
      <w:pBdr>
        <w:top w:val="nil"/>
        <w:left w:val="nil"/>
        <w:bottom w:val="nil"/>
        <w:right w:val="nil"/>
        <w:between w:val="nil"/>
      </w:pBdr>
      <w:outlineLvl w:val="4"/>
    </w:pPr>
    <w:rPr>
      <w:color w:val="2E74B5"/>
    </w:rPr>
  </w:style>
  <w:style w:type="paragraph" w:styleId="Heading6">
    <w:name w:val="heading 6"/>
    <w:basedOn w:val="Normal"/>
    <w:next w:val="Normal"/>
    <w:uiPriority w:val="9"/>
    <w:semiHidden/>
    <w:unhideWhenUsed/>
    <w:qFormat/>
    <w:pPr>
      <w:pBdr>
        <w:top w:val="nil"/>
        <w:left w:val="nil"/>
        <w:bottom w:val="nil"/>
        <w:right w:val="nil"/>
        <w:between w:val="nil"/>
      </w:pBd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top w:val="nil"/>
        <w:left w:val="nil"/>
        <w:bottom w:val="nil"/>
        <w:right w:val="nil"/>
        <w:between w:val="nil"/>
      </w:pBdr>
    </w:pPr>
    <w:rPr>
      <w:color w:val="000000"/>
      <w:sz w:val="56"/>
      <w:szCs w:val="56"/>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CellMar>
        <w:top w:w="0" w:type="dxa"/>
        <w:left w:w="115" w:type="dxa"/>
        <w:bottom w:w="0" w:type="dxa"/>
        <w:right w:w="115" w:type="dxa"/>
      </w:tblCellMar>
    </w:tblPr>
  </w:style>
  <w:style w:type="table" w:customStyle="1" w:styleId="a0">
    <w:basedOn w:val="TableNormal0"/>
    <w:tblPr>
      <w:tblStyleRowBandSize w:val="1"/>
      <w:tblStyleColBandSize w:val="1"/>
      <w:tblCellMar>
        <w:top w:w="0" w:type="dxa"/>
        <w:left w:w="115" w:type="dxa"/>
        <w:bottom w:w="0" w:type="dxa"/>
        <w:right w:w="115" w:type="dxa"/>
      </w:tblCellMar>
    </w:tblPr>
  </w:style>
  <w:style w:type="table" w:customStyle="1" w:styleId="a1">
    <w:basedOn w:val="TableNormal0"/>
    <w:tblPr>
      <w:tblStyleRowBandSize w:val="1"/>
      <w:tblStyleColBandSize w:val="1"/>
      <w:tblCellMar>
        <w:top w:w="0" w:type="dxa"/>
        <w:left w:w="115" w:type="dxa"/>
        <w:bottom w:w="0" w:type="dxa"/>
        <w:right w:w="115" w:type="dxa"/>
      </w:tblCellMar>
    </w:tblPr>
  </w:style>
  <w:style w:type="table" w:customStyle="1" w:styleId="a2">
    <w:basedOn w:val="TableNormal0"/>
    <w:tblPr>
      <w:tblStyleRowBandSize w:val="1"/>
      <w:tblStyleColBandSize w:val="1"/>
      <w:tblCellMar>
        <w:top w:w="0" w:type="dxa"/>
        <w:left w:w="115" w:type="dxa"/>
        <w:bottom w:w="0" w:type="dxa"/>
        <w:right w:w="115" w:type="dxa"/>
      </w:tblCellMar>
    </w:tblPr>
  </w:style>
  <w:style w:type="table" w:customStyle="1" w:styleId="a3">
    <w:basedOn w:val="TableNormal0"/>
    <w:tblPr>
      <w:tblStyleRowBandSize w:val="1"/>
      <w:tblStyleColBandSize w:val="1"/>
      <w:tblCellMar>
        <w:top w:w="0" w:type="dxa"/>
        <w:left w:w="115" w:type="dxa"/>
        <w:bottom w:w="0" w:type="dxa"/>
        <w:right w:w="115" w:type="dxa"/>
      </w:tblCellMar>
    </w:tblPr>
  </w:style>
  <w:style w:type="table" w:customStyle="1" w:styleId="a4">
    <w:basedOn w:val="TableNormal0"/>
    <w:tblPr>
      <w:tblStyleRowBandSize w:val="1"/>
      <w:tblStyleColBandSize w:val="1"/>
      <w:tblCellMar>
        <w:top w:w="0" w:type="dxa"/>
        <w:left w:w="115" w:type="dxa"/>
        <w:bottom w:w="0" w:type="dxa"/>
        <w:right w:w="115" w:type="dxa"/>
      </w:tblCellMar>
    </w:tblPr>
  </w:style>
  <w:style w:type="table" w:customStyle="1" w:styleId="a5">
    <w:basedOn w:val="TableNormal0"/>
    <w:tblPr>
      <w:tblStyleRowBandSize w:val="1"/>
      <w:tblStyleColBandSize w:val="1"/>
      <w:tblCellMar>
        <w:top w:w="0" w:type="dxa"/>
        <w:left w:w="115" w:type="dxa"/>
        <w:bottom w:w="0" w:type="dxa"/>
        <w:right w:w="115" w:type="dxa"/>
      </w:tblCellMar>
    </w:tblPr>
  </w:style>
  <w:style w:type="table" w:customStyle="1" w:styleId="a6">
    <w:basedOn w:val="TableNormal0"/>
    <w:tblPr>
      <w:tblStyleRowBandSize w:val="1"/>
      <w:tblStyleColBandSize w:val="1"/>
      <w:tblCellMar>
        <w:top w:w="0" w:type="dxa"/>
        <w:left w:w="115" w:type="dxa"/>
        <w:bottom w:w="0" w:type="dxa"/>
        <w:right w:w="115" w:type="dxa"/>
      </w:tblCellMar>
    </w:tblPr>
  </w:style>
  <w:style w:type="paragraph" w:styleId="Header">
    <w:name w:val="header"/>
    <w:basedOn w:val="Normal"/>
    <w:link w:val="HeaderChar"/>
    <w:uiPriority w:val="99"/>
    <w:unhideWhenUsed/>
    <w:rsid w:val="00E3682A"/>
    <w:pPr>
      <w:tabs>
        <w:tab w:val="center" w:pos="4513"/>
        <w:tab w:val="right" w:pos="9026"/>
      </w:tabs>
    </w:pPr>
  </w:style>
  <w:style w:type="character" w:customStyle="1" w:styleId="HeaderChar">
    <w:name w:val="Header Char"/>
    <w:basedOn w:val="DefaultParagraphFont"/>
    <w:link w:val="Header"/>
    <w:uiPriority w:val="99"/>
    <w:rsid w:val="00E3682A"/>
  </w:style>
  <w:style w:type="paragraph" w:styleId="Footer">
    <w:name w:val="footer"/>
    <w:basedOn w:val="Normal"/>
    <w:link w:val="FooterChar"/>
    <w:uiPriority w:val="99"/>
    <w:unhideWhenUsed/>
    <w:rsid w:val="00E3682A"/>
    <w:pPr>
      <w:tabs>
        <w:tab w:val="center" w:pos="4513"/>
        <w:tab w:val="right" w:pos="9026"/>
      </w:tabs>
    </w:pPr>
  </w:style>
  <w:style w:type="character" w:customStyle="1" w:styleId="FooterChar">
    <w:name w:val="Footer Char"/>
    <w:basedOn w:val="DefaultParagraphFont"/>
    <w:link w:val="Footer"/>
    <w:uiPriority w:val="99"/>
    <w:rsid w:val="00E368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automotiveworld.com/news/nissan-trims-900-european-jobs-cuts-sunderland-to-one-line/" TargetMode="External"/><Relationship Id="rId18" Type="http://schemas.openxmlformats.org/officeDocument/2006/relationships/hyperlink" Target="https://www.cbtnews.com/nissan-cuts-hundreds-of-jobs/" TargetMode="External"/><Relationship Id="rId26" Type="http://schemas.openxmlformats.org/officeDocument/2006/relationships/hyperlink" Target="https://mexicobusiness.news/automotive/news/nissan-cut-900-european-jobs-scale-back-sunderland-output" TargetMode="External"/><Relationship Id="rId39" Type="http://schemas.openxmlformats.org/officeDocument/2006/relationships/fontTable" Target="fontTable.xml"/><Relationship Id="rId21" Type="http://schemas.openxmlformats.org/officeDocument/2006/relationships/hyperlink" Target="https://gmk.center/en/news/nissan-to-close-seven-plants-and-cut-20-thousand-jobs/" TargetMode="External"/><Relationship Id="rId34" Type="http://schemas.openxmlformats.org/officeDocument/2006/relationships/hyperlink" Target="https://uk.nissannews.com/en-GB/releases/next-generation-nissan-leaf-brings-ev36zero-vision-to-life-at-sunderland-plant" TargetMode="External"/><Relationship Id="rId7" Type="http://schemas.openxmlformats.org/officeDocument/2006/relationships/image" Target="media/image2.png"/><Relationship Id="rId12" Type="http://schemas.openxmlformats.org/officeDocument/2006/relationships/hyperlink" Target="https://www.autoexpress.co.uk/nissan/369516/nissan-shuts-one-sunderland-production-line-qashqai-juke-and-leaf-output-be" TargetMode="External"/><Relationship Id="rId17" Type="http://schemas.openxmlformats.org/officeDocument/2006/relationships/hyperlink" Target="https://www.cbtnews.com/nissan-cuts-hundreds-of-jobs/" TargetMode="External"/><Relationship Id="rId25" Type="http://schemas.openxmlformats.org/officeDocument/2006/relationships/hyperlink" Target="https://mexicobusiness.news/automotive/news/nissan-cut-900-european-jobs-scale-back-sunderland-output" TargetMode="External"/><Relationship Id="rId33" Type="http://schemas.openxmlformats.org/officeDocument/2006/relationships/hyperlink" Target="https://uk.nissannews.com/en-GB/releases/next-generation-nissan-leaf-brings-ev36zero-vision-to-life-at-sunderland-plant" TargetMode="External"/><Relationship Id="rId38"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www.carscoops.com/2025/05/nissan-slashing-platforms-development-times-and-20000-jobs/" TargetMode="External"/><Relationship Id="rId20" Type="http://schemas.openxmlformats.org/officeDocument/2006/relationships/hyperlink" Target="https://www.electrive.com/2025/05/13/nissan-cuts-20000-jobs-and-refocuses-ev-strategy/" TargetMode="External"/><Relationship Id="rId29" Type="http://schemas.openxmlformats.org/officeDocument/2006/relationships/hyperlink" Target="https://global.nissannews.com/en/releases/210701-03-e"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autoexpress.co.uk/nissan/369516/nissan-shuts-one-sunderland-production-line-qashqai-juke-and-leaf-output-be" TargetMode="External"/><Relationship Id="rId24" Type="http://schemas.openxmlformats.org/officeDocument/2006/relationships/hyperlink" Target="https://www.marketscreener.com/quote/stock/RENAULT-4688/news/Re-Nissan-the-plan-that-is-costing-Re-nault-dearly-49925709/" TargetMode="External"/><Relationship Id="rId32" Type="http://schemas.openxmlformats.org/officeDocument/2006/relationships/hyperlink" Target="https://global.nissannews.com/en/releases/250513-02-e"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carscoops.com/2025/05/nissan-slashing-platforms-development-times-and-20000-jobs/" TargetMode="External"/><Relationship Id="rId23" Type="http://schemas.openxmlformats.org/officeDocument/2006/relationships/hyperlink" Target="https://www.marketscreener.com/quote/stock/RENAULT-4688/news/Re-Nissan-the-plan-that-is-costing-Re-nault-dearly-49925709/" TargetMode="External"/><Relationship Id="rId28" Type="http://schemas.openxmlformats.org/officeDocument/2006/relationships/hyperlink" Target="https://www.motortradenews.com/electric-vehicles/nissan-to-merge-production-lines-in-sunderland-cut-10-of-european-workforce/" TargetMode="External"/><Relationship Id="rId36" Type="http://schemas.openxmlformats.org/officeDocument/2006/relationships/hyperlink" Target="https://www.smmt.co.uk/uk-new-car-market-breaches-two-million-as-almost-one-in-four-buyers-go-electric/" TargetMode="External"/><Relationship Id="rId10" Type="http://schemas.openxmlformats.org/officeDocument/2006/relationships/hyperlink" Target="https://www.ainvest.com/news/nissan-restructuring-turnaround-terminal-decline-2505/" TargetMode="External"/><Relationship Id="rId19" Type="http://schemas.openxmlformats.org/officeDocument/2006/relationships/hyperlink" Target="https://www.electrive.com/2025/05/13/nissan-cuts-20000-jobs-and-refocuses-ev-strategy/" TargetMode="External"/><Relationship Id="rId31" Type="http://schemas.openxmlformats.org/officeDocument/2006/relationships/hyperlink" Target="https://global.nissannews.com/en/releases/250513-02-e" TargetMode="External"/><Relationship Id="rId4" Type="http://schemas.openxmlformats.org/officeDocument/2006/relationships/footnotes" Target="footnotes.xml"/><Relationship Id="rId9" Type="http://schemas.openxmlformats.org/officeDocument/2006/relationships/hyperlink" Target="https://www.ainvest.com/news/nissan-restructuring-turnaround-terminal-decline-2505/" TargetMode="External"/><Relationship Id="rId14" Type="http://schemas.openxmlformats.org/officeDocument/2006/relationships/hyperlink" Target="https://www.automotiveworld.com/news/nissan-trims-900-european-jobs-cuts-sunderland-to-one-line/" TargetMode="External"/><Relationship Id="rId22" Type="http://schemas.openxmlformats.org/officeDocument/2006/relationships/hyperlink" Target="https://gmk.center/en/news/nissan-to-close-seven-plants-and-cut-20-thousand-jobs/" TargetMode="External"/><Relationship Id="rId27" Type="http://schemas.openxmlformats.org/officeDocument/2006/relationships/hyperlink" Target="https://www.motortradenews.com/electric-vehicles/nissan-to-merge-production-lines-in-sunderland-cut-10-of-european-workforce/" TargetMode="External"/><Relationship Id="rId30" Type="http://schemas.openxmlformats.org/officeDocument/2006/relationships/hyperlink" Target="https://global.nissannews.com/en/releases/210701-03-e" TargetMode="External"/><Relationship Id="rId35" Type="http://schemas.openxmlformats.org/officeDocument/2006/relationships/hyperlink" Target="https://www.smmt.co.uk/uk-new-car-market-breaches-two-million-as-almost-one-in-four-buyers-go-electric/" TargetMode="External"/><Relationship Id="rId8" Type="http://schemas.openxmlformats.org/officeDocument/2006/relationships/image" Target="media/image3.png"/><Relationship Id="rId3" Type="http://schemas.openxmlformats.org/officeDocument/2006/relationships/webSettings" Target="webSetting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6048</Words>
  <Characters>34478</Characters>
  <Application>Microsoft Office Word</Application>
  <DocSecurity>0</DocSecurity>
  <Lines>287</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PC_05</dc:creator>
  <cp:lastModifiedBy>Guy Massamba (2325805)</cp:lastModifiedBy>
  <cp:revision>2</cp:revision>
  <dcterms:created xsi:type="dcterms:W3CDTF">2026-08-20T17:29:00Z</dcterms:created>
  <dcterms:modified xsi:type="dcterms:W3CDTF">2026-08-20T17:29:00Z</dcterms:modified>
</cp:coreProperties>
</file>