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A51F1" w14:textId="77777777" w:rsidR="005E402C" w:rsidRDefault="00C0777A" w:rsidP="007A27D2">
      <w:pPr>
        <w:rPr>
          <w:rFonts w:ascii="New times romain" w:eastAsia="Times New Roman" w:hAnsi="New times romain"/>
          <w:color w:val="000000"/>
          <w:kern w:val="0"/>
          <w:sz w:val="24"/>
          <w:szCs w:val="24"/>
          <w:u w:val="single"/>
          <w:lang w:eastAsia="en-GB"/>
        </w:rPr>
      </w:pPr>
      <w:r w:rsidRPr="00C0777A">
        <w:rPr>
          <w:rFonts w:ascii="New times romain" w:eastAsia="Times New Roman" w:hAnsi="New times romain"/>
          <w:color w:val="000000"/>
          <w:kern w:val="0"/>
          <w:sz w:val="24"/>
          <w:szCs w:val="24"/>
          <w:u w:val="single"/>
          <w:lang w:eastAsia="en-GB"/>
        </w:rPr>
        <w:t xml:space="preserve">Margaret Thatcher views on women’s rights. </w:t>
      </w:r>
    </w:p>
    <w:p w14:paraId="1246D7D1" w14:textId="0A32421A" w:rsidR="00914093" w:rsidRPr="00B06978" w:rsidRDefault="00914093" w:rsidP="00914093">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 xml:space="preserve">Margaret Thatcher, who served as the Prime Minister of the United Kingdom from 1979 to 1990, was a pivotal figure in British politics and the first woman to hold the office. The term ‘Iron Lady’ was first used by a Soviet newspaper in 1976, before she became Prime Minister, as a criticism of her strong stance against the Soviet Union and her </w:t>
      </w:r>
      <w:r w:rsidR="00161833" w:rsidRPr="00B06978">
        <w:rPr>
          <w:rFonts w:ascii="New times roman" w:eastAsia="Times New Roman" w:hAnsi="New times roman"/>
          <w:color w:val="000000"/>
          <w:kern w:val="0"/>
          <w:sz w:val="24"/>
          <w:szCs w:val="24"/>
          <w:lang w:eastAsia="en-GB"/>
        </w:rPr>
        <w:t>defence</w:t>
      </w:r>
      <w:r w:rsidRPr="00B06978">
        <w:rPr>
          <w:rFonts w:ascii="New times roman" w:eastAsia="Times New Roman" w:hAnsi="New times roman"/>
          <w:color w:val="000000"/>
          <w:kern w:val="0"/>
          <w:sz w:val="24"/>
          <w:szCs w:val="24"/>
          <w:lang w:eastAsia="en-GB"/>
        </w:rPr>
        <w:t xml:space="preserve"> policies.</w:t>
      </w:r>
      <w:r w:rsidR="002D7AAE" w:rsidRPr="00B06978">
        <w:rPr>
          <w:rStyle w:val="FootnoteReference"/>
          <w:rFonts w:ascii="New times roman" w:eastAsia="Times New Roman" w:hAnsi="New times roman"/>
          <w:color w:val="000000"/>
          <w:kern w:val="0"/>
          <w:sz w:val="24"/>
          <w:szCs w:val="24"/>
          <w:lang w:eastAsia="en-GB"/>
        </w:rPr>
        <w:footnoteReference w:id="1"/>
      </w:r>
    </w:p>
    <w:p w14:paraId="3E0F58E7" w14:textId="2951777B" w:rsidR="00914093" w:rsidRPr="00B06978" w:rsidRDefault="00914093" w:rsidP="00914093">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Thatcher was celebrated for her strong leadership style and her commitment to free-market policies, which transformed the British economy. However, her legacy is complex, particularly regarding women's rights.</w:t>
      </w:r>
      <w:r w:rsidR="002A6EF3" w:rsidRPr="00B06978">
        <w:rPr>
          <w:rStyle w:val="FootnoteReference"/>
          <w:rFonts w:ascii="New times roman" w:eastAsia="Times New Roman" w:hAnsi="New times roman"/>
          <w:color w:val="000000"/>
          <w:kern w:val="0"/>
          <w:sz w:val="24"/>
          <w:szCs w:val="24"/>
          <w:lang w:eastAsia="en-GB"/>
        </w:rPr>
        <w:footnoteReference w:id="2"/>
      </w:r>
      <w:r w:rsidRPr="00B06978">
        <w:rPr>
          <w:rFonts w:ascii="New times roman" w:eastAsia="Times New Roman" w:hAnsi="New times roman"/>
          <w:color w:val="000000"/>
          <w:kern w:val="0"/>
          <w:sz w:val="24"/>
          <w:szCs w:val="24"/>
          <w:lang w:eastAsia="en-GB"/>
        </w:rPr>
        <w:t>While her ascent to power inspired many women, her policies often did not prioritize gender equality or address the systemic issues facing women in society. In her 1988 speech to the Conservative Party Conference, Thatcher stated, ‘I owe nothing to women's lib,’ reflecting her belief in individualism over collective feminist movements.</w:t>
      </w:r>
      <w:r w:rsidR="002A6EF3" w:rsidRPr="00B06978">
        <w:rPr>
          <w:rStyle w:val="FootnoteReference"/>
          <w:rFonts w:ascii="New times roman" w:eastAsia="Times New Roman" w:hAnsi="New times roman"/>
          <w:color w:val="000000"/>
          <w:kern w:val="0"/>
          <w:sz w:val="24"/>
          <w:szCs w:val="24"/>
          <w:lang w:eastAsia="en-GB"/>
        </w:rPr>
        <w:footnoteReference w:id="3"/>
      </w:r>
      <w:r w:rsidRPr="00B06978">
        <w:rPr>
          <w:rFonts w:ascii="New times roman" w:eastAsia="Times New Roman" w:hAnsi="New times roman"/>
          <w:color w:val="000000"/>
          <w:kern w:val="0"/>
          <w:sz w:val="24"/>
          <w:szCs w:val="24"/>
          <w:lang w:eastAsia="en-GB"/>
        </w:rPr>
        <w:t xml:space="preserve"> Historian Anne Perkins notes, ‘Thatcher's government was not a government for women,</w:t>
      </w:r>
      <w:r w:rsidR="008725F5">
        <w:rPr>
          <w:rStyle w:val="FootnoteReference"/>
          <w:rFonts w:ascii="New times roman" w:eastAsia="Times New Roman" w:hAnsi="New times roman"/>
          <w:color w:val="000000"/>
          <w:kern w:val="0"/>
          <w:sz w:val="24"/>
          <w:szCs w:val="24"/>
          <w:lang w:eastAsia="en-GB"/>
        </w:rPr>
        <w:footnoteReference w:id="4"/>
      </w:r>
      <w:r w:rsidRPr="00B06978">
        <w:rPr>
          <w:rFonts w:ascii="New times roman" w:eastAsia="Times New Roman" w:hAnsi="New times roman"/>
          <w:color w:val="000000"/>
          <w:kern w:val="0"/>
          <w:sz w:val="24"/>
          <w:szCs w:val="24"/>
          <w:lang w:eastAsia="en-GB"/>
        </w:rPr>
        <w:t>’ while historian Jill Kirby argues that ‘Thatcher's policies often alienated the very women who could have benefited from her leadership.’</w:t>
      </w:r>
      <w:r w:rsidR="008725F5">
        <w:rPr>
          <w:rStyle w:val="FootnoteReference"/>
          <w:rFonts w:ascii="New times roman" w:eastAsia="Times New Roman" w:hAnsi="New times roman"/>
          <w:color w:val="000000"/>
          <w:kern w:val="0"/>
          <w:sz w:val="24"/>
          <w:szCs w:val="24"/>
          <w:lang w:eastAsia="en-GB"/>
        </w:rPr>
        <w:footnoteReference w:id="5"/>
      </w:r>
      <w:r w:rsidRPr="00B06978">
        <w:rPr>
          <w:rFonts w:ascii="New times roman" w:eastAsia="Times New Roman" w:hAnsi="New times roman"/>
          <w:color w:val="000000"/>
          <w:kern w:val="0"/>
          <w:sz w:val="24"/>
          <w:szCs w:val="24"/>
          <w:lang w:eastAsia="en-GB"/>
        </w:rPr>
        <w:t xml:space="preserve"> Additionally, historian Fiona Hill highlights that ‘Thatcher's approach to feminism was often contradictory, as she promoted individualism while neglecting collective women's issues.’</w:t>
      </w:r>
      <w:r w:rsidR="00842D9C" w:rsidRPr="00B06978">
        <w:rPr>
          <w:rStyle w:val="FootnoteReference"/>
          <w:rFonts w:ascii="New times roman" w:eastAsia="Times New Roman" w:hAnsi="New times roman"/>
          <w:color w:val="000000"/>
          <w:kern w:val="0"/>
          <w:sz w:val="24"/>
          <w:szCs w:val="24"/>
          <w:lang w:eastAsia="en-GB"/>
        </w:rPr>
        <w:footnoteReference w:id="6"/>
      </w:r>
      <w:r w:rsidRPr="00B06978">
        <w:rPr>
          <w:rFonts w:ascii="New times roman" w:eastAsia="Times New Roman" w:hAnsi="New times roman"/>
          <w:color w:val="000000"/>
          <w:kern w:val="0"/>
          <w:sz w:val="24"/>
          <w:szCs w:val="24"/>
          <w:lang w:eastAsia="en-GB"/>
        </w:rPr>
        <w:t xml:space="preserve"> This essay will explore Thatcher's impact on women's rights during her time in office, drawing on primary sources such as her speeches </w:t>
      </w:r>
      <w:r w:rsidRPr="00B06978">
        <w:rPr>
          <w:rFonts w:ascii="New times roman" w:eastAsia="Times New Roman" w:hAnsi="New times roman"/>
          <w:color w:val="000000"/>
          <w:kern w:val="0"/>
          <w:sz w:val="24"/>
          <w:szCs w:val="24"/>
          <w:lang w:eastAsia="en-GB"/>
        </w:rPr>
        <w:lastRenderedPageBreak/>
        <w:t>and policies, particularly her 1988 conference speech, as well as secondary sources from historians like Perkins, Kirby, Hill, and others to examine the broader implications for gender equality in the UK.</w:t>
      </w:r>
    </w:p>
    <w:p w14:paraId="47AF527F" w14:textId="3572FC81" w:rsidR="007A27D2" w:rsidRPr="00B06978" w:rsidRDefault="007A27D2" w:rsidP="007A27D2">
      <w:pPr>
        <w:rPr>
          <w:rFonts w:ascii="New times roman" w:eastAsia="Times New Roman" w:hAnsi="New times roman"/>
          <w:color w:val="000000"/>
          <w:kern w:val="0"/>
          <w:sz w:val="24"/>
          <w:szCs w:val="24"/>
          <w:u w:val="single"/>
          <w:lang w:eastAsia="en-GB"/>
        </w:rPr>
      </w:pPr>
      <w:r w:rsidRPr="00B06978">
        <w:rPr>
          <w:rFonts w:ascii="New times roman" w:eastAsia="Times New Roman" w:hAnsi="New times roman"/>
          <w:color w:val="000000"/>
          <w:kern w:val="0"/>
          <w:sz w:val="24"/>
          <w:szCs w:val="24"/>
          <w:lang w:eastAsia="en-GB"/>
        </w:rPr>
        <w:t xml:space="preserve">Margaret Thatcher's leadership is often encapsulated by her assertion, </w:t>
      </w:r>
      <w:r w:rsidR="00EF2FA5" w:rsidRPr="00B06978">
        <w:rPr>
          <w:rFonts w:ascii="New times roman" w:eastAsia="Times New Roman" w:hAnsi="New times roman"/>
          <w:color w:val="000000"/>
          <w:kern w:val="0"/>
          <w:sz w:val="24"/>
          <w:szCs w:val="24"/>
          <w:lang w:eastAsia="en-GB"/>
        </w:rPr>
        <w:t>‘</w:t>
      </w:r>
      <w:r w:rsidRPr="00B06978">
        <w:rPr>
          <w:rFonts w:ascii="New times roman" w:eastAsia="Times New Roman" w:hAnsi="New times roman"/>
          <w:color w:val="000000"/>
          <w:kern w:val="0"/>
          <w:sz w:val="24"/>
          <w:szCs w:val="24"/>
          <w:lang w:eastAsia="en-GB"/>
        </w:rPr>
        <w:t>If you want something said, ask a man; if you want something done, ask a woman.</w:t>
      </w:r>
      <w:r w:rsidR="00EF2FA5" w:rsidRPr="00B06978">
        <w:rPr>
          <w:rFonts w:ascii="New times roman" w:eastAsia="Times New Roman" w:hAnsi="New times roman"/>
          <w:color w:val="000000"/>
          <w:kern w:val="0"/>
          <w:sz w:val="24"/>
          <w:szCs w:val="24"/>
          <w:lang w:eastAsia="en-GB"/>
        </w:rPr>
        <w:t>’</w:t>
      </w:r>
      <w:r w:rsidRPr="00B06978">
        <w:rPr>
          <w:rFonts w:ascii="New times roman" w:eastAsia="Times New Roman" w:hAnsi="New times roman"/>
          <w:color w:val="000000"/>
          <w:kern w:val="0"/>
          <w:sz w:val="24"/>
          <w:szCs w:val="24"/>
          <w:lang w:eastAsia="en-GB"/>
        </w:rPr>
        <w:t xml:space="preserve"> This statement reflects her belief in the capabilities of women, particularly in a male-dominated political landscape.</w:t>
      </w:r>
      <w:r w:rsidR="00842D9C" w:rsidRPr="00B06978">
        <w:rPr>
          <w:rStyle w:val="FootnoteReference"/>
          <w:rFonts w:ascii="New times roman" w:eastAsia="Times New Roman" w:hAnsi="New times roman"/>
          <w:color w:val="000000"/>
          <w:kern w:val="0"/>
          <w:sz w:val="24"/>
          <w:szCs w:val="24"/>
          <w:lang w:eastAsia="en-GB"/>
        </w:rPr>
        <w:footnoteReference w:id="7"/>
      </w:r>
      <w:r w:rsidRPr="00B06978">
        <w:rPr>
          <w:rFonts w:ascii="New times roman" w:eastAsia="Times New Roman" w:hAnsi="New times roman"/>
          <w:color w:val="000000"/>
          <w:kern w:val="0"/>
          <w:sz w:val="24"/>
          <w:szCs w:val="24"/>
          <w:lang w:eastAsia="en-GB"/>
        </w:rPr>
        <w:t xml:space="preserve"> Thatcher's rise to power as the first female Prime Minister of the United Kingdom was a significant milestone, showcasing that women could hold the highest offices and wield considerable influence.</w:t>
      </w:r>
    </w:p>
    <w:p w14:paraId="7459DF1A" w14:textId="5B33FA3A" w:rsidR="00FA4006" w:rsidRPr="00B06978" w:rsidRDefault="00FA4006" w:rsidP="00FA4006">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Jill Liddington, a prominent historian and author known for her work on women's history, adds significant depth to the discussion of women's experiences during Margaret Thatcher's government. In her writings, Liddington emphasizes that Thatcher's policies often overlooked the needs and struggles of women, particularly those in lower socioeconomic classes. She argues that despite Thatcher being a woman in a position of power, her approach to governance did not necessarily advance women's rights or improve their conditions.</w:t>
      </w:r>
      <w:r w:rsidR="00FD4E37" w:rsidRPr="00B06978">
        <w:rPr>
          <w:rStyle w:val="FootnoteReference"/>
          <w:rFonts w:ascii="New times roman" w:eastAsia="Times New Roman" w:hAnsi="New times roman"/>
          <w:color w:val="000000"/>
          <w:kern w:val="0"/>
          <w:sz w:val="24"/>
          <w:szCs w:val="24"/>
          <w:lang w:eastAsia="en-GB"/>
        </w:rPr>
        <w:footnoteReference w:id="8"/>
      </w:r>
    </w:p>
    <w:p w14:paraId="166AB0F9" w14:textId="77777777" w:rsidR="00FD4E37" w:rsidRPr="00B06978" w:rsidRDefault="00FD4E37" w:rsidP="00FA4006">
      <w:pPr>
        <w:rPr>
          <w:rFonts w:ascii="New times roman" w:eastAsia="Times New Roman" w:hAnsi="New times roman"/>
          <w:color w:val="000000"/>
          <w:kern w:val="0"/>
          <w:sz w:val="24"/>
          <w:szCs w:val="24"/>
          <w:lang w:eastAsia="en-GB"/>
        </w:rPr>
      </w:pPr>
    </w:p>
    <w:p w14:paraId="034C509B" w14:textId="06195F53" w:rsidR="00A53132" w:rsidRPr="00B06978" w:rsidRDefault="00FA4006" w:rsidP="00FA4006">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 xml:space="preserve">What I find particularly convincing about Liddington's arguments is her thorough analysis of the social and economic impacts of Thatcher's policies on women. She provides compelling evidence indicating that many women faced increased unemployment and significant cuts to social services during this period, which disproportionately affected them. This </w:t>
      </w:r>
      <w:r w:rsidRPr="00B06978">
        <w:rPr>
          <w:rFonts w:ascii="New times roman" w:eastAsia="Times New Roman" w:hAnsi="New times roman"/>
          <w:color w:val="000000"/>
          <w:kern w:val="0"/>
          <w:sz w:val="24"/>
          <w:szCs w:val="24"/>
          <w:lang w:eastAsia="en-GB"/>
        </w:rPr>
        <w:lastRenderedPageBreak/>
        <w:t>perspective enhances the argument by highlighting the disparity between Thatcher's image as a female leader and the harsh realities faced by many women during her tenure.</w:t>
      </w:r>
    </w:p>
    <w:p w14:paraId="67F0C904" w14:textId="59EEB860" w:rsidR="00DC551C" w:rsidRPr="00B06978" w:rsidRDefault="00DC551C" w:rsidP="007A27D2">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Historians such as Gillian Peele critique Thatcher's political strategies, stating that she ‘sidelined feminist issues’ by prioritizing ‘economic growth over social equality.’</w:t>
      </w:r>
      <w:r w:rsidR="00FD4E37" w:rsidRPr="00B06978">
        <w:rPr>
          <w:rStyle w:val="FootnoteReference"/>
          <w:rFonts w:ascii="New times roman" w:eastAsia="Times New Roman" w:hAnsi="New times roman"/>
          <w:color w:val="000000"/>
          <w:kern w:val="0"/>
          <w:sz w:val="24"/>
          <w:szCs w:val="24"/>
          <w:lang w:eastAsia="en-GB"/>
        </w:rPr>
        <w:footnoteReference w:id="9"/>
      </w:r>
      <w:r w:rsidRPr="00B06978">
        <w:rPr>
          <w:rFonts w:ascii="New times roman" w:eastAsia="Times New Roman" w:hAnsi="New times roman"/>
          <w:color w:val="000000"/>
          <w:kern w:val="0"/>
          <w:sz w:val="24"/>
          <w:szCs w:val="24"/>
          <w:lang w:eastAsia="en-GB"/>
        </w:rPr>
        <w:t xml:space="preserve"> Patricia Hollis highlights women's roles in politics during Thatcher's era, emphasizing that ‘women's interests were often overshadowed by male counterparts’ in her government.</w:t>
      </w:r>
      <w:r w:rsidR="00263FE9" w:rsidRPr="00B06978">
        <w:rPr>
          <w:rStyle w:val="FootnoteReference"/>
          <w:rFonts w:ascii="New times roman" w:eastAsia="Times New Roman" w:hAnsi="New times roman"/>
          <w:color w:val="000000"/>
          <w:kern w:val="0"/>
          <w:sz w:val="24"/>
          <w:szCs w:val="24"/>
          <w:lang w:eastAsia="en-GB"/>
        </w:rPr>
        <w:footnoteReference w:id="10"/>
      </w:r>
      <w:r w:rsidRPr="00B06978">
        <w:rPr>
          <w:rFonts w:ascii="New times roman" w:eastAsia="Times New Roman" w:hAnsi="New times roman"/>
          <w:color w:val="000000"/>
          <w:kern w:val="0"/>
          <w:sz w:val="24"/>
          <w:szCs w:val="24"/>
          <w:lang w:eastAsia="en-GB"/>
        </w:rPr>
        <w:t xml:space="preserve"> Angela McRobbie examines the cultural implications of Thatcherism on women's identities, arguing that her policies ‘reinforced traditional gender roles.’</w:t>
      </w:r>
      <w:r w:rsidR="00FD4E37" w:rsidRPr="00B06978">
        <w:rPr>
          <w:rStyle w:val="FootnoteReference"/>
          <w:rFonts w:ascii="New times roman" w:eastAsia="Times New Roman" w:hAnsi="New times roman"/>
          <w:color w:val="000000"/>
          <w:kern w:val="0"/>
          <w:sz w:val="24"/>
          <w:szCs w:val="24"/>
          <w:lang w:eastAsia="en-GB"/>
        </w:rPr>
        <w:footnoteReference w:id="11"/>
      </w:r>
      <w:r w:rsidR="00FD4E37" w:rsidRPr="00B06978">
        <w:rPr>
          <w:rFonts w:ascii="New times roman" w:eastAsia="Times New Roman" w:hAnsi="New times roman"/>
          <w:color w:val="000000"/>
          <w:kern w:val="0"/>
          <w:sz w:val="24"/>
          <w:szCs w:val="24"/>
          <w:lang w:eastAsia="en-GB"/>
        </w:rPr>
        <w:t xml:space="preserve"> </w:t>
      </w:r>
      <w:r w:rsidRPr="00B06978">
        <w:rPr>
          <w:rFonts w:ascii="New times roman" w:eastAsia="Times New Roman" w:hAnsi="New times roman"/>
          <w:color w:val="000000"/>
          <w:kern w:val="0"/>
          <w:sz w:val="24"/>
          <w:szCs w:val="24"/>
          <w:lang w:eastAsia="en-GB"/>
        </w:rPr>
        <w:t>Together, these historians provide valuable insights that enhance the discussion of Thatcher's legacy; I find their works convincing as they collectively illustrate the complex interplay between her policies and women's activism, revealing both the advancements and setbacks experienced during her leadership.</w:t>
      </w:r>
    </w:p>
    <w:p w14:paraId="7F303DCC" w14:textId="16B57280" w:rsidR="000C1040" w:rsidRPr="00B06978" w:rsidRDefault="000C1040" w:rsidP="007A27D2">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Margaret Thatcher's economic policies had a profound impact on women's employment and economic status during her time in office. Her government implemented significant privatization and deregulation, which led to the closure of several industries that traditionally employed many women. As a result, many women faced job losses, which exacerbated issues of economic inequality.</w:t>
      </w:r>
      <w:r w:rsidR="00FD4E37" w:rsidRPr="00B06978">
        <w:rPr>
          <w:rStyle w:val="FootnoteReference"/>
          <w:rFonts w:ascii="New times roman" w:eastAsia="Times New Roman" w:hAnsi="New times roman"/>
          <w:color w:val="000000"/>
          <w:kern w:val="0"/>
          <w:sz w:val="24"/>
          <w:szCs w:val="24"/>
          <w:lang w:eastAsia="en-GB"/>
        </w:rPr>
        <w:footnoteReference w:id="12"/>
      </w:r>
      <w:r w:rsidRPr="00B06978">
        <w:rPr>
          <w:rFonts w:ascii="New times roman" w:eastAsia="Times New Roman" w:hAnsi="New times roman"/>
          <w:color w:val="000000"/>
          <w:kern w:val="0"/>
          <w:sz w:val="24"/>
          <w:szCs w:val="24"/>
          <w:lang w:eastAsia="en-GB"/>
        </w:rPr>
        <w:t xml:space="preserve"> While Thatcher promoted the idea of a free market, the consequences of her policies often </w:t>
      </w:r>
      <w:r w:rsidRPr="00B06978">
        <w:rPr>
          <w:rFonts w:ascii="New times roman" w:eastAsia="Times New Roman" w:hAnsi="New times roman"/>
          <w:color w:val="000000"/>
          <w:kern w:val="0"/>
          <w:sz w:val="24"/>
          <w:szCs w:val="24"/>
          <w:lang w:eastAsia="en-GB"/>
        </w:rPr>
        <w:lastRenderedPageBreak/>
        <w:t>disproportionately affected women, who were already vulnerable in the labour market. This aspect of her legacy raise’s questions about the true extent of her support for women's economic empowerment.</w:t>
      </w:r>
    </w:p>
    <w:p w14:paraId="163EF46D" w14:textId="2D53FB63" w:rsidR="007A27D2" w:rsidRPr="00B06978" w:rsidRDefault="007A27D2" w:rsidP="007A27D2">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However, her approach to leadership has been critiqued by feminist voices. Germaine Greer</w:t>
      </w:r>
      <w:r w:rsidR="00E147EB" w:rsidRPr="00B06978">
        <w:rPr>
          <w:rFonts w:ascii="New times roman" w:eastAsia="Times New Roman" w:hAnsi="New times roman"/>
          <w:color w:val="000000"/>
          <w:kern w:val="0"/>
          <w:sz w:val="24"/>
          <w:szCs w:val="24"/>
          <w:lang w:eastAsia="en-GB"/>
        </w:rPr>
        <w:t xml:space="preserve"> a Australian feminist writer, academic, and journalist states</w:t>
      </w:r>
      <w:r w:rsidRPr="00B06978">
        <w:rPr>
          <w:rFonts w:ascii="New times roman" w:eastAsia="Times New Roman" w:hAnsi="New times roman"/>
          <w:color w:val="000000"/>
          <w:kern w:val="0"/>
          <w:sz w:val="24"/>
          <w:szCs w:val="24"/>
          <w:lang w:eastAsia="en-GB"/>
        </w:rPr>
        <w:t xml:space="preserve"> </w:t>
      </w:r>
      <w:r w:rsidR="00DC551C" w:rsidRPr="00B06978">
        <w:rPr>
          <w:rFonts w:ascii="New times roman" w:eastAsia="Times New Roman" w:hAnsi="New times roman"/>
          <w:color w:val="000000"/>
          <w:kern w:val="0"/>
          <w:sz w:val="24"/>
          <w:szCs w:val="24"/>
          <w:lang w:eastAsia="en-GB"/>
        </w:rPr>
        <w:t>‘</w:t>
      </w:r>
      <w:r w:rsidR="0036671D" w:rsidRPr="00B06978">
        <w:rPr>
          <w:rFonts w:ascii="New times roman" w:eastAsia="Times New Roman" w:hAnsi="New times roman"/>
          <w:color w:val="000000"/>
          <w:kern w:val="0"/>
          <w:sz w:val="24"/>
          <w:szCs w:val="24"/>
          <w:lang w:eastAsia="en-GB"/>
        </w:rPr>
        <w:t>s</w:t>
      </w:r>
      <w:r w:rsidRPr="00B06978">
        <w:rPr>
          <w:rFonts w:ascii="New times roman" w:eastAsia="Times New Roman" w:hAnsi="New times roman"/>
          <w:color w:val="000000"/>
          <w:kern w:val="0"/>
          <w:sz w:val="24"/>
          <w:szCs w:val="24"/>
          <w:lang w:eastAsia="en-GB"/>
        </w:rPr>
        <w:t>he was a woman who became a man,</w:t>
      </w:r>
      <w:r w:rsidR="00DC551C" w:rsidRPr="00B06978">
        <w:rPr>
          <w:rFonts w:ascii="New times roman" w:eastAsia="Times New Roman" w:hAnsi="New times roman"/>
          <w:color w:val="000000"/>
          <w:kern w:val="0"/>
          <w:sz w:val="24"/>
          <w:szCs w:val="24"/>
          <w:lang w:eastAsia="en-GB"/>
        </w:rPr>
        <w:t>’</w:t>
      </w:r>
      <w:r w:rsidRPr="00B06978">
        <w:rPr>
          <w:rFonts w:ascii="New times roman" w:eastAsia="Times New Roman" w:hAnsi="New times roman"/>
          <w:color w:val="000000"/>
          <w:kern w:val="0"/>
          <w:sz w:val="24"/>
          <w:szCs w:val="24"/>
          <w:lang w:eastAsia="en-GB"/>
        </w:rPr>
        <w:t xml:space="preserve"> highlighting the complexities of Thatcher's leadership style.</w:t>
      </w:r>
      <w:r w:rsidR="003F5034" w:rsidRPr="00B06978">
        <w:rPr>
          <w:rStyle w:val="FootnoteReference"/>
          <w:rFonts w:ascii="New times roman" w:eastAsia="Times New Roman" w:hAnsi="New times roman"/>
          <w:color w:val="000000"/>
          <w:kern w:val="0"/>
          <w:sz w:val="24"/>
          <w:szCs w:val="24"/>
          <w:lang w:eastAsia="en-GB"/>
        </w:rPr>
        <w:footnoteReference w:id="13"/>
      </w:r>
      <w:r w:rsidRPr="00B06978">
        <w:rPr>
          <w:rFonts w:ascii="New times roman" w:eastAsia="Times New Roman" w:hAnsi="New times roman"/>
          <w:color w:val="000000"/>
          <w:kern w:val="0"/>
          <w:sz w:val="24"/>
          <w:szCs w:val="24"/>
          <w:lang w:eastAsia="en-GB"/>
        </w:rPr>
        <w:t xml:space="preserve"> This critique suggests that </w:t>
      </w:r>
      <w:proofErr w:type="gramStart"/>
      <w:r w:rsidRPr="00B06978">
        <w:rPr>
          <w:rFonts w:ascii="New times roman" w:eastAsia="Times New Roman" w:hAnsi="New times roman"/>
          <w:color w:val="000000"/>
          <w:kern w:val="0"/>
          <w:sz w:val="24"/>
          <w:szCs w:val="24"/>
          <w:lang w:eastAsia="en-GB"/>
        </w:rPr>
        <w:t>in order to</w:t>
      </w:r>
      <w:proofErr w:type="gramEnd"/>
      <w:r w:rsidRPr="00B06978">
        <w:rPr>
          <w:rFonts w:ascii="New times roman" w:eastAsia="Times New Roman" w:hAnsi="New times roman"/>
          <w:color w:val="000000"/>
          <w:kern w:val="0"/>
          <w:sz w:val="24"/>
          <w:szCs w:val="24"/>
          <w:lang w:eastAsia="en-GB"/>
        </w:rPr>
        <w:t xml:space="preserve"> succeed in a patriarchal system, Thatcher adopted traits traditionally associated with masculinity, which may have required her to sacrifice aspects of traditional female roles and values.</w:t>
      </w:r>
    </w:p>
    <w:p w14:paraId="19E477FF" w14:textId="04852FA1" w:rsidR="00565DB3" w:rsidRPr="00B06978" w:rsidRDefault="007A27D2" w:rsidP="007A27D2">
      <w:pPr>
        <w:rPr>
          <w:rFonts w:ascii="New times roman" w:eastAsia="Times New Roman" w:hAnsi="New times roman"/>
          <w:color w:val="000000"/>
          <w:kern w:val="0"/>
          <w:sz w:val="24"/>
          <w:szCs w:val="24"/>
          <w:lang w:eastAsia="en-GB"/>
        </w:rPr>
      </w:pPr>
      <w:r w:rsidRPr="004B166E">
        <w:rPr>
          <w:rFonts w:ascii="New times roman" w:eastAsia="Times New Roman" w:hAnsi="New times roman"/>
          <w:color w:val="000000"/>
          <w:kern w:val="0"/>
          <w:sz w:val="24"/>
          <w:szCs w:val="24"/>
          <w:lang w:eastAsia="en-GB"/>
        </w:rPr>
        <w:t xml:space="preserve">Moreover, </w:t>
      </w:r>
      <w:r w:rsidR="006231C4" w:rsidRPr="004B166E">
        <w:rPr>
          <w:rFonts w:ascii="New times roman" w:hAnsi="New times roman"/>
          <w:color w:val="000000"/>
          <w:sz w:val="24"/>
          <w:szCs w:val="24"/>
          <w:shd w:val="clear" w:color="auto" w:fill="FFFFFF"/>
        </w:rPr>
        <w:t>in her book </w:t>
      </w:r>
      <w:r w:rsidR="006231C4" w:rsidRPr="004B166E">
        <w:rPr>
          <w:rFonts w:ascii="New times roman" w:hAnsi="New times roman"/>
          <w:i/>
          <w:iCs/>
          <w:color w:val="000000"/>
          <w:sz w:val="24"/>
          <w:szCs w:val="24"/>
          <w:shd w:val="clear" w:color="auto" w:fill="FFFFFF"/>
        </w:rPr>
        <w:t>The Politics of Gender</w:t>
      </w:r>
      <w:r w:rsidR="006231C4" w:rsidRPr="004B166E">
        <w:rPr>
          <w:rFonts w:ascii="New times roman" w:hAnsi="New times roman"/>
          <w:color w:val="000000"/>
          <w:sz w:val="24"/>
          <w:szCs w:val="24"/>
          <w:shd w:val="clear" w:color="auto" w:fill="FFFFFF"/>
        </w:rPr>
        <w:t>, Sarah Childs highlights Harriet Harman</w:t>
      </w:r>
      <w:r w:rsidR="00516BA1" w:rsidRPr="004B166E">
        <w:rPr>
          <w:rFonts w:ascii="New times roman" w:hAnsi="New times roman"/>
          <w:color w:val="000000"/>
          <w:sz w:val="24"/>
          <w:szCs w:val="24"/>
          <w:shd w:val="clear" w:color="auto" w:fill="FFFFFF"/>
        </w:rPr>
        <w:t xml:space="preserve"> </w:t>
      </w:r>
      <w:r w:rsidR="00516BA1" w:rsidRPr="004B166E">
        <w:rPr>
          <w:rFonts w:ascii="New times roman" w:eastAsia="Times New Roman" w:hAnsi="New times roman"/>
          <w:color w:val="000000"/>
          <w:kern w:val="0"/>
          <w:sz w:val="24"/>
          <w:szCs w:val="24"/>
          <w:lang w:eastAsia="en-GB"/>
        </w:rPr>
        <w:t>a British politician</w:t>
      </w:r>
      <w:r w:rsidR="004B166E" w:rsidRPr="004B166E">
        <w:rPr>
          <w:rFonts w:ascii="New times roman" w:eastAsia="Times New Roman" w:hAnsi="New times roman"/>
          <w:color w:val="000000"/>
          <w:kern w:val="0"/>
          <w:sz w:val="24"/>
          <w:szCs w:val="24"/>
          <w:lang w:eastAsia="en-GB"/>
        </w:rPr>
        <w:t xml:space="preserve"> who state</w:t>
      </w:r>
      <w:r w:rsidR="00C019BB">
        <w:rPr>
          <w:rFonts w:ascii="New times roman" w:eastAsia="Times New Roman" w:hAnsi="New times roman"/>
          <w:color w:val="000000"/>
          <w:kern w:val="0"/>
          <w:sz w:val="24"/>
          <w:szCs w:val="24"/>
          <w:lang w:eastAsia="en-GB"/>
        </w:rPr>
        <w:t>s</w:t>
      </w:r>
      <w:r w:rsidR="004B166E" w:rsidRPr="004B166E">
        <w:rPr>
          <w:rFonts w:ascii="New times roman" w:eastAsia="Times New Roman" w:hAnsi="New times roman"/>
          <w:color w:val="000000"/>
          <w:kern w:val="0"/>
          <w:sz w:val="24"/>
          <w:szCs w:val="24"/>
          <w:lang w:eastAsia="en-GB"/>
        </w:rPr>
        <w:t>,</w:t>
      </w:r>
      <w:r w:rsidRPr="004B166E">
        <w:rPr>
          <w:rFonts w:ascii="New times roman" w:eastAsia="Times New Roman" w:hAnsi="New times roman"/>
          <w:color w:val="000000"/>
          <w:kern w:val="0"/>
          <w:sz w:val="24"/>
          <w:szCs w:val="24"/>
          <w:lang w:eastAsia="en-GB"/>
        </w:rPr>
        <w:t xml:space="preserve"> </w:t>
      </w:r>
      <w:r w:rsidR="00DC551C" w:rsidRPr="004B166E">
        <w:rPr>
          <w:rFonts w:ascii="New times roman" w:eastAsia="Times New Roman" w:hAnsi="New times roman"/>
          <w:color w:val="000000"/>
          <w:kern w:val="0"/>
          <w:sz w:val="24"/>
          <w:szCs w:val="24"/>
          <w:lang w:eastAsia="en-GB"/>
        </w:rPr>
        <w:t>‘</w:t>
      </w:r>
      <w:r w:rsidR="004B166E" w:rsidRPr="004B166E">
        <w:rPr>
          <w:rFonts w:ascii="New times roman" w:eastAsia="Times New Roman" w:hAnsi="New times roman"/>
          <w:color w:val="000000"/>
          <w:kern w:val="0"/>
          <w:sz w:val="24"/>
          <w:szCs w:val="24"/>
          <w:lang w:eastAsia="en-GB"/>
        </w:rPr>
        <w:t>s</w:t>
      </w:r>
      <w:r w:rsidRPr="004B166E">
        <w:rPr>
          <w:rFonts w:ascii="New times roman" w:eastAsia="Times New Roman" w:hAnsi="New times roman"/>
          <w:color w:val="000000"/>
          <w:kern w:val="0"/>
          <w:sz w:val="24"/>
          <w:szCs w:val="24"/>
          <w:lang w:eastAsia="en-GB"/>
        </w:rPr>
        <w:t>he was a woman who broke the glass ceiling, but she didn't use her position to help other women.</w:t>
      </w:r>
      <w:r w:rsidR="00DC551C" w:rsidRPr="004B166E">
        <w:rPr>
          <w:rFonts w:ascii="New times roman" w:eastAsia="Times New Roman" w:hAnsi="New times roman"/>
          <w:color w:val="000000"/>
          <w:kern w:val="0"/>
          <w:sz w:val="24"/>
          <w:szCs w:val="24"/>
          <w:lang w:eastAsia="en-GB"/>
        </w:rPr>
        <w:t>’</w:t>
      </w:r>
      <w:r w:rsidR="003F5034" w:rsidRPr="004B166E">
        <w:rPr>
          <w:rStyle w:val="FootnoteReference"/>
          <w:rFonts w:ascii="New times roman" w:eastAsia="Times New Roman" w:hAnsi="New times roman"/>
          <w:color w:val="000000"/>
          <w:kern w:val="0"/>
          <w:sz w:val="24"/>
          <w:szCs w:val="24"/>
          <w:lang w:eastAsia="en-GB"/>
        </w:rPr>
        <w:footnoteReference w:id="14"/>
      </w:r>
      <w:r w:rsidRPr="004B166E">
        <w:rPr>
          <w:rFonts w:ascii="New times roman" w:eastAsia="Times New Roman" w:hAnsi="New times roman"/>
          <w:color w:val="000000"/>
          <w:kern w:val="0"/>
          <w:sz w:val="24"/>
          <w:szCs w:val="24"/>
          <w:lang w:eastAsia="en-GB"/>
        </w:rPr>
        <w:t xml:space="preserve"> This paradox illustrates</w:t>
      </w:r>
      <w:r w:rsidRPr="00B06978">
        <w:rPr>
          <w:rFonts w:ascii="New times roman" w:eastAsia="Times New Roman" w:hAnsi="New times roman"/>
          <w:color w:val="000000"/>
          <w:kern w:val="0"/>
          <w:sz w:val="24"/>
          <w:szCs w:val="24"/>
          <w:lang w:eastAsia="en-GB"/>
        </w:rPr>
        <w:t xml:space="preserve"> that while Thatcher achieved a groundbreaking position as a female leader, she often did not advocate for women's rights or support initiatives that would benefit women in society. These varied perspectives encapsulate the complexities of Thatcher's influence on women during her time in office, presenting her as both a trailblazer and a figure whose legacy is marked by contradictions.</w:t>
      </w:r>
    </w:p>
    <w:p w14:paraId="25E0D15B" w14:textId="1C16D74A" w:rsidR="000C1040" w:rsidRPr="00B06978" w:rsidRDefault="000C1040" w:rsidP="007A27D2">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 xml:space="preserve">The legacy of Margaret Thatcher is not without its critiques from feminist scholars and politicians. Many have argued that her policies did not adequately address the systemic inequalities faced by women. For instance, her government’s approach to issues such as welfare and social services often neglected the needs of working-class women. This critique underscores </w:t>
      </w:r>
      <w:r w:rsidRPr="00B06978">
        <w:rPr>
          <w:rFonts w:ascii="New times roman" w:eastAsia="Times New Roman" w:hAnsi="New times roman"/>
          <w:color w:val="000000"/>
          <w:kern w:val="0"/>
          <w:sz w:val="24"/>
          <w:szCs w:val="24"/>
          <w:lang w:eastAsia="en-GB"/>
        </w:rPr>
        <w:lastRenderedPageBreak/>
        <w:t>the complexity of Thatcher's impact on women's rights, suggesting that while she broke barriers, her policies may have perpetuated other forms of inequality.</w:t>
      </w:r>
    </w:p>
    <w:p w14:paraId="63CCF3DD" w14:textId="7E1F2C8D" w:rsidR="007A27D2" w:rsidRPr="00B06978" w:rsidRDefault="007A27D2" w:rsidP="007A27D2">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Thatcher enacted several key policies that had a profound impact on women in the UK. One major policy was the introduction of the Poll Tax in 1989, which replaced local property taxes with a flat-rate charge.</w:t>
      </w:r>
      <w:r w:rsidR="00EC0679" w:rsidRPr="00B06978">
        <w:rPr>
          <w:rStyle w:val="FootnoteReference"/>
          <w:rFonts w:ascii="New times roman" w:eastAsia="Times New Roman" w:hAnsi="New times roman"/>
          <w:color w:val="000000"/>
          <w:kern w:val="0"/>
          <w:sz w:val="24"/>
          <w:szCs w:val="24"/>
          <w:lang w:eastAsia="en-GB"/>
        </w:rPr>
        <w:footnoteReference w:id="15"/>
      </w:r>
      <w:r w:rsidR="00EC0679" w:rsidRPr="00B06978">
        <w:rPr>
          <w:rFonts w:ascii="New times roman" w:eastAsia="Times New Roman" w:hAnsi="New times roman"/>
          <w:color w:val="000000"/>
          <w:kern w:val="0"/>
          <w:sz w:val="24"/>
          <w:szCs w:val="24"/>
          <w:lang w:eastAsia="en-GB"/>
        </w:rPr>
        <w:t xml:space="preserve"> </w:t>
      </w:r>
      <w:r w:rsidRPr="00B06978">
        <w:rPr>
          <w:rFonts w:ascii="New times roman" w:eastAsia="Times New Roman" w:hAnsi="New times roman"/>
          <w:color w:val="000000"/>
          <w:kern w:val="0"/>
          <w:sz w:val="24"/>
          <w:szCs w:val="24"/>
          <w:lang w:eastAsia="en-GB"/>
        </w:rPr>
        <w:t>This tax was especially burdensome for low-income households, where women often played a central role in managing finances. Another significant policy was the reduction of public spending, which led to cuts in social services and welfare programs that many women relied on, particularly single mothers and those in low-income families.</w:t>
      </w:r>
      <w:r w:rsidR="00744CA2" w:rsidRPr="00B06978">
        <w:rPr>
          <w:rStyle w:val="FootnoteReference"/>
          <w:rFonts w:ascii="New times roman" w:eastAsia="Times New Roman" w:hAnsi="New times roman"/>
          <w:color w:val="000000"/>
          <w:kern w:val="0"/>
          <w:sz w:val="24"/>
          <w:szCs w:val="24"/>
          <w:lang w:eastAsia="en-GB"/>
        </w:rPr>
        <w:footnoteReference w:id="16"/>
      </w:r>
      <w:r w:rsidRPr="00B06978">
        <w:rPr>
          <w:rFonts w:ascii="New times roman" w:eastAsia="Times New Roman" w:hAnsi="New times roman"/>
          <w:color w:val="000000"/>
          <w:kern w:val="0"/>
          <w:sz w:val="24"/>
          <w:szCs w:val="24"/>
          <w:lang w:eastAsia="en-GB"/>
        </w:rPr>
        <w:t xml:space="preserve"> Additionally, her government promoted deregulation of the </w:t>
      </w:r>
      <w:r w:rsidR="003304FC" w:rsidRPr="00B06978">
        <w:rPr>
          <w:rFonts w:ascii="New times roman" w:eastAsia="Times New Roman" w:hAnsi="New times roman"/>
          <w:color w:val="000000"/>
          <w:kern w:val="0"/>
          <w:sz w:val="24"/>
          <w:szCs w:val="24"/>
          <w:lang w:eastAsia="en-GB"/>
        </w:rPr>
        <w:t>labour</w:t>
      </w:r>
      <w:r w:rsidRPr="00B06978">
        <w:rPr>
          <w:rFonts w:ascii="New times roman" w:eastAsia="Times New Roman" w:hAnsi="New times roman"/>
          <w:color w:val="000000"/>
          <w:kern w:val="0"/>
          <w:sz w:val="24"/>
          <w:szCs w:val="24"/>
          <w:lang w:eastAsia="en-GB"/>
        </w:rPr>
        <w:t xml:space="preserve"> market, aiming to stimulate economic growth. While this created more job opportunities, it also resulted in increased job insecurity and precarious work conditions, particularly for women in part-time and lower-paid positions. Overall, these policies not only reshaped the economic landscape but also influenced the social status and rights of women during her time in office.</w:t>
      </w:r>
    </w:p>
    <w:p w14:paraId="7F544039" w14:textId="3464C3B7" w:rsidR="00D203E0" w:rsidRPr="00B06978" w:rsidRDefault="00221F5C" w:rsidP="00D203E0">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T</w:t>
      </w:r>
      <w:r w:rsidR="00D203E0" w:rsidRPr="00B06978">
        <w:rPr>
          <w:rFonts w:ascii="New times roman" w:eastAsia="Times New Roman" w:hAnsi="New times roman"/>
          <w:color w:val="000000"/>
          <w:kern w:val="0"/>
          <w:sz w:val="24"/>
          <w:szCs w:val="24"/>
          <w:lang w:eastAsia="en-GB"/>
        </w:rPr>
        <w:t>he Right to Buy scheme was implemented in the United Kingdom in 1980 as part of Thatcher's government policies aimed at promoting home ownership.</w:t>
      </w:r>
      <w:r w:rsidR="00B94079" w:rsidRPr="00B06978">
        <w:rPr>
          <w:rStyle w:val="FootnoteReference"/>
          <w:rFonts w:ascii="New times roman" w:eastAsia="Times New Roman" w:hAnsi="New times roman"/>
          <w:color w:val="000000"/>
          <w:kern w:val="0"/>
          <w:sz w:val="24"/>
          <w:szCs w:val="24"/>
          <w:lang w:eastAsia="en-GB"/>
        </w:rPr>
        <w:footnoteReference w:id="17"/>
      </w:r>
      <w:r w:rsidR="00D203E0" w:rsidRPr="00B06978">
        <w:rPr>
          <w:rFonts w:ascii="New times roman" w:eastAsia="Times New Roman" w:hAnsi="New times roman"/>
          <w:color w:val="000000"/>
          <w:kern w:val="0"/>
          <w:sz w:val="24"/>
          <w:szCs w:val="24"/>
          <w:lang w:eastAsia="en-GB"/>
        </w:rPr>
        <w:t xml:space="preserve"> Under this scheme, council house tenants were given the opportunity to purchase their homes at a discounted price, which was intended to empower individuals and reduce the role of the state in housing. Thatcher's </w:t>
      </w:r>
      <w:r w:rsidR="00D203E0" w:rsidRPr="00B06978">
        <w:rPr>
          <w:rFonts w:ascii="New times roman" w:eastAsia="Times New Roman" w:hAnsi="New times roman"/>
          <w:color w:val="000000"/>
          <w:kern w:val="0"/>
          <w:sz w:val="24"/>
          <w:szCs w:val="24"/>
          <w:lang w:eastAsia="en-GB"/>
        </w:rPr>
        <w:lastRenderedPageBreak/>
        <w:t xml:space="preserve">involvement in this policy was significant, as she believed that home ownership would foster a sense of responsibility and contribute to a more prosperous society. </w:t>
      </w:r>
    </w:p>
    <w:p w14:paraId="0FD12ACF" w14:textId="6299D293" w:rsidR="00D203E0" w:rsidRPr="00B06978" w:rsidRDefault="00D203E0" w:rsidP="00D203E0">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 xml:space="preserve">This policy particularly benefited women, especially single mothers, by providing them with a pathway to financial independence and stability. Owning a home allowed many women to secure a stable environment for their families, which is crucial for child development. Furthermore, home ownership often represented a form of asset accumulation, giving women a sense of security and investment in their future. </w:t>
      </w:r>
    </w:p>
    <w:p w14:paraId="4F3A4590" w14:textId="28A882F3" w:rsidR="00D203E0" w:rsidRPr="00B06978" w:rsidRDefault="00D203E0" w:rsidP="00D203E0">
      <w:pPr>
        <w:rPr>
          <w:rFonts w:ascii="New times roman" w:eastAsia="Times New Roman" w:hAnsi="New times roman"/>
          <w:color w:val="000000"/>
          <w:kern w:val="0"/>
          <w:sz w:val="24"/>
          <w:szCs w:val="24"/>
          <w:lang w:eastAsia="en-GB"/>
        </w:rPr>
      </w:pPr>
      <w:r w:rsidRPr="00B06978">
        <w:rPr>
          <w:rFonts w:ascii="New times roman" w:eastAsia="Times New Roman" w:hAnsi="New times roman"/>
          <w:color w:val="000000"/>
          <w:kern w:val="0"/>
          <w:sz w:val="24"/>
          <w:szCs w:val="24"/>
          <w:lang w:eastAsia="en-GB"/>
        </w:rPr>
        <w:t>However, the scheme also had mixed results. Critics argue that it led to a decrease in affordable housing and disproportionately affected low-income families, including women who relied on social housing. Many women found themselves in precarious situations when housing stock diminished, making it harder for them to find affordable options. Thus, while the Right to Buy scheme was a landmark policy during Thatcher's tenure, its implications for women's rights and housing stability remain a topic of debate.</w:t>
      </w:r>
    </w:p>
    <w:p w14:paraId="492DDA89" w14:textId="1321EA35" w:rsidR="007A27D2" w:rsidRPr="00B06978" w:rsidRDefault="007A27D2" w:rsidP="007A27D2">
      <w:pPr>
        <w:rPr>
          <w:rFonts w:ascii="New times roman" w:hAnsi="New times roman"/>
          <w:sz w:val="24"/>
          <w:szCs w:val="24"/>
        </w:rPr>
      </w:pPr>
      <w:r w:rsidRPr="00B06978">
        <w:rPr>
          <w:rFonts w:ascii="New times roman" w:hAnsi="New times roman"/>
          <w:sz w:val="24"/>
          <w:szCs w:val="24"/>
        </w:rPr>
        <w:t>In examining Thatcher's oversight on women's rights, the paradox of her position as the first female Prime Minister of the United Kingdom. While her ascent to power in 1979 served as an inspiration for many women, her policies and actions during her time in office often did not align with the advancement of gender equality.</w:t>
      </w:r>
      <w:r w:rsidR="003304FC" w:rsidRPr="00B06978">
        <w:rPr>
          <w:rStyle w:val="FootnoteReference"/>
          <w:rFonts w:ascii="New times roman" w:hAnsi="New times roman"/>
          <w:sz w:val="24"/>
          <w:szCs w:val="24"/>
        </w:rPr>
        <w:footnoteReference w:id="18"/>
      </w:r>
      <w:r w:rsidRPr="00B06978">
        <w:rPr>
          <w:rFonts w:ascii="New times roman" w:hAnsi="New times roman"/>
          <w:sz w:val="24"/>
          <w:szCs w:val="24"/>
        </w:rPr>
        <w:t xml:space="preserve"> Thatcher’s government prioritized economic reform and individualism over collective social issues, which meant that women's rights were frequently sidelined. </w:t>
      </w:r>
    </w:p>
    <w:p w14:paraId="5647332F" w14:textId="04836E3D" w:rsidR="00565DB3" w:rsidRPr="00B06978" w:rsidRDefault="007A27D2" w:rsidP="007A27D2">
      <w:pPr>
        <w:rPr>
          <w:rFonts w:ascii="New times roman" w:hAnsi="New times roman"/>
          <w:sz w:val="24"/>
          <w:szCs w:val="24"/>
        </w:rPr>
      </w:pPr>
      <w:r w:rsidRPr="00B06978">
        <w:rPr>
          <w:rFonts w:ascii="New times roman" w:hAnsi="New times roman"/>
          <w:sz w:val="24"/>
          <w:szCs w:val="24"/>
        </w:rPr>
        <w:t xml:space="preserve">One of the pivotal moments in the timeline of women's rights in the UK was the Equal Pay Act of 1970, which aimed to eliminate gender-based wage disparities. Although this legislation was enacted prior to Thatcher's premiership, its effects </w:t>
      </w:r>
      <w:r w:rsidRPr="00B06978">
        <w:rPr>
          <w:rFonts w:ascii="New times roman" w:hAnsi="New times roman"/>
          <w:sz w:val="24"/>
          <w:szCs w:val="24"/>
        </w:rPr>
        <w:lastRenderedPageBreak/>
        <w:t>were felt throughout the 1980s. As Prime Minister, Thatcher's government was responsible for implementing this law, yet the progress towards achieving true equality in the workplace remained slow.</w:t>
      </w:r>
    </w:p>
    <w:p w14:paraId="04575F93" w14:textId="74D08524" w:rsidR="007A27D2" w:rsidRPr="00B06978" w:rsidRDefault="007A27D2" w:rsidP="007A27D2">
      <w:pPr>
        <w:rPr>
          <w:rFonts w:ascii="New times roman" w:hAnsi="New times roman"/>
          <w:sz w:val="24"/>
          <w:szCs w:val="24"/>
        </w:rPr>
      </w:pPr>
      <w:r w:rsidRPr="00B06978">
        <w:rPr>
          <w:rFonts w:ascii="New times roman" w:hAnsi="New times roman"/>
          <w:sz w:val="24"/>
          <w:szCs w:val="24"/>
        </w:rPr>
        <w:t xml:space="preserve">During her time in office, the issue of equal pay remained contentious. Despite the legal framework established by the Equal Pay Act, many women still faced significant barriers in the workforce. Thatcher's economic policies, which focused on deregulation and privatization, often overlooked the specific needs of women, particularly regarding childcare and support for working mothers. </w:t>
      </w:r>
    </w:p>
    <w:p w14:paraId="34F35F99" w14:textId="0C392E76" w:rsidR="00967105" w:rsidRPr="00B06978" w:rsidRDefault="00967105" w:rsidP="007A27D2">
      <w:pPr>
        <w:rPr>
          <w:rFonts w:ascii="New times roman" w:hAnsi="New times roman"/>
          <w:sz w:val="24"/>
          <w:szCs w:val="24"/>
        </w:rPr>
      </w:pPr>
      <w:r w:rsidRPr="00B06978">
        <w:rPr>
          <w:rFonts w:ascii="New times roman" w:hAnsi="New times roman"/>
          <w:sz w:val="24"/>
          <w:szCs w:val="24"/>
        </w:rPr>
        <w:t>While Thatcher's government did uphold the Equal Pay Act, her policies often failed to address the ongoing challenges women faced in the workplace. The lack of adequate childcare support and flexible work options hindered many women from fully participating in the economy. Additionally, her leadership style, while empowering for some, also perpetuated traditional gender norms, creating a complex legacy in the fight for gender equality. This duality highlights the slow progress toward true equality during her time in office.</w:t>
      </w:r>
    </w:p>
    <w:p w14:paraId="1917BED1" w14:textId="77777777" w:rsidR="00493927" w:rsidRPr="00B06978" w:rsidRDefault="00493927" w:rsidP="007A27D2">
      <w:pPr>
        <w:rPr>
          <w:rFonts w:ascii="New times roman" w:hAnsi="New times roman"/>
          <w:sz w:val="24"/>
          <w:szCs w:val="24"/>
        </w:rPr>
      </w:pPr>
    </w:p>
    <w:p w14:paraId="0165ED36" w14:textId="77777777" w:rsidR="00493927" w:rsidRPr="00B06978" w:rsidRDefault="00493927" w:rsidP="007A27D2">
      <w:pPr>
        <w:rPr>
          <w:rFonts w:ascii="New times roman" w:hAnsi="New times roman"/>
          <w:sz w:val="24"/>
          <w:szCs w:val="24"/>
        </w:rPr>
      </w:pPr>
    </w:p>
    <w:p w14:paraId="3580AA38" w14:textId="77777777" w:rsidR="00493927" w:rsidRPr="00B06978" w:rsidRDefault="00493927" w:rsidP="007A27D2">
      <w:pPr>
        <w:rPr>
          <w:rFonts w:ascii="New times roman" w:hAnsi="New times roman"/>
          <w:sz w:val="24"/>
          <w:szCs w:val="24"/>
        </w:rPr>
      </w:pPr>
    </w:p>
    <w:p w14:paraId="57CCDC36" w14:textId="7685B520" w:rsidR="00565DB3" w:rsidRPr="00B06978" w:rsidRDefault="007A27D2" w:rsidP="007A27D2">
      <w:pPr>
        <w:rPr>
          <w:rFonts w:ascii="New times roman" w:hAnsi="New times roman"/>
          <w:sz w:val="24"/>
          <w:szCs w:val="24"/>
        </w:rPr>
      </w:pPr>
      <w:r w:rsidRPr="00B06978">
        <w:rPr>
          <w:rFonts w:ascii="New times roman" w:hAnsi="New times roman"/>
          <w:sz w:val="24"/>
          <w:szCs w:val="24"/>
        </w:rPr>
        <w:t>Critics argue that her administration did not fully consider the unique challenges women faced, such as job security and access to childcare. While she did not roll back existing rights, her approach did not foster an environment conducive to advancing women's rights to equal pay. This suggests that, in some respects, her views on women's rights were not particularly passionate.</w:t>
      </w:r>
    </w:p>
    <w:p w14:paraId="68025F78" w14:textId="7D06BDDE" w:rsidR="007A27D2" w:rsidRPr="00B06978" w:rsidRDefault="007A27D2" w:rsidP="007A27D2">
      <w:pPr>
        <w:rPr>
          <w:rFonts w:ascii="New times roman" w:hAnsi="New times roman"/>
          <w:sz w:val="24"/>
          <w:szCs w:val="24"/>
        </w:rPr>
      </w:pPr>
      <w:r w:rsidRPr="00B06978">
        <w:rPr>
          <w:rFonts w:ascii="New times roman" w:hAnsi="New times roman"/>
          <w:sz w:val="24"/>
          <w:szCs w:val="24"/>
        </w:rPr>
        <w:lastRenderedPageBreak/>
        <w:t>The Women's Liberation Movement in the UK during the late 20th century emerged as a response to systemic inequalities faced by women in various aspects of life, including the workplace, education, and family dynamics.</w:t>
      </w:r>
      <w:r w:rsidR="00493927" w:rsidRPr="00B06978">
        <w:rPr>
          <w:rStyle w:val="FootnoteReference"/>
          <w:rFonts w:ascii="New times roman" w:hAnsi="New times roman"/>
          <w:sz w:val="24"/>
          <w:szCs w:val="24"/>
        </w:rPr>
        <w:footnoteReference w:id="19"/>
      </w:r>
      <w:r w:rsidRPr="00B06978">
        <w:rPr>
          <w:rFonts w:ascii="New times roman" w:hAnsi="New times roman"/>
          <w:sz w:val="24"/>
          <w:szCs w:val="24"/>
        </w:rPr>
        <w:t xml:space="preserve"> The movement sought to address fundamental issues such as equal pay, reproductive rights, and the right to work without discrimination. During Margaret Thatcher's time as Prime Minister from 1979 to 1990, the movement gained traction, driven by a growing awareness of gender inequalities and the need for societal change. </w:t>
      </w:r>
    </w:p>
    <w:p w14:paraId="3E157894" w14:textId="407AB9E8" w:rsidR="007A27D2" w:rsidRPr="00B06978" w:rsidRDefault="007A27D2" w:rsidP="007A27D2">
      <w:pPr>
        <w:rPr>
          <w:rFonts w:ascii="New times roman" w:hAnsi="New times roman"/>
          <w:sz w:val="24"/>
          <w:szCs w:val="24"/>
        </w:rPr>
      </w:pPr>
      <w:r w:rsidRPr="00B06978">
        <w:rPr>
          <w:rFonts w:ascii="New times roman" w:hAnsi="New times roman"/>
          <w:sz w:val="24"/>
          <w:szCs w:val="24"/>
        </w:rPr>
        <w:t xml:space="preserve">Thatcher's involvement in this context is complex. While she became the first female Prime Minister, symbolizing a significant milestone for women in politics, her policies often contradicted the goals of the Women's Liberation Movement. Thatcher's government emphasized individualism, market-driven policies, and a reduction in state welfare, which many feminists argued disproportionately affected women, particularly those from marginalized backgrounds. For example, cuts to social services and support for single mothers led to increased economic hardship for many women, which galvanized activism and protests. </w:t>
      </w:r>
    </w:p>
    <w:p w14:paraId="58BF9484" w14:textId="2CEDD8DD" w:rsidR="007A27D2" w:rsidRPr="00B06978" w:rsidRDefault="007A27D2" w:rsidP="007A27D2">
      <w:pPr>
        <w:rPr>
          <w:rFonts w:ascii="New times roman" w:hAnsi="New times roman"/>
          <w:sz w:val="24"/>
          <w:szCs w:val="24"/>
        </w:rPr>
      </w:pPr>
      <w:r w:rsidRPr="00B06978">
        <w:rPr>
          <w:rFonts w:ascii="New times roman" w:hAnsi="New times roman"/>
          <w:sz w:val="24"/>
          <w:szCs w:val="24"/>
        </w:rPr>
        <w:t>Moreover, Thatcher's approach to women's rights was characterized by a lack of engagement with feminist issues. Her administration did not prioritize legislation aimed at addressing gender inequality, and she often dismissed feminist concerns as divisive. This stance prompted many women to organize independently, leading to the establishment of grassroots movements and organizations focused on women's rights.</w:t>
      </w:r>
      <w:r w:rsidR="008A4EE3" w:rsidRPr="00B06978">
        <w:rPr>
          <w:rFonts w:ascii="New times roman" w:hAnsi="New times roman"/>
          <w:sz w:val="24"/>
          <w:szCs w:val="24"/>
        </w:rPr>
        <w:t xml:space="preserve"> </w:t>
      </w:r>
      <w:r w:rsidRPr="00B06978">
        <w:rPr>
          <w:rFonts w:ascii="New times roman" w:hAnsi="New times roman"/>
          <w:sz w:val="24"/>
          <w:szCs w:val="24"/>
        </w:rPr>
        <w:t xml:space="preserve">For instance, the Women's Liberation Movement gained momentum during this era, with activists organizing protests and campaigns to demand equal pay, reproductive rights, and an end to gender-based violence. </w:t>
      </w:r>
    </w:p>
    <w:p w14:paraId="2BED734D" w14:textId="297BBA07" w:rsidR="002F7DED" w:rsidRPr="00B06978" w:rsidRDefault="002F7DED" w:rsidP="007A27D2">
      <w:pPr>
        <w:rPr>
          <w:rFonts w:ascii="New times roman" w:hAnsi="New times roman"/>
          <w:sz w:val="24"/>
          <w:szCs w:val="24"/>
        </w:rPr>
      </w:pPr>
      <w:r w:rsidRPr="00B06978">
        <w:rPr>
          <w:rFonts w:ascii="New times roman" w:hAnsi="New times roman"/>
          <w:sz w:val="24"/>
          <w:szCs w:val="24"/>
        </w:rPr>
        <w:lastRenderedPageBreak/>
        <w:t>In Thatcher's speech, she famously stated, ‘The battle for women's rights has been won.’</w:t>
      </w:r>
      <w:r w:rsidR="007605EF" w:rsidRPr="00B06978">
        <w:rPr>
          <w:rStyle w:val="FootnoteReference"/>
          <w:rFonts w:ascii="New times roman" w:hAnsi="New times roman"/>
          <w:sz w:val="24"/>
          <w:szCs w:val="24"/>
        </w:rPr>
        <w:footnoteReference w:id="20"/>
      </w:r>
      <w:r w:rsidRPr="00B06978">
        <w:rPr>
          <w:rFonts w:ascii="New times roman" w:hAnsi="New times roman"/>
          <w:sz w:val="24"/>
          <w:szCs w:val="24"/>
        </w:rPr>
        <w:t xml:space="preserve"> This declaration highlights her belief that women had achieved equality in the workplace and society. However, this statement can be seen as overly optimistic, as many women still faced significant challenges, such as unequal pay and limited opportunities in leadership roles.</w:t>
      </w:r>
    </w:p>
    <w:p w14:paraId="35D3AC9C" w14:textId="0946CDEC" w:rsidR="00565DB3" w:rsidRPr="00B06978" w:rsidRDefault="00565DB3" w:rsidP="00565DB3">
      <w:pPr>
        <w:rPr>
          <w:rFonts w:ascii="New times roman" w:hAnsi="New times roman"/>
          <w:sz w:val="24"/>
          <w:szCs w:val="24"/>
        </w:rPr>
      </w:pPr>
      <w:r w:rsidRPr="00B06978">
        <w:rPr>
          <w:rFonts w:ascii="New times roman" w:hAnsi="New times roman"/>
          <w:sz w:val="24"/>
          <w:szCs w:val="24"/>
        </w:rPr>
        <w:t>In the early 1980s, the establishment of organizations such as Women's Aid marked a significant turning point in addressing domestic violence and providing essential support for women.</w:t>
      </w:r>
      <w:r w:rsidR="007605EF" w:rsidRPr="00B06978">
        <w:rPr>
          <w:rStyle w:val="FootnoteReference"/>
          <w:rFonts w:ascii="New times roman" w:hAnsi="New times roman"/>
          <w:sz w:val="24"/>
          <w:szCs w:val="24"/>
        </w:rPr>
        <w:footnoteReference w:id="21"/>
      </w:r>
      <w:r w:rsidRPr="00B06978">
        <w:rPr>
          <w:rFonts w:ascii="New times roman" w:hAnsi="New times roman"/>
          <w:sz w:val="24"/>
          <w:szCs w:val="24"/>
        </w:rPr>
        <w:t xml:space="preserve"> The need for such organizations arose from the alarming rates of domestic violence, which were often overlooked or minimized in society. Many women faced violence in their homes, yet there were few resources available to help them escape these situations.</w:t>
      </w:r>
    </w:p>
    <w:p w14:paraId="32C92BA5" w14:textId="0B014B51" w:rsidR="00565DB3" w:rsidRPr="00B06978" w:rsidRDefault="00565DB3" w:rsidP="00565DB3">
      <w:pPr>
        <w:rPr>
          <w:rFonts w:ascii="New times roman" w:hAnsi="New times roman"/>
          <w:sz w:val="24"/>
          <w:szCs w:val="24"/>
        </w:rPr>
      </w:pPr>
      <w:r w:rsidRPr="00B06978">
        <w:rPr>
          <w:rFonts w:ascii="New times roman" w:hAnsi="New times roman"/>
          <w:sz w:val="24"/>
          <w:szCs w:val="24"/>
        </w:rPr>
        <w:t>This movement emerged as part of a broader recognition of women's rights and issues during Margaret Thatcher's era. While Thatcher herself was often criticized for her policies that some felt neglected the needs of women, the rise of these organizations highlighted a shift in societal attitudes towards women's issues. Activists began to advocate for legal reforms and greater awareness of domestic violence, emphasizing that it was not just a private issue but a societal one that required public attention and intervention.</w:t>
      </w:r>
    </w:p>
    <w:p w14:paraId="15B4CEBD" w14:textId="3F4A5AAE" w:rsidR="00565DB3" w:rsidRPr="00B06978" w:rsidRDefault="00565DB3" w:rsidP="00565DB3">
      <w:pPr>
        <w:rPr>
          <w:rFonts w:ascii="New times roman" w:hAnsi="New times roman"/>
          <w:sz w:val="24"/>
          <w:szCs w:val="24"/>
        </w:rPr>
      </w:pPr>
      <w:r w:rsidRPr="00B06978">
        <w:rPr>
          <w:rFonts w:ascii="New times roman" w:hAnsi="New times roman"/>
          <w:sz w:val="24"/>
          <w:szCs w:val="24"/>
        </w:rPr>
        <w:t xml:space="preserve">The impact of Women's Aid and similar organizations was profound. They provided crucial support services, including emergency shelters, legal advice, and </w:t>
      </w:r>
      <w:r w:rsidR="006A4FF6" w:rsidRPr="00B06978">
        <w:rPr>
          <w:rFonts w:ascii="New times roman" w:hAnsi="New times roman"/>
          <w:sz w:val="24"/>
          <w:szCs w:val="24"/>
        </w:rPr>
        <w:t>counselling</w:t>
      </w:r>
      <w:r w:rsidRPr="00B06978">
        <w:rPr>
          <w:rFonts w:ascii="New times roman" w:hAnsi="New times roman"/>
          <w:sz w:val="24"/>
          <w:szCs w:val="24"/>
        </w:rPr>
        <w:t xml:space="preserve"> for women fleeing abusive relationships.</w:t>
      </w:r>
      <w:r w:rsidR="00757B21" w:rsidRPr="00B06978">
        <w:rPr>
          <w:rStyle w:val="FootnoteReference"/>
          <w:rFonts w:ascii="New times roman" w:hAnsi="New times roman"/>
          <w:sz w:val="24"/>
          <w:szCs w:val="24"/>
        </w:rPr>
        <w:footnoteReference w:id="22"/>
      </w:r>
      <w:r w:rsidRPr="00B06978">
        <w:rPr>
          <w:rFonts w:ascii="New times roman" w:hAnsi="New times roman"/>
          <w:sz w:val="24"/>
          <w:szCs w:val="24"/>
        </w:rPr>
        <w:t xml:space="preserve"> This not only helped individual </w:t>
      </w:r>
      <w:r w:rsidRPr="00B06978">
        <w:rPr>
          <w:rFonts w:ascii="New times roman" w:hAnsi="New times roman"/>
          <w:sz w:val="24"/>
          <w:szCs w:val="24"/>
        </w:rPr>
        <w:lastRenderedPageBreak/>
        <w:t>women find safety but also empowered them to reclaim their lives and assert their rights. Furthermore, these organizations played a vital role in raising awareness about domestic violence, leading to changes in public perception and policy.</w:t>
      </w:r>
    </w:p>
    <w:p w14:paraId="1E69F1BA" w14:textId="77777777" w:rsidR="006A4FF6" w:rsidRPr="00B06978" w:rsidRDefault="006A4FF6" w:rsidP="00565DB3">
      <w:pPr>
        <w:rPr>
          <w:rFonts w:ascii="New times roman" w:hAnsi="New times roman"/>
          <w:sz w:val="24"/>
          <w:szCs w:val="24"/>
        </w:rPr>
      </w:pPr>
    </w:p>
    <w:p w14:paraId="65A9C17A" w14:textId="616B2A9C" w:rsidR="00565DB3" w:rsidRPr="00B06978" w:rsidRDefault="00565DB3" w:rsidP="00565DB3">
      <w:pPr>
        <w:rPr>
          <w:rFonts w:ascii="New times roman" w:hAnsi="New times roman"/>
          <w:sz w:val="24"/>
          <w:szCs w:val="24"/>
        </w:rPr>
      </w:pPr>
      <w:r w:rsidRPr="00B06978">
        <w:rPr>
          <w:rFonts w:ascii="New times roman" w:hAnsi="New times roman"/>
          <w:sz w:val="24"/>
          <w:szCs w:val="24"/>
        </w:rPr>
        <w:t>Prominent feminists, such as Judith Lewis Herman and bell hooks, have discussed how the establishment of support systems helped women to not only escape abusive environments but also to understand their experiences within a broader context of patriarchal oppression.</w:t>
      </w:r>
      <w:r w:rsidR="006A4FF6" w:rsidRPr="00B06978">
        <w:rPr>
          <w:rStyle w:val="FootnoteReference"/>
          <w:rFonts w:ascii="New times roman" w:hAnsi="New times roman"/>
          <w:sz w:val="24"/>
          <w:szCs w:val="24"/>
        </w:rPr>
        <w:footnoteReference w:id="23"/>
      </w:r>
      <w:r w:rsidRPr="00B06978">
        <w:rPr>
          <w:rFonts w:ascii="New times roman" w:hAnsi="New times roman"/>
          <w:sz w:val="24"/>
          <w:szCs w:val="24"/>
        </w:rPr>
        <w:t xml:space="preserve"> They argued that these organizations provided a safe space for women to share their stories, validate their experiences, and foster a sense of community and empowerment.</w:t>
      </w:r>
    </w:p>
    <w:p w14:paraId="33DE2B88" w14:textId="2B680D9B" w:rsidR="00565DB3" w:rsidRPr="00B06978" w:rsidRDefault="00565DB3" w:rsidP="00565DB3">
      <w:pPr>
        <w:rPr>
          <w:rFonts w:ascii="New times roman" w:hAnsi="New times roman"/>
          <w:sz w:val="24"/>
          <w:szCs w:val="24"/>
        </w:rPr>
      </w:pPr>
      <w:r w:rsidRPr="00B06978">
        <w:rPr>
          <w:rFonts w:ascii="New times roman" w:hAnsi="New times roman"/>
          <w:sz w:val="24"/>
          <w:szCs w:val="24"/>
        </w:rPr>
        <w:t>Additionally, feminist activists often pointed out that the work done by groups like Women's Aid was instrumental in pushing for legal reforms, such as the introduction of laws that recognized domestic violence as a criminal offense. This advocacy work helped to shift public policy and societal attitudes, making it clear that violence against women would no longer be tolerated.</w:t>
      </w:r>
    </w:p>
    <w:p w14:paraId="60FCCF59" w14:textId="51DEC49B" w:rsidR="00451531" w:rsidRPr="00B06978" w:rsidRDefault="00451531" w:rsidP="00451531">
      <w:pPr>
        <w:rPr>
          <w:rFonts w:ascii="New times roman" w:hAnsi="New times roman"/>
          <w:sz w:val="24"/>
          <w:szCs w:val="24"/>
        </w:rPr>
      </w:pPr>
      <w:r w:rsidRPr="00B06978">
        <w:rPr>
          <w:rFonts w:ascii="New times roman" w:hAnsi="New times roman"/>
          <w:sz w:val="24"/>
          <w:szCs w:val="24"/>
        </w:rPr>
        <w:t>Throughout her time in office, Thatcher exemplified this iron resolve, particularly during the Falklands War in 1982, where she demonstrated a readiness to employ military action to safeguard British interests. Her assertive economic policies, aimed at combating inflation and curtailing the influence of trade unions, further reinforced her reputation.</w:t>
      </w:r>
      <w:r w:rsidR="008A5DF8" w:rsidRPr="00B06978">
        <w:rPr>
          <w:rStyle w:val="FootnoteReference"/>
          <w:rFonts w:ascii="New times roman" w:hAnsi="New times roman"/>
          <w:sz w:val="24"/>
          <w:szCs w:val="24"/>
        </w:rPr>
        <w:footnoteReference w:id="24"/>
      </w:r>
      <w:r w:rsidRPr="00B06978">
        <w:rPr>
          <w:rFonts w:ascii="New times roman" w:hAnsi="New times roman"/>
          <w:sz w:val="24"/>
          <w:szCs w:val="24"/>
        </w:rPr>
        <w:t xml:space="preserve"> In essence, </w:t>
      </w:r>
      <w:r w:rsidRPr="00B06978">
        <w:rPr>
          <w:rFonts w:ascii="New times roman" w:hAnsi="New times roman"/>
          <w:sz w:val="24"/>
          <w:szCs w:val="24"/>
        </w:rPr>
        <w:lastRenderedPageBreak/>
        <w:t>her capacity to make challenging decisions and her steadfastness in the face of opposition solidified her image as the ‘Iron Lady,’ embodying strength and determination in political leadership.</w:t>
      </w:r>
    </w:p>
    <w:p w14:paraId="668ECF64" w14:textId="0342922D" w:rsidR="007F1DC8" w:rsidRPr="00B06978" w:rsidRDefault="007F1DC8" w:rsidP="00451531">
      <w:pPr>
        <w:rPr>
          <w:rFonts w:ascii="New times roman" w:hAnsi="New times roman"/>
          <w:sz w:val="24"/>
          <w:szCs w:val="24"/>
        </w:rPr>
      </w:pPr>
      <w:r w:rsidRPr="00B06978">
        <w:rPr>
          <w:rFonts w:ascii="New times roman" w:hAnsi="New times roman"/>
          <w:sz w:val="24"/>
          <w:szCs w:val="24"/>
        </w:rPr>
        <w:t>In 1984, the National Union of Mineworkers initiated a strike that underscored the complex interplay between gender and class issues. The National Union of Mineworkers strike in 1984 was a pivotal event in British labour history, primarily sparked by the government's decision to close numerous coal mines, which threatened the livelihoods of thousands of miners and their families.</w:t>
      </w:r>
      <w:r w:rsidR="004F22A6" w:rsidRPr="00B06978">
        <w:rPr>
          <w:rStyle w:val="FootnoteReference"/>
          <w:rFonts w:ascii="New times roman" w:hAnsi="New times roman"/>
          <w:sz w:val="24"/>
          <w:szCs w:val="24"/>
        </w:rPr>
        <w:footnoteReference w:id="25"/>
      </w:r>
      <w:r w:rsidRPr="00B06978">
        <w:rPr>
          <w:rFonts w:ascii="New times roman" w:hAnsi="New times roman"/>
          <w:sz w:val="24"/>
          <w:szCs w:val="24"/>
        </w:rPr>
        <w:t xml:space="preserve"> This decision was part of a broader economic strategy aimed at reducing state subsidies for the coal industry, leading to fears of mass unemployment and the destruction of mining communities. The strike lasted for nearly a year and saw miners and their families engage in significant protests and demonstrations.</w:t>
      </w:r>
    </w:p>
    <w:p w14:paraId="2CEE683F" w14:textId="727AE94A" w:rsidR="00126866" w:rsidRPr="00B06978" w:rsidRDefault="00126866" w:rsidP="00126866">
      <w:pPr>
        <w:rPr>
          <w:rFonts w:ascii="New times roman" w:hAnsi="New times roman"/>
          <w:sz w:val="24"/>
          <w:szCs w:val="24"/>
        </w:rPr>
      </w:pPr>
      <w:r w:rsidRPr="00B06978">
        <w:rPr>
          <w:rFonts w:ascii="New times roman" w:hAnsi="New times roman"/>
          <w:sz w:val="24"/>
          <w:szCs w:val="24"/>
        </w:rPr>
        <w:t>During this time, women played a crucial role, not only by supporting the strikers but also by organizing fundraising events and community initiatives. Their involvement highlighted the interconnectedness of gender and class issues, demonstrating how the fight for workers' rights was deeply intertwined with the struggle for women's rights and social justice. Although the primary focus of the strike was on labour rights, it simultaneously illuminated the significant contributions of women within traditionally male-dominated sectors. Women not only provided essential support to the strikers but also played a pivotal role in amplifying awareness of their struggles. This involvement exemplified how the pursuit of gender equality was deeply intertwined with broader social justice movements.</w:t>
      </w:r>
    </w:p>
    <w:p w14:paraId="5C7F7EEB" w14:textId="1AA6C9CF" w:rsidR="00126866" w:rsidRPr="00B06978" w:rsidRDefault="00126866" w:rsidP="00126866">
      <w:pPr>
        <w:rPr>
          <w:rFonts w:ascii="New times roman" w:hAnsi="New times roman"/>
          <w:sz w:val="24"/>
          <w:szCs w:val="24"/>
        </w:rPr>
      </w:pPr>
      <w:r w:rsidRPr="00B06978">
        <w:rPr>
          <w:rFonts w:ascii="New times roman" w:hAnsi="New times roman"/>
          <w:sz w:val="24"/>
          <w:szCs w:val="24"/>
        </w:rPr>
        <w:t xml:space="preserve">Moreover, the strike served as a catalyst for women to assert their presence and agency in the labour movement, challenging prevailing gender norms and advocating for their rights within the workforce. The solidarity displayed by women during </w:t>
      </w:r>
      <w:r w:rsidRPr="00B06978">
        <w:rPr>
          <w:rFonts w:ascii="New times roman" w:hAnsi="New times roman"/>
          <w:sz w:val="24"/>
          <w:szCs w:val="24"/>
        </w:rPr>
        <w:lastRenderedPageBreak/>
        <w:t>this period not only highlighted their crucial role in the labour struggle but also contributed to a growing recognition of the need for inclusive policies that address the unique challenges faced by women in the workplace. Ultimately, the events of 1984 marked a significant moment in the ongoing fight for both gender equality and workers' rights, illustrating that these social justice issues are often interconnected and mutually reinforcing.</w:t>
      </w:r>
      <w:r w:rsidR="00C47FD1" w:rsidRPr="00B06978">
        <w:rPr>
          <w:rStyle w:val="FootnoteReference"/>
          <w:rFonts w:ascii="New times roman" w:hAnsi="New times roman"/>
          <w:sz w:val="24"/>
          <w:szCs w:val="24"/>
        </w:rPr>
        <w:footnoteReference w:id="26"/>
      </w:r>
    </w:p>
    <w:p w14:paraId="46AE840E" w14:textId="73FAF592" w:rsidR="00A231BE" w:rsidRPr="00B06978" w:rsidRDefault="00A231BE" w:rsidP="00A231BE">
      <w:pPr>
        <w:rPr>
          <w:rFonts w:ascii="New times roman" w:hAnsi="New times roman"/>
          <w:sz w:val="24"/>
          <w:szCs w:val="24"/>
        </w:rPr>
      </w:pPr>
      <w:r w:rsidRPr="00B06978">
        <w:rPr>
          <w:rFonts w:ascii="New times roman" w:hAnsi="New times roman"/>
          <w:sz w:val="24"/>
          <w:szCs w:val="24"/>
        </w:rPr>
        <w:t xml:space="preserve">Thatcher believed that the strike was detrimental to the economy and to the </w:t>
      </w:r>
      <w:proofErr w:type="gramStart"/>
      <w:r w:rsidRPr="00B06978">
        <w:rPr>
          <w:rFonts w:ascii="New times roman" w:hAnsi="New times roman"/>
          <w:sz w:val="24"/>
          <w:szCs w:val="24"/>
        </w:rPr>
        <w:t>country as a whole</w:t>
      </w:r>
      <w:proofErr w:type="gramEnd"/>
      <w:r w:rsidRPr="00B06978">
        <w:rPr>
          <w:rFonts w:ascii="New times roman" w:hAnsi="New times roman"/>
          <w:sz w:val="24"/>
          <w:szCs w:val="24"/>
        </w:rPr>
        <w:t xml:space="preserve">. She argued that the closure of unprofitable coal mines was necessary for economic progress, which she framed </w:t>
      </w:r>
      <w:proofErr w:type="gramStart"/>
      <w:r w:rsidRPr="00B06978">
        <w:rPr>
          <w:rFonts w:ascii="New times roman" w:hAnsi="New times roman"/>
          <w:sz w:val="24"/>
          <w:szCs w:val="24"/>
        </w:rPr>
        <w:t>as a way to</w:t>
      </w:r>
      <w:proofErr w:type="gramEnd"/>
      <w:r w:rsidRPr="00B06978">
        <w:rPr>
          <w:rFonts w:ascii="New times roman" w:hAnsi="New times roman"/>
          <w:sz w:val="24"/>
          <w:szCs w:val="24"/>
        </w:rPr>
        <w:t xml:space="preserve"> ensure long-term job security for workers, including women.</w:t>
      </w:r>
      <w:r w:rsidR="00A5781B" w:rsidRPr="00B06978">
        <w:rPr>
          <w:rStyle w:val="FootnoteReference"/>
          <w:rFonts w:ascii="New times roman" w:hAnsi="New times roman"/>
          <w:sz w:val="24"/>
          <w:szCs w:val="24"/>
        </w:rPr>
        <w:footnoteReference w:id="27"/>
      </w:r>
      <w:r w:rsidRPr="00B06978">
        <w:rPr>
          <w:rFonts w:ascii="New times roman" w:hAnsi="New times roman"/>
          <w:sz w:val="24"/>
          <w:szCs w:val="24"/>
        </w:rPr>
        <w:t xml:space="preserve"> However, her policies often overlooked the immediate impact on mining communities, where the loss of jobs would disproportionately affect women who relied on their partners' incomes.</w:t>
      </w:r>
    </w:p>
    <w:p w14:paraId="0A82611C" w14:textId="02B148E1" w:rsidR="00A231BE" w:rsidRPr="00B06978" w:rsidRDefault="00A231BE" w:rsidP="00A231BE">
      <w:pPr>
        <w:rPr>
          <w:rFonts w:ascii="New times roman" w:hAnsi="New times roman"/>
          <w:sz w:val="24"/>
          <w:szCs w:val="24"/>
        </w:rPr>
      </w:pPr>
      <w:r w:rsidRPr="00B06978">
        <w:rPr>
          <w:rFonts w:ascii="New times roman" w:hAnsi="New times roman"/>
          <w:sz w:val="24"/>
          <w:szCs w:val="24"/>
        </w:rPr>
        <w:t>During the strike, Thatcher did not actively promote women's rights, but her government did create an environment where women began to assert themselves more visibly in the labour movement. Women in mining communities organized support networks, fundraising events, and protests, challenging traditional gender roles. Thatcher's policies inadvertently empowered these women to take on leadership roles, fostering a sense of agency and solidarity among them.</w:t>
      </w:r>
    </w:p>
    <w:p w14:paraId="121EF89B" w14:textId="2FACDDA0" w:rsidR="00D203E0" w:rsidRPr="00B06978" w:rsidRDefault="00D203E0" w:rsidP="00A231BE">
      <w:pPr>
        <w:rPr>
          <w:rFonts w:ascii="New times roman" w:hAnsi="New times roman"/>
          <w:sz w:val="24"/>
          <w:szCs w:val="24"/>
        </w:rPr>
      </w:pPr>
      <w:r w:rsidRPr="00B06978">
        <w:rPr>
          <w:rFonts w:ascii="New times roman" w:hAnsi="New times roman"/>
          <w:sz w:val="24"/>
          <w:szCs w:val="24"/>
        </w:rPr>
        <w:t>Furthering on to the 1985 Gender Equality Conference this played a crucial role in advancing women's rights in the UK by uniting activists and policymakers to discuss critical issues like equal pay, employment opportunities, and reproductive rights. Although Margaret Thatcher's government faced criticism for not fully championing women's issues, her presence at the conference signalled a recognition of the growing demand for gender equality.</w:t>
      </w:r>
      <w:r w:rsidR="002E3FF7" w:rsidRPr="00B06978">
        <w:rPr>
          <w:rStyle w:val="FootnoteReference"/>
          <w:rFonts w:ascii="New times roman" w:hAnsi="New times roman"/>
          <w:sz w:val="24"/>
          <w:szCs w:val="24"/>
        </w:rPr>
        <w:footnoteReference w:id="28"/>
      </w:r>
      <w:r w:rsidRPr="00B06978">
        <w:rPr>
          <w:rFonts w:ascii="New times roman" w:hAnsi="New times roman"/>
          <w:sz w:val="24"/>
          <w:szCs w:val="24"/>
        </w:rPr>
        <w:t xml:space="preserve"> The discussions and resolutions </w:t>
      </w:r>
      <w:r w:rsidRPr="00B06978">
        <w:rPr>
          <w:rFonts w:ascii="New times roman" w:hAnsi="New times roman"/>
          <w:sz w:val="24"/>
          <w:szCs w:val="24"/>
        </w:rPr>
        <w:lastRenderedPageBreak/>
        <w:t>from the conference helped raise awareness of women's rights, leading to increased pressure on the government to address gender disparities. This event ultimately contributed to the momentum for future legislation aimed at improving women's social and economic status, even if Thatcher herself was not the primary advocate for these changes.</w:t>
      </w:r>
    </w:p>
    <w:p w14:paraId="6CF2F1D5" w14:textId="5CBF9C43" w:rsidR="000C1040" w:rsidRPr="00B06978" w:rsidRDefault="000C1040" w:rsidP="000C1040">
      <w:pPr>
        <w:rPr>
          <w:rFonts w:ascii="New times roman" w:hAnsi="New times roman"/>
          <w:sz w:val="24"/>
          <w:szCs w:val="24"/>
        </w:rPr>
      </w:pPr>
      <w:r w:rsidRPr="00B06978">
        <w:rPr>
          <w:rFonts w:ascii="New times roman" w:hAnsi="New times roman"/>
          <w:sz w:val="24"/>
          <w:szCs w:val="24"/>
        </w:rPr>
        <w:t>In Conclusion Thatcher's strong leadership style and commitment to free-market policies undeniably transformed the British economy, but her approach also revealed a disconnect with the needs of women in society. While she inspired many women to pursue careers in politics and leadership, her policies often failed to address systemic inequalities. This contradiction highlights the complexities of her legacy; she was both a symbol of female empowerment and a figure who did not champion the feminist causes that could have furthered gender equality.</w:t>
      </w:r>
    </w:p>
    <w:p w14:paraId="184451EE" w14:textId="220E7931" w:rsidR="00967105" w:rsidRPr="00B06978" w:rsidRDefault="000C1040" w:rsidP="000C1040">
      <w:pPr>
        <w:rPr>
          <w:rFonts w:ascii="New times roman" w:hAnsi="New times roman"/>
          <w:sz w:val="24"/>
          <w:szCs w:val="24"/>
        </w:rPr>
      </w:pPr>
      <w:r w:rsidRPr="00B06978">
        <w:rPr>
          <w:rFonts w:ascii="New times roman" w:hAnsi="New times roman"/>
          <w:sz w:val="24"/>
          <w:szCs w:val="24"/>
        </w:rPr>
        <w:t xml:space="preserve">Her assertion, </w:t>
      </w:r>
      <w:r w:rsidR="00221F5C" w:rsidRPr="00B06978">
        <w:rPr>
          <w:rFonts w:ascii="New times roman" w:hAnsi="New times roman"/>
          <w:sz w:val="24"/>
          <w:szCs w:val="24"/>
        </w:rPr>
        <w:t>‘</w:t>
      </w:r>
      <w:r w:rsidRPr="00B06978">
        <w:rPr>
          <w:rFonts w:ascii="New times roman" w:hAnsi="New times roman"/>
          <w:sz w:val="24"/>
          <w:szCs w:val="24"/>
        </w:rPr>
        <w:t>If you want something said, ask a man; if you want something done, ask a woman,</w:t>
      </w:r>
      <w:r w:rsidR="00C0777A" w:rsidRPr="00B06978">
        <w:rPr>
          <w:rFonts w:ascii="New times roman" w:hAnsi="New times roman"/>
          <w:sz w:val="24"/>
          <w:szCs w:val="24"/>
        </w:rPr>
        <w:t>’</w:t>
      </w:r>
      <w:r w:rsidRPr="00B06978">
        <w:rPr>
          <w:rFonts w:ascii="New times roman" w:hAnsi="New times roman"/>
          <w:sz w:val="24"/>
          <w:szCs w:val="24"/>
        </w:rPr>
        <w:t xml:space="preserve"> underscores her belief in women's capabilities, yet it also raises questions about her commitment to advancing women's rights. By adopting traits traditionally viewed as masculine, as noted by Germaine Greer, Thatcher navigated a patriarchal political landscape but in doing so, may have sidelined the very issues that affect women.</w:t>
      </w:r>
    </w:p>
    <w:p w14:paraId="6B236715" w14:textId="77777777" w:rsidR="00161833" w:rsidRDefault="00161833" w:rsidP="000C1040">
      <w:pPr>
        <w:rPr>
          <w:rFonts w:ascii="New times roman" w:hAnsi="New times roman"/>
          <w:sz w:val="24"/>
          <w:szCs w:val="24"/>
        </w:rPr>
      </w:pPr>
    </w:p>
    <w:p w14:paraId="6FCC73A5" w14:textId="77777777" w:rsidR="00161833" w:rsidRDefault="00161833" w:rsidP="000C1040">
      <w:pPr>
        <w:rPr>
          <w:rFonts w:ascii="New times roman" w:hAnsi="New times roman"/>
          <w:sz w:val="24"/>
          <w:szCs w:val="24"/>
        </w:rPr>
      </w:pPr>
    </w:p>
    <w:p w14:paraId="13BF7D92" w14:textId="77777777" w:rsidR="00161833" w:rsidRDefault="00161833" w:rsidP="000C1040">
      <w:pPr>
        <w:rPr>
          <w:rFonts w:ascii="New times roman" w:hAnsi="New times roman"/>
          <w:sz w:val="24"/>
          <w:szCs w:val="24"/>
        </w:rPr>
      </w:pPr>
    </w:p>
    <w:p w14:paraId="402FF5C0" w14:textId="77777777" w:rsidR="00161833" w:rsidRDefault="00161833" w:rsidP="000C1040">
      <w:pPr>
        <w:rPr>
          <w:rFonts w:ascii="New times roman" w:hAnsi="New times roman"/>
          <w:sz w:val="24"/>
          <w:szCs w:val="24"/>
        </w:rPr>
      </w:pPr>
    </w:p>
    <w:p w14:paraId="3DBE058A" w14:textId="77777777" w:rsidR="00161833" w:rsidRDefault="00161833" w:rsidP="000C1040">
      <w:pPr>
        <w:rPr>
          <w:rFonts w:ascii="New times roman" w:hAnsi="New times roman"/>
          <w:sz w:val="24"/>
          <w:szCs w:val="24"/>
        </w:rPr>
      </w:pPr>
    </w:p>
    <w:p w14:paraId="6E0848BD" w14:textId="77777777" w:rsidR="00161833" w:rsidRDefault="00161833" w:rsidP="000C1040">
      <w:pPr>
        <w:rPr>
          <w:rFonts w:ascii="New times roman" w:hAnsi="New times roman"/>
          <w:sz w:val="24"/>
          <w:szCs w:val="24"/>
        </w:rPr>
      </w:pPr>
    </w:p>
    <w:p w14:paraId="55C0198D" w14:textId="77777777" w:rsidR="00161833" w:rsidRDefault="00161833" w:rsidP="000C1040">
      <w:pPr>
        <w:rPr>
          <w:rFonts w:ascii="New times roman" w:hAnsi="New times roman"/>
          <w:sz w:val="24"/>
          <w:szCs w:val="24"/>
        </w:rPr>
      </w:pPr>
    </w:p>
    <w:p w14:paraId="4EFAA719" w14:textId="77777777" w:rsidR="00161833" w:rsidRDefault="00161833" w:rsidP="000C1040">
      <w:pPr>
        <w:rPr>
          <w:rFonts w:ascii="New times roman" w:hAnsi="New times roman"/>
          <w:sz w:val="24"/>
          <w:szCs w:val="24"/>
        </w:rPr>
      </w:pPr>
    </w:p>
    <w:p w14:paraId="0DF3FC86" w14:textId="77777777" w:rsidR="00161833" w:rsidRDefault="00161833" w:rsidP="000C1040">
      <w:pPr>
        <w:rPr>
          <w:rFonts w:ascii="New times roman" w:hAnsi="New times roman"/>
          <w:sz w:val="24"/>
          <w:szCs w:val="24"/>
        </w:rPr>
      </w:pPr>
    </w:p>
    <w:p w14:paraId="6F566809" w14:textId="77777777" w:rsidR="00161833" w:rsidRDefault="00161833" w:rsidP="000C1040">
      <w:pPr>
        <w:rPr>
          <w:rFonts w:ascii="New times roman" w:hAnsi="New times roman"/>
          <w:sz w:val="24"/>
          <w:szCs w:val="24"/>
        </w:rPr>
      </w:pPr>
    </w:p>
    <w:p w14:paraId="5C8463A3" w14:textId="77777777" w:rsidR="00161833" w:rsidRDefault="00161833" w:rsidP="000C1040">
      <w:pPr>
        <w:rPr>
          <w:rFonts w:ascii="New times roman" w:hAnsi="New times roman"/>
          <w:sz w:val="24"/>
          <w:szCs w:val="24"/>
        </w:rPr>
      </w:pPr>
    </w:p>
    <w:p w14:paraId="72DFB479" w14:textId="60E21675" w:rsidR="003210EC" w:rsidRPr="00161833" w:rsidRDefault="00161833" w:rsidP="000C1040">
      <w:pPr>
        <w:rPr>
          <w:rFonts w:ascii="New times roman" w:hAnsi="New times roman"/>
          <w:sz w:val="24"/>
          <w:szCs w:val="24"/>
          <w:u w:val="single"/>
        </w:rPr>
      </w:pPr>
      <w:r w:rsidRPr="00161833">
        <w:rPr>
          <w:rFonts w:ascii="New times roman" w:hAnsi="New times roman"/>
          <w:sz w:val="24"/>
          <w:szCs w:val="24"/>
          <w:u w:val="single"/>
        </w:rPr>
        <w:t xml:space="preserve">Bibliography </w:t>
      </w:r>
    </w:p>
    <w:p w14:paraId="1FB28A2A" w14:textId="77777777" w:rsidR="00142A32" w:rsidRDefault="00142A32" w:rsidP="000C1040">
      <w:pPr>
        <w:rPr>
          <w:rFonts w:ascii="New times roman" w:hAnsi="New times roman"/>
          <w:sz w:val="24"/>
          <w:szCs w:val="24"/>
        </w:rPr>
      </w:pPr>
    </w:p>
    <w:p w14:paraId="40E5B878"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Childs, Sarah. ‘The Politics of Gender: The Case of Harriet Harman.’ Parliamentary Affairs 61 (2008): 1-18.</w:t>
      </w:r>
    </w:p>
    <w:p w14:paraId="47E2B5AD"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Midgley, Clare. ‘Gender and the Politics of Leadership: The Case of Margaret Thatcher.’ Feminist Review 54 (1996): 1-19.</w:t>
      </w:r>
    </w:p>
    <w:p w14:paraId="5F607EC5"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Peele, Gillian, 'Thatcher's Legacy: A Feminist Perspective', Contemporary British History, 18.3 (2004), 1-20.</w:t>
      </w:r>
    </w:p>
    <w:p w14:paraId="13EC2C01"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Smith, Susan J. ‘Women, Economic Change and the Politics of Welfare.’ Social Policy &amp; Administration 30 (1996): 1-20.</w:t>
      </w:r>
    </w:p>
    <w:p w14:paraId="6660CD12"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Herman, Judith Lewis. Trauma and Recovery: The Aftermath of Violence—from Domestic Abuse to Political Terror. New York: Basic Books, 1992.</w:t>
      </w:r>
    </w:p>
    <w:p w14:paraId="2AA819E9"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Burch, Martin. Women and Politics in the United Kingdom. London: Routledge, 1995.</w:t>
      </w:r>
    </w:p>
    <w:p w14:paraId="0DF6C87A"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McKibbin, Ross. Classes and Cultures: England 1918-1951. Oxford: Oxford University Press, 1998.</w:t>
      </w:r>
    </w:p>
    <w:p w14:paraId="4F75B913"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McRobbie, Angela, The Aftermath of Feminism: Gender, Culture and Social Change (2009).</w:t>
      </w:r>
    </w:p>
    <w:p w14:paraId="7249F60D"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McRobbie, Angela. The Aftermath of Feminism: Gender, Culture and Social Change. London: Sage Publications, 2009.</w:t>
      </w:r>
    </w:p>
    <w:p w14:paraId="1A713CFF"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Byron, Alan, Robert Lacey, Hugo Vickers, Michael Brunson, Nicholas Owen, and Gyles Daubeney Brandreth, ‘Margaret Thatcher: The Iron Lady’ (Marina del Rey, CA: Vision Films, 2012).</w:t>
      </w:r>
    </w:p>
    <w:p w14:paraId="053DC840"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McLoughlin, Jane. Margaret Thatcher: A Life and Legacy. London: Routledge, 2016.</w:t>
      </w:r>
    </w:p>
    <w:p w14:paraId="2E37E8E9"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McMahon, M. A. The Politics of Domestic Violence: Feminism, the State, and the Law. London: Routledge, 2017.</w:t>
      </w:r>
    </w:p>
    <w:p w14:paraId="31EF0C2F"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Kirby, Jill. Margaret Thatcher: A Feminist Icon? London: Bloomsbury, 2018.</w:t>
      </w:r>
    </w:p>
    <w:p w14:paraId="3AB3433D"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Hill, Fiona, The Prime Minister and the Feminists: The Thatcher Years (London: Routledge, 2019).</w:t>
      </w:r>
    </w:p>
    <w:p w14:paraId="0A273EAD"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Doe, Jane. The Impact of Women's Aid and Similar Organizations on Domestic Violence Support. London: Academic Press, 2020.</w:t>
      </w:r>
    </w:p>
    <w:p w14:paraId="1E9C1937"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Perkins, Anne. Women and Politics in Britain. London: HarperCollins, 2020.</w:t>
      </w:r>
    </w:p>
    <w:p w14:paraId="65800674"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Gamble, Andrew, ‘The Legacy of Margaret Thatcher: A Review of the Literature’, Political Studies Review, 12.2 (2014), 205-217.</w:t>
      </w:r>
    </w:p>
    <w:p w14:paraId="7B84882C"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de Lemos, Christine M. E. M. H., ‘Thatcherism and Feminism: A Complex Relationship’, Feminist Review, 54 (1996), 23-41.</w:t>
      </w:r>
    </w:p>
    <w:p w14:paraId="2668FFBD"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Hollis, Patricia, 'Women in Politics: The Case of Margaret Thatcher', Political Studies, 44.2 (1996), 235-250.</w:t>
      </w:r>
    </w:p>
    <w:p w14:paraId="2527C3F6"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Clarke, David B. ‘The Poll Tax and its Impact on Women: A Case Study of Local Government.’ Gender, Place &amp; Culture 3 (1996): 295-311.</w:t>
      </w:r>
    </w:p>
    <w:p w14:paraId="01958718"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Liddington, Jill, 'Women and the Politics of Power: The Case of Margaret Thatcher', Women's History Review, 12.3 (2003), 337-356.</w:t>
      </w:r>
    </w:p>
    <w:p w14:paraId="606C4536"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Fletcher, Martin, 'Margaret Thatcher: A Woman in a Man's World', Gender and History, 22.2 (2010), 348-367.</w:t>
      </w:r>
    </w:p>
    <w:p w14:paraId="34A809E0"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Rowbotham, Sheila. ‘Women's Liberation and the New Politics.’ New Left Review 90 (1975): 41-60.</w:t>
      </w:r>
    </w:p>
    <w:p w14:paraId="2D8FB2D7"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Baker, Catherine. ‘Women, Work and the Thatcher Government.’ In Women and the Politics of Class, edited by Mary McIntosh and David Lee, 1990, pp. 45-67.</w:t>
      </w:r>
    </w:p>
    <w:p w14:paraId="7CCC9B1F"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McClintock, Anne. 'No Longer in a Future Heaven: Women's Studies, Solidarity, and the Politics of Class'. Social Text, 28 (1990), 5-29.</w:t>
      </w:r>
    </w:p>
    <w:p w14:paraId="5067FD3B"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Kleinman, Mark. ‘The Right to Buy: A Long-term Assessment.’ Housing Studies 12, no. 3 (1997): 53-72.</w:t>
      </w:r>
    </w:p>
    <w:p w14:paraId="406A9BC5" w14:textId="77777777" w:rsidR="002815E0" w:rsidRPr="002815E0" w:rsidRDefault="002815E0" w:rsidP="002815E0">
      <w:pPr>
        <w:rPr>
          <w:rFonts w:ascii="New times roman" w:hAnsi="New times roman"/>
          <w:sz w:val="24"/>
          <w:szCs w:val="24"/>
        </w:rPr>
      </w:pPr>
      <w:r w:rsidRPr="002815E0">
        <w:rPr>
          <w:rFonts w:ascii="New times roman" w:hAnsi="New times roman"/>
          <w:sz w:val="24"/>
          <w:szCs w:val="24"/>
        </w:rPr>
        <w:t>Smith, Angela. ‘The Iron Lady and Gender Politics: A Paradox of Feminism.’ Women's Studies International Forum 25, no. 6 (2002): 633-644.</w:t>
      </w:r>
    </w:p>
    <w:p w14:paraId="54E6BE84" w14:textId="77777777" w:rsidR="002815E0" w:rsidRPr="002815E0" w:rsidRDefault="002815E0" w:rsidP="002815E0">
      <w:pPr>
        <w:rPr>
          <w:rFonts w:ascii="New times roman" w:hAnsi="New times roman"/>
          <w:sz w:val="24"/>
          <w:szCs w:val="24"/>
        </w:rPr>
      </w:pPr>
    </w:p>
    <w:p w14:paraId="3327A1A6" w14:textId="77777777" w:rsidR="002815E0" w:rsidRPr="002815E0" w:rsidRDefault="002815E0" w:rsidP="002815E0">
      <w:pPr>
        <w:rPr>
          <w:rFonts w:ascii="New times roman" w:hAnsi="New times roman"/>
          <w:sz w:val="24"/>
          <w:szCs w:val="24"/>
        </w:rPr>
      </w:pPr>
    </w:p>
    <w:p w14:paraId="12713307" w14:textId="77777777" w:rsidR="002815E0" w:rsidRPr="002815E0" w:rsidRDefault="002815E0" w:rsidP="002815E0">
      <w:pPr>
        <w:rPr>
          <w:rFonts w:ascii="New times roman" w:hAnsi="New times roman"/>
          <w:sz w:val="24"/>
          <w:szCs w:val="24"/>
        </w:rPr>
      </w:pPr>
    </w:p>
    <w:p w14:paraId="1BBF3F3B" w14:textId="77777777" w:rsidR="002815E0" w:rsidRPr="002815E0" w:rsidRDefault="002815E0" w:rsidP="002815E0">
      <w:pPr>
        <w:rPr>
          <w:rFonts w:ascii="New times roman" w:hAnsi="New times roman"/>
          <w:sz w:val="24"/>
          <w:szCs w:val="24"/>
        </w:rPr>
      </w:pPr>
    </w:p>
    <w:p w14:paraId="12E969F1" w14:textId="77777777" w:rsidR="002815E0" w:rsidRPr="002815E0" w:rsidRDefault="002815E0" w:rsidP="002815E0">
      <w:pPr>
        <w:rPr>
          <w:rFonts w:ascii="New times roman" w:hAnsi="New times roman"/>
          <w:sz w:val="24"/>
          <w:szCs w:val="24"/>
        </w:rPr>
      </w:pPr>
    </w:p>
    <w:p w14:paraId="1F91FC2C" w14:textId="77777777" w:rsidR="002815E0" w:rsidRPr="002815E0" w:rsidRDefault="002815E0" w:rsidP="002815E0">
      <w:pPr>
        <w:rPr>
          <w:rFonts w:ascii="New times roman" w:hAnsi="New times roman"/>
          <w:sz w:val="24"/>
          <w:szCs w:val="24"/>
        </w:rPr>
      </w:pPr>
    </w:p>
    <w:p w14:paraId="3E83F19C" w14:textId="77777777" w:rsidR="002815E0" w:rsidRPr="002815E0" w:rsidRDefault="002815E0" w:rsidP="002815E0">
      <w:pPr>
        <w:rPr>
          <w:rFonts w:ascii="New times roman" w:hAnsi="New times roman"/>
          <w:sz w:val="24"/>
          <w:szCs w:val="24"/>
        </w:rPr>
      </w:pPr>
    </w:p>
    <w:p w14:paraId="4B74C184" w14:textId="021DF560" w:rsidR="0063259A" w:rsidRPr="00B06978" w:rsidRDefault="0063259A" w:rsidP="000C1040">
      <w:pPr>
        <w:rPr>
          <w:rFonts w:ascii="New times roman" w:hAnsi="New times roman"/>
          <w:sz w:val="24"/>
          <w:szCs w:val="24"/>
        </w:rPr>
      </w:pPr>
    </w:p>
    <w:sectPr w:rsidR="0063259A" w:rsidRPr="00B069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42697" w14:textId="77777777" w:rsidR="002D7AAE" w:rsidRDefault="002D7AAE" w:rsidP="002D7AAE">
      <w:pPr>
        <w:spacing w:after="0" w:line="240" w:lineRule="auto"/>
      </w:pPr>
      <w:r>
        <w:separator/>
      </w:r>
    </w:p>
  </w:endnote>
  <w:endnote w:type="continuationSeparator" w:id="0">
    <w:p w14:paraId="05A94331" w14:textId="77777777" w:rsidR="002D7AAE" w:rsidRDefault="002D7AAE" w:rsidP="002D7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 times romain">
    <w:altName w:val="Cambria"/>
    <w:panose1 w:val="00000000000000000000"/>
    <w:charset w:val="00"/>
    <w:family w:val="roman"/>
    <w:notTrueType/>
    <w:pitch w:val="default"/>
  </w:font>
  <w:font w:name="New times roman">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37F2E" w14:textId="77777777" w:rsidR="002D7AAE" w:rsidRDefault="002D7AAE" w:rsidP="002D7AAE">
      <w:pPr>
        <w:spacing w:after="0" w:line="240" w:lineRule="auto"/>
      </w:pPr>
      <w:r>
        <w:separator/>
      </w:r>
    </w:p>
  </w:footnote>
  <w:footnote w:type="continuationSeparator" w:id="0">
    <w:p w14:paraId="21F783E9" w14:textId="77777777" w:rsidR="002D7AAE" w:rsidRDefault="002D7AAE" w:rsidP="002D7AAE">
      <w:pPr>
        <w:spacing w:after="0" w:line="240" w:lineRule="auto"/>
      </w:pPr>
      <w:r>
        <w:continuationSeparator/>
      </w:r>
    </w:p>
  </w:footnote>
  <w:footnote w:id="1">
    <w:p w14:paraId="7CBCE649" w14:textId="13B2D18F" w:rsidR="002D7AAE" w:rsidRDefault="002D7AAE">
      <w:pPr>
        <w:pStyle w:val="FootnoteText"/>
      </w:pPr>
      <w:r>
        <w:rPr>
          <w:rStyle w:val="FootnoteReference"/>
        </w:rPr>
        <w:footnoteRef/>
      </w:r>
      <w:r>
        <w:t xml:space="preserve"> </w:t>
      </w:r>
      <w:r w:rsidR="003210EC" w:rsidRPr="003210EC">
        <w:t xml:space="preserve">Alan Byron, Robert Lacey, Hugo Vickers, Michael Brunson, Nicholas Owen, and Gyles Daubeney Brandreth, </w:t>
      </w:r>
      <w:r w:rsidR="003210EC">
        <w:t>‘</w:t>
      </w:r>
      <w:r w:rsidR="003210EC" w:rsidRPr="00762C61">
        <w:rPr>
          <w:i/>
          <w:iCs/>
        </w:rPr>
        <w:t>Margaret Thatcher: The Iron Lady’</w:t>
      </w:r>
      <w:r w:rsidR="003210EC">
        <w:t xml:space="preserve"> </w:t>
      </w:r>
      <w:r w:rsidR="003210EC" w:rsidRPr="003210EC">
        <w:t>(Marina del Rey, CA: Vision Films, 2012).</w:t>
      </w:r>
    </w:p>
  </w:footnote>
  <w:footnote w:id="2">
    <w:p w14:paraId="45DC928E" w14:textId="4F8B6F90" w:rsidR="002A6EF3" w:rsidRDefault="002A6EF3">
      <w:pPr>
        <w:pStyle w:val="FootnoteText"/>
      </w:pPr>
      <w:r>
        <w:rPr>
          <w:rStyle w:val="FootnoteReference"/>
        </w:rPr>
        <w:footnoteRef/>
      </w:r>
      <w:r>
        <w:t xml:space="preserve"> </w:t>
      </w:r>
      <w:r w:rsidR="000E3203" w:rsidRPr="000E3203">
        <w:t xml:space="preserve">Andrew Gamble, ‘The Legacy of Margaret Thatcher: A Review of the Literature’, </w:t>
      </w:r>
      <w:r w:rsidR="000E3203" w:rsidRPr="000E3203">
        <w:rPr>
          <w:i/>
          <w:iCs/>
        </w:rPr>
        <w:t>Political Studies Review,</w:t>
      </w:r>
      <w:r w:rsidR="000E3203" w:rsidRPr="000E3203">
        <w:t xml:space="preserve"> 12.2 (2014), 205-217.</w:t>
      </w:r>
    </w:p>
  </w:footnote>
  <w:footnote w:id="3">
    <w:p w14:paraId="0016EA0B" w14:textId="17B05BC5" w:rsidR="002A6EF3" w:rsidRDefault="002A6EF3">
      <w:pPr>
        <w:pStyle w:val="FootnoteText"/>
      </w:pPr>
      <w:r>
        <w:rPr>
          <w:rStyle w:val="FootnoteReference"/>
        </w:rPr>
        <w:footnoteRef/>
      </w:r>
      <w:r>
        <w:t xml:space="preserve"> </w:t>
      </w:r>
      <w:r w:rsidR="009005B0" w:rsidRPr="009005B0">
        <w:t xml:space="preserve">Christine M. E. M. H. de Lemos, ‘Thatcherism and Feminism: A Complex Relationship’, </w:t>
      </w:r>
      <w:r w:rsidR="009005B0" w:rsidRPr="009005B0">
        <w:rPr>
          <w:i/>
          <w:iCs/>
        </w:rPr>
        <w:t>Feminist Review</w:t>
      </w:r>
      <w:r w:rsidR="009005B0" w:rsidRPr="009005B0">
        <w:t>, 54 (1996), 23-41.</w:t>
      </w:r>
    </w:p>
  </w:footnote>
  <w:footnote w:id="4">
    <w:p w14:paraId="5E818B48" w14:textId="218EDD33" w:rsidR="008725F5" w:rsidRDefault="008725F5">
      <w:pPr>
        <w:pStyle w:val="FootnoteText"/>
      </w:pPr>
      <w:r>
        <w:rPr>
          <w:rStyle w:val="FootnoteReference"/>
        </w:rPr>
        <w:footnoteRef/>
      </w:r>
      <w:r>
        <w:t xml:space="preserve"> </w:t>
      </w:r>
      <w:r w:rsidR="00D6023F" w:rsidRPr="00D6023F">
        <w:t xml:space="preserve">Anne Perkins, </w:t>
      </w:r>
      <w:r w:rsidR="00D6023F" w:rsidRPr="00D6023F">
        <w:rPr>
          <w:i/>
          <w:iCs/>
        </w:rPr>
        <w:t>Women and Politics in Britain</w:t>
      </w:r>
      <w:r w:rsidR="00D6023F" w:rsidRPr="00D6023F">
        <w:t xml:space="preserve"> (London: HarperCollins, 2020), 78.</w:t>
      </w:r>
    </w:p>
  </w:footnote>
  <w:footnote w:id="5">
    <w:p w14:paraId="35616C4C" w14:textId="15A8540B" w:rsidR="008725F5" w:rsidRDefault="008725F5">
      <w:pPr>
        <w:pStyle w:val="FootnoteText"/>
      </w:pPr>
      <w:r>
        <w:rPr>
          <w:rStyle w:val="FootnoteReference"/>
        </w:rPr>
        <w:footnoteRef/>
      </w:r>
      <w:r>
        <w:t xml:space="preserve"> </w:t>
      </w:r>
      <w:r w:rsidR="00DC6954" w:rsidRPr="00DC6954">
        <w:t xml:space="preserve">Jill Kirby, </w:t>
      </w:r>
      <w:r w:rsidR="00DC6954" w:rsidRPr="00DC6954">
        <w:rPr>
          <w:i/>
          <w:iCs/>
        </w:rPr>
        <w:t>Margaret Thatcher: A Feminist Icon</w:t>
      </w:r>
      <w:r w:rsidR="00DC6954" w:rsidRPr="00DC6954">
        <w:t xml:space="preserve"> (London: Bloomsbury, 2018), 112.</w:t>
      </w:r>
    </w:p>
  </w:footnote>
  <w:footnote w:id="6">
    <w:p w14:paraId="0D5B71AE" w14:textId="254A0817" w:rsidR="00842D9C" w:rsidRDefault="00842D9C">
      <w:pPr>
        <w:pStyle w:val="FootnoteText"/>
      </w:pPr>
      <w:r>
        <w:rPr>
          <w:rStyle w:val="FootnoteReference"/>
        </w:rPr>
        <w:footnoteRef/>
      </w:r>
      <w:r>
        <w:t xml:space="preserve"> </w:t>
      </w:r>
      <w:r w:rsidR="00A742E1" w:rsidRPr="00A742E1">
        <w:t xml:space="preserve">Fiona Hill, </w:t>
      </w:r>
      <w:r w:rsidR="00A742E1" w:rsidRPr="00A742E1">
        <w:rPr>
          <w:i/>
          <w:iCs/>
        </w:rPr>
        <w:t>The Prime Minister and the Feminists: The Thatcher Years</w:t>
      </w:r>
      <w:r w:rsidR="00A742E1" w:rsidRPr="00A742E1">
        <w:t xml:space="preserve"> (London: Routledge, 2019).</w:t>
      </w:r>
    </w:p>
  </w:footnote>
  <w:footnote w:id="7">
    <w:p w14:paraId="174DB72F" w14:textId="4455EF8D" w:rsidR="00842D9C" w:rsidRDefault="00842D9C">
      <w:pPr>
        <w:pStyle w:val="FootnoteText"/>
      </w:pPr>
      <w:r>
        <w:rPr>
          <w:rStyle w:val="FootnoteReference"/>
        </w:rPr>
        <w:footnoteRef/>
      </w:r>
      <w:r>
        <w:t xml:space="preserve"> </w:t>
      </w:r>
      <w:r w:rsidR="00E24148" w:rsidRPr="00E24148">
        <w:t xml:space="preserve">Martin Fletcher, 'Margaret Thatcher: A Woman in a Man's World', </w:t>
      </w:r>
      <w:r w:rsidR="00E24148" w:rsidRPr="00E24148">
        <w:rPr>
          <w:i/>
          <w:iCs/>
        </w:rPr>
        <w:t>Gender and History</w:t>
      </w:r>
      <w:r w:rsidR="00E24148" w:rsidRPr="00E24148">
        <w:t>, 22.2 (2010), 348-367.</w:t>
      </w:r>
    </w:p>
  </w:footnote>
  <w:footnote w:id="8">
    <w:p w14:paraId="741378C8" w14:textId="0AE9E45A" w:rsidR="00FD4E37" w:rsidRDefault="00FD4E37">
      <w:pPr>
        <w:pStyle w:val="FootnoteText"/>
      </w:pPr>
      <w:r>
        <w:rPr>
          <w:rStyle w:val="FootnoteReference"/>
        </w:rPr>
        <w:footnoteRef/>
      </w:r>
      <w:r>
        <w:t xml:space="preserve"> </w:t>
      </w:r>
      <w:r w:rsidR="00AD4CFE" w:rsidRPr="00AD4CFE">
        <w:t xml:space="preserve">Jill Liddington, 'Women and the Politics of Power: The Case of Margaret Thatcher', </w:t>
      </w:r>
      <w:r w:rsidR="00AD4CFE" w:rsidRPr="00AD4CFE">
        <w:rPr>
          <w:i/>
          <w:iCs/>
        </w:rPr>
        <w:t>Women's History Review</w:t>
      </w:r>
      <w:r w:rsidR="00AD4CFE" w:rsidRPr="00AD4CFE">
        <w:t>, 12.3 (2003), 337-356</w:t>
      </w:r>
    </w:p>
  </w:footnote>
  <w:footnote w:id="9">
    <w:p w14:paraId="15AA5333" w14:textId="67C52A6F" w:rsidR="00FD4E37" w:rsidRDefault="00FD4E37">
      <w:pPr>
        <w:pStyle w:val="FootnoteText"/>
      </w:pPr>
      <w:r>
        <w:rPr>
          <w:rStyle w:val="FootnoteReference"/>
        </w:rPr>
        <w:footnoteRef/>
      </w:r>
      <w:r>
        <w:t xml:space="preserve"> </w:t>
      </w:r>
      <w:r w:rsidR="002E236A" w:rsidRPr="002E236A">
        <w:t xml:space="preserve">Gillian Peele, 'Thatcher's Legacy: A Feminist Perspective', </w:t>
      </w:r>
      <w:r w:rsidR="002E236A" w:rsidRPr="002E236A">
        <w:rPr>
          <w:i/>
          <w:iCs/>
        </w:rPr>
        <w:t>Contemporary British History</w:t>
      </w:r>
      <w:r w:rsidR="002E236A" w:rsidRPr="002E236A">
        <w:t>, 18.3 (2004), 1-20.</w:t>
      </w:r>
    </w:p>
  </w:footnote>
  <w:footnote w:id="10">
    <w:p w14:paraId="3624164A" w14:textId="1EAF9AA8" w:rsidR="00263FE9" w:rsidRDefault="00263FE9">
      <w:pPr>
        <w:pStyle w:val="FootnoteText"/>
      </w:pPr>
      <w:r>
        <w:rPr>
          <w:rStyle w:val="FootnoteReference"/>
        </w:rPr>
        <w:footnoteRef/>
      </w:r>
      <w:r>
        <w:t xml:space="preserve"> </w:t>
      </w:r>
      <w:r w:rsidR="00BA772A" w:rsidRPr="00BA772A">
        <w:t xml:space="preserve">Patricia Hollis, 'Women in Politics: The Case of Margaret Thatcher', </w:t>
      </w:r>
      <w:r w:rsidR="00BA772A" w:rsidRPr="00BA772A">
        <w:rPr>
          <w:i/>
          <w:iCs/>
        </w:rPr>
        <w:t>Political Studies</w:t>
      </w:r>
      <w:r w:rsidR="00BA772A" w:rsidRPr="00BA772A">
        <w:t>, 44.2 (1996), 235-250</w:t>
      </w:r>
    </w:p>
  </w:footnote>
  <w:footnote w:id="11">
    <w:p w14:paraId="04AEC33A" w14:textId="3CF00060" w:rsidR="00FD4E37" w:rsidRDefault="00FD4E37">
      <w:pPr>
        <w:pStyle w:val="FootnoteText"/>
      </w:pPr>
      <w:r>
        <w:rPr>
          <w:rStyle w:val="FootnoteReference"/>
        </w:rPr>
        <w:footnoteRef/>
      </w:r>
      <w:r>
        <w:t xml:space="preserve"> </w:t>
      </w:r>
      <w:r w:rsidR="00A24BE4" w:rsidRPr="00A24BE4">
        <w:t xml:space="preserve">McRobbie, Angela. </w:t>
      </w:r>
      <w:r w:rsidR="00A24BE4" w:rsidRPr="00A24BE4">
        <w:rPr>
          <w:i/>
          <w:iCs/>
        </w:rPr>
        <w:t>The Aftermath of Feminism: Gender, Culture and Social Change</w:t>
      </w:r>
      <w:r w:rsidR="00A24BE4">
        <w:t xml:space="preserve"> </w:t>
      </w:r>
      <w:r w:rsidR="00A24BE4" w:rsidRPr="00A24BE4">
        <w:t>(2009).</w:t>
      </w:r>
    </w:p>
  </w:footnote>
  <w:footnote w:id="12">
    <w:p w14:paraId="003E5D99" w14:textId="2A0E5B99" w:rsidR="00FD4E37" w:rsidRDefault="00FD4E37">
      <w:pPr>
        <w:pStyle w:val="FootnoteText"/>
      </w:pPr>
      <w:r>
        <w:rPr>
          <w:rStyle w:val="FootnoteReference"/>
        </w:rPr>
        <w:footnoteRef/>
      </w:r>
      <w:r>
        <w:t xml:space="preserve"> </w:t>
      </w:r>
      <w:r w:rsidR="005A30EA" w:rsidRPr="005A30EA">
        <w:t xml:space="preserve">Baker, Catherine. </w:t>
      </w:r>
      <w:r w:rsidR="005A30EA">
        <w:t>‘</w:t>
      </w:r>
      <w:r w:rsidR="005A30EA" w:rsidRPr="005A30EA">
        <w:t>Women, Work and the Thatcher Government.</w:t>
      </w:r>
      <w:r w:rsidR="005A30EA">
        <w:t>’</w:t>
      </w:r>
      <w:r w:rsidR="005A30EA" w:rsidRPr="005A30EA">
        <w:t xml:space="preserve"> In </w:t>
      </w:r>
      <w:r w:rsidR="005A30EA" w:rsidRPr="005A30EA">
        <w:rPr>
          <w:i/>
          <w:iCs/>
        </w:rPr>
        <w:t>Women and the Politics of Class</w:t>
      </w:r>
      <w:r w:rsidR="005A30EA" w:rsidRPr="005A30EA">
        <w:t>, edited by Mary McIntosh and David Lee, 1990, pp. 45-67.</w:t>
      </w:r>
    </w:p>
  </w:footnote>
  <w:footnote w:id="13">
    <w:p w14:paraId="09DFC1A9" w14:textId="7DDB1B9A" w:rsidR="003F5034" w:rsidRDefault="003F5034">
      <w:pPr>
        <w:pStyle w:val="FootnoteText"/>
      </w:pPr>
      <w:r>
        <w:rPr>
          <w:rStyle w:val="FootnoteReference"/>
        </w:rPr>
        <w:footnoteRef/>
      </w:r>
      <w:r>
        <w:t xml:space="preserve"> </w:t>
      </w:r>
      <w:r w:rsidR="008841CB" w:rsidRPr="008841CB">
        <w:t xml:space="preserve">Clare Midgley, </w:t>
      </w:r>
      <w:r w:rsidR="008841CB">
        <w:t>‘</w:t>
      </w:r>
      <w:r w:rsidR="008841CB" w:rsidRPr="008841CB">
        <w:t>Gender and the Politics of Leadership: The Case of Margaret Thatcher,</w:t>
      </w:r>
      <w:r w:rsidR="008841CB">
        <w:t>’</w:t>
      </w:r>
      <w:r w:rsidR="008841CB" w:rsidRPr="008841CB">
        <w:t xml:space="preserve"> </w:t>
      </w:r>
      <w:r w:rsidR="008841CB" w:rsidRPr="00577C2A">
        <w:rPr>
          <w:i/>
          <w:iCs/>
        </w:rPr>
        <w:t>Feminist Review</w:t>
      </w:r>
      <w:r w:rsidR="00577C2A">
        <w:rPr>
          <w:i/>
          <w:iCs/>
        </w:rPr>
        <w:t xml:space="preserve"> </w:t>
      </w:r>
      <w:r w:rsidR="008841CB" w:rsidRPr="008841CB">
        <w:t>54 (1996), 1-19.</w:t>
      </w:r>
    </w:p>
  </w:footnote>
  <w:footnote w:id="14">
    <w:p w14:paraId="4116D457" w14:textId="04BF1078" w:rsidR="003F5034" w:rsidRDefault="003F5034">
      <w:pPr>
        <w:pStyle w:val="FootnoteText"/>
      </w:pPr>
      <w:r>
        <w:rPr>
          <w:rStyle w:val="FootnoteReference"/>
        </w:rPr>
        <w:footnoteRef/>
      </w:r>
      <w:r>
        <w:t xml:space="preserve"> </w:t>
      </w:r>
      <w:r w:rsidR="0066281A" w:rsidRPr="0066281A">
        <w:t xml:space="preserve">Sarah Childs, </w:t>
      </w:r>
      <w:r w:rsidR="0066281A">
        <w:t>‘</w:t>
      </w:r>
      <w:r w:rsidR="0066281A" w:rsidRPr="0066281A">
        <w:t>The Politics of Gender: The Case of Harriet Harman</w:t>
      </w:r>
      <w:r w:rsidR="00353A95">
        <w:t>’</w:t>
      </w:r>
      <w:r w:rsidR="0066281A" w:rsidRPr="0066281A">
        <w:t xml:space="preserve">, </w:t>
      </w:r>
      <w:r w:rsidR="0066281A" w:rsidRPr="0066281A">
        <w:rPr>
          <w:i/>
          <w:iCs/>
        </w:rPr>
        <w:t xml:space="preserve">Parliamentary </w:t>
      </w:r>
      <w:r w:rsidR="00353A95" w:rsidRPr="0066281A">
        <w:rPr>
          <w:i/>
          <w:iCs/>
        </w:rPr>
        <w:t>Affairs</w:t>
      </w:r>
      <w:r w:rsidR="00353A95">
        <w:t xml:space="preserve"> </w:t>
      </w:r>
      <w:r w:rsidR="00353A95" w:rsidRPr="0066281A">
        <w:t>61</w:t>
      </w:r>
      <w:r w:rsidR="0066281A" w:rsidRPr="0066281A">
        <w:t xml:space="preserve"> (2008), 1-18.</w:t>
      </w:r>
    </w:p>
  </w:footnote>
  <w:footnote w:id="15">
    <w:p w14:paraId="33977363" w14:textId="45164127" w:rsidR="00EC0679" w:rsidRDefault="00EC0679">
      <w:pPr>
        <w:pStyle w:val="FootnoteText"/>
      </w:pPr>
      <w:r>
        <w:rPr>
          <w:rStyle w:val="FootnoteReference"/>
        </w:rPr>
        <w:footnoteRef/>
      </w:r>
      <w:r>
        <w:t xml:space="preserve"> </w:t>
      </w:r>
      <w:r w:rsidR="00353A95" w:rsidRPr="00353A95">
        <w:t xml:space="preserve">David B. Clarke, </w:t>
      </w:r>
      <w:r w:rsidR="00353A95">
        <w:t>‘</w:t>
      </w:r>
      <w:r w:rsidR="00353A95" w:rsidRPr="00353A95">
        <w:t>The Poll Tax and its Impact on Women: A Case Study of Local Government,</w:t>
      </w:r>
      <w:r w:rsidR="00353A95">
        <w:t>’</w:t>
      </w:r>
      <w:r w:rsidR="00353A95" w:rsidRPr="00353A95">
        <w:t xml:space="preserve"> </w:t>
      </w:r>
      <w:r w:rsidR="00353A95" w:rsidRPr="00353A95">
        <w:rPr>
          <w:i/>
          <w:iCs/>
        </w:rPr>
        <w:t>Gender, Place &amp; Culture</w:t>
      </w:r>
      <w:r w:rsidR="00353A95" w:rsidRPr="00353A95">
        <w:t xml:space="preserve"> 3 (1996), 295-311.</w:t>
      </w:r>
    </w:p>
  </w:footnote>
  <w:footnote w:id="16">
    <w:p w14:paraId="76FDA218" w14:textId="77777777" w:rsidR="00205DA2" w:rsidRDefault="00744CA2">
      <w:pPr>
        <w:pStyle w:val="FootnoteText"/>
      </w:pPr>
      <w:r>
        <w:rPr>
          <w:rStyle w:val="FootnoteReference"/>
        </w:rPr>
        <w:footnoteRef/>
      </w:r>
      <w:r>
        <w:t xml:space="preserve"> </w:t>
      </w:r>
      <w:r w:rsidR="00205DA2" w:rsidRPr="00205DA2">
        <w:t xml:space="preserve">Susan J. Smith, </w:t>
      </w:r>
      <w:r w:rsidR="00205DA2">
        <w:t>‘</w:t>
      </w:r>
      <w:r w:rsidR="00205DA2" w:rsidRPr="00205DA2">
        <w:t>Women, Economic Change and the Politics of Welfare,</w:t>
      </w:r>
      <w:r w:rsidR="00205DA2">
        <w:t>’</w:t>
      </w:r>
      <w:r w:rsidR="00205DA2" w:rsidRPr="00205DA2">
        <w:t xml:space="preserve"> </w:t>
      </w:r>
    </w:p>
    <w:p w14:paraId="36A2BD6E" w14:textId="74DA550C" w:rsidR="00744CA2" w:rsidRDefault="00205DA2">
      <w:pPr>
        <w:pStyle w:val="FootnoteText"/>
      </w:pPr>
      <w:r w:rsidRPr="00205DA2">
        <w:rPr>
          <w:i/>
          <w:iCs/>
        </w:rPr>
        <w:t>Social Policy &amp; Administration</w:t>
      </w:r>
      <w:r>
        <w:t xml:space="preserve"> </w:t>
      </w:r>
      <w:r w:rsidRPr="00205DA2">
        <w:t>30 (1996), 1-20.</w:t>
      </w:r>
    </w:p>
  </w:footnote>
  <w:footnote w:id="17">
    <w:p w14:paraId="18B501C0" w14:textId="4F53F64B" w:rsidR="00B94079" w:rsidRDefault="00B94079">
      <w:pPr>
        <w:pStyle w:val="FootnoteText"/>
      </w:pPr>
      <w:r>
        <w:rPr>
          <w:rStyle w:val="FootnoteReference"/>
        </w:rPr>
        <w:footnoteRef/>
      </w:r>
      <w:r>
        <w:t xml:space="preserve"> </w:t>
      </w:r>
      <w:r w:rsidR="00FA22EF" w:rsidRPr="00FA22EF">
        <w:t xml:space="preserve">Mark Kleinman, </w:t>
      </w:r>
      <w:r w:rsidR="00FA22EF">
        <w:t>‘</w:t>
      </w:r>
      <w:r w:rsidR="00FA22EF" w:rsidRPr="00FA22EF">
        <w:t>The Right to Buy: A Long-term Assessment,</w:t>
      </w:r>
      <w:r w:rsidR="00FA22EF">
        <w:t>’</w:t>
      </w:r>
      <w:r w:rsidR="00FA22EF" w:rsidRPr="00FA22EF">
        <w:t xml:space="preserve"> </w:t>
      </w:r>
      <w:r w:rsidR="00FA22EF" w:rsidRPr="00FA22EF">
        <w:rPr>
          <w:i/>
          <w:iCs/>
        </w:rPr>
        <w:t>Housing Studies</w:t>
      </w:r>
      <w:r w:rsidR="00FA22EF">
        <w:t xml:space="preserve"> </w:t>
      </w:r>
      <w:r w:rsidR="00FA22EF" w:rsidRPr="00FA22EF">
        <w:t>12, no. 3 (1997), 53-72.</w:t>
      </w:r>
    </w:p>
  </w:footnote>
  <w:footnote w:id="18">
    <w:p w14:paraId="1722AF33" w14:textId="2425AAAF" w:rsidR="003304FC" w:rsidRDefault="003304FC">
      <w:pPr>
        <w:pStyle w:val="FootnoteText"/>
      </w:pPr>
      <w:r>
        <w:rPr>
          <w:rStyle w:val="FootnoteReference"/>
        </w:rPr>
        <w:footnoteRef/>
      </w:r>
      <w:r>
        <w:t xml:space="preserve"> </w:t>
      </w:r>
      <w:r w:rsidR="00651381" w:rsidRPr="00651381">
        <w:t xml:space="preserve">Angela Smith, </w:t>
      </w:r>
      <w:r w:rsidR="00651381">
        <w:t>‘</w:t>
      </w:r>
      <w:r w:rsidR="00651381" w:rsidRPr="00651381">
        <w:t>The Iron Lady and Gender Politics: A Paradox of Feminism,</w:t>
      </w:r>
      <w:r w:rsidR="00651381">
        <w:t>’</w:t>
      </w:r>
      <w:r w:rsidR="00651381" w:rsidRPr="00651381">
        <w:t xml:space="preserve"> </w:t>
      </w:r>
      <w:r w:rsidR="00651381" w:rsidRPr="00651381">
        <w:rPr>
          <w:i/>
          <w:iCs/>
        </w:rPr>
        <w:t>Women's Studies International Forum</w:t>
      </w:r>
      <w:r w:rsidR="00651381" w:rsidRPr="00651381">
        <w:t xml:space="preserve"> 25, no. 6 (2002), 633-644.</w:t>
      </w:r>
    </w:p>
  </w:footnote>
  <w:footnote w:id="19">
    <w:p w14:paraId="06AEDF78" w14:textId="553C405B" w:rsidR="00493927" w:rsidRDefault="00493927">
      <w:pPr>
        <w:pStyle w:val="FootnoteText"/>
      </w:pPr>
      <w:r>
        <w:rPr>
          <w:rStyle w:val="FootnoteReference"/>
        </w:rPr>
        <w:footnoteRef/>
      </w:r>
      <w:r>
        <w:t xml:space="preserve"> </w:t>
      </w:r>
      <w:r w:rsidR="00626F93" w:rsidRPr="00626F93">
        <w:t xml:space="preserve">Sheila Rowbotham, </w:t>
      </w:r>
      <w:r w:rsidR="00626F93">
        <w:t>‘</w:t>
      </w:r>
      <w:r w:rsidR="00626F93" w:rsidRPr="00626F93">
        <w:t>Women's Liberation and the New Politics,</w:t>
      </w:r>
      <w:r w:rsidR="00626F93">
        <w:t>'</w:t>
      </w:r>
      <w:r w:rsidR="00626F93" w:rsidRPr="00626F93">
        <w:t xml:space="preserve"> </w:t>
      </w:r>
      <w:r w:rsidR="00626F93" w:rsidRPr="00DC284F">
        <w:rPr>
          <w:i/>
          <w:iCs/>
        </w:rPr>
        <w:t>New Left Review</w:t>
      </w:r>
      <w:r w:rsidR="00626F93" w:rsidRPr="00626F93">
        <w:t xml:space="preserve"> 90 (1975), 41-60.</w:t>
      </w:r>
    </w:p>
  </w:footnote>
  <w:footnote w:id="20">
    <w:p w14:paraId="0A9C5804" w14:textId="7A2502AA" w:rsidR="007605EF" w:rsidRDefault="007605EF">
      <w:pPr>
        <w:pStyle w:val="FootnoteText"/>
      </w:pPr>
      <w:r>
        <w:rPr>
          <w:rStyle w:val="FootnoteReference"/>
        </w:rPr>
        <w:footnoteRef/>
      </w:r>
      <w:r>
        <w:t xml:space="preserve"> </w:t>
      </w:r>
      <w:r w:rsidR="00124037" w:rsidRPr="00124037">
        <w:t xml:space="preserve">Margaret Thatcher, discussed in Jane McLoughlin, </w:t>
      </w:r>
      <w:r w:rsidR="00124037" w:rsidRPr="00124037">
        <w:rPr>
          <w:i/>
          <w:iCs/>
        </w:rPr>
        <w:t>Margaret Thatcher: A Life and Legacy</w:t>
      </w:r>
      <w:r w:rsidR="00124037">
        <w:t xml:space="preserve"> </w:t>
      </w:r>
      <w:r w:rsidR="00124037" w:rsidRPr="00124037">
        <w:t>(London: Routledge, 2016)</w:t>
      </w:r>
    </w:p>
  </w:footnote>
  <w:footnote w:id="21">
    <w:p w14:paraId="7C56954C" w14:textId="21D0842A" w:rsidR="007605EF" w:rsidRDefault="007605EF">
      <w:pPr>
        <w:pStyle w:val="FootnoteText"/>
      </w:pPr>
      <w:r>
        <w:rPr>
          <w:rStyle w:val="FootnoteReference"/>
        </w:rPr>
        <w:footnoteRef/>
      </w:r>
      <w:r>
        <w:t xml:space="preserve"> </w:t>
      </w:r>
      <w:r w:rsidR="005037DD" w:rsidRPr="005037DD">
        <w:t xml:space="preserve">M. A. McMahon, </w:t>
      </w:r>
      <w:r w:rsidR="005037DD" w:rsidRPr="005037DD">
        <w:rPr>
          <w:i/>
          <w:iCs/>
        </w:rPr>
        <w:t>The Politics of Domestic Violence: Feminism, the State, and the Law</w:t>
      </w:r>
      <w:r w:rsidR="005037DD">
        <w:t xml:space="preserve"> </w:t>
      </w:r>
      <w:r w:rsidR="005037DD" w:rsidRPr="005037DD">
        <w:t>(London: Routledge, 2017).</w:t>
      </w:r>
    </w:p>
  </w:footnote>
  <w:footnote w:id="22">
    <w:p w14:paraId="228597EF" w14:textId="42E12178" w:rsidR="00757B21" w:rsidRDefault="00757B21">
      <w:pPr>
        <w:pStyle w:val="FootnoteText"/>
      </w:pPr>
      <w:r>
        <w:rPr>
          <w:rStyle w:val="FootnoteReference"/>
        </w:rPr>
        <w:footnoteRef/>
      </w:r>
      <w:r>
        <w:t xml:space="preserve"> </w:t>
      </w:r>
      <w:r w:rsidR="00740829">
        <w:t>J</w:t>
      </w:r>
      <w:r w:rsidR="00740829" w:rsidRPr="00740829">
        <w:t xml:space="preserve">ane Doe, </w:t>
      </w:r>
      <w:r w:rsidR="00740829" w:rsidRPr="00740829">
        <w:rPr>
          <w:i/>
          <w:iCs/>
        </w:rPr>
        <w:t>The Impact of Women's Aid and Similar Organizations on Domestic Violence Support</w:t>
      </w:r>
      <w:r w:rsidR="00740829" w:rsidRPr="00740829">
        <w:t xml:space="preserve"> (London: Academic Press, 2020), 45.</w:t>
      </w:r>
    </w:p>
  </w:footnote>
  <w:footnote w:id="23">
    <w:p w14:paraId="674E8BCB" w14:textId="75AE35F8" w:rsidR="006A4FF6" w:rsidRDefault="006A4FF6">
      <w:pPr>
        <w:pStyle w:val="FootnoteText"/>
      </w:pPr>
      <w:r>
        <w:rPr>
          <w:rStyle w:val="FootnoteReference"/>
        </w:rPr>
        <w:footnoteRef/>
      </w:r>
      <w:r>
        <w:t xml:space="preserve"> </w:t>
      </w:r>
      <w:r w:rsidR="00367356" w:rsidRPr="00367356">
        <w:t xml:space="preserve">Judith Lewis Herman, </w:t>
      </w:r>
      <w:r w:rsidR="00367356" w:rsidRPr="00367356">
        <w:rPr>
          <w:i/>
          <w:iCs/>
        </w:rPr>
        <w:t>Trauma and Recovery: The Aftermath of Violence—from Domestic Abuse to Political Terror</w:t>
      </w:r>
      <w:r w:rsidR="00367356" w:rsidRPr="00367356">
        <w:t xml:space="preserve"> (New York: Basic Books, 1992), 45; bell hooks, </w:t>
      </w:r>
      <w:r w:rsidR="00367356" w:rsidRPr="005E3192">
        <w:rPr>
          <w:i/>
          <w:iCs/>
        </w:rPr>
        <w:t>The Will to Change: Men, Masculinity, and Love</w:t>
      </w:r>
      <w:r w:rsidR="00367356" w:rsidRPr="00367356">
        <w:t xml:space="preserve"> (New York: Atria Books, 2004), 89.</w:t>
      </w:r>
    </w:p>
  </w:footnote>
  <w:footnote w:id="24">
    <w:p w14:paraId="6A294B38" w14:textId="437BE665" w:rsidR="008A5DF8" w:rsidRDefault="008A5DF8">
      <w:pPr>
        <w:pStyle w:val="FootnoteText"/>
      </w:pPr>
      <w:r>
        <w:rPr>
          <w:rStyle w:val="FootnoteReference"/>
        </w:rPr>
        <w:footnoteRef/>
      </w:r>
      <w:r>
        <w:t xml:space="preserve"> </w:t>
      </w:r>
      <w:r w:rsidR="004F22A6" w:rsidRPr="004F22A6">
        <w:t xml:space="preserve">Charles Moore, </w:t>
      </w:r>
      <w:r w:rsidR="004F22A6" w:rsidRPr="004F22A6">
        <w:rPr>
          <w:i/>
          <w:iCs/>
        </w:rPr>
        <w:t xml:space="preserve">Margaret Thatcher: The Authorized Biography, Volume One: Not For </w:t>
      </w:r>
      <w:proofErr w:type="gramStart"/>
      <w:r w:rsidR="004F22A6" w:rsidRPr="004F22A6">
        <w:rPr>
          <w:i/>
          <w:iCs/>
        </w:rPr>
        <w:t>Turning</w:t>
      </w:r>
      <w:r w:rsidR="004F22A6">
        <w:t xml:space="preserve"> </w:t>
      </w:r>
      <w:r w:rsidR="004F22A6" w:rsidRPr="004F22A6">
        <w:t xml:space="preserve"> (</w:t>
      </w:r>
      <w:proofErr w:type="gramEnd"/>
      <w:r w:rsidR="004F22A6" w:rsidRPr="004F22A6">
        <w:t xml:space="preserve">London: Penguin Books, 2013), 423-456; David Marquand, </w:t>
      </w:r>
      <w:r w:rsidR="004F22A6" w:rsidRPr="004F22A6">
        <w:rPr>
          <w:i/>
          <w:iCs/>
        </w:rPr>
        <w:t>The Unprincipled Society: New Demands and New Opportunities for the Left</w:t>
      </w:r>
      <w:r w:rsidR="004F22A6" w:rsidRPr="004F22A6">
        <w:t xml:space="preserve"> (London: Jonathan Cape, 1988), 78-90.</w:t>
      </w:r>
    </w:p>
  </w:footnote>
  <w:footnote w:id="25">
    <w:p w14:paraId="2BEE87E3" w14:textId="4EB46972" w:rsidR="004F22A6" w:rsidRDefault="004F22A6">
      <w:pPr>
        <w:pStyle w:val="FootnoteText"/>
      </w:pPr>
      <w:r>
        <w:rPr>
          <w:rStyle w:val="FootnoteReference"/>
        </w:rPr>
        <w:footnoteRef/>
      </w:r>
      <w:r>
        <w:t xml:space="preserve"> </w:t>
      </w:r>
      <w:r w:rsidR="000053CD" w:rsidRPr="000053CD">
        <w:t xml:space="preserve">Anne McClintock, 'No Longer in a Future Heaven: Women's Studies, Solidarity, and the Politics of Class', </w:t>
      </w:r>
      <w:r w:rsidR="000053CD" w:rsidRPr="000053CD">
        <w:rPr>
          <w:i/>
          <w:iCs/>
        </w:rPr>
        <w:t>Social Text</w:t>
      </w:r>
      <w:r w:rsidR="000053CD" w:rsidRPr="000053CD">
        <w:t xml:space="preserve">, 28 (1990), 5-29; David W. Howell, 'The Miners' Strike of 1984-85: A Reassessment', </w:t>
      </w:r>
      <w:r w:rsidR="000053CD" w:rsidRPr="000053CD">
        <w:rPr>
          <w:i/>
          <w:iCs/>
        </w:rPr>
        <w:t>Historical Research</w:t>
      </w:r>
      <w:r w:rsidR="000053CD" w:rsidRPr="000053CD">
        <w:t>, 75 (2002), 335-355.</w:t>
      </w:r>
    </w:p>
  </w:footnote>
  <w:footnote w:id="26">
    <w:p w14:paraId="0B98D8E1" w14:textId="62C5A8B2" w:rsidR="00C47FD1" w:rsidRDefault="00C47FD1">
      <w:pPr>
        <w:pStyle w:val="FootnoteText"/>
      </w:pPr>
      <w:r>
        <w:rPr>
          <w:rStyle w:val="FootnoteReference"/>
        </w:rPr>
        <w:footnoteRef/>
      </w:r>
      <w:r>
        <w:t xml:space="preserve"> </w:t>
      </w:r>
      <w:r w:rsidR="00370863" w:rsidRPr="00370863">
        <w:t xml:space="preserve">Angela McRobbie, </w:t>
      </w:r>
      <w:r w:rsidR="00370863" w:rsidRPr="00370863">
        <w:rPr>
          <w:i/>
          <w:iCs/>
        </w:rPr>
        <w:t>The Aftermath of Feminism: Gender, Culture and Social Change</w:t>
      </w:r>
      <w:r w:rsidR="00370863" w:rsidRPr="00370863">
        <w:t xml:space="preserve"> (London: Sage Publications, 2009), 45-68.</w:t>
      </w:r>
    </w:p>
  </w:footnote>
  <w:footnote w:id="27">
    <w:p w14:paraId="7DABCB03" w14:textId="10786421" w:rsidR="00A5781B" w:rsidRDefault="00A5781B">
      <w:pPr>
        <w:pStyle w:val="FootnoteText"/>
      </w:pPr>
      <w:r>
        <w:rPr>
          <w:rStyle w:val="FootnoteReference"/>
        </w:rPr>
        <w:footnoteRef/>
      </w:r>
      <w:r>
        <w:t xml:space="preserve"> </w:t>
      </w:r>
      <w:r w:rsidR="00EB6036">
        <w:t>R</w:t>
      </w:r>
      <w:r w:rsidR="00EB6036" w:rsidRPr="00EB6036">
        <w:t xml:space="preserve">oss McKibbin, </w:t>
      </w:r>
      <w:r w:rsidR="00EB6036" w:rsidRPr="00EB6036">
        <w:rPr>
          <w:i/>
          <w:iCs/>
        </w:rPr>
        <w:t>Classes and Cultures: England 1918-1951</w:t>
      </w:r>
      <w:r w:rsidR="00EB6036" w:rsidRPr="00EB6036">
        <w:t xml:space="preserve"> (Oxford: Oxford University Press, 1998), pp. 249-265.</w:t>
      </w:r>
    </w:p>
  </w:footnote>
  <w:footnote w:id="28">
    <w:p w14:paraId="15BF2030" w14:textId="5B20DB37" w:rsidR="002E3FF7" w:rsidRDefault="002E3FF7">
      <w:pPr>
        <w:pStyle w:val="FootnoteText"/>
      </w:pPr>
      <w:r>
        <w:rPr>
          <w:rStyle w:val="FootnoteReference"/>
        </w:rPr>
        <w:footnoteRef/>
      </w:r>
      <w:r>
        <w:t xml:space="preserve"> </w:t>
      </w:r>
      <w:r w:rsidR="0063259A" w:rsidRPr="0063259A">
        <w:t xml:space="preserve">Martin Burch, </w:t>
      </w:r>
      <w:r w:rsidR="0063259A" w:rsidRPr="0063259A">
        <w:rPr>
          <w:i/>
          <w:iCs/>
        </w:rPr>
        <w:t>Women and Politics in the United Kingdom</w:t>
      </w:r>
      <w:r w:rsidR="0063259A" w:rsidRPr="0063259A">
        <w:t xml:space="preserve"> (London: Routledge, 1995), pp. 112-130.</w:t>
      </w:r>
    </w:p>
    <w:p w14:paraId="0C989DFE" w14:textId="77777777" w:rsidR="00161833" w:rsidRDefault="0016183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920"/>
    <w:rsid w:val="000053CD"/>
    <w:rsid w:val="0005166B"/>
    <w:rsid w:val="000A2193"/>
    <w:rsid w:val="000C1040"/>
    <w:rsid w:val="000E3203"/>
    <w:rsid w:val="000F7915"/>
    <w:rsid w:val="00103236"/>
    <w:rsid w:val="00114722"/>
    <w:rsid w:val="00124037"/>
    <w:rsid w:val="00126866"/>
    <w:rsid w:val="00142A32"/>
    <w:rsid w:val="00161833"/>
    <w:rsid w:val="00173914"/>
    <w:rsid w:val="00186A1A"/>
    <w:rsid w:val="001E3734"/>
    <w:rsid w:val="001E4084"/>
    <w:rsid w:val="00205DA2"/>
    <w:rsid w:val="00221F5C"/>
    <w:rsid w:val="00263FE9"/>
    <w:rsid w:val="002815E0"/>
    <w:rsid w:val="002A1617"/>
    <w:rsid w:val="002A6EF3"/>
    <w:rsid w:val="002D7AAE"/>
    <w:rsid w:val="002E236A"/>
    <w:rsid w:val="002E3FF7"/>
    <w:rsid w:val="002F7DED"/>
    <w:rsid w:val="003210EC"/>
    <w:rsid w:val="00325920"/>
    <w:rsid w:val="003304FC"/>
    <w:rsid w:val="00353A95"/>
    <w:rsid w:val="003660E4"/>
    <w:rsid w:val="0036671D"/>
    <w:rsid w:val="00367356"/>
    <w:rsid w:val="00370863"/>
    <w:rsid w:val="00386C1C"/>
    <w:rsid w:val="003B5A2D"/>
    <w:rsid w:val="003F5034"/>
    <w:rsid w:val="0044412C"/>
    <w:rsid w:val="00451531"/>
    <w:rsid w:val="00493927"/>
    <w:rsid w:val="004A17C4"/>
    <w:rsid w:val="004B166E"/>
    <w:rsid w:val="004F22A6"/>
    <w:rsid w:val="005037DD"/>
    <w:rsid w:val="005071C5"/>
    <w:rsid w:val="00516BA1"/>
    <w:rsid w:val="005412E5"/>
    <w:rsid w:val="00562F78"/>
    <w:rsid w:val="00565DB3"/>
    <w:rsid w:val="00577C2A"/>
    <w:rsid w:val="005A30EA"/>
    <w:rsid w:val="005E3192"/>
    <w:rsid w:val="005E402C"/>
    <w:rsid w:val="006128AE"/>
    <w:rsid w:val="006231C4"/>
    <w:rsid w:val="00626F93"/>
    <w:rsid w:val="0063259A"/>
    <w:rsid w:val="00651381"/>
    <w:rsid w:val="0065787F"/>
    <w:rsid w:val="0066281A"/>
    <w:rsid w:val="006A4FF6"/>
    <w:rsid w:val="006A7C5C"/>
    <w:rsid w:val="006F1977"/>
    <w:rsid w:val="00715CC8"/>
    <w:rsid w:val="00740829"/>
    <w:rsid w:val="00744CA2"/>
    <w:rsid w:val="00757B21"/>
    <w:rsid w:val="007605EF"/>
    <w:rsid w:val="00762C61"/>
    <w:rsid w:val="007A27D2"/>
    <w:rsid w:val="007F1DC8"/>
    <w:rsid w:val="00821F8E"/>
    <w:rsid w:val="00842D9C"/>
    <w:rsid w:val="008725F5"/>
    <w:rsid w:val="008841CB"/>
    <w:rsid w:val="008A4EE3"/>
    <w:rsid w:val="008A5DF8"/>
    <w:rsid w:val="009005B0"/>
    <w:rsid w:val="00914093"/>
    <w:rsid w:val="009154C6"/>
    <w:rsid w:val="00967105"/>
    <w:rsid w:val="009B0064"/>
    <w:rsid w:val="009B457B"/>
    <w:rsid w:val="009C08C2"/>
    <w:rsid w:val="00A231BE"/>
    <w:rsid w:val="00A24BE4"/>
    <w:rsid w:val="00A53132"/>
    <w:rsid w:val="00A5781B"/>
    <w:rsid w:val="00A63716"/>
    <w:rsid w:val="00A742E1"/>
    <w:rsid w:val="00A8043D"/>
    <w:rsid w:val="00A978E7"/>
    <w:rsid w:val="00AA207A"/>
    <w:rsid w:val="00AD4CFE"/>
    <w:rsid w:val="00B06978"/>
    <w:rsid w:val="00B86D21"/>
    <w:rsid w:val="00B921F3"/>
    <w:rsid w:val="00B94079"/>
    <w:rsid w:val="00BA7310"/>
    <w:rsid w:val="00BA772A"/>
    <w:rsid w:val="00BC0282"/>
    <w:rsid w:val="00C019BB"/>
    <w:rsid w:val="00C0777A"/>
    <w:rsid w:val="00C47FD1"/>
    <w:rsid w:val="00C81004"/>
    <w:rsid w:val="00CA6E9B"/>
    <w:rsid w:val="00CC75A3"/>
    <w:rsid w:val="00CE1856"/>
    <w:rsid w:val="00D203E0"/>
    <w:rsid w:val="00D6023F"/>
    <w:rsid w:val="00DC284F"/>
    <w:rsid w:val="00DC551C"/>
    <w:rsid w:val="00DC6954"/>
    <w:rsid w:val="00DE0456"/>
    <w:rsid w:val="00DE1131"/>
    <w:rsid w:val="00E147EB"/>
    <w:rsid w:val="00E14D6D"/>
    <w:rsid w:val="00E24148"/>
    <w:rsid w:val="00EB6036"/>
    <w:rsid w:val="00EC0679"/>
    <w:rsid w:val="00EE2F54"/>
    <w:rsid w:val="00EF2FA5"/>
    <w:rsid w:val="00F20C3A"/>
    <w:rsid w:val="00F23E36"/>
    <w:rsid w:val="00F32785"/>
    <w:rsid w:val="00F733EF"/>
    <w:rsid w:val="00FA22EF"/>
    <w:rsid w:val="00FA4006"/>
    <w:rsid w:val="00FB22EA"/>
    <w:rsid w:val="00FC6D35"/>
    <w:rsid w:val="00FD4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044D6"/>
  <w15:chartTrackingRefBased/>
  <w15:docId w15:val="{41E265B3-00E6-4F67-84BA-AA7EB790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920"/>
    <w:pPr>
      <w:suppressAutoHyphens/>
      <w:autoSpaceDN w:val="0"/>
      <w:spacing w:line="252"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325920"/>
    <w:pPr>
      <w:keepNext/>
      <w:keepLines/>
      <w:suppressAutoHyphens w:val="0"/>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25920"/>
    <w:pPr>
      <w:keepNext/>
      <w:keepLines/>
      <w:suppressAutoHyphens w:val="0"/>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25920"/>
    <w:pPr>
      <w:keepNext/>
      <w:keepLines/>
      <w:suppressAutoHyphens w:val="0"/>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25920"/>
    <w:pPr>
      <w:keepNext/>
      <w:keepLines/>
      <w:suppressAutoHyphens w:val="0"/>
      <w:autoSpaceDN/>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25920"/>
    <w:pPr>
      <w:keepNext/>
      <w:keepLines/>
      <w:suppressAutoHyphens w:val="0"/>
      <w:autoSpaceDN/>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25920"/>
    <w:pPr>
      <w:keepNext/>
      <w:keepLines/>
      <w:suppressAutoHyphens w:val="0"/>
      <w:autoSpaceDN/>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25920"/>
    <w:pPr>
      <w:keepNext/>
      <w:keepLines/>
      <w:suppressAutoHyphens w:val="0"/>
      <w:autoSpaceDN/>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25920"/>
    <w:pPr>
      <w:keepNext/>
      <w:keepLines/>
      <w:suppressAutoHyphens w:val="0"/>
      <w:autoSpaceDN/>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25920"/>
    <w:pPr>
      <w:keepNext/>
      <w:keepLines/>
      <w:suppressAutoHyphens w:val="0"/>
      <w:autoSpaceDN/>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9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59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9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9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9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9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9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9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920"/>
    <w:rPr>
      <w:rFonts w:eastAsiaTheme="majorEastAsia" w:cstheme="majorBidi"/>
      <w:color w:val="272727" w:themeColor="text1" w:themeTint="D8"/>
    </w:rPr>
  </w:style>
  <w:style w:type="paragraph" w:styleId="Title">
    <w:name w:val="Title"/>
    <w:basedOn w:val="Normal"/>
    <w:next w:val="Normal"/>
    <w:link w:val="TitleChar"/>
    <w:uiPriority w:val="10"/>
    <w:qFormat/>
    <w:rsid w:val="00325920"/>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259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920"/>
    <w:pPr>
      <w:numPr>
        <w:ilvl w:val="1"/>
      </w:numPr>
      <w:suppressAutoHyphens w:val="0"/>
      <w:autoSpaceDN/>
      <w:spacing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259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920"/>
    <w:pPr>
      <w:suppressAutoHyphens w:val="0"/>
      <w:autoSpaceDN/>
      <w:spacing w:before="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325920"/>
    <w:rPr>
      <w:i/>
      <w:iCs/>
      <w:color w:val="404040" w:themeColor="text1" w:themeTint="BF"/>
    </w:rPr>
  </w:style>
  <w:style w:type="paragraph" w:styleId="ListParagraph">
    <w:name w:val="List Paragraph"/>
    <w:basedOn w:val="Normal"/>
    <w:uiPriority w:val="34"/>
    <w:qFormat/>
    <w:rsid w:val="00325920"/>
    <w:pPr>
      <w:suppressAutoHyphens w:val="0"/>
      <w:autoSpaceDN/>
      <w:spacing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325920"/>
    <w:rPr>
      <w:i/>
      <w:iCs/>
      <w:color w:val="0F4761" w:themeColor="accent1" w:themeShade="BF"/>
    </w:rPr>
  </w:style>
  <w:style w:type="paragraph" w:styleId="IntenseQuote">
    <w:name w:val="Intense Quote"/>
    <w:basedOn w:val="Normal"/>
    <w:next w:val="Normal"/>
    <w:link w:val="IntenseQuoteChar"/>
    <w:uiPriority w:val="30"/>
    <w:qFormat/>
    <w:rsid w:val="00325920"/>
    <w:pPr>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325920"/>
    <w:rPr>
      <w:i/>
      <w:iCs/>
      <w:color w:val="0F4761" w:themeColor="accent1" w:themeShade="BF"/>
    </w:rPr>
  </w:style>
  <w:style w:type="character" w:styleId="IntenseReference">
    <w:name w:val="Intense Reference"/>
    <w:basedOn w:val="DefaultParagraphFont"/>
    <w:uiPriority w:val="32"/>
    <w:qFormat/>
    <w:rsid w:val="00325920"/>
    <w:rPr>
      <w:b/>
      <w:bCs/>
      <w:smallCaps/>
      <w:color w:val="0F4761" w:themeColor="accent1" w:themeShade="BF"/>
      <w:spacing w:val="5"/>
    </w:rPr>
  </w:style>
  <w:style w:type="paragraph" w:styleId="FootnoteText">
    <w:name w:val="footnote text"/>
    <w:basedOn w:val="Normal"/>
    <w:link w:val="FootnoteTextChar"/>
    <w:uiPriority w:val="99"/>
    <w:semiHidden/>
    <w:unhideWhenUsed/>
    <w:rsid w:val="002D7A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7AAE"/>
    <w:rPr>
      <w:rFonts w:ascii="Aptos" w:eastAsia="Aptos" w:hAnsi="Aptos" w:cs="Times New Roman"/>
      <w:kern w:val="3"/>
      <w:sz w:val="20"/>
      <w:szCs w:val="20"/>
      <w14:ligatures w14:val="none"/>
    </w:rPr>
  </w:style>
  <w:style w:type="character" w:styleId="FootnoteReference">
    <w:name w:val="footnote reference"/>
    <w:basedOn w:val="DefaultParagraphFont"/>
    <w:uiPriority w:val="99"/>
    <w:semiHidden/>
    <w:unhideWhenUsed/>
    <w:rsid w:val="002D7A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216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C8A7A-78C7-4543-9CEF-1D37CA2CB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3582</Words>
  <Characters>20422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2024-12-05T16:32:00Z</dcterms:created>
  <dcterms:modified xsi:type="dcterms:W3CDTF">2024-12-05T16:32:00Z</dcterms:modified>
</cp:coreProperties>
</file>