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70430" w14:textId="6C6B22FE" w:rsidR="00C70F24" w:rsidRPr="00036C50" w:rsidRDefault="008D2DC2" w:rsidP="00C70F24">
      <w:pPr>
        <w:spacing w:line="240" w:lineRule="auto"/>
        <w:jc w:val="both"/>
        <w:rPr>
          <w:rFonts w:ascii="Calibri" w:hAnsi="Calibri" w:cs="Calibri"/>
        </w:rPr>
      </w:pPr>
      <w:r w:rsidRPr="00036C50">
        <w:rPr>
          <w:rFonts w:ascii="Calibri" w:hAnsi="Calibri" w:cs="Calibri"/>
          <w:noProof/>
        </w:rPr>
        <w:drawing>
          <wp:anchor distT="0" distB="0" distL="114300" distR="114300" simplePos="0" relativeHeight="251658240" behindDoc="0" locked="0" layoutInCell="1" allowOverlap="1" wp14:anchorId="652A4E87" wp14:editId="3F754C0D">
            <wp:simplePos x="0" y="0"/>
            <wp:positionH relativeFrom="column">
              <wp:posOffset>2019300</wp:posOffset>
            </wp:positionH>
            <wp:positionV relativeFrom="paragraph">
              <wp:posOffset>-438150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2995865" w14:textId="77777777" w:rsidR="00C70F24" w:rsidRPr="00036C50" w:rsidRDefault="00C70F24" w:rsidP="00C70F24">
      <w:pPr>
        <w:spacing w:line="240" w:lineRule="auto"/>
        <w:jc w:val="both"/>
        <w:rPr>
          <w:rFonts w:ascii="Calibri" w:hAnsi="Calibri" w:cs="Calibri"/>
        </w:rPr>
      </w:pPr>
    </w:p>
    <w:p w14:paraId="2370DE53" w14:textId="77777777" w:rsidR="00C70F24" w:rsidRPr="00036C50" w:rsidRDefault="00C70F24" w:rsidP="00C70F24">
      <w:pPr>
        <w:spacing w:line="240" w:lineRule="auto"/>
        <w:jc w:val="both"/>
        <w:rPr>
          <w:rFonts w:ascii="Calibri" w:hAnsi="Calibri" w:cs="Calibri"/>
        </w:rPr>
      </w:pPr>
    </w:p>
    <w:p w14:paraId="3A7F36AB" w14:textId="6FE0F055" w:rsidR="00C70F24" w:rsidRPr="00036C50" w:rsidRDefault="00C70F24" w:rsidP="00C70F24">
      <w:pPr>
        <w:spacing w:line="240" w:lineRule="auto"/>
        <w:jc w:val="both"/>
        <w:rPr>
          <w:rFonts w:ascii="Calibri" w:hAnsi="Calibri" w:cs="Calibri"/>
        </w:rPr>
      </w:pPr>
      <w:r w:rsidRPr="00036C50">
        <w:rPr>
          <w:rFonts w:ascii="Calibri" w:hAnsi="Calibri" w:cs="Calibri"/>
        </w:rPr>
        <w:t>Module Title:</w:t>
      </w:r>
      <w:r w:rsidRPr="00036C50">
        <w:rPr>
          <w:rFonts w:ascii="Calibri" w:hAnsi="Calibri" w:cs="Calibri"/>
        </w:rPr>
        <w:tab/>
      </w:r>
      <w:r w:rsidRPr="00036C50">
        <w:rPr>
          <w:rFonts w:ascii="Calibri" w:hAnsi="Calibri" w:cs="Calibri"/>
        </w:rPr>
        <w:tab/>
      </w:r>
      <w:r w:rsidRPr="00036C50">
        <w:rPr>
          <w:rFonts w:ascii="Calibri" w:hAnsi="Calibri" w:cs="Calibri"/>
        </w:rPr>
        <w:tab/>
        <w:t>Personal, Academic and Professional Development (Swansea)</w:t>
      </w:r>
    </w:p>
    <w:p w14:paraId="3D61083A" w14:textId="77777777" w:rsidR="00C70F24" w:rsidRPr="00036C50" w:rsidRDefault="00C70F24" w:rsidP="00C70F24">
      <w:pPr>
        <w:spacing w:line="240" w:lineRule="auto"/>
        <w:jc w:val="both"/>
        <w:rPr>
          <w:rFonts w:ascii="Calibri" w:hAnsi="Calibri" w:cs="Calibri"/>
        </w:rPr>
      </w:pPr>
      <w:r w:rsidRPr="00036C50">
        <w:rPr>
          <w:rFonts w:ascii="Calibri" w:hAnsi="Calibri" w:cs="Calibri"/>
        </w:rPr>
        <w:t>Module Code:</w:t>
      </w:r>
      <w:r w:rsidRPr="00036C50">
        <w:rPr>
          <w:rFonts w:ascii="Calibri" w:hAnsi="Calibri" w:cs="Calibri"/>
        </w:rPr>
        <w:tab/>
      </w:r>
      <w:r w:rsidRPr="00036C50">
        <w:rPr>
          <w:rFonts w:ascii="Calibri" w:hAnsi="Calibri" w:cs="Calibri"/>
        </w:rPr>
        <w:tab/>
      </w:r>
      <w:r w:rsidRPr="00036C50">
        <w:rPr>
          <w:rFonts w:ascii="Calibri" w:hAnsi="Calibri" w:cs="Calibri"/>
        </w:rPr>
        <w:tab/>
        <w:t>BMNS4015</w:t>
      </w:r>
    </w:p>
    <w:p w14:paraId="4E856532" w14:textId="77777777" w:rsidR="00C70F24" w:rsidRPr="00036C50" w:rsidRDefault="00C70F24" w:rsidP="00C70F24">
      <w:pPr>
        <w:spacing w:line="240" w:lineRule="auto"/>
        <w:jc w:val="both"/>
        <w:rPr>
          <w:rFonts w:ascii="Calibri" w:hAnsi="Calibri" w:cs="Calibri"/>
        </w:rPr>
      </w:pPr>
      <w:r w:rsidRPr="00036C50">
        <w:rPr>
          <w:rFonts w:ascii="Calibri" w:hAnsi="Calibri" w:cs="Calibri"/>
        </w:rPr>
        <w:t>Assignment Title:</w:t>
      </w:r>
      <w:r w:rsidRPr="00036C50">
        <w:rPr>
          <w:rFonts w:ascii="Calibri" w:hAnsi="Calibri" w:cs="Calibri"/>
        </w:rPr>
        <w:tab/>
      </w:r>
      <w:r w:rsidRPr="00036C50">
        <w:rPr>
          <w:rFonts w:ascii="Calibri" w:hAnsi="Calibri" w:cs="Calibri"/>
        </w:rPr>
        <w:tab/>
        <w:t>Assignment 2 - SWOT Analysis</w:t>
      </w:r>
    </w:p>
    <w:p w14:paraId="2972DB2F" w14:textId="77777777" w:rsidR="00264638" w:rsidRPr="00036C50" w:rsidRDefault="00264638" w:rsidP="00C70F24">
      <w:pPr>
        <w:spacing w:line="240" w:lineRule="auto"/>
        <w:jc w:val="both"/>
        <w:rPr>
          <w:rFonts w:ascii="Calibri" w:hAnsi="Calibri" w:cs="Calibri"/>
        </w:rPr>
      </w:pPr>
    </w:p>
    <w:p w14:paraId="1E8F472B" w14:textId="77777777" w:rsidR="00264638" w:rsidRPr="00036C50" w:rsidRDefault="00264638" w:rsidP="00C70F24">
      <w:pPr>
        <w:spacing w:line="240" w:lineRule="auto"/>
        <w:jc w:val="both"/>
        <w:rPr>
          <w:rFonts w:ascii="Calibri" w:hAnsi="Calibri" w:cs="Calibri"/>
        </w:rPr>
      </w:pPr>
    </w:p>
    <w:p w14:paraId="0A2FE0F1" w14:textId="21F0DF76" w:rsidR="00264638" w:rsidRPr="00036C50" w:rsidRDefault="00264638" w:rsidP="00264638">
      <w:pPr>
        <w:spacing w:line="240" w:lineRule="auto"/>
        <w:jc w:val="center"/>
        <w:rPr>
          <w:rFonts w:ascii="Calibri" w:hAnsi="Calibri" w:cs="Calibri"/>
        </w:rPr>
      </w:pPr>
      <w:r w:rsidRPr="00036C50">
        <w:rPr>
          <w:rFonts w:ascii="Calibri" w:hAnsi="Calibri" w:cs="Calibri"/>
        </w:rPr>
        <w:t>SWOT Analysis - Referencing</w:t>
      </w:r>
    </w:p>
    <w:p w14:paraId="672FD522" w14:textId="3640215E" w:rsidR="004015C9" w:rsidRPr="00036C50" w:rsidRDefault="004015C9" w:rsidP="00C70F24">
      <w:pPr>
        <w:jc w:val="both"/>
        <w:rPr>
          <w:rFonts w:ascii="Calibri" w:hAnsi="Calibri" w:cs="Calibri"/>
        </w:rPr>
      </w:pPr>
      <w:r w:rsidRPr="00036C50">
        <w:rPr>
          <w:rFonts w:ascii="Calibri" w:hAnsi="Calibri" w:cs="Calibri"/>
        </w:rPr>
        <w:br w:type="page"/>
      </w:r>
    </w:p>
    <w:p w14:paraId="4E5733B3" w14:textId="08A183C0" w:rsidR="00077B0E" w:rsidRPr="007A3B74" w:rsidRDefault="00D94B8D" w:rsidP="00077B0E">
      <w:pPr>
        <w:jc w:val="center"/>
        <w:rPr>
          <w:rFonts w:ascii="Calibri" w:hAnsi="Calibri" w:cs="Calibri"/>
          <w:b/>
          <w:bCs/>
        </w:rPr>
      </w:pPr>
      <w:r w:rsidRPr="007A3B74">
        <w:rPr>
          <w:rFonts w:ascii="Calibri" w:hAnsi="Calibri" w:cs="Calibri"/>
          <w:b/>
          <w:bCs/>
        </w:rPr>
        <w:lastRenderedPageBreak/>
        <w:t xml:space="preserve">Table of </w:t>
      </w:r>
      <w:r w:rsidR="00077B0E" w:rsidRPr="007A3B74">
        <w:rPr>
          <w:rFonts w:ascii="Calibri" w:hAnsi="Calibri" w:cs="Calibri"/>
          <w:b/>
          <w:bCs/>
        </w:rPr>
        <w:t>Contents</w:t>
      </w:r>
    </w:p>
    <w:p w14:paraId="4A8AEF87" w14:textId="733BC78C" w:rsidR="008121E5" w:rsidRDefault="00077B0E">
      <w:pPr>
        <w:pStyle w:val="TOC1"/>
        <w:tabs>
          <w:tab w:val="left" w:pos="410"/>
          <w:tab w:val="right" w:leader="dot" w:pos="9016"/>
        </w:tabs>
        <w:rPr>
          <w:rFonts w:eastAsiaTheme="minorEastAsia"/>
          <w:b w:val="0"/>
          <w:bCs w:val="0"/>
          <w:caps/>
          <w:noProof/>
          <w:sz w:val="24"/>
          <w:szCs w:val="24"/>
        </w:rPr>
      </w:pPr>
      <w:r w:rsidRPr="00036C50">
        <w:rPr>
          <w:rFonts w:ascii="Calibri" w:hAnsi="Calibri" w:cs="Calibri"/>
        </w:rPr>
        <w:fldChar w:fldCharType="begin"/>
      </w:r>
      <w:r w:rsidRPr="00036C50">
        <w:rPr>
          <w:rFonts w:ascii="Calibri" w:hAnsi="Calibri" w:cs="Calibri"/>
        </w:rPr>
        <w:instrText xml:space="preserve"> TOC \o "1-3" \h \z \u </w:instrText>
      </w:r>
      <w:r w:rsidRPr="00036C50">
        <w:rPr>
          <w:rFonts w:ascii="Calibri" w:hAnsi="Calibri" w:cs="Calibri"/>
        </w:rPr>
        <w:fldChar w:fldCharType="separate"/>
      </w:r>
      <w:hyperlink w:anchor="_Toc184466195" w:history="1">
        <w:r w:rsidR="008121E5" w:rsidRPr="00C65920">
          <w:rPr>
            <w:rStyle w:val="Hyperlink"/>
            <w:rFonts w:ascii="Calibri" w:hAnsi="Calibri" w:cs="Calibri"/>
            <w:noProof/>
          </w:rPr>
          <w:t>1.</w:t>
        </w:r>
        <w:r w:rsidR="008121E5">
          <w:rPr>
            <w:rFonts w:eastAsiaTheme="minorEastAsia"/>
            <w:b w:val="0"/>
            <w:bCs w:val="0"/>
            <w:caps/>
            <w:noProof/>
            <w:sz w:val="24"/>
            <w:szCs w:val="24"/>
          </w:rPr>
          <w:tab/>
        </w:r>
        <w:r w:rsidR="008121E5" w:rsidRPr="00C65920">
          <w:rPr>
            <w:rStyle w:val="Hyperlink"/>
            <w:rFonts w:ascii="Calibri" w:hAnsi="Calibri" w:cs="Calibri"/>
            <w:noProof/>
          </w:rPr>
          <w:t>Introduction</w:t>
        </w:r>
        <w:r w:rsidR="008121E5">
          <w:rPr>
            <w:noProof/>
            <w:webHidden/>
          </w:rPr>
          <w:tab/>
        </w:r>
        <w:r w:rsidR="008121E5">
          <w:rPr>
            <w:noProof/>
            <w:webHidden/>
          </w:rPr>
          <w:fldChar w:fldCharType="begin"/>
        </w:r>
        <w:r w:rsidR="008121E5">
          <w:rPr>
            <w:noProof/>
            <w:webHidden/>
          </w:rPr>
          <w:instrText xml:space="preserve"> PAGEREF _Toc184466195 \h </w:instrText>
        </w:r>
        <w:r w:rsidR="008121E5">
          <w:rPr>
            <w:noProof/>
            <w:webHidden/>
          </w:rPr>
        </w:r>
        <w:r w:rsidR="008121E5">
          <w:rPr>
            <w:noProof/>
            <w:webHidden/>
          </w:rPr>
          <w:fldChar w:fldCharType="separate"/>
        </w:r>
        <w:r w:rsidR="008121E5">
          <w:rPr>
            <w:noProof/>
            <w:webHidden/>
          </w:rPr>
          <w:t>3</w:t>
        </w:r>
        <w:r w:rsidR="008121E5">
          <w:rPr>
            <w:noProof/>
            <w:webHidden/>
          </w:rPr>
          <w:fldChar w:fldCharType="end"/>
        </w:r>
      </w:hyperlink>
    </w:p>
    <w:p w14:paraId="4F13F66B" w14:textId="5BC97E34" w:rsidR="008121E5" w:rsidRDefault="008121E5">
      <w:pPr>
        <w:pStyle w:val="TOC1"/>
        <w:tabs>
          <w:tab w:val="left" w:pos="410"/>
          <w:tab w:val="right" w:leader="dot" w:pos="9016"/>
        </w:tabs>
        <w:rPr>
          <w:rFonts w:eastAsiaTheme="minorEastAsia"/>
          <w:b w:val="0"/>
          <w:bCs w:val="0"/>
          <w:caps/>
          <w:noProof/>
          <w:sz w:val="24"/>
          <w:szCs w:val="24"/>
        </w:rPr>
      </w:pPr>
      <w:hyperlink w:anchor="_Toc184466196" w:history="1">
        <w:r w:rsidRPr="00C65920">
          <w:rPr>
            <w:rStyle w:val="Hyperlink"/>
            <w:rFonts w:ascii="Calibri" w:hAnsi="Calibri" w:cs="Calibri"/>
            <w:noProof/>
          </w:rPr>
          <w:t>2.</w:t>
        </w:r>
        <w:r>
          <w:rPr>
            <w:rFonts w:eastAsiaTheme="minorEastAsia"/>
            <w:b w:val="0"/>
            <w:bCs w:val="0"/>
            <w:caps/>
            <w:noProof/>
            <w:sz w:val="24"/>
            <w:szCs w:val="24"/>
          </w:rPr>
          <w:tab/>
        </w:r>
        <w:r w:rsidRPr="00C65920">
          <w:rPr>
            <w:rStyle w:val="Hyperlink"/>
            <w:rFonts w:ascii="Calibri" w:hAnsi="Calibri" w:cs="Calibri"/>
            <w:noProof/>
          </w:rPr>
          <w:t>SWOT Analysis</w:t>
        </w:r>
        <w:r>
          <w:rPr>
            <w:noProof/>
            <w:webHidden/>
          </w:rPr>
          <w:tab/>
        </w:r>
        <w:r>
          <w:rPr>
            <w:noProof/>
            <w:webHidden/>
          </w:rPr>
          <w:fldChar w:fldCharType="begin"/>
        </w:r>
        <w:r>
          <w:rPr>
            <w:noProof/>
            <w:webHidden/>
          </w:rPr>
          <w:instrText xml:space="preserve"> PAGEREF _Toc184466196 \h </w:instrText>
        </w:r>
        <w:r>
          <w:rPr>
            <w:noProof/>
            <w:webHidden/>
          </w:rPr>
        </w:r>
        <w:r>
          <w:rPr>
            <w:noProof/>
            <w:webHidden/>
          </w:rPr>
          <w:fldChar w:fldCharType="separate"/>
        </w:r>
        <w:r>
          <w:rPr>
            <w:noProof/>
            <w:webHidden/>
          </w:rPr>
          <w:t>3</w:t>
        </w:r>
        <w:r>
          <w:rPr>
            <w:noProof/>
            <w:webHidden/>
          </w:rPr>
          <w:fldChar w:fldCharType="end"/>
        </w:r>
      </w:hyperlink>
    </w:p>
    <w:p w14:paraId="4BE141AF" w14:textId="4EF41E33" w:rsidR="008121E5" w:rsidRDefault="008121E5">
      <w:pPr>
        <w:pStyle w:val="TOC2"/>
        <w:tabs>
          <w:tab w:val="left" w:pos="581"/>
          <w:tab w:val="right" w:leader="dot" w:pos="9016"/>
        </w:tabs>
        <w:rPr>
          <w:rFonts w:eastAsiaTheme="minorEastAsia"/>
          <w:b/>
          <w:bCs/>
          <w:smallCaps/>
          <w:noProof/>
          <w:sz w:val="24"/>
          <w:szCs w:val="24"/>
        </w:rPr>
      </w:pPr>
      <w:hyperlink w:anchor="_Toc184466197" w:history="1">
        <w:r w:rsidRPr="00C65920">
          <w:rPr>
            <w:rStyle w:val="Hyperlink"/>
            <w:rFonts w:ascii="Calibri" w:hAnsi="Calibri" w:cs="Calibri"/>
            <w:noProof/>
          </w:rPr>
          <w:t>2.1.</w:t>
        </w:r>
        <w:r>
          <w:rPr>
            <w:rFonts w:eastAsiaTheme="minorEastAsia"/>
            <w:b/>
            <w:bCs/>
            <w:smallCaps/>
            <w:noProof/>
            <w:sz w:val="24"/>
            <w:szCs w:val="24"/>
          </w:rPr>
          <w:tab/>
        </w:r>
        <w:r w:rsidRPr="00C65920">
          <w:rPr>
            <w:rStyle w:val="Hyperlink"/>
            <w:rFonts w:ascii="Calibri" w:hAnsi="Calibri" w:cs="Calibri"/>
            <w:noProof/>
          </w:rPr>
          <w:t>Strengths</w:t>
        </w:r>
        <w:r>
          <w:rPr>
            <w:noProof/>
            <w:webHidden/>
          </w:rPr>
          <w:tab/>
        </w:r>
        <w:r>
          <w:rPr>
            <w:noProof/>
            <w:webHidden/>
          </w:rPr>
          <w:fldChar w:fldCharType="begin"/>
        </w:r>
        <w:r>
          <w:rPr>
            <w:noProof/>
            <w:webHidden/>
          </w:rPr>
          <w:instrText xml:space="preserve"> PAGEREF _Toc184466197 \h </w:instrText>
        </w:r>
        <w:r>
          <w:rPr>
            <w:noProof/>
            <w:webHidden/>
          </w:rPr>
        </w:r>
        <w:r>
          <w:rPr>
            <w:noProof/>
            <w:webHidden/>
          </w:rPr>
          <w:fldChar w:fldCharType="separate"/>
        </w:r>
        <w:r>
          <w:rPr>
            <w:noProof/>
            <w:webHidden/>
          </w:rPr>
          <w:t>3</w:t>
        </w:r>
        <w:r>
          <w:rPr>
            <w:noProof/>
            <w:webHidden/>
          </w:rPr>
          <w:fldChar w:fldCharType="end"/>
        </w:r>
      </w:hyperlink>
    </w:p>
    <w:p w14:paraId="1BA1B61C" w14:textId="53F22F25" w:rsidR="008121E5" w:rsidRDefault="008121E5">
      <w:pPr>
        <w:pStyle w:val="TOC2"/>
        <w:tabs>
          <w:tab w:val="left" w:pos="570"/>
          <w:tab w:val="right" w:leader="dot" w:pos="9016"/>
        </w:tabs>
        <w:rPr>
          <w:rFonts w:eastAsiaTheme="minorEastAsia"/>
          <w:b/>
          <w:bCs/>
          <w:smallCaps/>
          <w:noProof/>
          <w:sz w:val="24"/>
          <w:szCs w:val="24"/>
        </w:rPr>
      </w:pPr>
      <w:hyperlink w:anchor="_Toc184466198" w:history="1">
        <w:r w:rsidRPr="00C65920">
          <w:rPr>
            <w:rStyle w:val="Hyperlink"/>
            <w:rFonts w:ascii="Calibri" w:hAnsi="Calibri" w:cs="Calibri"/>
            <w:noProof/>
          </w:rPr>
          <w:t>2.2.</w:t>
        </w:r>
        <w:r>
          <w:rPr>
            <w:rFonts w:eastAsiaTheme="minorEastAsia"/>
            <w:b/>
            <w:bCs/>
            <w:smallCaps/>
            <w:noProof/>
            <w:sz w:val="24"/>
            <w:szCs w:val="24"/>
          </w:rPr>
          <w:tab/>
        </w:r>
        <w:r w:rsidRPr="00C65920">
          <w:rPr>
            <w:rStyle w:val="Hyperlink"/>
            <w:rFonts w:ascii="Calibri" w:hAnsi="Calibri" w:cs="Calibri"/>
            <w:noProof/>
          </w:rPr>
          <w:t>Weaknesses</w:t>
        </w:r>
        <w:r>
          <w:rPr>
            <w:noProof/>
            <w:webHidden/>
          </w:rPr>
          <w:tab/>
        </w:r>
        <w:r>
          <w:rPr>
            <w:noProof/>
            <w:webHidden/>
          </w:rPr>
          <w:fldChar w:fldCharType="begin"/>
        </w:r>
        <w:r>
          <w:rPr>
            <w:noProof/>
            <w:webHidden/>
          </w:rPr>
          <w:instrText xml:space="preserve"> PAGEREF _Toc184466198 \h </w:instrText>
        </w:r>
        <w:r>
          <w:rPr>
            <w:noProof/>
            <w:webHidden/>
          </w:rPr>
        </w:r>
        <w:r>
          <w:rPr>
            <w:noProof/>
            <w:webHidden/>
          </w:rPr>
          <w:fldChar w:fldCharType="separate"/>
        </w:r>
        <w:r>
          <w:rPr>
            <w:noProof/>
            <w:webHidden/>
          </w:rPr>
          <w:t>3</w:t>
        </w:r>
        <w:r>
          <w:rPr>
            <w:noProof/>
            <w:webHidden/>
          </w:rPr>
          <w:fldChar w:fldCharType="end"/>
        </w:r>
      </w:hyperlink>
    </w:p>
    <w:p w14:paraId="25D41A5A" w14:textId="4C0FD89F" w:rsidR="008121E5" w:rsidRDefault="008121E5">
      <w:pPr>
        <w:pStyle w:val="TOC2"/>
        <w:tabs>
          <w:tab w:val="left" w:pos="578"/>
          <w:tab w:val="right" w:leader="dot" w:pos="9016"/>
        </w:tabs>
        <w:rPr>
          <w:rFonts w:eastAsiaTheme="minorEastAsia"/>
          <w:b/>
          <w:bCs/>
          <w:smallCaps/>
          <w:noProof/>
          <w:sz w:val="24"/>
          <w:szCs w:val="24"/>
        </w:rPr>
      </w:pPr>
      <w:hyperlink w:anchor="_Toc184466199" w:history="1">
        <w:r w:rsidRPr="00C65920">
          <w:rPr>
            <w:rStyle w:val="Hyperlink"/>
            <w:rFonts w:ascii="Calibri" w:hAnsi="Calibri" w:cs="Calibri"/>
            <w:noProof/>
          </w:rPr>
          <w:t>2.3.</w:t>
        </w:r>
        <w:r>
          <w:rPr>
            <w:rFonts w:eastAsiaTheme="minorEastAsia"/>
            <w:b/>
            <w:bCs/>
            <w:smallCaps/>
            <w:noProof/>
            <w:sz w:val="24"/>
            <w:szCs w:val="24"/>
          </w:rPr>
          <w:tab/>
        </w:r>
        <w:r w:rsidRPr="00C65920">
          <w:rPr>
            <w:rStyle w:val="Hyperlink"/>
            <w:rFonts w:ascii="Calibri" w:hAnsi="Calibri" w:cs="Calibri"/>
            <w:noProof/>
          </w:rPr>
          <w:t>Opportunities</w:t>
        </w:r>
        <w:r>
          <w:rPr>
            <w:noProof/>
            <w:webHidden/>
          </w:rPr>
          <w:tab/>
        </w:r>
        <w:r>
          <w:rPr>
            <w:noProof/>
            <w:webHidden/>
          </w:rPr>
          <w:fldChar w:fldCharType="begin"/>
        </w:r>
        <w:r>
          <w:rPr>
            <w:noProof/>
            <w:webHidden/>
          </w:rPr>
          <w:instrText xml:space="preserve"> PAGEREF _Toc184466199 \h </w:instrText>
        </w:r>
        <w:r>
          <w:rPr>
            <w:noProof/>
            <w:webHidden/>
          </w:rPr>
        </w:r>
        <w:r>
          <w:rPr>
            <w:noProof/>
            <w:webHidden/>
          </w:rPr>
          <w:fldChar w:fldCharType="separate"/>
        </w:r>
        <w:r>
          <w:rPr>
            <w:noProof/>
            <w:webHidden/>
          </w:rPr>
          <w:t>4</w:t>
        </w:r>
        <w:r>
          <w:rPr>
            <w:noProof/>
            <w:webHidden/>
          </w:rPr>
          <w:fldChar w:fldCharType="end"/>
        </w:r>
      </w:hyperlink>
    </w:p>
    <w:p w14:paraId="5503C1CA" w14:textId="367459BA" w:rsidR="008121E5" w:rsidRDefault="008121E5">
      <w:pPr>
        <w:pStyle w:val="TOC2"/>
        <w:tabs>
          <w:tab w:val="left" w:pos="565"/>
          <w:tab w:val="right" w:leader="dot" w:pos="9016"/>
        </w:tabs>
        <w:rPr>
          <w:rFonts w:eastAsiaTheme="minorEastAsia"/>
          <w:b/>
          <w:bCs/>
          <w:smallCaps/>
          <w:noProof/>
          <w:sz w:val="24"/>
          <w:szCs w:val="24"/>
        </w:rPr>
      </w:pPr>
      <w:hyperlink w:anchor="_Toc184466200" w:history="1">
        <w:r w:rsidRPr="00C65920">
          <w:rPr>
            <w:rStyle w:val="Hyperlink"/>
            <w:rFonts w:ascii="Calibri" w:hAnsi="Calibri" w:cs="Calibri"/>
            <w:noProof/>
          </w:rPr>
          <w:t>2.4.</w:t>
        </w:r>
        <w:r>
          <w:rPr>
            <w:rFonts w:eastAsiaTheme="minorEastAsia"/>
            <w:b/>
            <w:bCs/>
            <w:smallCaps/>
            <w:noProof/>
            <w:sz w:val="24"/>
            <w:szCs w:val="24"/>
          </w:rPr>
          <w:tab/>
        </w:r>
        <w:r w:rsidRPr="00C65920">
          <w:rPr>
            <w:rStyle w:val="Hyperlink"/>
            <w:rFonts w:ascii="Calibri" w:hAnsi="Calibri" w:cs="Calibri"/>
            <w:noProof/>
          </w:rPr>
          <w:t>Threats</w:t>
        </w:r>
        <w:r>
          <w:rPr>
            <w:noProof/>
            <w:webHidden/>
          </w:rPr>
          <w:tab/>
        </w:r>
        <w:r>
          <w:rPr>
            <w:noProof/>
            <w:webHidden/>
          </w:rPr>
          <w:fldChar w:fldCharType="begin"/>
        </w:r>
        <w:r>
          <w:rPr>
            <w:noProof/>
            <w:webHidden/>
          </w:rPr>
          <w:instrText xml:space="preserve"> PAGEREF _Toc184466200 \h </w:instrText>
        </w:r>
        <w:r>
          <w:rPr>
            <w:noProof/>
            <w:webHidden/>
          </w:rPr>
        </w:r>
        <w:r>
          <w:rPr>
            <w:noProof/>
            <w:webHidden/>
          </w:rPr>
          <w:fldChar w:fldCharType="separate"/>
        </w:r>
        <w:r>
          <w:rPr>
            <w:noProof/>
            <w:webHidden/>
          </w:rPr>
          <w:t>5</w:t>
        </w:r>
        <w:r>
          <w:rPr>
            <w:noProof/>
            <w:webHidden/>
          </w:rPr>
          <w:fldChar w:fldCharType="end"/>
        </w:r>
      </w:hyperlink>
    </w:p>
    <w:p w14:paraId="0C2E4D16" w14:textId="64FB97D8" w:rsidR="008121E5" w:rsidRDefault="008121E5">
      <w:pPr>
        <w:pStyle w:val="TOC1"/>
        <w:tabs>
          <w:tab w:val="left" w:pos="407"/>
          <w:tab w:val="right" w:leader="dot" w:pos="9016"/>
        </w:tabs>
        <w:rPr>
          <w:rFonts w:eastAsiaTheme="minorEastAsia"/>
          <w:b w:val="0"/>
          <w:bCs w:val="0"/>
          <w:caps/>
          <w:noProof/>
          <w:sz w:val="24"/>
          <w:szCs w:val="24"/>
        </w:rPr>
      </w:pPr>
      <w:hyperlink w:anchor="_Toc184466201" w:history="1">
        <w:r w:rsidRPr="00C65920">
          <w:rPr>
            <w:rStyle w:val="Hyperlink"/>
            <w:rFonts w:ascii="Calibri" w:hAnsi="Calibri" w:cs="Calibri"/>
            <w:noProof/>
          </w:rPr>
          <w:t>3.</w:t>
        </w:r>
        <w:r>
          <w:rPr>
            <w:rFonts w:eastAsiaTheme="minorEastAsia"/>
            <w:b w:val="0"/>
            <w:bCs w:val="0"/>
            <w:caps/>
            <w:noProof/>
            <w:sz w:val="24"/>
            <w:szCs w:val="24"/>
          </w:rPr>
          <w:tab/>
        </w:r>
        <w:r w:rsidRPr="00C65920">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_Toc184466201 \h </w:instrText>
        </w:r>
        <w:r>
          <w:rPr>
            <w:noProof/>
            <w:webHidden/>
          </w:rPr>
        </w:r>
        <w:r>
          <w:rPr>
            <w:noProof/>
            <w:webHidden/>
          </w:rPr>
          <w:fldChar w:fldCharType="separate"/>
        </w:r>
        <w:r>
          <w:rPr>
            <w:noProof/>
            <w:webHidden/>
          </w:rPr>
          <w:t>5</w:t>
        </w:r>
        <w:r>
          <w:rPr>
            <w:noProof/>
            <w:webHidden/>
          </w:rPr>
          <w:fldChar w:fldCharType="end"/>
        </w:r>
      </w:hyperlink>
    </w:p>
    <w:p w14:paraId="674FEB47" w14:textId="39ABBF86" w:rsidR="008121E5" w:rsidRDefault="008121E5">
      <w:pPr>
        <w:pStyle w:val="TOC1"/>
        <w:tabs>
          <w:tab w:val="left" w:pos="423"/>
          <w:tab w:val="right" w:leader="dot" w:pos="9016"/>
        </w:tabs>
        <w:rPr>
          <w:rFonts w:eastAsiaTheme="minorEastAsia"/>
          <w:b w:val="0"/>
          <w:bCs w:val="0"/>
          <w:caps/>
          <w:noProof/>
          <w:sz w:val="24"/>
          <w:szCs w:val="24"/>
        </w:rPr>
      </w:pPr>
      <w:hyperlink w:anchor="_Toc184466202" w:history="1">
        <w:r w:rsidRPr="00C65920">
          <w:rPr>
            <w:rStyle w:val="Hyperlink"/>
            <w:noProof/>
          </w:rPr>
          <w:t>4.</w:t>
        </w:r>
        <w:r>
          <w:rPr>
            <w:rFonts w:eastAsiaTheme="minorEastAsia"/>
            <w:b w:val="0"/>
            <w:bCs w:val="0"/>
            <w:caps/>
            <w:noProof/>
            <w:sz w:val="24"/>
            <w:szCs w:val="24"/>
          </w:rPr>
          <w:tab/>
        </w:r>
        <w:r w:rsidRPr="00C65920">
          <w:rPr>
            <w:rStyle w:val="Hyperlink"/>
            <w:noProof/>
          </w:rPr>
          <w:t>References</w:t>
        </w:r>
        <w:r>
          <w:rPr>
            <w:noProof/>
            <w:webHidden/>
          </w:rPr>
          <w:tab/>
        </w:r>
        <w:r>
          <w:rPr>
            <w:noProof/>
            <w:webHidden/>
          </w:rPr>
          <w:fldChar w:fldCharType="begin"/>
        </w:r>
        <w:r>
          <w:rPr>
            <w:noProof/>
            <w:webHidden/>
          </w:rPr>
          <w:instrText xml:space="preserve"> PAGEREF _Toc184466202 \h </w:instrText>
        </w:r>
        <w:r>
          <w:rPr>
            <w:noProof/>
            <w:webHidden/>
          </w:rPr>
        </w:r>
        <w:r>
          <w:rPr>
            <w:noProof/>
            <w:webHidden/>
          </w:rPr>
          <w:fldChar w:fldCharType="separate"/>
        </w:r>
        <w:r>
          <w:rPr>
            <w:noProof/>
            <w:webHidden/>
          </w:rPr>
          <w:t>7</w:t>
        </w:r>
        <w:r>
          <w:rPr>
            <w:noProof/>
            <w:webHidden/>
          </w:rPr>
          <w:fldChar w:fldCharType="end"/>
        </w:r>
      </w:hyperlink>
    </w:p>
    <w:p w14:paraId="406E3495" w14:textId="0001FC08" w:rsidR="00077B0E" w:rsidRPr="00036C50" w:rsidRDefault="00077B0E" w:rsidP="00077B0E">
      <w:pPr>
        <w:jc w:val="center"/>
        <w:rPr>
          <w:rFonts w:ascii="Calibri" w:eastAsiaTheme="majorEastAsia" w:hAnsi="Calibri" w:cs="Calibri"/>
          <w:b/>
          <w:color w:val="000000" w:themeColor="text1"/>
          <w:sz w:val="28"/>
          <w:szCs w:val="40"/>
        </w:rPr>
      </w:pPr>
      <w:r w:rsidRPr="00036C50">
        <w:rPr>
          <w:rFonts w:ascii="Calibri" w:hAnsi="Calibri" w:cs="Calibri"/>
        </w:rPr>
        <w:fldChar w:fldCharType="end"/>
      </w:r>
      <w:r w:rsidRPr="00036C50">
        <w:rPr>
          <w:rFonts w:ascii="Calibri" w:hAnsi="Calibri" w:cs="Calibri"/>
        </w:rPr>
        <w:br w:type="page"/>
      </w:r>
    </w:p>
    <w:p w14:paraId="196F7669" w14:textId="144544D4" w:rsidR="00540919" w:rsidRPr="00036C50" w:rsidRDefault="00540919" w:rsidP="007848FD">
      <w:pPr>
        <w:pStyle w:val="Heading1"/>
        <w:rPr>
          <w:rFonts w:ascii="Calibri" w:hAnsi="Calibri" w:cs="Calibri"/>
        </w:rPr>
      </w:pPr>
      <w:bookmarkStart w:id="0" w:name="_Toc184466195"/>
      <w:r w:rsidRPr="00036C50">
        <w:rPr>
          <w:rFonts w:ascii="Calibri" w:hAnsi="Calibri" w:cs="Calibri"/>
        </w:rPr>
        <w:lastRenderedPageBreak/>
        <w:t>Introduction</w:t>
      </w:r>
      <w:bookmarkEnd w:id="0"/>
    </w:p>
    <w:p w14:paraId="040220D4" w14:textId="48A00DD1" w:rsidR="002A4A7F" w:rsidRPr="00036C50" w:rsidRDefault="00540919" w:rsidP="00540919">
      <w:pPr>
        <w:spacing w:line="240" w:lineRule="auto"/>
        <w:jc w:val="both"/>
        <w:rPr>
          <w:rFonts w:ascii="Calibri" w:hAnsi="Calibri" w:cs="Calibri"/>
        </w:rPr>
      </w:pPr>
      <w:r w:rsidRPr="00540919">
        <w:rPr>
          <w:rFonts w:ascii="Calibri" w:hAnsi="Calibri" w:cs="Calibri"/>
        </w:rPr>
        <w:t>This assignment applies a SWOT analysis framework to evaluate referencing as an academic skill, crucial for scholarly success and integrity. A SWOT analysis enables individuals to systematically identify and address strengths, weaknesses, opportunities, and threats, supporting personal and academic growth (Gürel and Tat, 2017, p. 995). Referencing is pivotal in academic writing, ensuring proper attribution, mitigating plagiarism, and reinforcing arguments with credible evidence (Neville, 2016, p. 42). However, students often face challenges such as inconsistencies in citation formats and managing diverse sources (Pears and Shields, 2019, p. 28).</w:t>
      </w:r>
      <w:r w:rsidRPr="00036C50">
        <w:rPr>
          <w:rFonts w:ascii="Calibri" w:hAnsi="Calibri" w:cs="Calibri"/>
        </w:rPr>
        <w:t xml:space="preserve"> </w:t>
      </w:r>
      <w:r w:rsidRPr="00540919">
        <w:rPr>
          <w:rFonts w:ascii="Calibri" w:hAnsi="Calibri" w:cs="Calibri"/>
        </w:rPr>
        <w:t>This analysis focuses on the Harvard Referencing System, known for its structured approach, yet frequently misunderstood nuances (Cottrell, 2019, p. 114). Strengths include basic familiarity with the system, while weaknesses lie in time management and accuracy. Opportunities such as online tools and institutional support are explored, alongside threats like unintentional plagiarism. The analysis outlines actionable improvements to enhance referencing efficacy</w:t>
      </w:r>
      <w:r w:rsidRPr="00036C50">
        <w:rPr>
          <w:rFonts w:ascii="Calibri" w:hAnsi="Calibri" w:cs="Calibri"/>
        </w:rPr>
        <w:t>.</w:t>
      </w:r>
    </w:p>
    <w:p w14:paraId="6BC6BA45" w14:textId="73D50FC9" w:rsidR="002A4A7F" w:rsidRPr="00036C50" w:rsidRDefault="002A4A7F" w:rsidP="002A4A7F">
      <w:pPr>
        <w:pStyle w:val="Heading1"/>
        <w:rPr>
          <w:rFonts w:ascii="Calibri" w:hAnsi="Calibri" w:cs="Calibri"/>
        </w:rPr>
      </w:pPr>
      <w:bookmarkStart w:id="1" w:name="_Toc184466196"/>
      <w:r w:rsidRPr="00036C50">
        <w:rPr>
          <w:rFonts w:ascii="Calibri" w:hAnsi="Calibri" w:cs="Calibri"/>
        </w:rPr>
        <w:t>SWOT Analysis</w:t>
      </w:r>
      <w:bookmarkEnd w:id="1"/>
    </w:p>
    <w:p w14:paraId="5E683EDE" w14:textId="77777777" w:rsidR="005C727E" w:rsidRPr="00036C50" w:rsidRDefault="005C727E" w:rsidP="002A4A7F">
      <w:pPr>
        <w:pStyle w:val="Heading2"/>
        <w:rPr>
          <w:rFonts w:ascii="Calibri" w:hAnsi="Calibri" w:cs="Calibri"/>
        </w:rPr>
      </w:pPr>
      <w:bookmarkStart w:id="2" w:name="_Toc184466197"/>
      <w:r w:rsidRPr="00036C50">
        <w:rPr>
          <w:rFonts w:ascii="Calibri" w:hAnsi="Calibri" w:cs="Calibri"/>
        </w:rPr>
        <w:t>Strengths</w:t>
      </w:r>
      <w:bookmarkEnd w:id="2"/>
    </w:p>
    <w:p w14:paraId="2E45FACE" w14:textId="453AA934" w:rsidR="005C727E" w:rsidRPr="005C727E" w:rsidRDefault="00EA3E2C" w:rsidP="005C727E">
      <w:pPr>
        <w:spacing w:line="240" w:lineRule="auto"/>
        <w:jc w:val="both"/>
        <w:rPr>
          <w:rFonts w:ascii="Calibri" w:hAnsi="Calibri" w:cs="Calibri"/>
        </w:rPr>
      </w:pPr>
      <w:r w:rsidRPr="00036C50">
        <w:rPr>
          <w:rFonts w:ascii="Calibri" w:hAnsi="Calibri" w:cs="Calibri"/>
        </w:rPr>
        <w:t>In the case of referencing, one of my core strengths is the system I fully understand which is the Harvard Referencing System which is widely accepted because it is structured and is consistent (Pears and Shields, 2019, p. 14). Having this knowledge helps me literally embed citations into my writing to improve both the credibility and the academic rigor of my writing. For instance, when I recently undertook a literature review into digital transformation of healthcare, I consistently needed to employ Harvard style of citations according to institutional standards. Another big strength is that I can tell which sources are credible. According to Neville, 2016, p.35, academic integrity requires use of peer reviewed journal, authoritative books and institutional publications. I rely on high quality materials from reliable databases like PubMed and Scopus which are regularly used to support my arguments. The clearest example of this was in a research paper on public health policies where I cited articles from high impact journals such as The Lancet and BMJ</w:t>
      </w:r>
      <w:r w:rsidR="005C727E" w:rsidRPr="005C727E">
        <w:rPr>
          <w:rFonts w:ascii="Calibri" w:hAnsi="Calibri" w:cs="Calibri"/>
        </w:rPr>
        <w:t>.</w:t>
      </w:r>
    </w:p>
    <w:p w14:paraId="6761E8F8" w14:textId="6B219A2D" w:rsidR="005C727E" w:rsidRPr="00036C50" w:rsidRDefault="006113C4" w:rsidP="005C727E">
      <w:pPr>
        <w:spacing w:line="240" w:lineRule="auto"/>
        <w:jc w:val="both"/>
        <w:rPr>
          <w:rFonts w:ascii="Calibri" w:hAnsi="Calibri" w:cs="Calibri"/>
        </w:rPr>
      </w:pPr>
      <w:r w:rsidRPr="00036C50">
        <w:rPr>
          <w:rFonts w:ascii="Calibri" w:hAnsi="Calibri" w:cs="Calibri"/>
        </w:rPr>
        <w:t>I organize citations and reference lists best. I format and order my work consistently using Harvard referencing conventions, which improves clarity and professionalism (Cottrell, 2019, p. 123). In my group project on sustainable energy solutions, I worked with colleagues on an alphabetically ordered reference list that demonstrated complex citation rules. I'm good at finding and using/referring tools. Mendeley and Zotero helped organize and cite large assignments with multiple sources (McMillan and Weyers, 2021, p. 67)</w:t>
      </w:r>
      <w:r w:rsidR="005C727E" w:rsidRPr="005C727E">
        <w:rPr>
          <w:rFonts w:ascii="Calibri" w:hAnsi="Calibri" w:cs="Calibri"/>
        </w:rPr>
        <w:t>. These tools have significantly improved my efficiency, especially when managing complex multi-author references.</w:t>
      </w:r>
      <w:r w:rsidR="008305F6" w:rsidRPr="00036C50">
        <w:rPr>
          <w:rFonts w:ascii="Calibri" w:hAnsi="Calibri" w:cs="Calibri"/>
        </w:rPr>
        <w:t xml:space="preserve"> </w:t>
      </w:r>
      <w:r w:rsidR="005C727E" w:rsidRPr="005C727E">
        <w:rPr>
          <w:rFonts w:ascii="Calibri" w:hAnsi="Calibri" w:cs="Calibri"/>
        </w:rPr>
        <w:t>In sum, my strengths in referencing—ranging from theoretical knowledge of citation practices to practical skills in source selection and organization—enhance my ability to produce academically rigorous work. By leveraging these capabilities, I can maintain high standards in my academic pursuits and beyond.</w:t>
      </w:r>
    </w:p>
    <w:p w14:paraId="635A3CC2" w14:textId="77777777" w:rsidR="002A4A7F" w:rsidRPr="00036C50" w:rsidRDefault="002A4A7F" w:rsidP="00D6125C">
      <w:pPr>
        <w:pStyle w:val="Heading2"/>
        <w:rPr>
          <w:rFonts w:ascii="Calibri" w:hAnsi="Calibri" w:cs="Calibri"/>
        </w:rPr>
      </w:pPr>
      <w:bookmarkStart w:id="3" w:name="_Toc184466198"/>
      <w:r w:rsidRPr="00036C50">
        <w:rPr>
          <w:rFonts w:ascii="Calibri" w:hAnsi="Calibri" w:cs="Calibri"/>
        </w:rPr>
        <w:t>Weaknesses</w:t>
      </w:r>
      <w:bookmarkEnd w:id="3"/>
    </w:p>
    <w:p w14:paraId="1BF00E82" w14:textId="5CDCE0CE" w:rsidR="002A4A7F" w:rsidRPr="002A4A7F" w:rsidRDefault="002A4A7F" w:rsidP="002A4A7F">
      <w:pPr>
        <w:spacing w:line="240" w:lineRule="auto"/>
        <w:jc w:val="both"/>
        <w:rPr>
          <w:rFonts w:ascii="Calibri" w:hAnsi="Calibri" w:cs="Calibri"/>
        </w:rPr>
      </w:pPr>
      <w:r w:rsidRPr="002A4A7F">
        <w:rPr>
          <w:rFonts w:ascii="Calibri" w:hAnsi="Calibri" w:cs="Calibri"/>
        </w:rPr>
        <w:t xml:space="preserve">While referencing is a vital skill in academic writing, there are areas where improvement is essential. </w:t>
      </w:r>
      <w:r w:rsidR="002A1A0F" w:rsidRPr="00036C50">
        <w:rPr>
          <w:rFonts w:ascii="Calibri" w:hAnsi="Calibri" w:cs="Calibri"/>
        </w:rPr>
        <w:t xml:space="preserve">Multiple citation style management's biggest drawback. I'm good at Harvard </w:t>
      </w:r>
      <w:r w:rsidR="002A1A0F" w:rsidRPr="00036C50">
        <w:rPr>
          <w:rFonts w:ascii="Calibri" w:hAnsi="Calibri" w:cs="Calibri"/>
        </w:rPr>
        <w:lastRenderedPageBreak/>
        <w:t>referencing, but APA and MLA are challenging for me. The research shows that students struggle to switch styles because formatting rules vary, resulting in errors and inconsistencies (Royce, 2021, p. 32). Misinterpreting Harvard or APA citation formats ruined an interdisciplinary project's credibility. Formatting references can be problematic. Even minor mistakes like misplaced punctuation or italics can affect an academic project's professionalism. Research shows that even students who know their referencing rules make mistakes due to distractions or time constraints (Bram and Angelina, 2022, p. 21). In an educational technology paper, I used variable DOIs, which changed the reference list format</w:t>
      </w:r>
      <w:r w:rsidRPr="002A4A7F">
        <w:rPr>
          <w:rFonts w:ascii="Calibri" w:hAnsi="Calibri" w:cs="Calibri"/>
        </w:rPr>
        <w:t>.</w:t>
      </w:r>
    </w:p>
    <w:p w14:paraId="04F38E6D" w14:textId="3F5B8B48" w:rsidR="002A4A7F" w:rsidRPr="00036C50" w:rsidRDefault="002A1A0F" w:rsidP="002A4A7F">
      <w:pPr>
        <w:spacing w:line="240" w:lineRule="auto"/>
        <w:jc w:val="both"/>
        <w:rPr>
          <w:rFonts w:ascii="Calibri" w:hAnsi="Calibri" w:cs="Calibri"/>
        </w:rPr>
      </w:pPr>
      <w:r w:rsidRPr="00036C50">
        <w:rPr>
          <w:rFonts w:ascii="Calibri" w:hAnsi="Calibri" w:cs="Calibri"/>
        </w:rPr>
        <w:t xml:space="preserve">Citing websites, social media, and other non-traditional media presents challenges. Because these sources rarely have a citation guideline, citing them correctly is difficult. Without clear pedagogical instruction, Yates et al. (2005) say students struggle to reference such sources (p. 36). A recent analysis of online activism failed due to incorrect tweets and blog references. Finally, this worsens time management issues like rushing a project to meet deadlines, which increase the risk of failure due to citations and references not being read and considered. </w:t>
      </w:r>
      <w:proofErr w:type="spellStart"/>
      <w:r w:rsidRPr="00036C50">
        <w:rPr>
          <w:rFonts w:ascii="Calibri" w:hAnsi="Calibri" w:cs="Calibri"/>
        </w:rPr>
        <w:t>Mukingambeho</w:t>
      </w:r>
      <w:proofErr w:type="spellEnd"/>
      <w:r w:rsidRPr="00036C50">
        <w:rPr>
          <w:rFonts w:ascii="Calibri" w:hAnsi="Calibri" w:cs="Calibri"/>
        </w:rPr>
        <w:t xml:space="preserve"> et al. (2022) also note that students without proofreading time produce unclear or imprecise references (p. 9). For instance, during a climate policy group project, I rushed referencing and didn't check the reference list for unexplained citations, lowering the group mark. To address these weaknesses, I'll use Zotero and EndNote, attend workshops on referencing unusual sources, and leave enough time for proofreading. Therefore, these strategies will help me reference better and adapt faster</w:t>
      </w:r>
      <w:r w:rsidR="002A4A7F" w:rsidRPr="002A4A7F">
        <w:rPr>
          <w:rFonts w:ascii="Calibri" w:hAnsi="Calibri" w:cs="Calibri"/>
        </w:rPr>
        <w:t>.</w:t>
      </w:r>
    </w:p>
    <w:p w14:paraId="556513A2" w14:textId="77777777" w:rsidR="00D6125C" w:rsidRPr="00036C50" w:rsidRDefault="00D6125C" w:rsidP="00D6125C">
      <w:pPr>
        <w:pStyle w:val="Heading2"/>
        <w:rPr>
          <w:rFonts w:ascii="Calibri" w:hAnsi="Calibri" w:cs="Calibri"/>
        </w:rPr>
      </w:pPr>
      <w:bookmarkStart w:id="4" w:name="_Toc184466199"/>
      <w:r w:rsidRPr="00036C50">
        <w:rPr>
          <w:rFonts w:ascii="Calibri" w:hAnsi="Calibri" w:cs="Calibri"/>
        </w:rPr>
        <w:t>Opportunities</w:t>
      </w:r>
      <w:bookmarkEnd w:id="4"/>
    </w:p>
    <w:p w14:paraId="5199108D" w14:textId="31B45772" w:rsidR="00D6125C" w:rsidRPr="00D6125C" w:rsidRDefault="00A81C70" w:rsidP="00D6125C">
      <w:pPr>
        <w:spacing w:line="240" w:lineRule="auto"/>
        <w:jc w:val="both"/>
        <w:rPr>
          <w:rFonts w:ascii="Calibri" w:hAnsi="Calibri" w:cs="Calibri"/>
        </w:rPr>
      </w:pPr>
      <w:r w:rsidRPr="00036C50">
        <w:rPr>
          <w:rFonts w:ascii="Calibri" w:hAnsi="Calibri" w:cs="Calibri"/>
        </w:rPr>
        <w:t xml:space="preserve">As a result, within the academic environment exists great opportunities for improving on referencing skills through availability of institutional resources and tools. There are several online referencing tools including EndNote, Zotero and RefWorks used to manage, sort and reference citations online. Their dependencies decrease the chances of errors in formatting and support several citation styles, an efficient means of managing sophisticated references (Munn and Small, 2017, p. 42). Integrating these tools into my workflow saves time and increases accuracy to citations. Past assignments are another way to get feedback for improvement. According to the research, targeted feedback is useful in enabling students to identify </w:t>
      </w:r>
      <w:r w:rsidRPr="00036C50">
        <w:rPr>
          <w:rFonts w:ascii="Calibri" w:hAnsi="Calibri" w:cs="Calibri"/>
        </w:rPr>
        <w:t>errors</w:t>
      </w:r>
      <w:r w:rsidRPr="00036C50">
        <w:rPr>
          <w:rFonts w:ascii="Calibri" w:hAnsi="Calibri" w:cs="Calibri"/>
        </w:rPr>
        <w:t xml:space="preserve"> and thereby improve their referencing practices (</w:t>
      </w:r>
      <w:proofErr w:type="spellStart"/>
      <w:r w:rsidRPr="00036C50">
        <w:rPr>
          <w:rFonts w:ascii="Calibri" w:hAnsi="Calibri" w:cs="Calibri"/>
        </w:rPr>
        <w:t>Punchihewa</w:t>
      </w:r>
      <w:proofErr w:type="spellEnd"/>
      <w:r w:rsidRPr="00036C50">
        <w:rPr>
          <w:rFonts w:ascii="Calibri" w:hAnsi="Calibri" w:cs="Calibri"/>
        </w:rPr>
        <w:t xml:space="preserve"> et al., 2018, p. 105). For example, I have otherwise previously had referencing feedback to review my referencing and correct it, which has made me much better at doing this in consecutive assignments</w:t>
      </w:r>
      <w:r w:rsidR="00D6125C" w:rsidRPr="00D6125C">
        <w:rPr>
          <w:rFonts w:ascii="Calibri" w:hAnsi="Calibri" w:cs="Calibri"/>
        </w:rPr>
        <w:t>.</w:t>
      </w:r>
    </w:p>
    <w:p w14:paraId="0530C4C5" w14:textId="4E4ADA53" w:rsidR="00D6125C" w:rsidRPr="00D6125C" w:rsidRDefault="00A81C70" w:rsidP="00D6125C">
      <w:pPr>
        <w:spacing w:line="240" w:lineRule="auto"/>
        <w:jc w:val="both"/>
        <w:rPr>
          <w:rFonts w:ascii="Calibri" w:hAnsi="Calibri" w:cs="Calibri"/>
        </w:rPr>
      </w:pPr>
      <w:r w:rsidRPr="00036C50">
        <w:rPr>
          <w:rFonts w:ascii="Calibri" w:hAnsi="Calibri" w:cs="Calibri"/>
        </w:rPr>
        <w:t xml:space="preserve">Hands on guidance on the mastering of referencing techniques is available from institutional support services like tutorials and workshops. Workshops on advanced referencing strategies help students cope with common difficulties like how to cite unconventional sources and unpack the subtleties of various citation styles (p. 170) (Prescott, 2016). By attending such sessions, it will also help me to become more flexible, so that I will be able to reference accordingly in all assignments. Academic writing support centers also provide students with the opportunity hone strengths, </w:t>
      </w:r>
      <w:r w:rsidR="009C2AFB" w:rsidRPr="00036C50">
        <w:rPr>
          <w:rFonts w:ascii="Calibri" w:hAnsi="Calibri" w:cs="Calibri"/>
        </w:rPr>
        <w:t>and</w:t>
      </w:r>
      <w:r w:rsidRPr="00036C50">
        <w:rPr>
          <w:rFonts w:ascii="Calibri" w:hAnsi="Calibri" w:cs="Calibri"/>
        </w:rPr>
        <w:t xml:space="preserve"> for each to solve specific weaknesses. Tailored advice particularly on navigating the complex citation requirements are facilitated through </w:t>
      </w:r>
      <w:r w:rsidR="009C2AFB" w:rsidRPr="00036C50">
        <w:rPr>
          <w:rFonts w:ascii="Calibri" w:hAnsi="Calibri" w:cs="Calibri"/>
        </w:rPr>
        <w:t>one-on-one</w:t>
      </w:r>
      <w:r w:rsidRPr="00036C50">
        <w:rPr>
          <w:rFonts w:ascii="Calibri" w:hAnsi="Calibri" w:cs="Calibri"/>
        </w:rPr>
        <w:t xml:space="preserve"> consultations with writing tutors or librarians (Roberts and Ousey, 2011, p. 229). Already </w:t>
      </w:r>
      <w:proofErr w:type="spellStart"/>
      <w:r w:rsidRPr="00036C50">
        <w:rPr>
          <w:rFonts w:ascii="Calibri" w:hAnsi="Calibri" w:cs="Calibri"/>
        </w:rPr>
        <w:t>utilising</w:t>
      </w:r>
      <w:proofErr w:type="spellEnd"/>
      <w:r w:rsidRPr="00036C50">
        <w:rPr>
          <w:rFonts w:ascii="Calibri" w:hAnsi="Calibri" w:cs="Calibri"/>
        </w:rPr>
        <w:t xml:space="preserve"> these services has improved my ability to find credible sources and </w:t>
      </w:r>
      <w:proofErr w:type="spellStart"/>
      <w:r w:rsidRPr="00036C50">
        <w:rPr>
          <w:rFonts w:ascii="Calibri" w:hAnsi="Calibri" w:cs="Calibri"/>
        </w:rPr>
        <w:t>organise</w:t>
      </w:r>
      <w:proofErr w:type="spellEnd"/>
      <w:r w:rsidRPr="00036C50">
        <w:rPr>
          <w:rFonts w:ascii="Calibri" w:hAnsi="Calibri" w:cs="Calibri"/>
        </w:rPr>
        <w:t xml:space="preserve"> these references to reference lists</w:t>
      </w:r>
      <w:r w:rsidR="00D6125C" w:rsidRPr="00D6125C">
        <w:rPr>
          <w:rFonts w:ascii="Calibri" w:hAnsi="Calibri" w:cs="Calibri"/>
        </w:rPr>
        <w:t>.</w:t>
      </w:r>
    </w:p>
    <w:p w14:paraId="0F6B7E91" w14:textId="3BD125C2" w:rsidR="00D6125C" w:rsidRPr="00036C50" w:rsidRDefault="009C2AFB" w:rsidP="00D6125C">
      <w:pPr>
        <w:spacing w:line="240" w:lineRule="auto"/>
        <w:jc w:val="both"/>
        <w:rPr>
          <w:rFonts w:ascii="Calibri" w:hAnsi="Calibri" w:cs="Calibri"/>
        </w:rPr>
      </w:pPr>
      <w:r w:rsidRPr="00036C50">
        <w:rPr>
          <w:rFonts w:ascii="Calibri" w:hAnsi="Calibri" w:cs="Calibri"/>
        </w:rPr>
        <w:lastRenderedPageBreak/>
        <w:t>The growth of collaborative learning has enabled peer referencing support. These collaborative projects will encourage students to become ‘sensitive’ to referencing rules by forcing them to share knowledge and develop a collective understanding of them, which will improve academic integrity (Bram and Angelina, 2022, p. 27). This improves my referencing and gives me new perspectives in peer-led study groups. By using these opportunities, my chances of preparing precise, well-organized references will increase, improving my academic work.</w:t>
      </w:r>
    </w:p>
    <w:p w14:paraId="4A9E8725" w14:textId="77777777" w:rsidR="00B303D5" w:rsidRPr="00036C50" w:rsidRDefault="00B303D5" w:rsidP="00B303D5">
      <w:pPr>
        <w:pStyle w:val="Heading2"/>
        <w:rPr>
          <w:rFonts w:ascii="Calibri" w:hAnsi="Calibri" w:cs="Calibri"/>
        </w:rPr>
      </w:pPr>
      <w:bookmarkStart w:id="5" w:name="_Toc184466200"/>
      <w:r w:rsidRPr="00036C50">
        <w:rPr>
          <w:rFonts w:ascii="Calibri" w:hAnsi="Calibri" w:cs="Calibri"/>
        </w:rPr>
        <w:t>Threats</w:t>
      </w:r>
      <w:bookmarkEnd w:id="5"/>
    </w:p>
    <w:p w14:paraId="039F9A93" w14:textId="27149C93" w:rsidR="00B303D5" w:rsidRPr="00B303D5" w:rsidRDefault="005779F1" w:rsidP="00B303D5">
      <w:pPr>
        <w:spacing w:line="240" w:lineRule="auto"/>
        <w:jc w:val="both"/>
        <w:rPr>
          <w:rFonts w:ascii="Calibri" w:hAnsi="Calibri" w:cs="Calibri"/>
        </w:rPr>
      </w:pPr>
      <w:r w:rsidRPr="00036C50">
        <w:rPr>
          <w:rFonts w:ascii="Calibri" w:hAnsi="Calibri" w:cs="Calibri"/>
        </w:rPr>
        <w:t xml:space="preserve">Unintentional plagiarism is a major issue that hampers referencing skills. According to Gravett and </w:t>
      </w:r>
      <w:proofErr w:type="spellStart"/>
      <w:r w:rsidRPr="00036C50">
        <w:rPr>
          <w:rFonts w:ascii="Calibri" w:hAnsi="Calibri" w:cs="Calibri"/>
        </w:rPr>
        <w:t>Kinchin</w:t>
      </w:r>
      <w:proofErr w:type="spellEnd"/>
      <w:r w:rsidRPr="00036C50">
        <w:rPr>
          <w:rFonts w:ascii="Calibri" w:hAnsi="Calibri" w:cs="Calibri"/>
        </w:rPr>
        <w:t xml:space="preserve"> (2018), students plagiarize due to confusion about referencing rules and lack of confidence in their knowledge (p. 156). Paraphrasing and direct quoting are sometimes confused, which has led to 'accidental' academic violations and lower grades and trustworthiness</w:t>
      </w:r>
      <w:r w:rsidR="00B303D5" w:rsidRPr="00B303D5">
        <w:rPr>
          <w:rFonts w:ascii="Calibri" w:hAnsi="Calibri" w:cs="Calibri"/>
        </w:rPr>
        <w:t>.</w:t>
      </w:r>
      <w:r w:rsidR="00CE1393" w:rsidRPr="00036C50">
        <w:rPr>
          <w:rFonts w:ascii="Calibri" w:hAnsi="Calibri" w:cs="Calibri"/>
        </w:rPr>
        <w:t xml:space="preserve"> </w:t>
      </w:r>
      <w:r w:rsidR="00B303D5" w:rsidRPr="00B303D5">
        <w:rPr>
          <w:rFonts w:ascii="Calibri" w:hAnsi="Calibri" w:cs="Calibri"/>
        </w:rPr>
        <w:t>Time constraints also pose a critical threat. The pressures of meeting deadlines often lead to rushed referencing, which increases the likelihood of errors, such as mismatched in-text citations and reference lists (George et al., 2013, p. 45). This was evident in a group project where incomplete referencing diminished the quality of an otherwise well-constructed analysis.</w:t>
      </w:r>
    </w:p>
    <w:p w14:paraId="7C600969" w14:textId="566BB004" w:rsidR="00B303D5" w:rsidRPr="00B303D5" w:rsidRDefault="00B303D5" w:rsidP="00B303D5">
      <w:pPr>
        <w:spacing w:line="240" w:lineRule="auto"/>
        <w:jc w:val="both"/>
        <w:rPr>
          <w:rFonts w:ascii="Calibri" w:hAnsi="Calibri" w:cs="Calibri"/>
        </w:rPr>
      </w:pPr>
      <w:r w:rsidRPr="00B303D5">
        <w:rPr>
          <w:rFonts w:ascii="Calibri" w:hAnsi="Calibri" w:cs="Calibri"/>
        </w:rPr>
        <w:t>Dependence on unreliable or outdated sources is another significant risk. Inadequate evaluation of source credibility may lead to the inclusion of questionable references, weakening the academic foundation of assignments (Mahmud and Tahir, 2024, p. 34). For example, citing a non-peer-reviewed article in an essay on environmental policies reduced its scholarly impact and drew critical feedback from my instructor.</w:t>
      </w:r>
      <w:r w:rsidR="00CE1393" w:rsidRPr="00036C50">
        <w:rPr>
          <w:rFonts w:ascii="Calibri" w:hAnsi="Calibri" w:cs="Calibri"/>
        </w:rPr>
        <w:t xml:space="preserve"> </w:t>
      </w:r>
      <w:r w:rsidRPr="00B303D5">
        <w:rPr>
          <w:rFonts w:ascii="Calibri" w:hAnsi="Calibri" w:cs="Calibri"/>
        </w:rPr>
        <w:t>Technological reliance can exacerbate these threats. While tools like citation generators are helpful, overdependence without thorough manual checks can result in inaccuracies, particularly for complex or non-standard sources (Miranda-Rodríguez et al., 2024, p. 21). For instance, errors in referencing multimedia content generated by such tools have previously required substantial corrections.</w:t>
      </w:r>
      <w:r w:rsidR="00CE1393" w:rsidRPr="00036C50">
        <w:rPr>
          <w:rFonts w:ascii="Calibri" w:hAnsi="Calibri" w:cs="Calibri"/>
        </w:rPr>
        <w:t xml:space="preserve"> </w:t>
      </w:r>
      <w:r w:rsidRPr="00B303D5">
        <w:rPr>
          <w:rFonts w:ascii="Calibri" w:hAnsi="Calibri" w:cs="Calibri"/>
        </w:rPr>
        <w:t>These threats collectively impact academic success by undermining the quality and credibility of work. To mitigate these challenges, I plan to deepen my understanding of referencing rules through workshops and one-on-one guidance. Additionally, allocating more time for proofreading and cross-checking citations will help ensure accuracy. Emphasizing the evaluation of source reliability will also strengthen the scholarly rigor of my references.</w:t>
      </w:r>
    </w:p>
    <w:p w14:paraId="4D945D3B" w14:textId="77777777" w:rsidR="007848FD" w:rsidRPr="00036C50" w:rsidRDefault="007848FD" w:rsidP="007848FD">
      <w:pPr>
        <w:pStyle w:val="Heading1"/>
        <w:rPr>
          <w:rFonts w:ascii="Calibri" w:hAnsi="Calibri" w:cs="Calibri"/>
        </w:rPr>
      </w:pPr>
      <w:bookmarkStart w:id="6" w:name="_Toc184466201"/>
      <w:r w:rsidRPr="00036C50">
        <w:rPr>
          <w:rFonts w:ascii="Calibri" w:hAnsi="Calibri" w:cs="Calibri"/>
        </w:rPr>
        <w:t>Conclusion</w:t>
      </w:r>
      <w:bookmarkEnd w:id="6"/>
    </w:p>
    <w:p w14:paraId="6BDC3584" w14:textId="11FCB436" w:rsidR="002A4A7F" w:rsidRPr="005C727E" w:rsidRDefault="004140FA" w:rsidP="005C727E">
      <w:pPr>
        <w:spacing w:line="240" w:lineRule="auto"/>
        <w:jc w:val="both"/>
        <w:rPr>
          <w:rFonts w:ascii="Calibri" w:hAnsi="Calibri" w:cs="Calibri"/>
        </w:rPr>
      </w:pPr>
      <w:r w:rsidRPr="00036C50">
        <w:rPr>
          <w:rFonts w:ascii="Calibri" w:hAnsi="Calibri" w:cs="Calibri"/>
        </w:rPr>
        <w:t>SWOT analysis is a great way to learn about yourself and improve your planning. Students start to recognize their strengths and weaknesses, such as knowing they know the Harvard Referencing System but struggle with citation formatting. Identifying opportunities like using different online devices and conference workstations and adapting to risks like theft and retribution ensures a constant process of improving referencing skills. Academic success depends on referencing. Accurate citations maintain academic integrity, argument strength, and credibility. Students avoid plagiarism and improve academic work by improving this skill. Structured referencing allows one to create well-supported assignments that consistently improve academic performance</w:t>
      </w:r>
      <w:r w:rsidR="007848FD" w:rsidRPr="007848FD">
        <w:rPr>
          <w:rFonts w:ascii="Calibri" w:hAnsi="Calibri" w:cs="Calibri"/>
        </w:rPr>
        <w:t>.</w:t>
      </w:r>
      <w:r w:rsidR="006B2579" w:rsidRPr="00036C50">
        <w:rPr>
          <w:rFonts w:ascii="Calibri" w:hAnsi="Calibri" w:cs="Calibri"/>
        </w:rPr>
        <w:t xml:space="preserve"> </w:t>
      </w:r>
      <w:r w:rsidR="00167527" w:rsidRPr="00036C50">
        <w:rPr>
          <w:rFonts w:ascii="Calibri" w:hAnsi="Calibri" w:cs="Calibri"/>
        </w:rPr>
        <w:t xml:space="preserve">An action plan which involves attending workshops, using feedback and </w:t>
      </w:r>
      <w:proofErr w:type="spellStart"/>
      <w:r w:rsidR="00167527" w:rsidRPr="00036C50">
        <w:rPr>
          <w:rFonts w:ascii="Calibri" w:hAnsi="Calibri" w:cs="Calibri"/>
        </w:rPr>
        <w:t>practising</w:t>
      </w:r>
      <w:proofErr w:type="spellEnd"/>
      <w:r w:rsidR="00167527" w:rsidRPr="00036C50">
        <w:rPr>
          <w:rFonts w:ascii="Calibri" w:hAnsi="Calibri" w:cs="Calibri"/>
        </w:rPr>
        <w:t xml:space="preserve"> citation tools contributes to pro action learning. These steps are sure to build confidence and competency to make referencing an effortless part of the academic process. Making consistent effort and building up on available resources I can be </w:t>
      </w:r>
      <w:r w:rsidR="00167527" w:rsidRPr="00036C50">
        <w:rPr>
          <w:rFonts w:ascii="Calibri" w:hAnsi="Calibri" w:cs="Calibri"/>
        </w:rPr>
        <w:lastRenderedPageBreak/>
        <w:t xml:space="preserve">optimistic of enhancing my proficiency in referencing which might improve my academic journey as well as future professional </w:t>
      </w:r>
      <w:r w:rsidR="009820CB" w:rsidRPr="00036C50">
        <w:rPr>
          <w:rFonts w:ascii="Calibri" w:hAnsi="Calibri" w:cs="Calibri"/>
        </w:rPr>
        <w:t>journey.</w:t>
      </w:r>
    </w:p>
    <w:p w14:paraId="58CBAA78" w14:textId="77777777" w:rsidR="00173B5A" w:rsidRDefault="00173B5A">
      <w:pPr>
        <w:rPr>
          <w:rFonts w:ascii="Calibri" w:hAnsi="Calibri" w:cs="Calibri"/>
        </w:rPr>
      </w:pPr>
      <w:r>
        <w:rPr>
          <w:rFonts w:ascii="Calibri" w:hAnsi="Calibri" w:cs="Calibri"/>
        </w:rPr>
        <w:br w:type="page"/>
      </w:r>
    </w:p>
    <w:p w14:paraId="6D01986E" w14:textId="4CB50D4A" w:rsidR="005C727E" w:rsidRPr="00036C50" w:rsidRDefault="008D2DC2" w:rsidP="00173B5A">
      <w:pPr>
        <w:pStyle w:val="Heading1"/>
      </w:pPr>
      <w:bookmarkStart w:id="7" w:name="_Toc184466202"/>
      <w:r w:rsidRPr="00036C50">
        <w:lastRenderedPageBreak/>
        <w:t>References</w:t>
      </w:r>
      <w:bookmarkEnd w:id="7"/>
    </w:p>
    <w:p w14:paraId="52CA1B46" w14:textId="77777777" w:rsidR="008D2DC2" w:rsidRPr="00036C50" w:rsidRDefault="008D2DC2" w:rsidP="008D2DC2">
      <w:pPr>
        <w:jc w:val="both"/>
        <w:rPr>
          <w:rFonts w:ascii="Calibri" w:hAnsi="Calibri" w:cs="Calibri"/>
        </w:rPr>
      </w:pPr>
      <w:r w:rsidRPr="00036C50">
        <w:rPr>
          <w:rFonts w:ascii="Calibri" w:hAnsi="Calibri" w:cs="Calibri"/>
        </w:rPr>
        <w:t xml:space="preserve">Gürel, E. and Tat, M. (2017) ‘SWOT analysis: A theoretical review’, </w:t>
      </w:r>
      <w:r w:rsidRPr="00036C50">
        <w:rPr>
          <w:rFonts w:ascii="Calibri" w:hAnsi="Calibri" w:cs="Calibri"/>
          <w:i/>
          <w:iCs/>
        </w:rPr>
        <w:t>Journal of International Social Research</w:t>
      </w:r>
      <w:r w:rsidRPr="00036C50">
        <w:rPr>
          <w:rFonts w:ascii="Calibri" w:hAnsi="Calibri" w:cs="Calibri"/>
        </w:rPr>
        <w:t>, 10(51), pp. 994–1006.</w:t>
      </w:r>
    </w:p>
    <w:p w14:paraId="2E853DCC" w14:textId="77777777" w:rsidR="008D2DC2" w:rsidRPr="00036C50" w:rsidRDefault="008D2DC2" w:rsidP="008D2DC2">
      <w:pPr>
        <w:jc w:val="both"/>
        <w:rPr>
          <w:rFonts w:ascii="Calibri" w:hAnsi="Calibri" w:cs="Calibri"/>
        </w:rPr>
      </w:pPr>
      <w:r w:rsidRPr="00036C50">
        <w:rPr>
          <w:rFonts w:ascii="Calibri" w:hAnsi="Calibri" w:cs="Calibri"/>
        </w:rPr>
        <w:t xml:space="preserve">Neville, C. (2016) </w:t>
      </w:r>
      <w:r w:rsidRPr="00036C50">
        <w:rPr>
          <w:rFonts w:ascii="Calibri" w:hAnsi="Calibri" w:cs="Calibri"/>
          <w:i/>
          <w:iCs/>
        </w:rPr>
        <w:t>The complete guide to referencing and avoiding plagiarism</w:t>
      </w:r>
      <w:r w:rsidRPr="00036C50">
        <w:rPr>
          <w:rFonts w:ascii="Calibri" w:hAnsi="Calibri" w:cs="Calibri"/>
        </w:rPr>
        <w:t xml:space="preserve">. 3rd </w:t>
      </w:r>
      <w:proofErr w:type="spellStart"/>
      <w:r w:rsidRPr="00036C50">
        <w:rPr>
          <w:rFonts w:ascii="Calibri" w:hAnsi="Calibri" w:cs="Calibri"/>
        </w:rPr>
        <w:t>edn</w:t>
      </w:r>
      <w:proofErr w:type="spellEnd"/>
      <w:r w:rsidRPr="00036C50">
        <w:rPr>
          <w:rFonts w:ascii="Calibri" w:hAnsi="Calibri" w:cs="Calibri"/>
        </w:rPr>
        <w:t>. Maidenhead: Open University Press, p. 42.</w:t>
      </w:r>
    </w:p>
    <w:p w14:paraId="48A08E21" w14:textId="77777777" w:rsidR="008D2DC2" w:rsidRPr="00036C50" w:rsidRDefault="008D2DC2" w:rsidP="008D2DC2">
      <w:pPr>
        <w:jc w:val="both"/>
        <w:rPr>
          <w:rFonts w:ascii="Calibri" w:hAnsi="Calibri" w:cs="Calibri"/>
        </w:rPr>
      </w:pPr>
      <w:r w:rsidRPr="00036C50">
        <w:rPr>
          <w:rFonts w:ascii="Calibri" w:hAnsi="Calibri" w:cs="Calibri"/>
        </w:rPr>
        <w:t xml:space="preserve">Pears, R. and Shields, G. (2019) </w:t>
      </w:r>
      <w:r w:rsidRPr="00036C50">
        <w:rPr>
          <w:rFonts w:ascii="Calibri" w:hAnsi="Calibri" w:cs="Calibri"/>
          <w:i/>
          <w:iCs/>
        </w:rPr>
        <w:t>Cite them right: The essential referencing guide</w:t>
      </w:r>
      <w:r w:rsidRPr="00036C50">
        <w:rPr>
          <w:rFonts w:ascii="Calibri" w:hAnsi="Calibri" w:cs="Calibri"/>
        </w:rPr>
        <w:t xml:space="preserve">. 11th </w:t>
      </w:r>
      <w:proofErr w:type="spellStart"/>
      <w:r w:rsidRPr="00036C50">
        <w:rPr>
          <w:rFonts w:ascii="Calibri" w:hAnsi="Calibri" w:cs="Calibri"/>
        </w:rPr>
        <w:t>edn</w:t>
      </w:r>
      <w:proofErr w:type="spellEnd"/>
      <w:r w:rsidRPr="00036C50">
        <w:rPr>
          <w:rFonts w:ascii="Calibri" w:hAnsi="Calibri" w:cs="Calibri"/>
        </w:rPr>
        <w:t>. London: Red Globe Press, p. 28.</w:t>
      </w:r>
    </w:p>
    <w:p w14:paraId="52796BB8" w14:textId="77777777" w:rsidR="008D2DC2" w:rsidRPr="00036C50" w:rsidRDefault="008D2DC2" w:rsidP="008D2DC2">
      <w:pPr>
        <w:jc w:val="both"/>
        <w:rPr>
          <w:rFonts w:ascii="Calibri" w:hAnsi="Calibri" w:cs="Calibri"/>
        </w:rPr>
      </w:pPr>
      <w:r w:rsidRPr="00036C50">
        <w:rPr>
          <w:rFonts w:ascii="Calibri" w:hAnsi="Calibri" w:cs="Calibri"/>
        </w:rPr>
        <w:t xml:space="preserve">Cottrell, S. (2019) </w:t>
      </w:r>
      <w:r w:rsidRPr="00036C50">
        <w:rPr>
          <w:rFonts w:ascii="Calibri" w:hAnsi="Calibri" w:cs="Calibri"/>
          <w:i/>
          <w:iCs/>
        </w:rPr>
        <w:t>The study skills handbook</w:t>
      </w:r>
      <w:r w:rsidRPr="00036C50">
        <w:rPr>
          <w:rFonts w:ascii="Calibri" w:hAnsi="Calibri" w:cs="Calibri"/>
        </w:rPr>
        <w:t xml:space="preserve">. 5th </w:t>
      </w:r>
      <w:proofErr w:type="spellStart"/>
      <w:r w:rsidRPr="00036C50">
        <w:rPr>
          <w:rFonts w:ascii="Calibri" w:hAnsi="Calibri" w:cs="Calibri"/>
        </w:rPr>
        <w:t>edn</w:t>
      </w:r>
      <w:proofErr w:type="spellEnd"/>
      <w:r w:rsidRPr="00036C50">
        <w:rPr>
          <w:rFonts w:ascii="Calibri" w:hAnsi="Calibri" w:cs="Calibri"/>
        </w:rPr>
        <w:t>. London: Red Globe Press, p. 114.</w:t>
      </w:r>
    </w:p>
    <w:p w14:paraId="1726429F" w14:textId="77777777" w:rsidR="008D2DC2" w:rsidRPr="00036C50" w:rsidRDefault="008D2DC2" w:rsidP="008D2DC2">
      <w:pPr>
        <w:jc w:val="both"/>
        <w:rPr>
          <w:rFonts w:ascii="Calibri" w:hAnsi="Calibri" w:cs="Calibri"/>
        </w:rPr>
      </w:pPr>
      <w:r w:rsidRPr="00036C50">
        <w:rPr>
          <w:rFonts w:ascii="Calibri" w:hAnsi="Calibri" w:cs="Calibri"/>
        </w:rPr>
        <w:t xml:space="preserve">McMillan, K. and Weyers, J. (2021) </w:t>
      </w:r>
      <w:r w:rsidRPr="00036C50">
        <w:rPr>
          <w:rFonts w:ascii="Calibri" w:hAnsi="Calibri" w:cs="Calibri"/>
          <w:i/>
          <w:iCs/>
        </w:rPr>
        <w:t>How to cite, reference and avoid plagiarism at university</w:t>
      </w:r>
      <w:r w:rsidRPr="00036C50">
        <w:rPr>
          <w:rFonts w:ascii="Calibri" w:hAnsi="Calibri" w:cs="Calibri"/>
        </w:rPr>
        <w:t xml:space="preserve">. 6th </w:t>
      </w:r>
      <w:proofErr w:type="spellStart"/>
      <w:r w:rsidRPr="00036C50">
        <w:rPr>
          <w:rFonts w:ascii="Calibri" w:hAnsi="Calibri" w:cs="Calibri"/>
        </w:rPr>
        <w:t>edn</w:t>
      </w:r>
      <w:proofErr w:type="spellEnd"/>
      <w:r w:rsidRPr="00036C50">
        <w:rPr>
          <w:rFonts w:ascii="Calibri" w:hAnsi="Calibri" w:cs="Calibri"/>
        </w:rPr>
        <w:t>. Harlow: Pearson, p. 67.</w:t>
      </w:r>
    </w:p>
    <w:p w14:paraId="31D679E5" w14:textId="77777777" w:rsidR="008D2DC2" w:rsidRPr="00036C50" w:rsidRDefault="008D2DC2" w:rsidP="008D2DC2">
      <w:pPr>
        <w:jc w:val="both"/>
        <w:rPr>
          <w:rFonts w:ascii="Calibri" w:hAnsi="Calibri" w:cs="Calibri"/>
        </w:rPr>
      </w:pPr>
      <w:r w:rsidRPr="00036C50">
        <w:rPr>
          <w:rFonts w:ascii="Calibri" w:hAnsi="Calibri" w:cs="Calibri"/>
        </w:rPr>
        <w:t xml:space="preserve">Bram, B. and Angelina, P. (2022) ‘Indonesian tertiary education students’ academic writing setbacks and solutions’, </w:t>
      </w:r>
      <w:r w:rsidRPr="00036C50">
        <w:rPr>
          <w:rFonts w:ascii="Calibri" w:hAnsi="Calibri" w:cs="Calibri"/>
          <w:i/>
          <w:iCs/>
        </w:rPr>
        <w:t>International Journal of Language Education</w:t>
      </w:r>
      <w:r w:rsidRPr="00036C50">
        <w:rPr>
          <w:rFonts w:ascii="Calibri" w:hAnsi="Calibri" w:cs="Calibri"/>
        </w:rPr>
        <w:t>, 6(3), pp. 21–32.</w:t>
      </w:r>
    </w:p>
    <w:p w14:paraId="0C0F1F82" w14:textId="77777777" w:rsidR="008D2DC2" w:rsidRPr="00036C50" w:rsidRDefault="008D2DC2" w:rsidP="008D2DC2">
      <w:pPr>
        <w:jc w:val="both"/>
        <w:rPr>
          <w:rFonts w:ascii="Calibri" w:hAnsi="Calibri" w:cs="Calibri"/>
        </w:rPr>
      </w:pPr>
      <w:proofErr w:type="spellStart"/>
      <w:r w:rsidRPr="00036C50">
        <w:rPr>
          <w:rFonts w:ascii="Calibri" w:hAnsi="Calibri" w:cs="Calibri"/>
        </w:rPr>
        <w:t>Mukingambeho</w:t>
      </w:r>
      <w:proofErr w:type="spellEnd"/>
      <w:r w:rsidRPr="00036C50">
        <w:rPr>
          <w:rFonts w:ascii="Calibri" w:hAnsi="Calibri" w:cs="Calibri"/>
        </w:rPr>
        <w:t xml:space="preserve">, D., Mwesigye, M., and </w:t>
      </w:r>
      <w:proofErr w:type="spellStart"/>
      <w:r w:rsidRPr="00036C50">
        <w:rPr>
          <w:rFonts w:ascii="Calibri" w:hAnsi="Calibri" w:cs="Calibri"/>
        </w:rPr>
        <w:t>Uwimbabazi</w:t>
      </w:r>
      <w:proofErr w:type="spellEnd"/>
      <w:r w:rsidRPr="00036C50">
        <w:rPr>
          <w:rFonts w:ascii="Calibri" w:hAnsi="Calibri" w:cs="Calibri"/>
        </w:rPr>
        <w:t xml:space="preserve">, F. (2022) ‘A psychometric analysis of the study skills questionnaire for University of Rwanda undergraduate students’, </w:t>
      </w:r>
      <w:r w:rsidRPr="00036C50">
        <w:rPr>
          <w:rFonts w:ascii="Calibri" w:hAnsi="Calibri" w:cs="Calibri"/>
          <w:i/>
          <w:iCs/>
        </w:rPr>
        <w:t>Creative Education</w:t>
      </w:r>
      <w:r w:rsidRPr="00036C50">
        <w:rPr>
          <w:rFonts w:ascii="Calibri" w:hAnsi="Calibri" w:cs="Calibri"/>
        </w:rPr>
        <w:t>, 13(3), pp. 9–15.</w:t>
      </w:r>
    </w:p>
    <w:p w14:paraId="3B38857C" w14:textId="77777777" w:rsidR="008D2DC2" w:rsidRPr="00036C50" w:rsidRDefault="008D2DC2" w:rsidP="008D2DC2">
      <w:pPr>
        <w:jc w:val="both"/>
        <w:rPr>
          <w:rFonts w:ascii="Calibri" w:hAnsi="Calibri" w:cs="Calibri"/>
        </w:rPr>
      </w:pPr>
      <w:r w:rsidRPr="00036C50">
        <w:rPr>
          <w:rFonts w:ascii="Calibri" w:hAnsi="Calibri" w:cs="Calibri"/>
        </w:rPr>
        <w:t xml:space="preserve">Royce, J. (2021) ‘Honesty honestly: An alternative approach to academic honesty’, </w:t>
      </w:r>
      <w:r w:rsidRPr="00036C50">
        <w:rPr>
          <w:rFonts w:ascii="Calibri" w:hAnsi="Calibri" w:cs="Calibri"/>
          <w:i/>
          <w:iCs/>
        </w:rPr>
        <w:t>IASL Annual Conference Proceedings</w:t>
      </w:r>
      <w:r w:rsidRPr="00036C50">
        <w:rPr>
          <w:rFonts w:ascii="Calibri" w:hAnsi="Calibri" w:cs="Calibri"/>
        </w:rPr>
        <w:t>, pp. 32–38.</w:t>
      </w:r>
    </w:p>
    <w:p w14:paraId="0265B5ED" w14:textId="77777777" w:rsidR="008D2DC2" w:rsidRPr="00036C50" w:rsidRDefault="008D2DC2" w:rsidP="008D2DC2">
      <w:pPr>
        <w:jc w:val="both"/>
        <w:rPr>
          <w:rFonts w:ascii="Calibri" w:hAnsi="Calibri" w:cs="Calibri"/>
        </w:rPr>
      </w:pPr>
      <w:r w:rsidRPr="00036C50">
        <w:rPr>
          <w:rFonts w:ascii="Calibri" w:hAnsi="Calibri" w:cs="Calibri"/>
        </w:rPr>
        <w:t xml:space="preserve">Yates, S.J., Williams, N., and Dujardin, A.F. (2005) ‘Writing geology: Key communication competencies for geoscience’, </w:t>
      </w:r>
      <w:r w:rsidRPr="00036C50">
        <w:rPr>
          <w:rFonts w:ascii="Calibri" w:hAnsi="Calibri" w:cs="Calibri"/>
          <w:i/>
          <w:iCs/>
        </w:rPr>
        <w:t>Planet</w:t>
      </w:r>
      <w:r w:rsidRPr="00036C50">
        <w:rPr>
          <w:rFonts w:ascii="Calibri" w:hAnsi="Calibri" w:cs="Calibri"/>
        </w:rPr>
        <w:t>, 15(1), pp. 36–42.</w:t>
      </w:r>
    </w:p>
    <w:p w14:paraId="1300EA57" w14:textId="77777777" w:rsidR="008D2DC2" w:rsidRPr="00036C50" w:rsidRDefault="008D2DC2" w:rsidP="008D2DC2">
      <w:pPr>
        <w:jc w:val="both"/>
        <w:rPr>
          <w:rFonts w:ascii="Calibri" w:hAnsi="Calibri" w:cs="Calibri"/>
        </w:rPr>
      </w:pPr>
      <w:r w:rsidRPr="00036C50">
        <w:rPr>
          <w:rFonts w:ascii="Calibri" w:hAnsi="Calibri" w:cs="Calibri"/>
        </w:rPr>
        <w:t xml:space="preserve">Munn, J. and Small, J. (2017) ‘What is the best way to develop information literacy and academic skills of first year health science students?’, </w:t>
      </w:r>
      <w:r w:rsidRPr="00036C50">
        <w:rPr>
          <w:rFonts w:ascii="Calibri" w:hAnsi="Calibri" w:cs="Calibri"/>
          <w:i/>
          <w:iCs/>
        </w:rPr>
        <w:t>Evidence Based Library and Information Practice</w:t>
      </w:r>
      <w:r w:rsidRPr="00036C50">
        <w:rPr>
          <w:rFonts w:ascii="Calibri" w:hAnsi="Calibri" w:cs="Calibri"/>
        </w:rPr>
        <w:t>, 12(3), pp. 38–56.</w:t>
      </w:r>
    </w:p>
    <w:p w14:paraId="252AC9A7" w14:textId="77777777" w:rsidR="008D2DC2" w:rsidRPr="00036C50" w:rsidRDefault="008D2DC2" w:rsidP="008D2DC2">
      <w:pPr>
        <w:jc w:val="both"/>
        <w:rPr>
          <w:rFonts w:ascii="Calibri" w:hAnsi="Calibri" w:cs="Calibri"/>
        </w:rPr>
      </w:pPr>
      <w:r w:rsidRPr="00036C50">
        <w:rPr>
          <w:rFonts w:ascii="Calibri" w:hAnsi="Calibri" w:cs="Calibri"/>
        </w:rPr>
        <w:t xml:space="preserve">Prescott, L. (2016) ‘Using collaboration to foster academic integrity’, </w:t>
      </w:r>
      <w:r w:rsidRPr="00036C50">
        <w:rPr>
          <w:rFonts w:ascii="Calibri" w:hAnsi="Calibri" w:cs="Calibri"/>
          <w:i/>
          <w:iCs/>
        </w:rPr>
        <w:t>Open Learning: The Journal of Open, Distance and e-Learning</w:t>
      </w:r>
      <w:r w:rsidRPr="00036C50">
        <w:rPr>
          <w:rFonts w:ascii="Calibri" w:hAnsi="Calibri" w:cs="Calibri"/>
        </w:rPr>
        <w:t>, 31(2), pp. 163–172.</w:t>
      </w:r>
    </w:p>
    <w:p w14:paraId="7586BF11" w14:textId="77777777" w:rsidR="008D2DC2" w:rsidRPr="00036C50" w:rsidRDefault="008D2DC2" w:rsidP="008D2DC2">
      <w:pPr>
        <w:jc w:val="both"/>
        <w:rPr>
          <w:rFonts w:ascii="Calibri" w:hAnsi="Calibri" w:cs="Calibri"/>
        </w:rPr>
      </w:pPr>
      <w:proofErr w:type="spellStart"/>
      <w:r w:rsidRPr="00036C50">
        <w:rPr>
          <w:rFonts w:ascii="Calibri" w:hAnsi="Calibri" w:cs="Calibri"/>
        </w:rPr>
        <w:t>Punchihewa</w:t>
      </w:r>
      <w:proofErr w:type="spellEnd"/>
      <w:r w:rsidRPr="00036C50">
        <w:rPr>
          <w:rFonts w:ascii="Calibri" w:hAnsi="Calibri" w:cs="Calibri"/>
        </w:rPr>
        <w:t xml:space="preserve">, C.N.D., </w:t>
      </w:r>
      <w:proofErr w:type="spellStart"/>
      <w:r w:rsidRPr="00036C50">
        <w:rPr>
          <w:rFonts w:ascii="Calibri" w:hAnsi="Calibri" w:cs="Calibri"/>
        </w:rPr>
        <w:t>Wijetunge</w:t>
      </w:r>
      <w:proofErr w:type="spellEnd"/>
      <w:r w:rsidRPr="00036C50">
        <w:rPr>
          <w:rFonts w:ascii="Calibri" w:hAnsi="Calibri" w:cs="Calibri"/>
        </w:rPr>
        <w:t xml:space="preserve">, P., and </w:t>
      </w:r>
      <w:proofErr w:type="spellStart"/>
      <w:r w:rsidRPr="00036C50">
        <w:rPr>
          <w:rFonts w:ascii="Calibri" w:hAnsi="Calibri" w:cs="Calibri"/>
        </w:rPr>
        <w:t>Karunaratna</w:t>
      </w:r>
      <w:proofErr w:type="spellEnd"/>
      <w:r w:rsidRPr="00036C50">
        <w:rPr>
          <w:rFonts w:ascii="Calibri" w:hAnsi="Calibri" w:cs="Calibri"/>
        </w:rPr>
        <w:t xml:space="preserve">, K. (2018) ‘Students’ perception towards the library user education </w:t>
      </w:r>
      <w:proofErr w:type="spellStart"/>
      <w:r w:rsidRPr="00036C50">
        <w:rPr>
          <w:rFonts w:ascii="Calibri" w:hAnsi="Calibri" w:cs="Calibri"/>
        </w:rPr>
        <w:t>programmes</w:t>
      </w:r>
      <w:proofErr w:type="spellEnd"/>
      <w:r w:rsidRPr="00036C50">
        <w:rPr>
          <w:rFonts w:ascii="Calibri" w:hAnsi="Calibri" w:cs="Calibri"/>
        </w:rPr>
        <w:t xml:space="preserve"> of the University of Moratuwa’, </w:t>
      </w:r>
      <w:r w:rsidRPr="00036C50">
        <w:rPr>
          <w:rFonts w:ascii="Calibri" w:hAnsi="Calibri" w:cs="Calibri"/>
          <w:i/>
          <w:iCs/>
        </w:rPr>
        <w:t>Journal of the University Librarians Association of Sri Lanka</w:t>
      </w:r>
      <w:r w:rsidRPr="00036C50">
        <w:rPr>
          <w:rFonts w:ascii="Calibri" w:hAnsi="Calibri" w:cs="Calibri"/>
        </w:rPr>
        <w:t>, 21(2), pp. 93–110.</w:t>
      </w:r>
    </w:p>
    <w:p w14:paraId="4D5CE03E" w14:textId="77777777" w:rsidR="008D2DC2" w:rsidRPr="00036C50" w:rsidRDefault="008D2DC2" w:rsidP="008D2DC2">
      <w:pPr>
        <w:jc w:val="both"/>
        <w:rPr>
          <w:rFonts w:ascii="Calibri" w:hAnsi="Calibri" w:cs="Calibri"/>
        </w:rPr>
      </w:pPr>
      <w:r w:rsidRPr="00036C50">
        <w:rPr>
          <w:rFonts w:ascii="Calibri" w:hAnsi="Calibri" w:cs="Calibri"/>
        </w:rPr>
        <w:t xml:space="preserve">George, S., Costigan, A., and O’Hara, M. (2013) ‘Placing the library at the heart of plagiarism prevention: The University of Bradford experience’, </w:t>
      </w:r>
      <w:r w:rsidRPr="00036C50">
        <w:rPr>
          <w:rFonts w:ascii="Calibri" w:hAnsi="Calibri" w:cs="Calibri"/>
          <w:i/>
          <w:iCs/>
        </w:rPr>
        <w:t>New Review of Academic Librarianship</w:t>
      </w:r>
      <w:r w:rsidRPr="00036C50">
        <w:rPr>
          <w:rFonts w:ascii="Calibri" w:hAnsi="Calibri" w:cs="Calibri"/>
        </w:rPr>
        <w:t>, 19(2), pp. 45–57.</w:t>
      </w:r>
    </w:p>
    <w:p w14:paraId="7F13881B" w14:textId="77777777" w:rsidR="008D2DC2" w:rsidRPr="00036C50" w:rsidRDefault="008D2DC2" w:rsidP="008D2DC2">
      <w:pPr>
        <w:jc w:val="both"/>
        <w:rPr>
          <w:rFonts w:ascii="Calibri" w:hAnsi="Calibri" w:cs="Calibri"/>
        </w:rPr>
      </w:pPr>
      <w:r w:rsidRPr="00036C50">
        <w:rPr>
          <w:rFonts w:ascii="Calibri" w:hAnsi="Calibri" w:cs="Calibri"/>
        </w:rPr>
        <w:t xml:space="preserve">Gravett, K. and </w:t>
      </w:r>
      <w:proofErr w:type="spellStart"/>
      <w:r w:rsidRPr="00036C50">
        <w:rPr>
          <w:rFonts w:ascii="Calibri" w:hAnsi="Calibri" w:cs="Calibri"/>
        </w:rPr>
        <w:t>Kinchin</w:t>
      </w:r>
      <w:proofErr w:type="spellEnd"/>
      <w:r w:rsidRPr="00036C50">
        <w:rPr>
          <w:rFonts w:ascii="Calibri" w:hAnsi="Calibri" w:cs="Calibri"/>
        </w:rPr>
        <w:t xml:space="preserve">, I.M. (2018) ‘Referencing and empowerment: Exploring barriers to agency in the higher education student experience’, </w:t>
      </w:r>
      <w:r w:rsidRPr="00036C50">
        <w:rPr>
          <w:rFonts w:ascii="Calibri" w:hAnsi="Calibri" w:cs="Calibri"/>
          <w:i/>
          <w:iCs/>
        </w:rPr>
        <w:t>Teaching in Higher Education</w:t>
      </w:r>
      <w:r w:rsidRPr="00036C50">
        <w:rPr>
          <w:rFonts w:ascii="Calibri" w:hAnsi="Calibri" w:cs="Calibri"/>
        </w:rPr>
        <w:t>, 23(2), pp. 156–168.</w:t>
      </w:r>
    </w:p>
    <w:p w14:paraId="2B596EFE" w14:textId="77777777" w:rsidR="008D2DC2" w:rsidRPr="00036C50" w:rsidRDefault="008D2DC2" w:rsidP="008D2DC2">
      <w:pPr>
        <w:jc w:val="both"/>
        <w:rPr>
          <w:rFonts w:ascii="Calibri" w:hAnsi="Calibri" w:cs="Calibri"/>
        </w:rPr>
      </w:pPr>
      <w:r w:rsidRPr="00036C50">
        <w:rPr>
          <w:rFonts w:ascii="Calibri" w:hAnsi="Calibri" w:cs="Calibri"/>
        </w:rPr>
        <w:lastRenderedPageBreak/>
        <w:t xml:space="preserve">Mahmud, N. and Tahir, M.H.M. (2024) ‘Mitigating plagiarism in ESL academic writing: Evaluating the efficacy of educational intervention’, </w:t>
      </w:r>
      <w:r w:rsidRPr="00036C50">
        <w:rPr>
          <w:rFonts w:ascii="Calibri" w:hAnsi="Calibri" w:cs="Calibri"/>
          <w:i/>
          <w:iCs/>
        </w:rPr>
        <w:t>Journal of Language and Education</w:t>
      </w:r>
      <w:r w:rsidRPr="00036C50">
        <w:rPr>
          <w:rFonts w:ascii="Calibri" w:hAnsi="Calibri" w:cs="Calibri"/>
        </w:rPr>
        <w:t>, 10(3), pp. 34–40.</w:t>
      </w:r>
    </w:p>
    <w:p w14:paraId="2103D16E" w14:textId="77777777" w:rsidR="008D2DC2" w:rsidRPr="00036C50" w:rsidRDefault="008D2DC2" w:rsidP="008D2DC2">
      <w:pPr>
        <w:jc w:val="both"/>
        <w:rPr>
          <w:rFonts w:ascii="Calibri" w:hAnsi="Calibri" w:cs="Calibri"/>
        </w:rPr>
      </w:pPr>
      <w:r w:rsidRPr="00036C50">
        <w:rPr>
          <w:rFonts w:ascii="Calibri" w:hAnsi="Calibri" w:cs="Calibri"/>
        </w:rPr>
        <w:t xml:space="preserve">Miranda-Rodríguez, R.A., Sánchez-Nieto, J.M., and Ruiz-Rodríguez, A.K. (2024) ‘Effectiveness of intervention programs in reducing plagiarism by university students: A systematic review’, </w:t>
      </w:r>
      <w:r w:rsidRPr="00036C50">
        <w:rPr>
          <w:rFonts w:ascii="Calibri" w:hAnsi="Calibri" w:cs="Calibri"/>
          <w:i/>
          <w:iCs/>
        </w:rPr>
        <w:t>Frontiers in Education</w:t>
      </w:r>
      <w:r w:rsidRPr="00036C50">
        <w:rPr>
          <w:rFonts w:ascii="Calibri" w:hAnsi="Calibri" w:cs="Calibri"/>
        </w:rPr>
        <w:t>, 9(3), pp. 21–28.</w:t>
      </w:r>
    </w:p>
    <w:p w14:paraId="5243C346" w14:textId="77777777" w:rsidR="008D2DC2" w:rsidRPr="00036C50" w:rsidRDefault="008D2DC2" w:rsidP="00540919">
      <w:pPr>
        <w:spacing w:line="240" w:lineRule="auto"/>
        <w:jc w:val="both"/>
        <w:rPr>
          <w:rFonts w:ascii="Calibri" w:hAnsi="Calibri" w:cs="Calibri"/>
        </w:rPr>
      </w:pPr>
    </w:p>
    <w:sectPr w:rsidR="008D2DC2" w:rsidRPr="00036C50" w:rsidSect="00540919">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A3436"/>
    <w:multiLevelType w:val="multilevel"/>
    <w:tmpl w:val="A1EEC95E"/>
    <w:lvl w:ilvl="0">
      <w:start w:val="1"/>
      <w:numFmt w:val="decimal"/>
      <w:pStyle w:val="Heading1"/>
      <w:lvlText w:val="%1."/>
      <w:lvlJc w:val="left"/>
      <w:pPr>
        <w:ind w:left="720" w:hanging="360"/>
      </w:pPr>
      <w:rPr>
        <w:rFonts w:hint="default"/>
      </w:rPr>
    </w:lvl>
    <w:lvl w:ilvl="1">
      <w:start w:val="1"/>
      <w:numFmt w:val="decimal"/>
      <w:pStyle w:val="Heading2"/>
      <w:isLgl/>
      <w:lvlText w:val="%1.%2. "/>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495F5D"/>
    <w:multiLevelType w:val="multilevel"/>
    <w:tmpl w:val="852EAF2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389038605">
    <w:abstractNumId w:val="1"/>
  </w:num>
  <w:num w:numId="2" w16cid:durableId="1031079060">
    <w:abstractNumId w:val="0"/>
  </w:num>
  <w:num w:numId="3" w16cid:durableId="861086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40919"/>
    <w:rsid w:val="00003386"/>
    <w:rsid w:val="00017D73"/>
    <w:rsid w:val="00034D88"/>
    <w:rsid w:val="00036C50"/>
    <w:rsid w:val="000772CA"/>
    <w:rsid w:val="00077B0E"/>
    <w:rsid w:val="001004F3"/>
    <w:rsid w:val="00113B8B"/>
    <w:rsid w:val="00167527"/>
    <w:rsid w:val="00173B5A"/>
    <w:rsid w:val="001766F5"/>
    <w:rsid w:val="00191A0F"/>
    <w:rsid w:val="001A01DF"/>
    <w:rsid w:val="00264638"/>
    <w:rsid w:val="00293990"/>
    <w:rsid w:val="002A1A0F"/>
    <w:rsid w:val="002A4A7F"/>
    <w:rsid w:val="002C1B7A"/>
    <w:rsid w:val="002D0CCB"/>
    <w:rsid w:val="004015C9"/>
    <w:rsid w:val="00413A22"/>
    <w:rsid w:val="004140FA"/>
    <w:rsid w:val="00444CCE"/>
    <w:rsid w:val="00540919"/>
    <w:rsid w:val="00564BD0"/>
    <w:rsid w:val="005779F1"/>
    <w:rsid w:val="005C727E"/>
    <w:rsid w:val="0060104A"/>
    <w:rsid w:val="006113C4"/>
    <w:rsid w:val="006674BD"/>
    <w:rsid w:val="006B2579"/>
    <w:rsid w:val="00745A9E"/>
    <w:rsid w:val="00767AC1"/>
    <w:rsid w:val="007848FD"/>
    <w:rsid w:val="007A3B74"/>
    <w:rsid w:val="008121E5"/>
    <w:rsid w:val="008305F6"/>
    <w:rsid w:val="008571CF"/>
    <w:rsid w:val="008D2DC2"/>
    <w:rsid w:val="00920A1F"/>
    <w:rsid w:val="0095495B"/>
    <w:rsid w:val="0096504A"/>
    <w:rsid w:val="00972F53"/>
    <w:rsid w:val="009820CB"/>
    <w:rsid w:val="009A1384"/>
    <w:rsid w:val="009C2AFB"/>
    <w:rsid w:val="00A81C70"/>
    <w:rsid w:val="00AB4535"/>
    <w:rsid w:val="00AD1744"/>
    <w:rsid w:val="00B01754"/>
    <w:rsid w:val="00B303D5"/>
    <w:rsid w:val="00B759AA"/>
    <w:rsid w:val="00BD4859"/>
    <w:rsid w:val="00C05562"/>
    <w:rsid w:val="00C3000E"/>
    <w:rsid w:val="00C523BA"/>
    <w:rsid w:val="00C70F24"/>
    <w:rsid w:val="00CD3287"/>
    <w:rsid w:val="00CE1393"/>
    <w:rsid w:val="00D40CB3"/>
    <w:rsid w:val="00D6125C"/>
    <w:rsid w:val="00D94B8D"/>
    <w:rsid w:val="00DA2515"/>
    <w:rsid w:val="00E33A02"/>
    <w:rsid w:val="00EA3E2C"/>
    <w:rsid w:val="00EC3D2E"/>
    <w:rsid w:val="00F640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C6431F"/>
  <w15:chartTrackingRefBased/>
  <w15:docId w15:val="{EFE1E0A7-4BF7-4DC7-B406-54E8D963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D4859"/>
    <w:pPr>
      <w:keepNext/>
      <w:keepLines/>
      <w:numPr>
        <w:numId w:val="2"/>
      </w:numPr>
      <w:spacing w:before="360" w:after="80" w:line="279" w:lineRule="auto"/>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BD4859"/>
    <w:pPr>
      <w:keepNext/>
      <w:keepLines/>
      <w:numPr>
        <w:ilvl w:val="1"/>
        <w:numId w:val="3"/>
      </w:numPr>
      <w:spacing w:before="160" w:after="80" w:line="279"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0772CA"/>
    <w:pPr>
      <w:keepNext/>
      <w:keepLines/>
      <w:spacing w:before="160" w:after="80" w:line="279" w:lineRule="auto"/>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5409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9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9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9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9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9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85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745A9E"/>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0772CA"/>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5409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9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9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9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9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919"/>
    <w:rPr>
      <w:rFonts w:eastAsiaTheme="majorEastAsia" w:cstheme="majorBidi"/>
      <w:color w:val="272727" w:themeColor="text1" w:themeTint="D8"/>
    </w:rPr>
  </w:style>
  <w:style w:type="paragraph" w:styleId="Title">
    <w:name w:val="Title"/>
    <w:basedOn w:val="Normal"/>
    <w:next w:val="Normal"/>
    <w:link w:val="TitleChar"/>
    <w:uiPriority w:val="10"/>
    <w:qFormat/>
    <w:rsid w:val="005409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9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9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9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919"/>
    <w:pPr>
      <w:spacing w:before="160"/>
      <w:jc w:val="center"/>
    </w:pPr>
    <w:rPr>
      <w:i/>
      <w:iCs/>
      <w:color w:val="404040" w:themeColor="text1" w:themeTint="BF"/>
    </w:rPr>
  </w:style>
  <w:style w:type="character" w:customStyle="1" w:styleId="QuoteChar">
    <w:name w:val="Quote Char"/>
    <w:basedOn w:val="DefaultParagraphFont"/>
    <w:link w:val="Quote"/>
    <w:uiPriority w:val="29"/>
    <w:rsid w:val="00540919"/>
    <w:rPr>
      <w:i/>
      <w:iCs/>
      <w:color w:val="404040" w:themeColor="text1" w:themeTint="BF"/>
    </w:rPr>
  </w:style>
  <w:style w:type="paragraph" w:styleId="ListParagraph">
    <w:name w:val="List Paragraph"/>
    <w:basedOn w:val="Normal"/>
    <w:uiPriority w:val="34"/>
    <w:qFormat/>
    <w:rsid w:val="00540919"/>
    <w:pPr>
      <w:ind w:left="720"/>
      <w:contextualSpacing/>
    </w:pPr>
  </w:style>
  <w:style w:type="character" w:styleId="IntenseEmphasis">
    <w:name w:val="Intense Emphasis"/>
    <w:basedOn w:val="DefaultParagraphFont"/>
    <w:uiPriority w:val="21"/>
    <w:qFormat/>
    <w:rsid w:val="00540919"/>
    <w:rPr>
      <w:i/>
      <w:iCs/>
      <w:color w:val="0F4761" w:themeColor="accent1" w:themeShade="BF"/>
    </w:rPr>
  </w:style>
  <w:style w:type="paragraph" w:styleId="IntenseQuote">
    <w:name w:val="Intense Quote"/>
    <w:basedOn w:val="Normal"/>
    <w:next w:val="Normal"/>
    <w:link w:val="IntenseQuoteChar"/>
    <w:uiPriority w:val="30"/>
    <w:qFormat/>
    <w:rsid w:val="005409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919"/>
    <w:rPr>
      <w:i/>
      <w:iCs/>
      <w:color w:val="0F4761" w:themeColor="accent1" w:themeShade="BF"/>
    </w:rPr>
  </w:style>
  <w:style w:type="character" w:styleId="IntenseReference">
    <w:name w:val="Intense Reference"/>
    <w:basedOn w:val="DefaultParagraphFont"/>
    <w:uiPriority w:val="32"/>
    <w:qFormat/>
    <w:rsid w:val="00540919"/>
    <w:rPr>
      <w:b/>
      <w:bCs/>
      <w:smallCaps/>
      <w:color w:val="0F4761" w:themeColor="accent1" w:themeShade="BF"/>
      <w:spacing w:val="5"/>
    </w:rPr>
  </w:style>
  <w:style w:type="paragraph" w:styleId="TOC1">
    <w:name w:val="toc 1"/>
    <w:basedOn w:val="Normal"/>
    <w:next w:val="Normal"/>
    <w:autoRedefine/>
    <w:uiPriority w:val="39"/>
    <w:unhideWhenUsed/>
    <w:rsid w:val="00077B0E"/>
    <w:pPr>
      <w:spacing w:before="240" w:after="120"/>
    </w:pPr>
    <w:rPr>
      <w:b/>
      <w:bCs/>
      <w:sz w:val="20"/>
      <w:szCs w:val="20"/>
    </w:rPr>
  </w:style>
  <w:style w:type="paragraph" w:styleId="TOC2">
    <w:name w:val="toc 2"/>
    <w:basedOn w:val="Normal"/>
    <w:next w:val="Normal"/>
    <w:autoRedefine/>
    <w:uiPriority w:val="39"/>
    <w:unhideWhenUsed/>
    <w:rsid w:val="00077B0E"/>
    <w:pPr>
      <w:spacing w:before="120" w:after="0"/>
      <w:ind w:left="240"/>
    </w:pPr>
    <w:rPr>
      <w:i/>
      <w:iCs/>
      <w:sz w:val="20"/>
      <w:szCs w:val="20"/>
    </w:rPr>
  </w:style>
  <w:style w:type="paragraph" w:styleId="TOC3">
    <w:name w:val="toc 3"/>
    <w:basedOn w:val="Normal"/>
    <w:next w:val="Normal"/>
    <w:autoRedefine/>
    <w:uiPriority w:val="39"/>
    <w:unhideWhenUsed/>
    <w:rsid w:val="00077B0E"/>
    <w:pPr>
      <w:spacing w:after="0"/>
      <w:ind w:left="480"/>
    </w:pPr>
    <w:rPr>
      <w:sz w:val="20"/>
      <w:szCs w:val="20"/>
    </w:rPr>
  </w:style>
  <w:style w:type="paragraph" w:styleId="TOC4">
    <w:name w:val="toc 4"/>
    <w:basedOn w:val="Normal"/>
    <w:next w:val="Normal"/>
    <w:autoRedefine/>
    <w:uiPriority w:val="39"/>
    <w:unhideWhenUsed/>
    <w:rsid w:val="00077B0E"/>
    <w:pPr>
      <w:spacing w:after="0"/>
      <w:ind w:left="720"/>
    </w:pPr>
    <w:rPr>
      <w:sz w:val="20"/>
      <w:szCs w:val="20"/>
    </w:rPr>
  </w:style>
  <w:style w:type="paragraph" w:styleId="TOC5">
    <w:name w:val="toc 5"/>
    <w:basedOn w:val="Normal"/>
    <w:next w:val="Normal"/>
    <w:autoRedefine/>
    <w:uiPriority w:val="39"/>
    <w:unhideWhenUsed/>
    <w:rsid w:val="00077B0E"/>
    <w:pPr>
      <w:spacing w:after="0"/>
      <w:ind w:left="960"/>
    </w:pPr>
    <w:rPr>
      <w:sz w:val="20"/>
      <w:szCs w:val="20"/>
    </w:rPr>
  </w:style>
  <w:style w:type="paragraph" w:styleId="TOC6">
    <w:name w:val="toc 6"/>
    <w:basedOn w:val="Normal"/>
    <w:next w:val="Normal"/>
    <w:autoRedefine/>
    <w:uiPriority w:val="39"/>
    <w:unhideWhenUsed/>
    <w:rsid w:val="00077B0E"/>
    <w:pPr>
      <w:spacing w:after="0"/>
      <w:ind w:left="1200"/>
    </w:pPr>
    <w:rPr>
      <w:sz w:val="20"/>
      <w:szCs w:val="20"/>
    </w:rPr>
  </w:style>
  <w:style w:type="paragraph" w:styleId="TOC7">
    <w:name w:val="toc 7"/>
    <w:basedOn w:val="Normal"/>
    <w:next w:val="Normal"/>
    <w:autoRedefine/>
    <w:uiPriority w:val="39"/>
    <w:unhideWhenUsed/>
    <w:rsid w:val="00077B0E"/>
    <w:pPr>
      <w:spacing w:after="0"/>
      <w:ind w:left="1440"/>
    </w:pPr>
    <w:rPr>
      <w:sz w:val="20"/>
      <w:szCs w:val="20"/>
    </w:rPr>
  </w:style>
  <w:style w:type="paragraph" w:styleId="TOC8">
    <w:name w:val="toc 8"/>
    <w:basedOn w:val="Normal"/>
    <w:next w:val="Normal"/>
    <w:autoRedefine/>
    <w:uiPriority w:val="39"/>
    <w:unhideWhenUsed/>
    <w:rsid w:val="00077B0E"/>
    <w:pPr>
      <w:spacing w:after="0"/>
      <w:ind w:left="1680"/>
    </w:pPr>
    <w:rPr>
      <w:sz w:val="20"/>
      <w:szCs w:val="20"/>
    </w:rPr>
  </w:style>
  <w:style w:type="paragraph" w:styleId="TOC9">
    <w:name w:val="toc 9"/>
    <w:basedOn w:val="Normal"/>
    <w:next w:val="Normal"/>
    <w:autoRedefine/>
    <w:uiPriority w:val="39"/>
    <w:unhideWhenUsed/>
    <w:rsid w:val="00077B0E"/>
    <w:pPr>
      <w:spacing w:after="0"/>
      <w:ind w:left="1920"/>
    </w:pPr>
    <w:rPr>
      <w:sz w:val="20"/>
      <w:szCs w:val="20"/>
    </w:rPr>
  </w:style>
  <w:style w:type="character" w:styleId="Hyperlink">
    <w:name w:val="Hyperlink"/>
    <w:basedOn w:val="DefaultParagraphFont"/>
    <w:uiPriority w:val="99"/>
    <w:unhideWhenUsed/>
    <w:rsid w:val="00077B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977594">
      <w:bodyDiv w:val="1"/>
      <w:marLeft w:val="0"/>
      <w:marRight w:val="0"/>
      <w:marTop w:val="0"/>
      <w:marBottom w:val="0"/>
      <w:divBdr>
        <w:top w:val="none" w:sz="0" w:space="0" w:color="auto"/>
        <w:left w:val="none" w:sz="0" w:space="0" w:color="auto"/>
        <w:bottom w:val="none" w:sz="0" w:space="0" w:color="auto"/>
        <w:right w:val="none" w:sz="0" w:space="0" w:color="auto"/>
      </w:divBdr>
    </w:div>
    <w:div w:id="284889221">
      <w:bodyDiv w:val="1"/>
      <w:marLeft w:val="0"/>
      <w:marRight w:val="0"/>
      <w:marTop w:val="0"/>
      <w:marBottom w:val="0"/>
      <w:divBdr>
        <w:top w:val="none" w:sz="0" w:space="0" w:color="auto"/>
        <w:left w:val="none" w:sz="0" w:space="0" w:color="auto"/>
        <w:bottom w:val="none" w:sz="0" w:space="0" w:color="auto"/>
        <w:right w:val="none" w:sz="0" w:space="0" w:color="auto"/>
      </w:divBdr>
    </w:div>
    <w:div w:id="311368215">
      <w:bodyDiv w:val="1"/>
      <w:marLeft w:val="0"/>
      <w:marRight w:val="0"/>
      <w:marTop w:val="0"/>
      <w:marBottom w:val="0"/>
      <w:divBdr>
        <w:top w:val="none" w:sz="0" w:space="0" w:color="auto"/>
        <w:left w:val="none" w:sz="0" w:space="0" w:color="auto"/>
        <w:bottom w:val="none" w:sz="0" w:space="0" w:color="auto"/>
        <w:right w:val="none" w:sz="0" w:space="0" w:color="auto"/>
      </w:divBdr>
    </w:div>
    <w:div w:id="313603058">
      <w:bodyDiv w:val="1"/>
      <w:marLeft w:val="0"/>
      <w:marRight w:val="0"/>
      <w:marTop w:val="0"/>
      <w:marBottom w:val="0"/>
      <w:divBdr>
        <w:top w:val="none" w:sz="0" w:space="0" w:color="auto"/>
        <w:left w:val="none" w:sz="0" w:space="0" w:color="auto"/>
        <w:bottom w:val="none" w:sz="0" w:space="0" w:color="auto"/>
        <w:right w:val="none" w:sz="0" w:space="0" w:color="auto"/>
      </w:divBdr>
    </w:div>
    <w:div w:id="677735344">
      <w:bodyDiv w:val="1"/>
      <w:marLeft w:val="0"/>
      <w:marRight w:val="0"/>
      <w:marTop w:val="0"/>
      <w:marBottom w:val="0"/>
      <w:divBdr>
        <w:top w:val="none" w:sz="0" w:space="0" w:color="auto"/>
        <w:left w:val="none" w:sz="0" w:space="0" w:color="auto"/>
        <w:bottom w:val="none" w:sz="0" w:space="0" w:color="auto"/>
        <w:right w:val="none" w:sz="0" w:space="0" w:color="auto"/>
      </w:divBdr>
    </w:div>
    <w:div w:id="733090435">
      <w:bodyDiv w:val="1"/>
      <w:marLeft w:val="0"/>
      <w:marRight w:val="0"/>
      <w:marTop w:val="0"/>
      <w:marBottom w:val="0"/>
      <w:divBdr>
        <w:top w:val="none" w:sz="0" w:space="0" w:color="auto"/>
        <w:left w:val="none" w:sz="0" w:space="0" w:color="auto"/>
        <w:bottom w:val="none" w:sz="0" w:space="0" w:color="auto"/>
        <w:right w:val="none" w:sz="0" w:space="0" w:color="auto"/>
      </w:divBdr>
    </w:div>
    <w:div w:id="1020165273">
      <w:bodyDiv w:val="1"/>
      <w:marLeft w:val="0"/>
      <w:marRight w:val="0"/>
      <w:marTop w:val="0"/>
      <w:marBottom w:val="0"/>
      <w:divBdr>
        <w:top w:val="none" w:sz="0" w:space="0" w:color="auto"/>
        <w:left w:val="none" w:sz="0" w:space="0" w:color="auto"/>
        <w:bottom w:val="none" w:sz="0" w:space="0" w:color="auto"/>
        <w:right w:val="none" w:sz="0" w:space="0" w:color="auto"/>
      </w:divBdr>
    </w:div>
    <w:div w:id="1050108418">
      <w:bodyDiv w:val="1"/>
      <w:marLeft w:val="0"/>
      <w:marRight w:val="0"/>
      <w:marTop w:val="0"/>
      <w:marBottom w:val="0"/>
      <w:divBdr>
        <w:top w:val="none" w:sz="0" w:space="0" w:color="auto"/>
        <w:left w:val="none" w:sz="0" w:space="0" w:color="auto"/>
        <w:bottom w:val="none" w:sz="0" w:space="0" w:color="auto"/>
        <w:right w:val="none" w:sz="0" w:space="0" w:color="auto"/>
      </w:divBdr>
    </w:div>
    <w:div w:id="1082218678">
      <w:bodyDiv w:val="1"/>
      <w:marLeft w:val="0"/>
      <w:marRight w:val="0"/>
      <w:marTop w:val="0"/>
      <w:marBottom w:val="0"/>
      <w:divBdr>
        <w:top w:val="none" w:sz="0" w:space="0" w:color="auto"/>
        <w:left w:val="none" w:sz="0" w:space="0" w:color="auto"/>
        <w:bottom w:val="none" w:sz="0" w:space="0" w:color="auto"/>
        <w:right w:val="none" w:sz="0" w:space="0" w:color="auto"/>
      </w:divBdr>
    </w:div>
    <w:div w:id="1255211752">
      <w:bodyDiv w:val="1"/>
      <w:marLeft w:val="0"/>
      <w:marRight w:val="0"/>
      <w:marTop w:val="0"/>
      <w:marBottom w:val="0"/>
      <w:divBdr>
        <w:top w:val="none" w:sz="0" w:space="0" w:color="auto"/>
        <w:left w:val="none" w:sz="0" w:space="0" w:color="auto"/>
        <w:bottom w:val="none" w:sz="0" w:space="0" w:color="auto"/>
        <w:right w:val="none" w:sz="0" w:space="0" w:color="auto"/>
      </w:divBdr>
    </w:div>
    <w:div w:id="1616404939">
      <w:bodyDiv w:val="1"/>
      <w:marLeft w:val="0"/>
      <w:marRight w:val="0"/>
      <w:marTop w:val="0"/>
      <w:marBottom w:val="0"/>
      <w:divBdr>
        <w:top w:val="none" w:sz="0" w:space="0" w:color="auto"/>
        <w:left w:val="none" w:sz="0" w:space="0" w:color="auto"/>
        <w:bottom w:val="none" w:sz="0" w:space="0" w:color="auto"/>
        <w:right w:val="none" w:sz="0" w:space="0" w:color="auto"/>
      </w:divBdr>
    </w:div>
    <w:div w:id="1896624566">
      <w:bodyDiv w:val="1"/>
      <w:marLeft w:val="0"/>
      <w:marRight w:val="0"/>
      <w:marTop w:val="0"/>
      <w:marBottom w:val="0"/>
      <w:divBdr>
        <w:top w:val="none" w:sz="0" w:space="0" w:color="auto"/>
        <w:left w:val="none" w:sz="0" w:space="0" w:color="auto"/>
        <w:bottom w:val="none" w:sz="0" w:space="0" w:color="auto"/>
        <w:right w:val="none" w:sz="0" w:space="0" w:color="auto"/>
      </w:divBdr>
    </w:div>
    <w:div w:id="1936786527">
      <w:bodyDiv w:val="1"/>
      <w:marLeft w:val="0"/>
      <w:marRight w:val="0"/>
      <w:marTop w:val="0"/>
      <w:marBottom w:val="0"/>
      <w:divBdr>
        <w:top w:val="none" w:sz="0" w:space="0" w:color="auto"/>
        <w:left w:val="none" w:sz="0" w:space="0" w:color="auto"/>
        <w:bottom w:val="none" w:sz="0" w:space="0" w:color="auto"/>
        <w:right w:val="none" w:sz="0" w:space="0" w:color="auto"/>
      </w:divBdr>
    </w:div>
    <w:div w:id="1989244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57556-697C-4EEF-B8B0-D6C82116A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2059</Words>
  <Characters>12416</Characters>
  <DocSecurity>0</DocSecurity>
  <Lines>200</Lines>
  <Paragraphs>56</Paragraphs>
  <ScaleCrop>false</ScaleCrop>
  <Company/>
  <LinksUpToDate>false</LinksUpToDate>
  <CharactersWithSpaces>14419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2024-12-07T06:18:00Z</dcterms:created>
  <dcterms:modified xsi:type="dcterms:W3CDTF">2024-12-07T07:17:00Z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fc510cc88844e477ab0d64ac2704a7b74935f49a425e681e81bdf44ea7829001</vt:lpwstr>
  </property>
</Properties>
</file>