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8EB425" w14:textId="77684ED6" w:rsidR="00D03B5F" w:rsidRPr="00D03B5F" w:rsidRDefault="00D03B5F" w:rsidP="00D03B5F">
      <w:pPr>
        <w:rPr>
          <w:b/>
          <w:bCs/>
        </w:rPr>
      </w:pPr>
      <w:r w:rsidRPr="00D03B5F">
        <w:rPr>
          <w:b/>
          <w:bCs/>
        </w:rPr>
        <w:t xml:space="preserve">Critically </w:t>
      </w:r>
      <w:r w:rsidRPr="00D03B5F">
        <w:rPr>
          <w:b/>
          <w:bCs/>
        </w:rPr>
        <w:t>Analysing</w:t>
      </w:r>
      <w:r w:rsidRPr="00D03B5F">
        <w:rPr>
          <w:b/>
          <w:bCs/>
        </w:rPr>
        <w:t xml:space="preserve"> the Common-Sense Model of Self-Regulation in Predicting Health Outcomes in Patients with Diabetes</w:t>
      </w:r>
    </w:p>
    <w:p w14:paraId="0579F7E9" w14:textId="329EDA69" w:rsidR="00D03B5F" w:rsidRPr="00D03B5F" w:rsidRDefault="00D03B5F" w:rsidP="00D03B5F">
      <w:r w:rsidRPr="00D03B5F">
        <w:t>Diabetes is a chronic condition that affects how the body processes blood sugar (glucose). There are three main types of diabetes: type 1, type 2, and gestational diabetes. Type 1 diabetes is an autoimmune condition where the body attacks insulin-producing cells in the pancreas, leading to a lack of insulin. Type 2 diabetes, the most common form, occurs when the body becomes resistant to insulin or doesn't produce enough insulin. Gestational diabetes occurs during pregnancy and usually resolves after childbirth (American Diabetes Association, 2020; World Health Organi</w:t>
      </w:r>
      <w:r w:rsidR="00D45F8B">
        <w:t>s</w:t>
      </w:r>
      <w:r w:rsidRPr="00D03B5F">
        <w:t>ation, 2021).</w:t>
      </w:r>
    </w:p>
    <w:p w14:paraId="332848DD" w14:textId="77777777" w:rsidR="00D03B5F" w:rsidRPr="00D03B5F" w:rsidRDefault="00D03B5F" w:rsidP="00D03B5F">
      <w:r w:rsidRPr="00D03B5F">
        <w:t>Managing diabetes effectively is crucial to prevent complications such as cardiovascular disease, nerve damage, kidney failure, and vision problems. However, developing effective interventions for diabetes management poses significant challenges. These challenges include ensuring patient adherence to treatment regimens, addressing the psychological impact of living with a chronic condition, and overcoming barriers to accessing healthcare, especially in low-income settings (Breland, Wong, &amp; McAndrew, 2020; Hale, Treharne, &amp; Kitas, 2007). Additionally, the heterogeneity of the diabetic population, with variations in age, comorbidities, and socio-economic status, complicates the development of one-size-fits-all interventions (Breland et al., 2020).</w:t>
      </w:r>
    </w:p>
    <w:p w14:paraId="2B800800" w14:textId="3A83B62E" w:rsidR="00D03B5F" w:rsidRPr="00D03B5F" w:rsidRDefault="00D03B5F" w:rsidP="00D03B5F">
      <w:r w:rsidRPr="00D03B5F">
        <w:t xml:space="preserve">Understanding the psychological mechanisms that underpin health outcomes in diabetic patients is essential for creating tailored interventions. Leventhal’s Common-Sense Model (CSM) of self-regulation offers a framework for understanding how individuals perceive and manage their illness, which can influence their health outcomes. This essay critically </w:t>
      </w:r>
      <w:r w:rsidRPr="00D03B5F">
        <w:t>analyses</w:t>
      </w:r>
      <w:r w:rsidRPr="00D03B5F">
        <w:t xml:space="preserve"> the extent to which the CSM can predict health outcomes in patients with diabetes, drawing on empirical studies to support the discussion.</w:t>
      </w:r>
    </w:p>
    <w:p w14:paraId="1D29FAF0" w14:textId="77777777" w:rsidR="00D03B5F" w:rsidRPr="00D03B5F" w:rsidRDefault="00D03B5F" w:rsidP="00D03B5F">
      <w:r w:rsidRPr="00D03B5F">
        <w:t xml:space="preserve">The Common-Sense Model (CSM) of self-regulation, developed by Leventhal and colleagues, explains how individuals respond to and manage health threats. The model posits that individuals create cognitive and emotional representations of their illness, which guide their coping strategies and health </w:t>
      </w:r>
      <w:proofErr w:type="spellStart"/>
      <w:r w:rsidRPr="00D03B5F">
        <w:t>behaviors</w:t>
      </w:r>
      <w:proofErr w:type="spellEnd"/>
      <w:r w:rsidRPr="00D03B5F">
        <w:t xml:space="preserve"> (Leventhal, Brissette, &amp; Leventhal, 2003). These representations include beliefs about the identity, cause, timeline, consequences, and controllability of the illness.</w:t>
      </w:r>
    </w:p>
    <w:p w14:paraId="6E8C8427" w14:textId="77777777" w:rsidR="00D03B5F" w:rsidRPr="00D03B5F" w:rsidRDefault="00D03B5F" w:rsidP="00D03B5F">
      <w:r w:rsidRPr="00D03B5F">
        <w:t xml:space="preserve">The CSM is divided into three phases: the perceptual stage, the response stage, and the appraisal stage (Leventhal et al., 2003). In the perceptual stage, individuals develop a common-sense illness representation of the health threat. This representation includes both cognitive and emotional components. In the response stage, individuals select and perform actions to manage the health threat based on their illness representation. </w:t>
      </w:r>
      <w:r w:rsidRPr="00D03B5F">
        <w:lastRenderedPageBreak/>
        <w:t>These actions can include seeking medical treatment, adhering to medication regimens, or engaging in lifestyle changes. In the appraisal stage, individuals evaluate the effectiveness of their actions and adjust their illness representation and coping strategies accordingly (Leventhal et al., 2003; Hale et al., 2007).</w:t>
      </w:r>
    </w:p>
    <w:p w14:paraId="366DD914" w14:textId="20A9B9A5" w:rsidR="00D03B5F" w:rsidRPr="00D03B5F" w:rsidRDefault="00D03B5F" w:rsidP="00D03B5F">
      <w:r w:rsidRPr="00D03B5F">
        <w:t xml:space="preserve">In the context of diabetes, the CSM can help explain how patients' beliefs about their illness influence their self-management </w:t>
      </w:r>
      <w:r w:rsidRPr="00D03B5F">
        <w:t>behaviours</w:t>
      </w:r>
      <w:r w:rsidRPr="00D03B5F">
        <w:t xml:space="preserve"> and health outcomes. For example, a patient who believes that their diabetes is a severe and uncontrollable condition may be less likely to adhere to their treatment regimen and more likely to experience negative health outcomes (Hagger &amp; Orbell, 2003). This belief can lead to a sense of helplessness and reduced motivation to engage in self-care activities, such as monitoring blood glucose levels, following a healthy diet, and exercising regularly (Patel et al., 2015). Conversely, patients who perceive their diabetes as a manageable condition are more likely to adopt proactive self-management </w:t>
      </w:r>
      <w:r w:rsidRPr="00D03B5F">
        <w:t>behaviours</w:t>
      </w:r>
      <w:r w:rsidRPr="00D03B5F">
        <w:t xml:space="preserve">, resulting in better </w:t>
      </w:r>
      <w:r w:rsidRPr="00D03B5F">
        <w:t>glycaemic</w:t>
      </w:r>
      <w:r w:rsidRPr="00D03B5F">
        <w:t xml:space="preserve"> control and overall health outcomes (von Arx, Gydesen, &amp; Skovlund, 2016).</w:t>
      </w:r>
    </w:p>
    <w:p w14:paraId="2F2D9D79" w14:textId="77777777" w:rsidR="00D03B5F" w:rsidRPr="00D03B5F" w:rsidRDefault="00D03B5F" w:rsidP="00D03B5F">
      <w:r w:rsidRPr="00D03B5F">
        <w:t xml:space="preserve">Empirical evidence suggests that illness perceptions significantly influence diabetes self-management. For instance, a study by Patel et al. (2015) found that patients with fatalistic beliefs about their diabetes were less likely to engage in effective self-management practices, such as adhering to medication and dietary recommendations. These patients often relied on alternative therapies recommended by their social networks, which were not always beneficial for their condition. Similarly, von Arx et al. (2016) demonstrated that patients who believed in the efficacy of their treatment and engaged in regular self-monitoring of blood glucose levels had better </w:t>
      </w:r>
      <w:proofErr w:type="spellStart"/>
      <w:r w:rsidRPr="00D03B5F">
        <w:t>glycemic</w:t>
      </w:r>
      <w:proofErr w:type="spellEnd"/>
      <w:r w:rsidRPr="00D03B5F">
        <w:t xml:space="preserve"> control and lower cardiovascular risk factors.</w:t>
      </w:r>
    </w:p>
    <w:p w14:paraId="507976EC" w14:textId="77777777" w:rsidR="00D03B5F" w:rsidRPr="00D03B5F" w:rsidRDefault="00D03B5F" w:rsidP="00D03B5F">
      <w:r w:rsidRPr="00D03B5F">
        <w:t>Several studies have examined the role of illness perceptions in diabetes management. For instance, Hagger and Orbell (2003) conducted a meta-analysis of 45 studies and found that perceptions of illness identity, consequences, and controllability were significantly related to coping strategies and health outcomes. Patients who perceived their diabetes as a severe and uncontrollable condition were more likely to engage in maladaptive coping strategies, such as avoidance, leading to poorer health outcomes.</w:t>
      </w:r>
    </w:p>
    <w:p w14:paraId="2A8CB726" w14:textId="3029D559" w:rsidR="00D45F8B" w:rsidRPr="00D45F8B" w:rsidRDefault="00D45F8B" w:rsidP="00D45F8B">
      <w:r w:rsidRPr="00D45F8B">
        <w:t xml:space="preserve">A systematic review by Breland, Wong, and McAndrew (2020) further supports the CSM by demonstrating that illness perceptions are consistently associated with health outcomes across various chronic conditions, including diabetes. The review included 29 studies and found that constructs from the CSM, such as perceived consequences and personal control, were significantly correlated with health outcomes. Specifically, the review highlighted that patients who believed their illness had severe consequences were more likely to experience negative health outcomes, while those who felt a sense of personal control over their illness were more likely to engage in positive health </w:t>
      </w:r>
      <w:r w:rsidRPr="00D45F8B">
        <w:t>behaviours</w:t>
      </w:r>
      <w:r w:rsidRPr="00D45F8B">
        <w:t xml:space="preserve"> and achieve better health outcomes (Breland, Wong, &amp; McAndrew, 2020).</w:t>
      </w:r>
    </w:p>
    <w:p w14:paraId="735AFEA0" w14:textId="5A03DBED" w:rsidR="00D45F8B" w:rsidRPr="00D45F8B" w:rsidRDefault="00D45F8B" w:rsidP="00D45F8B">
      <w:r w:rsidRPr="00D45F8B">
        <w:lastRenderedPageBreak/>
        <w:t xml:space="preserve">The review also examined the role of self-efficacy alongside CSM constructs, finding that self-efficacy was more consistently associated with self-management </w:t>
      </w:r>
      <w:r w:rsidRPr="00D45F8B">
        <w:t>behaviours</w:t>
      </w:r>
      <w:r w:rsidRPr="00D45F8B">
        <w:t xml:space="preserve">, whereas CSM constructs were more consistently associated with health outcomes. This dual focus underscores the importance of integrating both self-efficacy and illness perceptions in understanding and improving chronic illness management (Breland et al., 2020). For example, a patient with high self-efficacy and a strong belief in their ability to control their diabetes is more likely to adhere to treatment regimens and maintain better </w:t>
      </w:r>
      <w:r w:rsidRPr="00D45F8B">
        <w:t>glycaemic</w:t>
      </w:r>
      <w:r w:rsidRPr="00D45F8B">
        <w:t xml:space="preserve"> control, ultimately leading to improved health outcomes.</w:t>
      </w:r>
    </w:p>
    <w:p w14:paraId="04E72774" w14:textId="24D60CA2" w:rsidR="00D45F8B" w:rsidRPr="00D45F8B" w:rsidRDefault="00D45F8B" w:rsidP="00D45F8B">
      <w:r w:rsidRPr="00D45F8B">
        <w:t xml:space="preserve">Overall, the findings from this systematic review suggest that patients' beliefs about their illness can directly impact their health </w:t>
      </w:r>
      <w:r w:rsidRPr="00D45F8B">
        <w:t>behaviours</w:t>
      </w:r>
      <w:r w:rsidRPr="00D45F8B">
        <w:t xml:space="preserve"> and outcomes. By addressing these beliefs through tailored interventions, healthcare providers can enhance self-management </w:t>
      </w:r>
      <w:r w:rsidRPr="00D45F8B">
        <w:t>behaviours</w:t>
      </w:r>
      <w:r w:rsidRPr="00D45F8B">
        <w:t xml:space="preserve"> and improve health outcomes for patients with chronic conditions, including diabetes (Breland et al., 2020).</w:t>
      </w:r>
    </w:p>
    <w:p w14:paraId="52A5F6E4" w14:textId="3F12A662" w:rsidR="00D45F8B" w:rsidRPr="00D45F8B" w:rsidRDefault="00D45F8B" w:rsidP="00D45F8B">
      <w:r w:rsidRPr="00D45F8B">
        <w:t xml:space="preserve">Additionally, a study by Zhang et al. (2023) explored the integrated CSM in predicting healthy eating, exercise </w:t>
      </w:r>
      <w:r w:rsidRPr="00D45F8B">
        <w:t>behaviours</w:t>
      </w:r>
      <w:r w:rsidRPr="00D45F8B">
        <w:t xml:space="preserve">, and health among individuals at risk of metabolic syndrome. The study employed a cross-sectional design with a multi-wave data collection strategy, involving 275 participants identified as being at risk of metabolic syndrome based on a clinical prediction model. Path analysis was used to examine the relationships between key variables, including personal control, treatment control, coherence, self-efficacy, intentions, and health </w:t>
      </w:r>
      <w:r w:rsidRPr="00D45F8B">
        <w:t>behaviours</w:t>
      </w:r>
      <w:r w:rsidRPr="00D45F8B">
        <w:t xml:space="preserve"> (Zhang et al., 2023).</w:t>
      </w:r>
    </w:p>
    <w:p w14:paraId="43FD728D" w14:textId="301F26B7" w:rsidR="00D45F8B" w:rsidRPr="00D45F8B" w:rsidRDefault="00D45F8B" w:rsidP="00D45F8B">
      <w:r w:rsidRPr="00D45F8B">
        <w:t xml:space="preserve">The findings revealed that personal and treatment control, as well as coherence, positively affected self-reported health through their influence on intentions and health </w:t>
      </w:r>
      <w:r w:rsidRPr="00D45F8B">
        <w:t>behaviours</w:t>
      </w:r>
      <w:r w:rsidRPr="00D45F8B">
        <w:t xml:space="preserve"> such as exercise and healthy eating. Specifically, individuals who believed they had control over their health and understood their condition (coherence) were more likely to engage in healthy </w:t>
      </w:r>
      <w:r w:rsidRPr="00D45F8B">
        <w:t>behaviours</w:t>
      </w:r>
      <w:r w:rsidRPr="00D45F8B">
        <w:t xml:space="preserve">, which in turn improved their self-reported health outcomes. The study also highlighted the mediating role of intentions and health </w:t>
      </w:r>
      <w:r w:rsidRPr="00D45F8B">
        <w:t>behaviours</w:t>
      </w:r>
      <w:r w:rsidRPr="00D45F8B">
        <w:t xml:space="preserve"> in the relationship between self-efficacy and health outcomes, suggesting that enhancing patients' confidence in their ability to manage their health can lead to better health </w:t>
      </w:r>
      <w:r w:rsidRPr="00D45F8B">
        <w:t>behaviours</w:t>
      </w:r>
      <w:r w:rsidRPr="00D45F8B">
        <w:t xml:space="preserve"> and outcomes (Zhang et al., 2023).</w:t>
      </w:r>
    </w:p>
    <w:p w14:paraId="6D207060" w14:textId="53DE41AA" w:rsidR="00D45F8B" w:rsidRPr="00D45F8B" w:rsidRDefault="00D45F8B" w:rsidP="00D45F8B">
      <w:r w:rsidRPr="00D45F8B">
        <w:t xml:space="preserve">These results indicate that the CSM can be effectively applied to understand and improve health </w:t>
      </w:r>
      <w:r w:rsidRPr="00D45F8B">
        <w:t>behaviours</w:t>
      </w:r>
      <w:r w:rsidRPr="00D45F8B">
        <w:t xml:space="preserve"> in populations with chronic conditions, including diabetes. By targeting key determinants such as personal control, treatment control, and coherence, healthcare providers can design interventions that promote healthy eating and exercise </w:t>
      </w:r>
      <w:r w:rsidRPr="00D45F8B">
        <w:t>behaviours</w:t>
      </w:r>
      <w:r w:rsidRPr="00D45F8B">
        <w:t>, ultimately leading to improved health outcomes for individuals at risk of metabolic syndrome and other chronic conditions (Zhang et al., 2023).</w:t>
      </w:r>
    </w:p>
    <w:p w14:paraId="1083F4F6" w14:textId="5DB5C581" w:rsidR="00D45F8B" w:rsidRPr="00D45F8B" w:rsidRDefault="00D45F8B" w:rsidP="00D45F8B">
      <w:r w:rsidRPr="00D45F8B">
        <w:t xml:space="preserve">This study underscores the importance of addressing patients' illness perceptions and self-efficacy in chronic illness management. By fostering a sense of control and coherence, and by supporting patients' intentions to engage in healthy </w:t>
      </w:r>
      <w:r w:rsidRPr="00D45F8B">
        <w:t>behaviours</w:t>
      </w:r>
      <w:r w:rsidRPr="00D45F8B">
        <w:t xml:space="preserve">, </w:t>
      </w:r>
      <w:r w:rsidRPr="00D45F8B">
        <w:lastRenderedPageBreak/>
        <w:t>interventions based on the CSM can enhance self-management and improve overall health outcomes (Zhang et al., 2023).</w:t>
      </w:r>
    </w:p>
    <w:p w14:paraId="7D15DB87" w14:textId="77777777" w:rsidR="00D03B5F" w:rsidRDefault="00D03B5F" w:rsidP="00D03B5F">
      <w:r w:rsidRPr="00D03B5F">
        <w:t>Another study by McAndrew et al. (2019) focused on patients with medically unexplained symptoms and found that negative illness representations were associated with worse health outcomes and more negative coping strategies. Although this study did not focus exclusively on diabetes, the findings are relevant as they highlight the importance of illness perceptions in chronic illness management.</w:t>
      </w:r>
    </w:p>
    <w:p w14:paraId="38633779" w14:textId="7422F0E2" w:rsidR="00D45F8B" w:rsidRPr="00D45F8B" w:rsidRDefault="00D45F8B" w:rsidP="00D45F8B">
      <w:r w:rsidRPr="00D45F8B">
        <w:t xml:space="preserve">A study by von Arx, Gydesen, and Skovlund (2016) examined the relationship between treatment beliefs, health </w:t>
      </w:r>
      <w:r w:rsidRPr="00D45F8B">
        <w:t>behaviours</w:t>
      </w:r>
      <w:r w:rsidRPr="00D45F8B">
        <w:t>, and health outcomes in a well-defined population of insulin-treated patients with type 2 diabetes. The study utili</w:t>
      </w:r>
      <w:r>
        <w:t>s</w:t>
      </w:r>
      <w:r w:rsidRPr="00D45F8B">
        <w:t>ed a large-scale cross-sectional design, combining registry data with a 27-item self-reported survey to operationali</w:t>
      </w:r>
      <w:r>
        <w:t>s</w:t>
      </w:r>
      <w:r w:rsidRPr="00D45F8B">
        <w:t xml:space="preserve">e key concepts of diabetes management, treatment beliefs, and health </w:t>
      </w:r>
      <w:r w:rsidRPr="00D45F8B">
        <w:t>behaviours</w:t>
      </w:r>
      <w:r w:rsidRPr="00D45F8B">
        <w:t xml:space="preserve">. The findings revealed that health </w:t>
      </w:r>
      <w:r w:rsidRPr="00D45F8B">
        <w:t>behaviours</w:t>
      </w:r>
      <w:r w:rsidRPr="00D45F8B">
        <w:t xml:space="preserve">, such as adherence to treatment regimens and self-monitoring of blood glucose levels, were strong predictors of </w:t>
      </w:r>
      <w:r w:rsidRPr="00D45F8B">
        <w:t>glycaemic</w:t>
      </w:r>
      <w:r w:rsidRPr="00D45F8B">
        <w:t xml:space="preserve"> control and cardiovascular risk factors. Specifically, patients who frequently monitored their blood glucose levels and adhered to medical advice had better </w:t>
      </w:r>
      <w:r w:rsidRPr="00D45F8B">
        <w:t>glycaemic</w:t>
      </w:r>
      <w:r w:rsidRPr="00D45F8B">
        <w:t xml:space="preserve"> control, as indicated by lower HbA1c levels, and improved lipid profiles. Conversely, perceived low treatment efficacy and non-adherence to medical advice were associated with poorer health outcomes. This study underscores the importance of addressing both treatment beliefs and health </w:t>
      </w:r>
      <w:r w:rsidRPr="00D45F8B">
        <w:t>behaviours</w:t>
      </w:r>
      <w:r w:rsidRPr="00D45F8B">
        <w:t xml:space="preserve"> in diabetes management, highlighting the relevance of the CSM in understanding and improving health outcomes in this population (von Arx, Gydesen, &amp; Skovlund, 2016).</w:t>
      </w:r>
    </w:p>
    <w:p w14:paraId="26E7E17B" w14:textId="77777777" w:rsidR="00D03B5F" w:rsidRPr="00D03B5F" w:rsidRDefault="00D03B5F" w:rsidP="00D03B5F">
      <w:r w:rsidRPr="00D03B5F">
        <w:t>While the empirical evidence supports the CSM, it is essential to consider the methodological limitations of these studies. Many studies rely on self-reported measures of illness perceptions and health outcomes, which can be subject to bias. For instance, Hagger and Orbell's (2003) meta-analysis included studies that predominantly used self-report questionnaires, which may introduce response biases and affect the reliability of the findings. Additionally, the cross-sectional design of many studies, such as those reviewed by Breland, Wong, and McAndrew (2020), limits the ability to draw causal inferences about the relationship between illness perceptions and health outcomes.</w:t>
      </w:r>
    </w:p>
    <w:p w14:paraId="28C1F74A" w14:textId="4C4A049A" w:rsidR="00D03B5F" w:rsidRPr="00D03B5F" w:rsidRDefault="00D03B5F" w:rsidP="00D03B5F">
      <w:r w:rsidRPr="00D03B5F">
        <w:t>The study by Patel et al. (2015) utili</w:t>
      </w:r>
      <w:r w:rsidR="00D45F8B">
        <w:t>s</w:t>
      </w:r>
      <w:r w:rsidRPr="00D03B5F">
        <w:t>ed a mixed-methods approach, combining quantitative surveys with qualitative interviews. While this approach provides a more comprehensive understanding of the sociocultural context of diabetes self-management, the reliance on self-reported data still poses a limitation. Furthermore, the sample size was relatively small, which may limit the generali</w:t>
      </w:r>
      <w:r w:rsidR="00D45F8B">
        <w:t>s</w:t>
      </w:r>
      <w:r w:rsidRPr="00D03B5F">
        <w:t>ability of the findings to the broader population of British South Asians with diabetes.</w:t>
      </w:r>
    </w:p>
    <w:p w14:paraId="34388FED" w14:textId="31D2537D" w:rsidR="00D03B5F" w:rsidRPr="00D03B5F" w:rsidRDefault="00D03B5F" w:rsidP="00D03B5F">
      <w:r w:rsidRPr="00D03B5F">
        <w:lastRenderedPageBreak/>
        <w:t xml:space="preserve">Von Arx et al. (2016) conducted a study with a well-defined population of insulin users, using registry-based health data to evaluate diabetes health outcomes. Although this study benefits from objective health outcome measures, it still relies on self-reported treatment beliefs and health </w:t>
      </w:r>
      <w:r w:rsidRPr="00D03B5F">
        <w:t>behaviours</w:t>
      </w:r>
      <w:r w:rsidRPr="00D03B5F">
        <w:t>, which may introduce bias. Additionally, the study's cross-sectional design limits the ability to establish causality between illness perceptions and health outcomes.</w:t>
      </w:r>
    </w:p>
    <w:p w14:paraId="78F639DB" w14:textId="77777777" w:rsidR="00D03B5F" w:rsidRPr="00D03B5F" w:rsidRDefault="00D03B5F" w:rsidP="00D03B5F">
      <w:r w:rsidRPr="00D03B5F">
        <w:t>McAndrew et al. (2019) conducted a meta-analysis focusing on patients with medically unexplained symptoms. While the findings are relevant to understanding the role of illness perceptions in chronic illness management, the inclusion of diverse patient populations with different conditions may limit the specificity of the conclusions for diabetes patients.</w:t>
      </w:r>
    </w:p>
    <w:p w14:paraId="191680B2" w14:textId="55F2711C" w:rsidR="00D03B5F" w:rsidRPr="00D03B5F" w:rsidRDefault="00D03B5F" w:rsidP="00D03B5F">
      <w:r w:rsidRPr="00D03B5F">
        <w:t xml:space="preserve">Zhang et al. (2023) employed a longitudinal design to explore the integrated CSM in predicting health </w:t>
      </w:r>
      <w:r w:rsidRPr="00D03B5F">
        <w:t>behaviours</w:t>
      </w:r>
      <w:r w:rsidRPr="00D03B5F">
        <w:t xml:space="preserve"> and outcomes. This design allows for a better understanding of the temporal relationships between illness perceptions and health outcomes. However, the study's reliance on self-reported health </w:t>
      </w:r>
      <w:r w:rsidRPr="00D03B5F">
        <w:t>behaviours</w:t>
      </w:r>
      <w:r w:rsidRPr="00D03B5F">
        <w:t xml:space="preserve"> and outcomes may still introduce bias, and the findings may not be generali</w:t>
      </w:r>
      <w:r w:rsidR="00D45F8B">
        <w:t>s</w:t>
      </w:r>
      <w:r w:rsidRPr="00D03B5F">
        <w:t>able to all populations with chronic conditions.</w:t>
      </w:r>
    </w:p>
    <w:p w14:paraId="6B4A6732" w14:textId="413B6956" w:rsidR="00D45F8B" w:rsidRDefault="00D03B5F" w:rsidP="00D45F8B">
      <w:r w:rsidRPr="00D03B5F">
        <w:t>Future research should employ longitudinal designs and objective measures of health outcomes to strengthen the evidence base. Additionally, studies should aim to include larger and more diverse samples to enhance the generali</w:t>
      </w:r>
      <w:r w:rsidR="00D45F8B">
        <w:t>s</w:t>
      </w:r>
      <w:r w:rsidRPr="00D03B5F">
        <w:t xml:space="preserve">ability of the findings. Incorporating </w:t>
      </w:r>
      <w:proofErr w:type="gramStart"/>
      <w:r w:rsidRPr="00D03B5F">
        <w:t>mixed-methods</w:t>
      </w:r>
      <w:proofErr w:type="gramEnd"/>
      <w:r w:rsidRPr="00D03B5F">
        <w:t xml:space="preserve"> approaches that combine quantitative and qualitative data can provide a more comprehensive understanding of the complex relationships between illness perceptions, self-management </w:t>
      </w:r>
      <w:r w:rsidRPr="00D03B5F">
        <w:t>behaviours</w:t>
      </w:r>
      <w:r w:rsidRPr="00D03B5F">
        <w:t>, and health outcomes.</w:t>
      </w:r>
    </w:p>
    <w:p w14:paraId="3C2A2E09" w14:textId="40B57AC0" w:rsidR="00D45F8B" w:rsidRPr="00D45F8B" w:rsidRDefault="00D45F8B" w:rsidP="00D45F8B">
      <w:r w:rsidRPr="00D45F8B">
        <w:t xml:space="preserve">The Common-Sense Model (CSM) of self-regulation offers a comprehensive framework for understanding how illness perceptions influence health outcomes in patients with diabetes. The model's emphasis on cognitive and emotional representations of illness provides valuable insights into the psychological mechanisms that underpin self-management </w:t>
      </w:r>
      <w:r w:rsidRPr="00D45F8B">
        <w:t>behaviours</w:t>
      </w:r>
      <w:r w:rsidRPr="00D45F8B">
        <w:t xml:space="preserve">. Empirical studies consistently demonstrate the significant impact of illness perceptions on health </w:t>
      </w:r>
      <w:r w:rsidRPr="00D45F8B">
        <w:t>behaviours</w:t>
      </w:r>
      <w:r w:rsidRPr="00D45F8B">
        <w:t xml:space="preserve"> and outcomes, highlighting the relevance of the CSM in diabetes management.</w:t>
      </w:r>
    </w:p>
    <w:p w14:paraId="3934EE94" w14:textId="23851CB2" w:rsidR="00D45F8B" w:rsidRPr="00D45F8B" w:rsidRDefault="00D45F8B" w:rsidP="00D45F8B">
      <w:r w:rsidRPr="00D45F8B">
        <w:t xml:space="preserve">Despite the robust support for the CSM, several methodological limitations must be addressed in future research. The reliance on self-reported measures and cross-sectional designs in many studies limits the ability to draw causal inferences and may introduce bias. To strengthen the evidence base, future studies should employ longitudinal designs, objective measures of health outcomes, and larger, more diverse samples. Incorporating mixed-methods approaches can also enhance our understanding of the complex relationships between illness perceptions, self-management </w:t>
      </w:r>
      <w:r w:rsidRPr="00D45F8B">
        <w:t>behaviours</w:t>
      </w:r>
      <w:r w:rsidRPr="00D45F8B">
        <w:t>, and health outcomes.</w:t>
      </w:r>
    </w:p>
    <w:p w14:paraId="3EB17F67" w14:textId="68F2F5FE" w:rsidR="00D45F8B" w:rsidRPr="00D45F8B" w:rsidRDefault="00D45F8B" w:rsidP="00D45F8B">
      <w:r w:rsidRPr="00D45F8B">
        <w:lastRenderedPageBreak/>
        <w:t xml:space="preserve">Overall, the CSM provides a strong theoretical foundation for developing tailored interventions aimed at improving diabetes management. By addressing patients' illness perceptions, healthcare providers can design more effective strategies to enhance self-management </w:t>
      </w:r>
      <w:r w:rsidRPr="00D45F8B">
        <w:t>behaviours</w:t>
      </w:r>
      <w:r w:rsidRPr="00D45F8B">
        <w:t xml:space="preserve"> and ultimately improve health outcomes for individuals with diabetes.</w:t>
      </w:r>
    </w:p>
    <w:p w14:paraId="5F8B1CD0" w14:textId="77777777" w:rsidR="00D03B5F" w:rsidRPr="00D03B5F" w:rsidRDefault="00D03B5F" w:rsidP="00D03B5F">
      <w:pPr>
        <w:rPr>
          <w:b/>
          <w:bCs/>
        </w:rPr>
      </w:pPr>
      <w:r w:rsidRPr="00D03B5F">
        <w:rPr>
          <w:b/>
          <w:bCs/>
        </w:rPr>
        <w:t>References</w:t>
      </w:r>
    </w:p>
    <w:p w14:paraId="6E77FD47" w14:textId="77777777" w:rsidR="00D45F8B" w:rsidRPr="00D03B5F" w:rsidRDefault="00D45F8B" w:rsidP="00D03B5F">
      <w:pPr>
        <w:numPr>
          <w:ilvl w:val="0"/>
          <w:numId w:val="1"/>
        </w:numPr>
      </w:pPr>
      <w:r w:rsidRPr="00D03B5F">
        <w:t xml:space="preserve">Breland, J. Y., Wong, J. J., &amp; McAndrew, L. M. (2020). Are Common Sense Model constructs and self-efficacy simultaneously correlated with self-management </w:t>
      </w:r>
      <w:proofErr w:type="spellStart"/>
      <w:r w:rsidRPr="00D03B5F">
        <w:t>behaviors</w:t>
      </w:r>
      <w:proofErr w:type="spellEnd"/>
      <w:r w:rsidRPr="00D03B5F">
        <w:t xml:space="preserve"> and health outcomes: A systematic review. </w:t>
      </w:r>
      <w:r w:rsidRPr="00D03B5F">
        <w:rPr>
          <w:i/>
          <w:iCs/>
        </w:rPr>
        <w:t>Health Psychology Open, 7</w:t>
      </w:r>
      <w:r w:rsidRPr="00D03B5F">
        <w:t>(1), Article 2055102919898846.</w:t>
      </w:r>
    </w:p>
    <w:p w14:paraId="0C3C75C6" w14:textId="77777777" w:rsidR="00D45F8B" w:rsidRPr="00D03B5F" w:rsidRDefault="00D45F8B" w:rsidP="00D03B5F">
      <w:pPr>
        <w:numPr>
          <w:ilvl w:val="0"/>
          <w:numId w:val="1"/>
        </w:numPr>
      </w:pPr>
      <w:r w:rsidRPr="00D03B5F">
        <w:t xml:space="preserve">Hagger, M. S., &amp; Orbell, S. (2003). A meta-analytic review of the common-sense model of illness representations. </w:t>
      </w:r>
      <w:r w:rsidRPr="00D03B5F">
        <w:rPr>
          <w:i/>
          <w:iCs/>
        </w:rPr>
        <w:t>Psychology &amp; Health, 18</w:t>
      </w:r>
      <w:r w:rsidRPr="00D03B5F">
        <w:t>(2), 141–184.</w:t>
      </w:r>
    </w:p>
    <w:p w14:paraId="067ED804" w14:textId="77777777" w:rsidR="00D45F8B" w:rsidRPr="00D03B5F" w:rsidRDefault="00D45F8B" w:rsidP="00D03B5F">
      <w:pPr>
        <w:numPr>
          <w:ilvl w:val="0"/>
          <w:numId w:val="1"/>
        </w:numPr>
      </w:pPr>
      <w:r w:rsidRPr="00D03B5F">
        <w:t xml:space="preserve">Hale, E. D., Treharne, G. J., &amp; Kitas, G. D. (2007). The Common-Sense Model of self-regulation of health and illness: how can we use it to understand and respond to our patients’ needs? </w:t>
      </w:r>
      <w:r w:rsidRPr="00D03B5F">
        <w:rPr>
          <w:i/>
          <w:iCs/>
        </w:rPr>
        <w:t>Rheumatology, 46</w:t>
      </w:r>
      <w:r w:rsidRPr="00D03B5F">
        <w:t>(6), 904–906.</w:t>
      </w:r>
    </w:p>
    <w:p w14:paraId="4B31D5F0" w14:textId="77777777" w:rsidR="00D45F8B" w:rsidRPr="00D03B5F" w:rsidRDefault="00D45F8B" w:rsidP="00D03B5F">
      <w:pPr>
        <w:numPr>
          <w:ilvl w:val="0"/>
          <w:numId w:val="1"/>
        </w:numPr>
      </w:pPr>
      <w:r w:rsidRPr="00D03B5F">
        <w:t xml:space="preserve">Leventhal, H., Brissette, I., &amp; Leventhal, E. A. (2003). The common-sense model of self-regulation of health and illness. In L. D. Cameron &amp; H. Leventhal (Eds.), </w:t>
      </w:r>
      <w:r w:rsidRPr="00D03B5F">
        <w:rPr>
          <w:i/>
          <w:iCs/>
        </w:rPr>
        <w:t>The self-regulation of health and illness behaviour</w:t>
      </w:r>
      <w:r w:rsidRPr="00D03B5F">
        <w:t xml:space="preserve"> (pp. 42-65). Routledge.</w:t>
      </w:r>
    </w:p>
    <w:p w14:paraId="51E932C6" w14:textId="77777777" w:rsidR="00D45F8B" w:rsidRDefault="00D45F8B" w:rsidP="00D03B5F">
      <w:pPr>
        <w:numPr>
          <w:ilvl w:val="0"/>
          <w:numId w:val="1"/>
        </w:numPr>
      </w:pPr>
      <w:r w:rsidRPr="00D03B5F">
        <w:t xml:space="preserve">McAndrew, L. M., Crede, M., Maestro, K., Slotkin, S., Kimber, J., &amp; Phillips, L. A. (2019). Using the common-sense model to understand health outcomes for medically unexplained symptoms: a meta-analysis. </w:t>
      </w:r>
      <w:r w:rsidRPr="00D03B5F">
        <w:rPr>
          <w:i/>
          <w:iCs/>
        </w:rPr>
        <w:t>Health Psychology Review, 13</w:t>
      </w:r>
      <w:r w:rsidRPr="00D03B5F">
        <w:t>(4), 427-446.</w:t>
      </w:r>
    </w:p>
    <w:p w14:paraId="7A4DC6EB" w14:textId="77777777" w:rsidR="00D45F8B" w:rsidRPr="00D45F8B" w:rsidRDefault="00D45F8B" w:rsidP="00D45F8B">
      <w:pPr>
        <w:numPr>
          <w:ilvl w:val="0"/>
          <w:numId w:val="1"/>
        </w:numPr>
      </w:pPr>
      <w:r w:rsidRPr="00D45F8B">
        <w:t xml:space="preserve">Patel, N. R., Chew-Graham, C., Bundy, C., Kennedy, A., Blickem, C., &amp; Reeves, D. (2015). Illness beliefs and the sociocultural context of diabetes self-management in British South Asians: A mixed methods study. </w:t>
      </w:r>
      <w:r w:rsidRPr="00D45F8B">
        <w:rPr>
          <w:i/>
          <w:iCs/>
        </w:rPr>
        <w:t>BMC Family Practice, 16</w:t>
      </w:r>
      <w:r w:rsidRPr="00D45F8B">
        <w:t>, Article 58. https://doi.org/10.1186/s12875-015-0278-6</w:t>
      </w:r>
    </w:p>
    <w:p w14:paraId="14D52248" w14:textId="77777777" w:rsidR="00D45F8B" w:rsidRPr="00D45F8B" w:rsidRDefault="00D45F8B" w:rsidP="00D45F8B">
      <w:pPr>
        <w:numPr>
          <w:ilvl w:val="0"/>
          <w:numId w:val="1"/>
        </w:numPr>
      </w:pPr>
      <w:r w:rsidRPr="00D45F8B">
        <w:t xml:space="preserve">von Arx, L. B. W., Gydesen, H., &amp; Skovlund, S. (2016). Treatment beliefs, health </w:t>
      </w:r>
      <w:proofErr w:type="spellStart"/>
      <w:r w:rsidRPr="00D45F8B">
        <w:t>behaviors</w:t>
      </w:r>
      <w:proofErr w:type="spellEnd"/>
      <w:r w:rsidRPr="00D45F8B">
        <w:t xml:space="preserve"> and their association with treatment outcome in type 2 diabetes. </w:t>
      </w:r>
      <w:r w:rsidRPr="00D45F8B">
        <w:rPr>
          <w:i/>
          <w:iCs/>
        </w:rPr>
        <w:t>BMJ Open Diabetes Research &amp; Care, 4</w:t>
      </w:r>
      <w:r w:rsidRPr="00D45F8B">
        <w:t>(1), e000166. https://doi.org/10.1136/bmjdrc-2015-000166</w:t>
      </w:r>
    </w:p>
    <w:p w14:paraId="4F90CFD7" w14:textId="77777777" w:rsidR="00D45F8B" w:rsidRPr="00D45F8B" w:rsidRDefault="00D45F8B" w:rsidP="00D45F8B">
      <w:pPr>
        <w:numPr>
          <w:ilvl w:val="0"/>
          <w:numId w:val="1"/>
        </w:numPr>
      </w:pPr>
      <w:r w:rsidRPr="00D45F8B">
        <w:t xml:space="preserve">Zhang, H., Chen, D., Zou, P., Shao, J., Wu, J., Cui, N., Lin, S., Tang, L., Zheng, Q., Wang, X., &amp; Ye, Z. (2023). The integrated common-sense model of illness self-regulation: Predicting healthy eating, exercise </w:t>
      </w:r>
      <w:proofErr w:type="spellStart"/>
      <w:r w:rsidRPr="00D45F8B">
        <w:t>behaviors</w:t>
      </w:r>
      <w:proofErr w:type="spellEnd"/>
      <w:r w:rsidRPr="00D45F8B">
        <w:t xml:space="preserve">, and health among individuals at risk of metabolic syndrome. </w:t>
      </w:r>
      <w:r w:rsidRPr="00D45F8B">
        <w:rPr>
          <w:i/>
          <w:iCs/>
        </w:rPr>
        <w:t>BMC Public Health, 23</w:t>
      </w:r>
      <w:r w:rsidRPr="00D45F8B">
        <w:t>, Article 1486. https://doi.org/10.1186/s12889-023-1486-7</w:t>
      </w:r>
    </w:p>
    <w:p w14:paraId="02611607" w14:textId="77777777" w:rsidR="00D03B5F" w:rsidRPr="00D03B5F" w:rsidRDefault="00D03B5F" w:rsidP="00D03B5F">
      <w:pPr>
        <w:numPr>
          <w:ilvl w:val="0"/>
          <w:numId w:val="1"/>
        </w:numPr>
      </w:pPr>
    </w:p>
    <w:p w14:paraId="65B0464B" w14:textId="77777777" w:rsidR="00735053" w:rsidRDefault="00735053"/>
    <w:sectPr w:rsidR="007350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35D3D"/>
    <w:multiLevelType w:val="multilevel"/>
    <w:tmpl w:val="6F2A3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FA6D34"/>
    <w:multiLevelType w:val="multilevel"/>
    <w:tmpl w:val="6FA8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7079965">
    <w:abstractNumId w:val="1"/>
  </w:num>
  <w:num w:numId="2" w16cid:durableId="5523468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3B5F"/>
    <w:rsid w:val="00175269"/>
    <w:rsid w:val="0027273F"/>
    <w:rsid w:val="004C7FA1"/>
    <w:rsid w:val="00735053"/>
    <w:rsid w:val="008579FB"/>
    <w:rsid w:val="00AE00D1"/>
    <w:rsid w:val="00D03B5F"/>
    <w:rsid w:val="00D45F8B"/>
    <w:rsid w:val="00E70F4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C501E"/>
  <w15:chartTrackingRefBased/>
  <w15:docId w15:val="{DCB19B50-2319-4069-8BA6-0E59B2F3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3B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3B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3B5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3B5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3B5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3B5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3B5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3B5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3B5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B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3B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3B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3B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3B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3B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3B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3B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3B5F"/>
    <w:rPr>
      <w:rFonts w:eastAsiaTheme="majorEastAsia" w:cstheme="majorBidi"/>
      <w:color w:val="272727" w:themeColor="text1" w:themeTint="D8"/>
    </w:rPr>
  </w:style>
  <w:style w:type="paragraph" w:styleId="Title">
    <w:name w:val="Title"/>
    <w:basedOn w:val="Normal"/>
    <w:next w:val="Normal"/>
    <w:link w:val="TitleChar"/>
    <w:uiPriority w:val="10"/>
    <w:qFormat/>
    <w:rsid w:val="00D03B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3B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3B5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3B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3B5F"/>
    <w:pPr>
      <w:spacing w:before="160"/>
      <w:jc w:val="center"/>
    </w:pPr>
    <w:rPr>
      <w:i/>
      <w:iCs/>
      <w:color w:val="404040" w:themeColor="text1" w:themeTint="BF"/>
    </w:rPr>
  </w:style>
  <w:style w:type="character" w:customStyle="1" w:styleId="QuoteChar">
    <w:name w:val="Quote Char"/>
    <w:basedOn w:val="DefaultParagraphFont"/>
    <w:link w:val="Quote"/>
    <w:uiPriority w:val="29"/>
    <w:rsid w:val="00D03B5F"/>
    <w:rPr>
      <w:i/>
      <w:iCs/>
      <w:color w:val="404040" w:themeColor="text1" w:themeTint="BF"/>
    </w:rPr>
  </w:style>
  <w:style w:type="paragraph" w:styleId="ListParagraph">
    <w:name w:val="List Paragraph"/>
    <w:basedOn w:val="Normal"/>
    <w:uiPriority w:val="34"/>
    <w:qFormat/>
    <w:rsid w:val="00D03B5F"/>
    <w:pPr>
      <w:ind w:left="720"/>
      <w:contextualSpacing/>
    </w:pPr>
  </w:style>
  <w:style w:type="character" w:styleId="IntenseEmphasis">
    <w:name w:val="Intense Emphasis"/>
    <w:basedOn w:val="DefaultParagraphFont"/>
    <w:uiPriority w:val="21"/>
    <w:qFormat/>
    <w:rsid w:val="00D03B5F"/>
    <w:rPr>
      <w:i/>
      <w:iCs/>
      <w:color w:val="0F4761" w:themeColor="accent1" w:themeShade="BF"/>
    </w:rPr>
  </w:style>
  <w:style w:type="paragraph" w:styleId="IntenseQuote">
    <w:name w:val="Intense Quote"/>
    <w:basedOn w:val="Normal"/>
    <w:next w:val="Normal"/>
    <w:link w:val="IntenseQuoteChar"/>
    <w:uiPriority w:val="30"/>
    <w:qFormat/>
    <w:rsid w:val="00D03B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3B5F"/>
    <w:rPr>
      <w:i/>
      <w:iCs/>
      <w:color w:val="0F4761" w:themeColor="accent1" w:themeShade="BF"/>
    </w:rPr>
  </w:style>
  <w:style w:type="character" w:styleId="IntenseReference">
    <w:name w:val="Intense Reference"/>
    <w:basedOn w:val="DefaultParagraphFont"/>
    <w:uiPriority w:val="32"/>
    <w:qFormat/>
    <w:rsid w:val="00D03B5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9803019">
      <w:bodyDiv w:val="1"/>
      <w:marLeft w:val="0"/>
      <w:marRight w:val="0"/>
      <w:marTop w:val="0"/>
      <w:marBottom w:val="0"/>
      <w:divBdr>
        <w:top w:val="none" w:sz="0" w:space="0" w:color="auto"/>
        <w:left w:val="none" w:sz="0" w:space="0" w:color="auto"/>
        <w:bottom w:val="none" w:sz="0" w:space="0" w:color="auto"/>
        <w:right w:val="none" w:sz="0" w:space="0" w:color="auto"/>
      </w:divBdr>
      <w:divsChild>
        <w:div w:id="459809361">
          <w:marLeft w:val="0"/>
          <w:marRight w:val="0"/>
          <w:marTop w:val="0"/>
          <w:marBottom w:val="0"/>
          <w:divBdr>
            <w:top w:val="none" w:sz="0" w:space="0" w:color="auto"/>
            <w:left w:val="none" w:sz="0" w:space="0" w:color="auto"/>
            <w:bottom w:val="none" w:sz="0" w:space="0" w:color="auto"/>
            <w:right w:val="none" w:sz="0" w:space="0" w:color="auto"/>
          </w:divBdr>
        </w:div>
      </w:divsChild>
    </w:div>
    <w:div w:id="261033356">
      <w:bodyDiv w:val="1"/>
      <w:marLeft w:val="0"/>
      <w:marRight w:val="0"/>
      <w:marTop w:val="0"/>
      <w:marBottom w:val="0"/>
      <w:divBdr>
        <w:top w:val="none" w:sz="0" w:space="0" w:color="auto"/>
        <w:left w:val="none" w:sz="0" w:space="0" w:color="auto"/>
        <w:bottom w:val="none" w:sz="0" w:space="0" w:color="auto"/>
        <w:right w:val="none" w:sz="0" w:space="0" w:color="auto"/>
      </w:divBdr>
    </w:div>
    <w:div w:id="270553721">
      <w:bodyDiv w:val="1"/>
      <w:marLeft w:val="0"/>
      <w:marRight w:val="0"/>
      <w:marTop w:val="0"/>
      <w:marBottom w:val="0"/>
      <w:divBdr>
        <w:top w:val="none" w:sz="0" w:space="0" w:color="auto"/>
        <w:left w:val="none" w:sz="0" w:space="0" w:color="auto"/>
        <w:bottom w:val="none" w:sz="0" w:space="0" w:color="auto"/>
        <w:right w:val="none" w:sz="0" w:space="0" w:color="auto"/>
      </w:divBdr>
      <w:divsChild>
        <w:div w:id="1402943506">
          <w:marLeft w:val="0"/>
          <w:marRight w:val="0"/>
          <w:marTop w:val="0"/>
          <w:marBottom w:val="0"/>
          <w:divBdr>
            <w:top w:val="none" w:sz="0" w:space="0" w:color="auto"/>
            <w:left w:val="none" w:sz="0" w:space="0" w:color="auto"/>
            <w:bottom w:val="none" w:sz="0" w:space="0" w:color="auto"/>
            <w:right w:val="none" w:sz="0" w:space="0" w:color="auto"/>
          </w:divBdr>
        </w:div>
      </w:divsChild>
    </w:div>
    <w:div w:id="434525439">
      <w:bodyDiv w:val="1"/>
      <w:marLeft w:val="0"/>
      <w:marRight w:val="0"/>
      <w:marTop w:val="0"/>
      <w:marBottom w:val="0"/>
      <w:divBdr>
        <w:top w:val="none" w:sz="0" w:space="0" w:color="auto"/>
        <w:left w:val="none" w:sz="0" w:space="0" w:color="auto"/>
        <w:bottom w:val="none" w:sz="0" w:space="0" w:color="auto"/>
        <w:right w:val="none" w:sz="0" w:space="0" w:color="auto"/>
      </w:divBdr>
      <w:divsChild>
        <w:div w:id="2082291927">
          <w:marLeft w:val="0"/>
          <w:marRight w:val="0"/>
          <w:marTop w:val="0"/>
          <w:marBottom w:val="0"/>
          <w:divBdr>
            <w:top w:val="none" w:sz="0" w:space="0" w:color="auto"/>
            <w:left w:val="none" w:sz="0" w:space="0" w:color="auto"/>
            <w:bottom w:val="none" w:sz="0" w:space="0" w:color="auto"/>
            <w:right w:val="none" w:sz="0" w:space="0" w:color="auto"/>
          </w:divBdr>
        </w:div>
      </w:divsChild>
    </w:div>
    <w:div w:id="544563339">
      <w:bodyDiv w:val="1"/>
      <w:marLeft w:val="0"/>
      <w:marRight w:val="0"/>
      <w:marTop w:val="0"/>
      <w:marBottom w:val="0"/>
      <w:divBdr>
        <w:top w:val="none" w:sz="0" w:space="0" w:color="auto"/>
        <w:left w:val="none" w:sz="0" w:space="0" w:color="auto"/>
        <w:bottom w:val="none" w:sz="0" w:space="0" w:color="auto"/>
        <w:right w:val="none" w:sz="0" w:space="0" w:color="auto"/>
      </w:divBdr>
    </w:div>
    <w:div w:id="557590185">
      <w:bodyDiv w:val="1"/>
      <w:marLeft w:val="0"/>
      <w:marRight w:val="0"/>
      <w:marTop w:val="0"/>
      <w:marBottom w:val="0"/>
      <w:divBdr>
        <w:top w:val="none" w:sz="0" w:space="0" w:color="auto"/>
        <w:left w:val="none" w:sz="0" w:space="0" w:color="auto"/>
        <w:bottom w:val="none" w:sz="0" w:space="0" w:color="auto"/>
        <w:right w:val="none" w:sz="0" w:space="0" w:color="auto"/>
      </w:divBdr>
    </w:div>
    <w:div w:id="577440089">
      <w:bodyDiv w:val="1"/>
      <w:marLeft w:val="0"/>
      <w:marRight w:val="0"/>
      <w:marTop w:val="0"/>
      <w:marBottom w:val="0"/>
      <w:divBdr>
        <w:top w:val="none" w:sz="0" w:space="0" w:color="auto"/>
        <w:left w:val="none" w:sz="0" w:space="0" w:color="auto"/>
        <w:bottom w:val="none" w:sz="0" w:space="0" w:color="auto"/>
        <w:right w:val="none" w:sz="0" w:space="0" w:color="auto"/>
      </w:divBdr>
      <w:divsChild>
        <w:div w:id="839539946">
          <w:marLeft w:val="0"/>
          <w:marRight w:val="0"/>
          <w:marTop w:val="0"/>
          <w:marBottom w:val="0"/>
          <w:divBdr>
            <w:top w:val="none" w:sz="0" w:space="0" w:color="auto"/>
            <w:left w:val="none" w:sz="0" w:space="0" w:color="auto"/>
            <w:bottom w:val="none" w:sz="0" w:space="0" w:color="auto"/>
            <w:right w:val="none" w:sz="0" w:space="0" w:color="auto"/>
          </w:divBdr>
        </w:div>
      </w:divsChild>
    </w:div>
    <w:div w:id="705059789">
      <w:bodyDiv w:val="1"/>
      <w:marLeft w:val="0"/>
      <w:marRight w:val="0"/>
      <w:marTop w:val="0"/>
      <w:marBottom w:val="0"/>
      <w:divBdr>
        <w:top w:val="none" w:sz="0" w:space="0" w:color="auto"/>
        <w:left w:val="none" w:sz="0" w:space="0" w:color="auto"/>
        <w:bottom w:val="none" w:sz="0" w:space="0" w:color="auto"/>
        <w:right w:val="none" w:sz="0" w:space="0" w:color="auto"/>
      </w:divBdr>
    </w:div>
    <w:div w:id="731657135">
      <w:bodyDiv w:val="1"/>
      <w:marLeft w:val="0"/>
      <w:marRight w:val="0"/>
      <w:marTop w:val="0"/>
      <w:marBottom w:val="0"/>
      <w:divBdr>
        <w:top w:val="none" w:sz="0" w:space="0" w:color="auto"/>
        <w:left w:val="none" w:sz="0" w:space="0" w:color="auto"/>
        <w:bottom w:val="none" w:sz="0" w:space="0" w:color="auto"/>
        <w:right w:val="none" w:sz="0" w:space="0" w:color="auto"/>
      </w:divBdr>
      <w:divsChild>
        <w:div w:id="1094017065">
          <w:marLeft w:val="0"/>
          <w:marRight w:val="0"/>
          <w:marTop w:val="0"/>
          <w:marBottom w:val="0"/>
          <w:divBdr>
            <w:top w:val="none" w:sz="0" w:space="0" w:color="auto"/>
            <w:left w:val="none" w:sz="0" w:space="0" w:color="auto"/>
            <w:bottom w:val="none" w:sz="0" w:space="0" w:color="auto"/>
            <w:right w:val="none" w:sz="0" w:space="0" w:color="auto"/>
          </w:divBdr>
        </w:div>
      </w:divsChild>
    </w:div>
    <w:div w:id="757025154">
      <w:bodyDiv w:val="1"/>
      <w:marLeft w:val="0"/>
      <w:marRight w:val="0"/>
      <w:marTop w:val="0"/>
      <w:marBottom w:val="0"/>
      <w:divBdr>
        <w:top w:val="none" w:sz="0" w:space="0" w:color="auto"/>
        <w:left w:val="none" w:sz="0" w:space="0" w:color="auto"/>
        <w:bottom w:val="none" w:sz="0" w:space="0" w:color="auto"/>
        <w:right w:val="none" w:sz="0" w:space="0" w:color="auto"/>
      </w:divBdr>
      <w:divsChild>
        <w:div w:id="2080901228">
          <w:marLeft w:val="0"/>
          <w:marRight w:val="0"/>
          <w:marTop w:val="0"/>
          <w:marBottom w:val="0"/>
          <w:divBdr>
            <w:top w:val="none" w:sz="0" w:space="0" w:color="auto"/>
            <w:left w:val="none" w:sz="0" w:space="0" w:color="auto"/>
            <w:bottom w:val="none" w:sz="0" w:space="0" w:color="auto"/>
            <w:right w:val="none" w:sz="0" w:space="0" w:color="auto"/>
          </w:divBdr>
        </w:div>
      </w:divsChild>
    </w:div>
    <w:div w:id="903374382">
      <w:bodyDiv w:val="1"/>
      <w:marLeft w:val="0"/>
      <w:marRight w:val="0"/>
      <w:marTop w:val="0"/>
      <w:marBottom w:val="0"/>
      <w:divBdr>
        <w:top w:val="none" w:sz="0" w:space="0" w:color="auto"/>
        <w:left w:val="none" w:sz="0" w:space="0" w:color="auto"/>
        <w:bottom w:val="none" w:sz="0" w:space="0" w:color="auto"/>
        <w:right w:val="none" w:sz="0" w:space="0" w:color="auto"/>
      </w:divBdr>
      <w:divsChild>
        <w:div w:id="1934126122">
          <w:marLeft w:val="0"/>
          <w:marRight w:val="0"/>
          <w:marTop w:val="0"/>
          <w:marBottom w:val="0"/>
          <w:divBdr>
            <w:top w:val="none" w:sz="0" w:space="0" w:color="auto"/>
            <w:left w:val="none" w:sz="0" w:space="0" w:color="auto"/>
            <w:bottom w:val="none" w:sz="0" w:space="0" w:color="auto"/>
            <w:right w:val="none" w:sz="0" w:space="0" w:color="auto"/>
          </w:divBdr>
        </w:div>
      </w:divsChild>
    </w:div>
    <w:div w:id="971444994">
      <w:bodyDiv w:val="1"/>
      <w:marLeft w:val="0"/>
      <w:marRight w:val="0"/>
      <w:marTop w:val="0"/>
      <w:marBottom w:val="0"/>
      <w:divBdr>
        <w:top w:val="none" w:sz="0" w:space="0" w:color="auto"/>
        <w:left w:val="none" w:sz="0" w:space="0" w:color="auto"/>
        <w:bottom w:val="none" w:sz="0" w:space="0" w:color="auto"/>
        <w:right w:val="none" w:sz="0" w:space="0" w:color="auto"/>
      </w:divBdr>
    </w:div>
    <w:div w:id="982852061">
      <w:bodyDiv w:val="1"/>
      <w:marLeft w:val="0"/>
      <w:marRight w:val="0"/>
      <w:marTop w:val="0"/>
      <w:marBottom w:val="0"/>
      <w:divBdr>
        <w:top w:val="none" w:sz="0" w:space="0" w:color="auto"/>
        <w:left w:val="none" w:sz="0" w:space="0" w:color="auto"/>
        <w:bottom w:val="none" w:sz="0" w:space="0" w:color="auto"/>
        <w:right w:val="none" w:sz="0" w:space="0" w:color="auto"/>
      </w:divBdr>
    </w:div>
    <w:div w:id="998071915">
      <w:bodyDiv w:val="1"/>
      <w:marLeft w:val="0"/>
      <w:marRight w:val="0"/>
      <w:marTop w:val="0"/>
      <w:marBottom w:val="0"/>
      <w:divBdr>
        <w:top w:val="none" w:sz="0" w:space="0" w:color="auto"/>
        <w:left w:val="none" w:sz="0" w:space="0" w:color="auto"/>
        <w:bottom w:val="none" w:sz="0" w:space="0" w:color="auto"/>
        <w:right w:val="none" w:sz="0" w:space="0" w:color="auto"/>
      </w:divBdr>
    </w:div>
    <w:div w:id="1059938894">
      <w:bodyDiv w:val="1"/>
      <w:marLeft w:val="0"/>
      <w:marRight w:val="0"/>
      <w:marTop w:val="0"/>
      <w:marBottom w:val="0"/>
      <w:divBdr>
        <w:top w:val="none" w:sz="0" w:space="0" w:color="auto"/>
        <w:left w:val="none" w:sz="0" w:space="0" w:color="auto"/>
        <w:bottom w:val="none" w:sz="0" w:space="0" w:color="auto"/>
        <w:right w:val="none" w:sz="0" w:space="0" w:color="auto"/>
      </w:divBdr>
      <w:divsChild>
        <w:div w:id="1986427881">
          <w:marLeft w:val="0"/>
          <w:marRight w:val="0"/>
          <w:marTop w:val="0"/>
          <w:marBottom w:val="0"/>
          <w:divBdr>
            <w:top w:val="none" w:sz="0" w:space="0" w:color="auto"/>
            <w:left w:val="none" w:sz="0" w:space="0" w:color="auto"/>
            <w:bottom w:val="none" w:sz="0" w:space="0" w:color="auto"/>
            <w:right w:val="none" w:sz="0" w:space="0" w:color="auto"/>
          </w:divBdr>
        </w:div>
      </w:divsChild>
    </w:div>
    <w:div w:id="1138498420">
      <w:bodyDiv w:val="1"/>
      <w:marLeft w:val="0"/>
      <w:marRight w:val="0"/>
      <w:marTop w:val="0"/>
      <w:marBottom w:val="0"/>
      <w:divBdr>
        <w:top w:val="none" w:sz="0" w:space="0" w:color="auto"/>
        <w:left w:val="none" w:sz="0" w:space="0" w:color="auto"/>
        <w:bottom w:val="none" w:sz="0" w:space="0" w:color="auto"/>
        <w:right w:val="none" w:sz="0" w:space="0" w:color="auto"/>
      </w:divBdr>
    </w:div>
    <w:div w:id="1223053502">
      <w:bodyDiv w:val="1"/>
      <w:marLeft w:val="0"/>
      <w:marRight w:val="0"/>
      <w:marTop w:val="0"/>
      <w:marBottom w:val="0"/>
      <w:divBdr>
        <w:top w:val="none" w:sz="0" w:space="0" w:color="auto"/>
        <w:left w:val="none" w:sz="0" w:space="0" w:color="auto"/>
        <w:bottom w:val="none" w:sz="0" w:space="0" w:color="auto"/>
        <w:right w:val="none" w:sz="0" w:space="0" w:color="auto"/>
      </w:divBdr>
      <w:divsChild>
        <w:div w:id="1500849003">
          <w:marLeft w:val="0"/>
          <w:marRight w:val="0"/>
          <w:marTop w:val="0"/>
          <w:marBottom w:val="0"/>
          <w:divBdr>
            <w:top w:val="none" w:sz="0" w:space="0" w:color="auto"/>
            <w:left w:val="none" w:sz="0" w:space="0" w:color="auto"/>
            <w:bottom w:val="none" w:sz="0" w:space="0" w:color="auto"/>
            <w:right w:val="none" w:sz="0" w:space="0" w:color="auto"/>
          </w:divBdr>
        </w:div>
      </w:divsChild>
    </w:div>
    <w:div w:id="1265185820">
      <w:bodyDiv w:val="1"/>
      <w:marLeft w:val="0"/>
      <w:marRight w:val="0"/>
      <w:marTop w:val="0"/>
      <w:marBottom w:val="0"/>
      <w:divBdr>
        <w:top w:val="none" w:sz="0" w:space="0" w:color="auto"/>
        <w:left w:val="none" w:sz="0" w:space="0" w:color="auto"/>
        <w:bottom w:val="none" w:sz="0" w:space="0" w:color="auto"/>
        <w:right w:val="none" w:sz="0" w:space="0" w:color="auto"/>
      </w:divBdr>
    </w:div>
    <w:div w:id="1315601141">
      <w:bodyDiv w:val="1"/>
      <w:marLeft w:val="0"/>
      <w:marRight w:val="0"/>
      <w:marTop w:val="0"/>
      <w:marBottom w:val="0"/>
      <w:divBdr>
        <w:top w:val="none" w:sz="0" w:space="0" w:color="auto"/>
        <w:left w:val="none" w:sz="0" w:space="0" w:color="auto"/>
        <w:bottom w:val="none" w:sz="0" w:space="0" w:color="auto"/>
        <w:right w:val="none" w:sz="0" w:space="0" w:color="auto"/>
      </w:divBdr>
      <w:divsChild>
        <w:div w:id="1317228331">
          <w:marLeft w:val="0"/>
          <w:marRight w:val="0"/>
          <w:marTop w:val="0"/>
          <w:marBottom w:val="0"/>
          <w:divBdr>
            <w:top w:val="none" w:sz="0" w:space="0" w:color="auto"/>
            <w:left w:val="none" w:sz="0" w:space="0" w:color="auto"/>
            <w:bottom w:val="none" w:sz="0" w:space="0" w:color="auto"/>
            <w:right w:val="none" w:sz="0" w:space="0" w:color="auto"/>
          </w:divBdr>
        </w:div>
      </w:divsChild>
    </w:div>
    <w:div w:id="1320814960">
      <w:bodyDiv w:val="1"/>
      <w:marLeft w:val="0"/>
      <w:marRight w:val="0"/>
      <w:marTop w:val="0"/>
      <w:marBottom w:val="0"/>
      <w:divBdr>
        <w:top w:val="none" w:sz="0" w:space="0" w:color="auto"/>
        <w:left w:val="none" w:sz="0" w:space="0" w:color="auto"/>
        <w:bottom w:val="none" w:sz="0" w:space="0" w:color="auto"/>
        <w:right w:val="none" w:sz="0" w:space="0" w:color="auto"/>
      </w:divBdr>
      <w:divsChild>
        <w:div w:id="1964146525">
          <w:marLeft w:val="0"/>
          <w:marRight w:val="0"/>
          <w:marTop w:val="0"/>
          <w:marBottom w:val="0"/>
          <w:divBdr>
            <w:top w:val="none" w:sz="0" w:space="0" w:color="auto"/>
            <w:left w:val="none" w:sz="0" w:space="0" w:color="auto"/>
            <w:bottom w:val="none" w:sz="0" w:space="0" w:color="auto"/>
            <w:right w:val="none" w:sz="0" w:space="0" w:color="auto"/>
          </w:divBdr>
        </w:div>
      </w:divsChild>
    </w:div>
    <w:div w:id="1883593944">
      <w:bodyDiv w:val="1"/>
      <w:marLeft w:val="0"/>
      <w:marRight w:val="0"/>
      <w:marTop w:val="0"/>
      <w:marBottom w:val="0"/>
      <w:divBdr>
        <w:top w:val="none" w:sz="0" w:space="0" w:color="auto"/>
        <w:left w:val="none" w:sz="0" w:space="0" w:color="auto"/>
        <w:bottom w:val="none" w:sz="0" w:space="0" w:color="auto"/>
        <w:right w:val="none" w:sz="0" w:space="0" w:color="auto"/>
      </w:divBdr>
      <w:divsChild>
        <w:div w:id="1883592142">
          <w:marLeft w:val="0"/>
          <w:marRight w:val="0"/>
          <w:marTop w:val="0"/>
          <w:marBottom w:val="0"/>
          <w:divBdr>
            <w:top w:val="none" w:sz="0" w:space="0" w:color="auto"/>
            <w:left w:val="none" w:sz="0" w:space="0" w:color="auto"/>
            <w:bottom w:val="none" w:sz="0" w:space="0" w:color="auto"/>
            <w:right w:val="none" w:sz="0" w:space="0" w:color="auto"/>
          </w:divBdr>
        </w:div>
      </w:divsChild>
    </w:div>
    <w:div w:id="1947425541">
      <w:bodyDiv w:val="1"/>
      <w:marLeft w:val="0"/>
      <w:marRight w:val="0"/>
      <w:marTop w:val="0"/>
      <w:marBottom w:val="0"/>
      <w:divBdr>
        <w:top w:val="none" w:sz="0" w:space="0" w:color="auto"/>
        <w:left w:val="none" w:sz="0" w:space="0" w:color="auto"/>
        <w:bottom w:val="none" w:sz="0" w:space="0" w:color="auto"/>
        <w:right w:val="none" w:sz="0" w:space="0" w:color="auto"/>
      </w:divBdr>
      <w:divsChild>
        <w:div w:id="2053773000">
          <w:marLeft w:val="0"/>
          <w:marRight w:val="0"/>
          <w:marTop w:val="0"/>
          <w:marBottom w:val="0"/>
          <w:divBdr>
            <w:top w:val="none" w:sz="0" w:space="0" w:color="auto"/>
            <w:left w:val="none" w:sz="0" w:space="0" w:color="auto"/>
            <w:bottom w:val="none" w:sz="0" w:space="0" w:color="auto"/>
            <w:right w:val="none" w:sz="0" w:space="0" w:color="auto"/>
          </w:divBdr>
        </w:div>
      </w:divsChild>
    </w:div>
    <w:div w:id="2020963121">
      <w:bodyDiv w:val="1"/>
      <w:marLeft w:val="0"/>
      <w:marRight w:val="0"/>
      <w:marTop w:val="0"/>
      <w:marBottom w:val="0"/>
      <w:divBdr>
        <w:top w:val="none" w:sz="0" w:space="0" w:color="auto"/>
        <w:left w:val="none" w:sz="0" w:space="0" w:color="auto"/>
        <w:bottom w:val="none" w:sz="0" w:space="0" w:color="auto"/>
        <w:right w:val="none" w:sz="0" w:space="0" w:color="auto"/>
      </w:divBdr>
      <w:divsChild>
        <w:div w:id="45995735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E7DBDF00C77446A3212AEFF4577A21" ma:contentTypeVersion="15" ma:contentTypeDescription="Create a new document." ma:contentTypeScope="" ma:versionID="88d377bbb04589a03e167bb4dce2ed9b">
  <xsd:schema xmlns:xsd="http://www.w3.org/2001/XMLSchema" xmlns:xs="http://www.w3.org/2001/XMLSchema" xmlns:p="http://schemas.microsoft.com/office/2006/metadata/properties" xmlns:ns2="58fca413-3b36-4298-af2b-d24aa1f4750f" xmlns:ns3="1084fe36-8241-4751-a893-1fa9f44ff207" targetNamespace="http://schemas.microsoft.com/office/2006/metadata/properties" ma:root="true" ma:fieldsID="a83c89f097d3dbb612ba75a0c85ec0f4" ns2:_="" ns3:_="">
    <xsd:import namespace="58fca413-3b36-4298-af2b-d24aa1f4750f"/>
    <xsd:import namespace="1084fe36-8241-4751-a893-1fa9f44ff207"/>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element ref="ns3:SharedWithUsers" minOccurs="0"/>
                <xsd:element ref="ns3:SharedWithDetails" minOccurs="0"/>
                <xsd:element ref="ns2:MediaServiceDateTaken" minOccurs="0"/>
                <xsd:element ref="ns2:MediaLengthInSeconds" minOccurs="0"/>
                <xsd:element ref="ns2:MediaServiceLocatio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8fca413-3b36-4298-af2b-d24aa1f475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084fe36-8241-4751-a893-1fa9f44ff207"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57825e2e-b4cb-4c0a-9f8d-3bc57ca7aae6}" ma:internalName="TaxCatchAll" ma:showField="CatchAllData" ma:web="1084fe36-8241-4751-a893-1fa9f44ff207">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8fca413-3b36-4298-af2b-d24aa1f4750f">
      <Terms xmlns="http://schemas.microsoft.com/office/infopath/2007/PartnerControls"/>
    </lcf76f155ced4ddcb4097134ff3c332f>
    <TaxCatchAll xmlns="1084fe36-8241-4751-a893-1fa9f44ff207" xsi:nil="true"/>
  </documentManagement>
</p:properties>
</file>

<file path=customXml/itemProps1.xml><?xml version="1.0" encoding="utf-8"?>
<ds:datastoreItem xmlns:ds="http://schemas.openxmlformats.org/officeDocument/2006/customXml" ds:itemID="{E9F95E0E-ADD7-467F-A4C8-EA033D0AA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8fca413-3b36-4298-af2b-d24aa1f4750f"/>
    <ds:schemaRef ds:uri="1084fe36-8241-4751-a893-1fa9f44ff2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642DA7A-9667-44EC-B446-9FC0DFD9CFC0}">
  <ds:schemaRefs>
    <ds:schemaRef ds:uri="http://schemas.microsoft.com/sharepoint/v3/contenttype/forms"/>
  </ds:schemaRefs>
</ds:datastoreItem>
</file>

<file path=customXml/itemProps3.xml><?xml version="1.0" encoding="utf-8"?>
<ds:datastoreItem xmlns:ds="http://schemas.openxmlformats.org/officeDocument/2006/customXml" ds:itemID="{5381A2B2-29BE-4693-8530-6C75034D8516}">
  <ds:schemaRefs>
    <ds:schemaRef ds:uri="http://schemas.microsoft.com/office/2006/documentManagement/types"/>
    <ds:schemaRef ds:uri="1084fe36-8241-4751-a893-1fa9f44ff207"/>
    <ds:schemaRef ds:uri="http://schemas.microsoft.com/office/infopath/2007/PartnerControls"/>
    <ds:schemaRef ds:uri="http://schemas.microsoft.com/office/2006/metadata/properties"/>
    <ds:schemaRef ds:uri="http://schemas.openxmlformats.org/package/2006/metadata/core-properties"/>
    <ds:schemaRef ds:uri="58fca413-3b36-4298-af2b-d24aa1f4750f"/>
    <ds:schemaRef ds:uri="http://purl.org/dc/dcmitype/"/>
    <ds:schemaRef ds:uri="http://www.w3.org/XML/1998/namespace"/>
    <ds:schemaRef ds:uri="http://purl.org/dc/term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2593</Words>
  <Characters>14784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Errietta Bissa</cp:lastModifiedBy>
  <cp:revision>2</cp:revision>
  <dcterms:created xsi:type="dcterms:W3CDTF">2025-02-25T12:21:00Z</dcterms:created>
  <dcterms:modified xsi:type="dcterms:W3CDTF">2025-02-25T12:21:00Z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
  </property>
</Properties>
</file>