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Sam Robert Goldsack (2004597)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Mathematics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11th November 2020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935" w:dyaOrig="3690">
          <v:rect xmlns:o="urn:schemas-microsoft-com:office:office" xmlns:v="urn:schemas-microsoft-com:vml" id="rectole0000000000" style="width:246.750000pt;height:184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070" w:dyaOrig="3750">
          <v:rect xmlns:o="urn:schemas-microsoft-com:office:office" xmlns:v="urn:schemas-microsoft-com:vml" id="rectole0000000001" style="width:253.500000pt;height:187.5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070" w:dyaOrig="3795">
          <v:rect xmlns:o="urn:schemas-microsoft-com:office:office" xmlns:v="urn:schemas-microsoft-com:vml" id="rectole0000000002" style="width:253.500000pt;height:189.7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144" w:dyaOrig="3885">
          <v:rect xmlns:o="urn:schemas-microsoft-com:office:office" xmlns:v="urn:schemas-microsoft-com:vml" id="rectole0000000003" style="width:257.200000pt;height:194.2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204" w:dyaOrig="3929">
          <v:rect xmlns:o="urn:schemas-microsoft-com:office:office" xmlns:v="urn:schemas-microsoft-com:vml" id="rectole0000000004" style="width:260.200000pt;height:196.4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embeddings/oleObject4.bin" Id="docRId8" Type="http://schemas.openxmlformats.org/officeDocument/2006/relationships/oleObject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/Relationships>
</file>