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3809CA" w14:textId="77777777" w:rsidR="0068685F" w:rsidRPr="003D3DFF" w:rsidRDefault="0068685F" w:rsidP="003D3DFF">
      <w:pPr>
        <w:pStyle w:val="Title"/>
        <w:jc w:val="center"/>
        <w:rPr>
          <w:rFonts w:ascii="Arial" w:hAnsi="Arial" w:cs="Arial"/>
          <w:sz w:val="32"/>
          <w:szCs w:val="32"/>
          <w:lang w:val="en-GB"/>
        </w:rPr>
      </w:pPr>
      <w:bookmarkStart w:id="0" w:name="_b2ce1oupyms0" w:colFirst="0" w:colLast="0"/>
      <w:bookmarkStart w:id="1" w:name="_3enk00c3o44z" w:colFirst="0" w:colLast="0"/>
      <w:bookmarkStart w:id="2" w:name="_u2fhiqhirxs1" w:colFirst="0" w:colLast="0"/>
      <w:bookmarkEnd w:id="0"/>
      <w:bookmarkEnd w:id="1"/>
      <w:bookmarkEnd w:id="2"/>
      <w:r w:rsidRPr="003D3DFF">
        <w:rPr>
          <w:rFonts w:ascii="Arial" w:hAnsi="Arial" w:cs="Arial"/>
          <w:noProof/>
          <w:sz w:val="32"/>
          <w:szCs w:val="32"/>
          <w:lang w:val="en-IN" w:eastAsia="en-IN" w:bidi="gu-IN"/>
        </w:rPr>
        <w:drawing>
          <wp:inline distT="114300" distB="114300" distL="114300" distR="114300" wp14:anchorId="359C3517" wp14:editId="5623BA2A">
            <wp:extent cx="3028950" cy="107576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1075765"/>
                    </a:xfrm>
                    <a:prstGeom prst="rect">
                      <a:avLst/>
                    </a:prstGeom>
                    <a:ln/>
                  </pic:spPr>
                </pic:pic>
              </a:graphicData>
            </a:graphic>
          </wp:inline>
        </w:drawing>
      </w:r>
    </w:p>
    <w:p w14:paraId="5956D0B5" w14:textId="77777777" w:rsidR="00E6089D" w:rsidRDefault="00E6089D" w:rsidP="003D3DFF">
      <w:pPr>
        <w:pStyle w:val="Title"/>
        <w:jc w:val="center"/>
        <w:rPr>
          <w:rFonts w:ascii="Arial" w:hAnsi="Arial" w:cs="Arial"/>
          <w:sz w:val="32"/>
          <w:szCs w:val="32"/>
          <w:lang w:val="en-GB"/>
        </w:rPr>
      </w:pPr>
    </w:p>
    <w:p w14:paraId="5C78F000" w14:textId="269C075E" w:rsidR="00E6089D" w:rsidRPr="00E6089D" w:rsidRDefault="0068685F" w:rsidP="000015AA">
      <w:pPr>
        <w:pStyle w:val="Title"/>
        <w:spacing w:line="480" w:lineRule="auto"/>
        <w:jc w:val="center"/>
        <w:rPr>
          <w:rFonts w:ascii="Arial" w:hAnsi="Arial" w:cs="Arial"/>
          <w:sz w:val="32"/>
          <w:szCs w:val="32"/>
          <w:lang w:val="en-GB"/>
        </w:rPr>
      </w:pPr>
      <w:r w:rsidRPr="00E6089D">
        <w:rPr>
          <w:rFonts w:ascii="Arial" w:hAnsi="Arial" w:cs="Arial"/>
          <w:sz w:val="32"/>
          <w:szCs w:val="32"/>
          <w:lang w:val="en-GB"/>
        </w:rPr>
        <w:t>Programme: Master of Business Administration</w:t>
      </w:r>
    </w:p>
    <w:p w14:paraId="3CF55765" w14:textId="77777777" w:rsidR="00060C43" w:rsidRDefault="00060C43" w:rsidP="000015AA">
      <w:pPr>
        <w:pStyle w:val="Title"/>
        <w:spacing w:line="480" w:lineRule="auto"/>
        <w:jc w:val="center"/>
        <w:rPr>
          <w:rFonts w:ascii="Arial" w:hAnsi="Arial" w:cs="Arial"/>
          <w:sz w:val="32"/>
          <w:szCs w:val="32"/>
          <w:lang w:val="en-GB"/>
        </w:rPr>
      </w:pPr>
      <w:r>
        <w:rPr>
          <w:rFonts w:ascii="Arial" w:hAnsi="Arial" w:cs="Arial"/>
          <w:sz w:val="32"/>
          <w:szCs w:val="32"/>
          <w:lang w:val="en-GB"/>
        </w:rPr>
        <w:t>Module C</w:t>
      </w:r>
      <w:r w:rsidR="0068685F" w:rsidRPr="00E6089D">
        <w:rPr>
          <w:rFonts w:ascii="Arial" w:hAnsi="Arial" w:cs="Arial"/>
          <w:sz w:val="32"/>
          <w:szCs w:val="32"/>
          <w:lang w:val="en-GB"/>
        </w:rPr>
        <w:t>ode: LC</w:t>
      </w:r>
      <w:r w:rsidR="00B7031C" w:rsidRPr="00E6089D">
        <w:rPr>
          <w:rFonts w:ascii="Arial" w:hAnsi="Arial" w:cs="Arial"/>
          <w:sz w:val="32"/>
          <w:szCs w:val="32"/>
          <w:lang w:val="en-GB"/>
        </w:rPr>
        <w:t>MB7</w:t>
      </w:r>
      <w:bookmarkStart w:id="3" w:name="_GoBack"/>
      <w:bookmarkEnd w:id="3"/>
      <w:r w:rsidR="00B7031C" w:rsidRPr="00E6089D">
        <w:rPr>
          <w:rFonts w:ascii="Arial" w:hAnsi="Arial" w:cs="Arial"/>
          <w:sz w:val="32"/>
          <w:szCs w:val="32"/>
          <w:lang w:val="en-GB"/>
        </w:rPr>
        <w:t>003</w:t>
      </w:r>
    </w:p>
    <w:p w14:paraId="07E9582F" w14:textId="049576CE" w:rsidR="00323781" w:rsidRPr="00E6089D" w:rsidRDefault="00060C43" w:rsidP="000015AA">
      <w:pPr>
        <w:pStyle w:val="Title"/>
        <w:spacing w:line="480" w:lineRule="auto"/>
        <w:jc w:val="center"/>
        <w:rPr>
          <w:rFonts w:ascii="Arial" w:hAnsi="Arial" w:cs="Arial"/>
          <w:sz w:val="32"/>
          <w:szCs w:val="32"/>
          <w:lang w:val="en-GB"/>
        </w:rPr>
      </w:pPr>
      <w:r>
        <w:rPr>
          <w:rFonts w:ascii="Arial" w:hAnsi="Arial" w:cs="Arial"/>
          <w:sz w:val="32"/>
          <w:szCs w:val="32"/>
          <w:lang w:val="en-GB"/>
        </w:rPr>
        <w:t>Module Name:</w:t>
      </w:r>
      <w:r w:rsidR="0068685F" w:rsidRPr="00E6089D">
        <w:rPr>
          <w:rFonts w:ascii="Arial" w:hAnsi="Arial" w:cs="Arial"/>
          <w:sz w:val="32"/>
          <w:szCs w:val="32"/>
          <w:lang w:val="en-GB"/>
        </w:rPr>
        <w:t xml:space="preserve"> </w:t>
      </w:r>
      <w:r w:rsidR="00323781" w:rsidRPr="00E6089D">
        <w:rPr>
          <w:rFonts w:ascii="Arial" w:hAnsi="Arial" w:cs="Arial"/>
          <w:sz w:val="32"/>
          <w:szCs w:val="32"/>
          <w:lang w:val="en-GB"/>
        </w:rPr>
        <w:t>Strategic Management</w:t>
      </w:r>
    </w:p>
    <w:p w14:paraId="57393475" w14:textId="30369D0E" w:rsidR="0068685F" w:rsidRPr="00E6089D" w:rsidRDefault="0068685F" w:rsidP="000015AA">
      <w:pPr>
        <w:pStyle w:val="Title"/>
        <w:spacing w:line="480" w:lineRule="auto"/>
        <w:jc w:val="center"/>
        <w:rPr>
          <w:rFonts w:ascii="Arial" w:hAnsi="Arial" w:cs="Arial"/>
          <w:sz w:val="32"/>
          <w:szCs w:val="32"/>
          <w:lang w:val="en-GB"/>
        </w:rPr>
      </w:pPr>
      <w:r w:rsidRPr="00E6089D">
        <w:rPr>
          <w:rFonts w:ascii="Arial" w:hAnsi="Arial" w:cs="Arial"/>
          <w:sz w:val="32"/>
          <w:szCs w:val="32"/>
          <w:lang w:val="en-GB"/>
        </w:rPr>
        <w:t xml:space="preserve">Student </w:t>
      </w:r>
      <w:r w:rsidR="000015AA" w:rsidRPr="00E6089D">
        <w:rPr>
          <w:rFonts w:ascii="Arial" w:hAnsi="Arial" w:cs="Arial"/>
          <w:sz w:val="32"/>
          <w:szCs w:val="32"/>
          <w:lang w:val="en-GB"/>
        </w:rPr>
        <w:t>Name</w:t>
      </w:r>
      <w:r w:rsidR="000015AA">
        <w:rPr>
          <w:rFonts w:ascii="Arial" w:hAnsi="Arial" w:cs="Arial"/>
          <w:sz w:val="32"/>
          <w:szCs w:val="32"/>
          <w:lang w:val="en-GB"/>
        </w:rPr>
        <w:t>: Dharmikkumar Govindbhai Rabari</w:t>
      </w:r>
    </w:p>
    <w:p w14:paraId="489E528E" w14:textId="2EF23736" w:rsidR="0068685F" w:rsidRPr="00E6089D" w:rsidRDefault="0068685F" w:rsidP="000015AA">
      <w:pPr>
        <w:pStyle w:val="Title"/>
        <w:spacing w:line="480" w:lineRule="auto"/>
        <w:jc w:val="center"/>
        <w:rPr>
          <w:rFonts w:ascii="Arial" w:hAnsi="Arial" w:cs="Arial"/>
          <w:sz w:val="32"/>
          <w:szCs w:val="32"/>
          <w:lang w:val="en-GB"/>
        </w:rPr>
      </w:pPr>
      <w:r w:rsidRPr="00E6089D">
        <w:rPr>
          <w:rFonts w:ascii="Arial" w:hAnsi="Arial" w:cs="Arial"/>
          <w:sz w:val="32"/>
          <w:szCs w:val="32"/>
          <w:lang w:val="en-GB"/>
        </w:rPr>
        <w:t xml:space="preserve">Student </w:t>
      </w:r>
      <w:r w:rsidR="000015AA" w:rsidRPr="00E6089D">
        <w:rPr>
          <w:rFonts w:ascii="Arial" w:hAnsi="Arial" w:cs="Arial"/>
          <w:sz w:val="32"/>
          <w:szCs w:val="32"/>
          <w:lang w:val="en-GB"/>
        </w:rPr>
        <w:t>ID</w:t>
      </w:r>
      <w:r w:rsidR="000015AA">
        <w:rPr>
          <w:rFonts w:ascii="Arial" w:hAnsi="Arial" w:cs="Arial"/>
          <w:sz w:val="32"/>
          <w:szCs w:val="32"/>
          <w:lang w:val="en-GB"/>
        </w:rPr>
        <w:t>: 2510581</w:t>
      </w:r>
    </w:p>
    <w:p w14:paraId="7CD1FA8F" w14:textId="5A571EA8" w:rsidR="0068685F" w:rsidRPr="00E6089D" w:rsidRDefault="0068685F" w:rsidP="00060C43">
      <w:pPr>
        <w:pStyle w:val="Title"/>
        <w:spacing w:line="480" w:lineRule="auto"/>
        <w:jc w:val="center"/>
        <w:rPr>
          <w:rFonts w:ascii="Arial" w:hAnsi="Arial" w:cs="Arial"/>
          <w:sz w:val="32"/>
          <w:szCs w:val="32"/>
          <w:lang w:val="en-GB"/>
        </w:rPr>
      </w:pPr>
      <w:r w:rsidRPr="00E6089D">
        <w:rPr>
          <w:rFonts w:ascii="Arial" w:hAnsi="Arial" w:cs="Arial"/>
          <w:sz w:val="32"/>
          <w:szCs w:val="32"/>
          <w:lang w:val="en-GB"/>
        </w:rPr>
        <w:t xml:space="preserve"> Assessment component:</w:t>
      </w:r>
      <w:r w:rsidR="00060C43">
        <w:rPr>
          <w:rFonts w:ascii="Arial" w:hAnsi="Arial" w:cs="Arial"/>
          <w:sz w:val="32"/>
          <w:szCs w:val="32"/>
          <w:lang w:val="en-GB"/>
        </w:rPr>
        <w:t xml:space="preserve"> </w:t>
      </w:r>
      <w:r w:rsidR="00060C43" w:rsidRPr="00E6089D">
        <w:rPr>
          <w:rFonts w:ascii="Arial" w:hAnsi="Arial" w:cs="Arial"/>
          <w:sz w:val="32"/>
          <w:szCs w:val="32"/>
          <w:lang w:val="en-GB"/>
        </w:rPr>
        <w:t>Individual report</w:t>
      </w:r>
    </w:p>
    <w:p w14:paraId="1C586C5F" w14:textId="5C9C37D6" w:rsidR="0068685F" w:rsidRPr="00E6089D" w:rsidRDefault="0068685F" w:rsidP="000015AA">
      <w:pPr>
        <w:pStyle w:val="Title"/>
        <w:spacing w:line="480" w:lineRule="auto"/>
        <w:jc w:val="center"/>
        <w:rPr>
          <w:rFonts w:ascii="Arial" w:hAnsi="Arial" w:cs="Arial"/>
          <w:sz w:val="32"/>
          <w:szCs w:val="32"/>
          <w:lang w:val="en-GB"/>
        </w:rPr>
      </w:pPr>
      <w:r w:rsidRPr="00E6089D">
        <w:rPr>
          <w:rFonts w:ascii="Arial" w:hAnsi="Arial" w:cs="Arial"/>
          <w:sz w:val="32"/>
          <w:szCs w:val="32"/>
          <w:lang w:val="en-GB"/>
        </w:rPr>
        <w:t xml:space="preserve">Company: </w:t>
      </w:r>
      <w:r w:rsidR="00292F08" w:rsidRPr="00E6089D">
        <w:rPr>
          <w:rFonts w:ascii="Arial" w:hAnsi="Arial" w:cs="Arial"/>
          <w:sz w:val="32"/>
          <w:szCs w:val="32"/>
          <w:lang w:val="en-GB"/>
        </w:rPr>
        <w:t xml:space="preserve">H&amp;M </w:t>
      </w:r>
      <w:r w:rsidRPr="00E6089D">
        <w:rPr>
          <w:rFonts w:ascii="Arial" w:hAnsi="Arial" w:cs="Arial"/>
          <w:sz w:val="32"/>
          <w:szCs w:val="32"/>
          <w:lang w:val="en-GB"/>
        </w:rPr>
        <w:t>(</w:t>
      </w:r>
      <w:r w:rsidR="00292F08" w:rsidRPr="00E6089D">
        <w:rPr>
          <w:rFonts w:ascii="Arial" w:hAnsi="Arial" w:cs="Arial"/>
          <w:sz w:val="32"/>
          <w:szCs w:val="32"/>
          <w:lang w:val="en-GB"/>
        </w:rPr>
        <w:t>UK</w:t>
      </w:r>
      <w:r w:rsidRPr="00E6089D">
        <w:rPr>
          <w:rFonts w:ascii="Arial" w:hAnsi="Arial" w:cs="Arial"/>
          <w:sz w:val="32"/>
          <w:szCs w:val="32"/>
          <w:lang w:val="en-GB"/>
        </w:rPr>
        <w:t>)</w:t>
      </w:r>
    </w:p>
    <w:p w14:paraId="074245B1" w14:textId="5B3FFF3A" w:rsidR="0068685F" w:rsidRPr="00E6089D" w:rsidRDefault="0068685F" w:rsidP="000015AA">
      <w:pPr>
        <w:pStyle w:val="Title"/>
        <w:spacing w:line="480" w:lineRule="auto"/>
        <w:jc w:val="center"/>
        <w:rPr>
          <w:rFonts w:ascii="Arial" w:hAnsi="Arial" w:cs="Arial"/>
          <w:sz w:val="32"/>
          <w:szCs w:val="32"/>
          <w:lang w:val="en-GB"/>
        </w:rPr>
      </w:pPr>
      <w:r w:rsidRPr="00E6089D">
        <w:rPr>
          <w:rFonts w:ascii="Arial" w:hAnsi="Arial" w:cs="Arial"/>
          <w:sz w:val="32"/>
          <w:szCs w:val="32"/>
          <w:lang w:val="en-GB"/>
        </w:rPr>
        <w:t>Lecturer Name:</w:t>
      </w:r>
      <w:r w:rsidR="000015AA">
        <w:rPr>
          <w:rFonts w:ascii="Arial" w:hAnsi="Arial" w:cs="Arial"/>
          <w:sz w:val="32"/>
          <w:szCs w:val="32"/>
          <w:lang w:val="en-GB"/>
        </w:rPr>
        <w:t xml:space="preserve"> </w:t>
      </w:r>
      <w:r w:rsidR="00060C43">
        <w:rPr>
          <w:rFonts w:ascii="Arial" w:hAnsi="Arial" w:cs="Arial"/>
          <w:sz w:val="32"/>
          <w:szCs w:val="32"/>
          <w:lang w:val="en-GB"/>
        </w:rPr>
        <w:t>Ghulam Mujtaba</w:t>
      </w:r>
    </w:p>
    <w:p w14:paraId="14784E3A" w14:textId="7EE95CC9" w:rsidR="0068685F" w:rsidRPr="00E6089D" w:rsidRDefault="0068685F" w:rsidP="000015AA">
      <w:pPr>
        <w:pStyle w:val="Title"/>
        <w:spacing w:line="480" w:lineRule="auto"/>
        <w:jc w:val="center"/>
        <w:rPr>
          <w:rFonts w:ascii="Arial" w:hAnsi="Arial" w:cs="Arial"/>
          <w:sz w:val="32"/>
          <w:szCs w:val="32"/>
          <w:lang w:val="en-GB"/>
        </w:rPr>
      </w:pPr>
      <w:r w:rsidRPr="00E6089D">
        <w:rPr>
          <w:rFonts w:ascii="Arial" w:hAnsi="Arial" w:cs="Arial"/>
          <w:sz w:val="32"/>
          <w:szCs w:val="32"/>
          <w:lang w:val="en-GB"/>
        </w:rPr>
        <w:t xml:space="preserve">Words: </w:t>
      </w:r>
      <w:r w:rsidR="00826E35" w:rsidRPr="00E6089D">
        <w:rPr>
          <w:rFonts w:ascii="Arial" w:hAnsi="Arial" w:cs="Arial"/>
          <w:sz w:val="32"/>
          <w:szCs w:val="32"/>
          <w:lang w:val="en-GB"/>
        </w:rPr>
        <w:t>4800</w:t>
      </w:r>
    </w:p>
    <w:p w14:paraId="5A4E3EC2" w14:textId="77777777" w:rsidR="000265FA" w:rsidRPr="00E6089D" w:rsidRDefault="000265FA" w:rsidP="00E6089D">
      <w:pPr>
        <w:spacing w:line="360" w:lineRule="auto"/>
        <w:rPr>
          <w:rFonts w:ascii="Arial" w:hAnsi="Arial" w:cs="Arial"/>
          <w:color w:val="000000" w:themeColor="text1"/>
          <w:sz w:val="32"/>
          <w:szCs w:val="32"/>
          <w:lang w:val="en-GB"/>
        </w:rPr>
      </w:pPr>
    </w:p>
    <w:p w14:paraId="06CA6F79" w14:textId="77777777" w:rsidR="000265FA" w:rsidRPr="00487B84" w:rsidRDefault="000265FA" w:rsidP="00487B84">
      <w:pPr>
        <w:spacing w:line="360" w:lineRule="auto"/>
        <w:rPr>
          <w:rFonts w:ascii="Arial" w:hAnsi="Arial" w:cs="Arial"/>
          <w:color w:val="000000" w:themeColor="text1"/>
          <w:szCs w:val="24"/>
          <w:lang w:val="en-GB"/>
        </w:rPr>
      </w:pPr>
    </w:p>
    <w:p w14:paraId="1F232404" w14:textId="77777777" w:rsidR="000265FA" w:rsidRPr="00487B84" w:rsidRDefault="000265FA" w:rsidP="00487B84">
      <w:pPr>
        <w:spacing w:line="360" w:lineRule="auto"/>
        <w:rPr>
          <w:rFonts w:ascii="Arial" w:hAnsi="Arial" w:cs="Arial"/>
          <w:color w:val="000000" w:themeColor="text1"/>
          <w:szCs w:val="24"/>
          <w:lang w:val="en-GB"/>
        </w:rPr>
      </w:pPr>
    </w:p>
    <w:p w14:paraId="222963A1" w14:textId="77777777" w:rsidR="000265FA" w:rsidRPr="00487B84" w:rsidRDefault="000265FA" w:rsidP="00487B84">
      <w:pPr>
        <w:spacing w:line="360" w:lineRule="auto"/>
        <w:rPr>
          <w:rFonts w:ascii="Arial" w:hAnsi="Arial" w:cs="Arial"/>
          <w:color w:val="000000" w:themeColor="text1"/>
          <w:szCs w:val="24"/>
          <w:lang w:val="en-GB"/>
        </w:rPr>
      </w:pPr>
    </w:p>
    <w:p w14:paraId="28DFD77B" w14:textId="77777777" w:rsidR="000265FA" w:rsidRPr="00487B84" w:rsidRDefault="000265FA" w:rsidP="00487B84">
      <w:pPr>
        <w:spacing w:line="360" w:lineRule="auto"/>
        <w:rPr>
          <w:rFonts w:ascii="Arial" w:hAnsi="Arial" w:cs="Arial"/>
          <w:color w:val="000000" w:themeColor="text1"/>
          <w:szCs w:val="24"/>
          <w:lang w:val="en-GB"/>
        </w:rPr>
      </w:pPr>
    </w:p>
    <w:p w14:paraId="2E5A41CE" w14:textId="77777777" w:rsidR="000265FA" w:rsidRPr="00487B84" w:rsidRDefault="000265FA" w:rsidP="00487B84">
      <w:pPr>
        <w:spacing w:line="360" w:lineRule="auto"/>
        <w:rPr>
          <w:rFonts w:ascii="Arial" w:hAnsi="Arial" w:cs="Arial"/>
          <w:color w:val="000000" w:themeColor="text1"/>
          <w:szCs w:val="24"/>
          <w:lang w:val="en-GB"/>
        </w:rPr>
      </w:pPr>
    </w:p>
    <w:p w14:paraId="579B578C" w14:textId="77777777" w:rsidR="000265FA" w:rsidRPr="00487B84" w:rsidRDefault="000265F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br w:type="page"/>
      </w:r>
    </w:p>
    <w:sdt>
      <w:sdtPr>
        <w:rPr>
          <w:rFonts w:ascii="Arial" w:eastAsia="Times New Roman" w:hAnsi="Arial" w:cs="Arial"/>
          <w:color w:val="000000" w:themeColor="text1"/>
          <w:sz w:val="24"/>
          <w:szCs w:val="24"/>
          <w:lang w:val="en-GB"/>
        </w:rPr>
        <w:id w:val="224885507"/>
        <w:docPartObj>
          <w:docPartGallery w:val="Table of Contents"/>
          <w:docPartUnique/>
        </w:docPartObj>
      </w:sdtPr>
      <w:sdtEndPr>
        <w:rPr>
          <w:b/>
          <w:bCs/>
          <w:noProof/>
        </w:rPr>
      </w:sdtEndPr>
      <w:sdtContent>
        <w:p w14:paraId="7D7A7C48" w14:textId="77777777" w:rsidR="000265FA" w:rsidRPr="001B3203" w:rsidRDefault="000265FA" w:rsidP="00487B84">
          <w:pPr>
            <w:pStyle w:val="TOCHeading"/>
            <w:spacing w:after="240" w:line="360" w:lineRule="auto"/>
            <w:rPr>
              <w:rFonts w:ascii="Arial" w:hAnsi="Arial" w:cs="Arial"/>
              <w:b/>
              <w:bCs/>
              <w:color w:val="000000" w:themeColor="text1"/>
              <w:sz w:val="24"/>
              <w:szCs w:val="24"/>
              <w:lang w:val="en-GB"/>
            </w:rPr>
          </w:pPr>
          <w:r w:rsidRPr="001B3203">
            <w:rPr>
              <w:rFonts w:ascii="Arial" w:hAnsi="Arial" w:cs="Arial"/>
              <w:b/>
              <w:bCs/>
              <w:color w:val="000000" w:themeColor="text1"/>
              <w:sz w:val="24"/>
              <w:szCs w:val="24"/>
              <w:lang w:val="en-GB"/>
            </w:rPr>
            <w:t>Table of Contents</w:t>
          </w:r>
        </w:p>
        <w:p w14:paraId="24898A22" w14:textId="2E49D849" w:rsidR="00A61E51" w:rsidRDefault="000265FA">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r w:rsidRPr="00487B84">
            <w:rPr>
              <w:rFonts w:ascii="Arial" w:hAnsi="Arial" w:cs="Arial"/>
              <w:color w:val="000000" w:themeColor="text1"/>
              <w:szCs w:val="24"/>
              <w:lang w:val="en-GB"/>
            </w:rPr>
            <w:fldChar w:fldCharType="begin"/>
          </w:r>
          <w:r w:rsidRPr="00487B84">
            <w:rPr>
              <w:rFonts w:ascii="Arial" w:hAnsi="Arial" w:cs="Arial"/>
              <w:color w:val="000000" w:themeColor="text1"/>
              <w:szCs w:val="24"/>
              <w:lang w:val="en-GB"/>
            </w:rPr>
            <w:instrText xml:space="preserve"> TOC \o "1-3" \h \z \u </w:instrText>
          </w:r>
          <w:r w:rsidRPr="00487B84">
            <w:rPr>
              <w:rFonts w:ascii="Arial" w:hAnsi="Arial" w:cs="Arial"/>
              <w:color w:val="000000" w:themeColor="text1"/>
              <w:szCs w:val="24"/>
              <w:lang w:val="en-GB"/>
            </w:rPr>
            <w:fldChar w:fldCharType="separate"/>
          </w:r>
          <w:hyperlink w:anchor="_Toc237034009" w:history="1">
            <w:r w:rsidR="00A61E51" w:rsidRPr="005C7F4D">
              <w:rPr>
                <w:rStyle w:val="Hyperlink"/>
                <w:rFonts w:ascii="Arial" w:hAnsi="Arial" w:cs="Arial"/>
                <w:noProof/>
                <w:lang w:val="en-GB"/>
              </w:rPr>
              <w:t>1. Organisational Context and UK Market Position</w:t>
            </w:r>
            <w:r w:rsidR="00A61E51">
              <w:rPr>
                <w:noProof/>
                <w:webHidden/>
              </w:rPr>
              <w:tab/>
            </w:r>
            <w:r w:rsidR="00A61E51">
              <w:rPr>
                <w:noProof/>
                <w:webHidden/>
              </w:rPr>
              <w:fldChar w:fldCharType="begin"/>
            </w:r>
            <w:r w:rsidR="00A61E51">
              <w:rPr>
                <w:noProof/>
                <w:webHidden/>
              </w:rPr>
              <w:instrText xml:space="preserve"> PAGEREF _Toc237034009 \h </w:instrText>
            </w:r>
            <w:r w:rsidR="00A61E51">
              <w:rPr>
                <w:noProof/>
                <w:webHidden/>
              </w:rPr>
            </w:r>
            <w:r w:rsidR="00A61E51">
              <w:rPr>
                <w:noProof/>
                <w:webHidden/>
              </w:rPr>
              <w:fldChar w:fldCharType="separate"/>
            </w:r>
            <w:r w:rsidR="00A61E51">
              <w:rPr>
                <w:noProof/>
                <w:webHidden/>
              </w:rPr>
              <w:t>4</w:t>
            </w:r>
            <w:r w:rsidR="00A61E51">
              <w:rPr>
                <w:noProof/>
                <w:webHidden/>
              </w:rPr>
              <w:fldChar w:fldCharType="end"/>
            </w:r>
          </w:hyperlink>
        </w:p>
        <w:p w14:paraId="4B84F82B" w14:textId="7FA08FEB"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10" w:history="1">
            <w:r w:rsidR="00A61E51" w:rsidRPr="005C7F4D">
              <w:rPr>
                <w:rStyle w:val="Hyperlink"/>
                <w:rFonts w:ascii="Arial" w:hAnsi="Arial" w:cs="Arial"/>
                <w:noProof/>
                <w:lang w:val="en-GB"/>
              </w:rPr>
              <w:t>1.1 Organisational Overview</w:t>
            </w:r>
            <w:r w:rsidR="00A61E51">
              <w:rPr>
                <w:noProof/>
                <w:webHidden/>
              </w:rPr>
              <w:tab/>
            </w:r>
            <w:r w:rsidR="00A61E51">
              <w:rPr>
                <w:noProof/>
                <w:webHidden/>
              </w:rPr>
              <w:fldChar w:fldCharType="begin"/>
            </w:r>
            <w:r w:rsidR="00A61E51">
              <w:rPr>
                <w:noProof/>
                <w:webHidden/>
              </w:rPr>
              <w:instrText xml:space="preserve"> PAGEREF _Toc237034010 \h </w:instrText>
            </w:r>
            <w:r w:rsidR="00A61E51">
              <w:rPr>
                <w:noProof/>
                <w:webHidden/>
              </w:rPr>
            </w:r>
            <w:r w:rsidR="00A61E51">
              <w:rPr>
                <w:noProof/>
                <w:webHidden/>
              </w:rPr>
              <w:fldChar w:fldCharType="separate"/>
            </w:r>
            <w:r w:rsidR="00A61E51">
              <w:rPr>
                <w:noProof/>
                <w:webHidden/>
              </w:rPr>
              <w:t>4</w:t>
            </w:r>
            <w:r w:rsidR="00A61E51">
              <w:rPr>
                <w:noProof/>
                <w:webHidden/>
              </w:rPr>
              <w:fldChar w:fldCharType="end"/>
            </w:r>
          </w:hyperlink>
        </w:p>
        <w:p w14:paraId="47315DD7" w14:textId="11ADEF96"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11" w:history="1">
            <w:r w:rsidR="00A61E51" w:rsidRPr="005C7F4D">
              <w:rPr>
                <w:rStyle w:val="Hyperlink"/>
                <w:rFonts w:ascii="Arial" w:hAnsi="Arial" w:cs="Arial"/>
                <w:noProof/>
                <w:lang w:val="en-GB"/>
              </w:rPr>
              <w:t>1.2 UK Fashion Retail Industry and Market Position</w:t>
            </w:r>
            <w:r w:rsidR="00A61E51">
              <w:rPr>
                <w:noProof/>
                <w:webHidden/>
              </w:rPr>
              <w:tab/>
            </w:r>
            <w:r w:rsidR="00A61E51">
              <w:rPr>
                <w:noProof/>
                <w:webHidden/>
              </w:rPr>
              <w:fldChar w:fldCharType="begin"/>
            </w:r>
            <w:r w:rsidR="00A61E51">
              <w:rPr>
                <w:noProof/>
                <w:webHidden/>
              </w:rPr>
              <w:instrText xml:space="preserve"> PAGEREF _Toc237034011 \h </w:instrText>
            </w:r>
            <w:r w:rsidR="00A61E51">
              <w:rPr>
                <w:noProof/>
                <w:webHidden/>
              </w:rPr>
            </w:r>
            <w:r w:rsidR="00A61E51">
              <w:rPr>
                <w:noProof/>
                <w:webHidden/>
              </w:rPr>
              <w:fldChar w:fldCharType="separate"/>
            </w:r>
            <w:r w:rsidR="00A61E51">
              <w:rPr>
                <w:noProof/>
                <w:webHidden/>
              </w:rPr>
              <w:t>4</w:t>
            </w:r>
            <w:r w:rsidR="00A61E51">
              <w:rPr>
                <w:noProof/>
                <w:webHidden/>
              </w:rPr>
              <w:fldChar w:fldCharType="end"/>
            </w:r>
          </w:hyperlink>
        </w:p>
        <w:p w14:paraId="4BE9E13D" w14:textId="4C7CD253" w:rsidR="00A61E51" w:rsidRDefault="005A0203">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12" w:history="1">
            <w:r w:rsidR="00A61E51" w:rsidRPr="005C7F4D">
              <w:rPr>
                <w:rStyle w:val="Hyperlink"/>
                <w:rFonts w:ascii="Arial" w:hAnsi="Arial" w:cs="Arial"/>
                <w:noProof/>
                <w:lang w:val="en-GB"/>
              </w:rPr>
              <w:t>2. External and Internal Analysis</w:t>
            </w:r>
            <w:r w:rsidR="00A61E51">
              <w:rPr>
                <w:noProof/>
                <w:webHidden/>
              </w:rPr>
              <w:tab/>
            </w:r>
            <w:r w:rsidR="00A61E51">
              <w:rPr>
                <w:noProof/>
                <w:webHidden/>
              </w:rPr>
              <w:fldChar w:fldCharType="begin"/>
            </w:r>
            <w:r w:rsidR="00A61E51">
              <w:rPr>
                <w:noProof/>
                <w:webHidden/>
              </w:rPr>
              <w:instrText xml:space="preserve"> PAGEREF _Toc237034012 \h </w:instrText>
            </w:r>
            <w:r w:rsidR="00A61E51">
              <w:rPr>
                <w:noProof/>
                <w:webHidden/>
              </w:rPr>
            </w:r>
            <w:r w:rsidR="00A61E51">
              <w:rPr>
                <w:noProof/>
                <w:webHidden/>
              </w:rPr>
              <w:fldChar w:fldCharType="separate"/>
            </w:r>
            <w:r w:rsidR="00A61E51">
              <w:rPr>
                <w:noProof/>
                <w:webHidden/>
              </w:rPr>
              <w:t>5</w:t>
            </w:r>
            <w:r w:rsidR="00A61E51">
              <w:rPr>
                <w:noProof/>
                <w:webHidden/>
              </w:rPr>
              <w:fldChar w:fldCharType="end"/>
            </w:r>
          </w:hyperlink>
        </w:p>
        <w:p w14:paraId="6672BCB8" w14:textId="181ADF40"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13" w:history="1">
            <w:r w:rsidR="00A61E51" w:rsidRPr="005C7F4D">
              <w:rPr>
                <w:rStyle w:val="Hyperlink"/>
                <w:rFonts w:ascii="Arial" w:hAnsi="Arial" w:cs="Arial"/>
                <w:noProof/>
                <w:lang w:val="en-GB"/>
              </w:rPr>
              <w:t>2.1 External Environment Analysis – PESTEL</w:t>
            </w:r>
            <w:r w:rsidR="00A61E51">
              <w:rPr>
                <w:noProof/>
                <w:webHidden/>
              </w:rPr>
              <w:tab/>
            </w:r>
            <w:r w:rsidR="00A61E51">
              <w:rPr>
                <w:noProof/>
                <w:webHidden/>
              </w:rPr>
              <w:fldChar w:fldCharType="begin"/>
            </w:r>
            <w:r w:rsidR="00A61E51">
              <w:rPr>
                <w:noProof/>
                <w:webHidden/>
              </w:rPr>
              <w:instrText xml:space="preserve"> PAGEREF _Toc237034013 \h </w:instrText>
            </w:r>
            <w:r w:rsidR="00A61E51">
              <w:rPr>
                <w:noProof/>
                <w:webHidden/>
              </w:rPr>
            </w:r>
            <w:r w:rsidR="00A61E51">
              <w:rPr>
                <w:noProof/>
                <w:webHidden/>
              </w:rPr>
              <w:fldChar w:fldCharType="separate"/>
            </w:r>
            <w:r w:rsidR="00A61E51">
              <w:rPr>
                <w:noProof/>
                <w:webHidden/>
              </w:rPr>
              <w:t>5</w:t>
            </w:r>
            <w:r w:rsidR="00A61E51">
              <w:rPr>
                <w:noProof/>
                <w:webHidden/>
              </w:rPr>
              <w:fldChar w:fldCharType="end"/>
            </w:r>
          </w:hyperlink>
        </w:p>
        <w:p w14:paraId="5ABEDDB2" w14:textId="6597EEA3"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14" w:history="1">
            <w:r w:rsidR="00A61E51" w:rsidRPr="005C7F4D">
              <w:rPr>
                <w:rStyle w:val="Hyperlink"/>
                <w:rFonts w:ascii="Arial" w:hAnsi="Arial" w:cs="Arial"/>
                <w:noProof/>
                <w:lang w:val="en-GB"/>
              </w:rPr>
              <w:t>2.2 Internal Environment Analysis – VRIO</w:t>
            </w:r>
            <w:r w:rsidR="00A61E51">
              <w:rPr>
                <w:noProof/>
                <w:webHidden/>
              </w:rPr>
              <w:tab/>
            </w:r>
            <w:r w:rsidR="00A61E51">
              <w:rPr>
                <w:noProof/>
                <w:webHidden/>
              </w:rPr>
              <w:fldChar w:fldCharType="begin"/>
            </w:r>
            <w:r w:rsidR="00A61E51">
              <w:rPr>
                <w:noProof/>
                <w:webHidden/>
              </w:rPr>
              <w:instrText xml:space="preserve"> PAGEREF _Toc237034014 \h </w:instrText>
            </w:r>
            <w:r w:rsidR="00A61E51">
              <w:rPr>
                <w:noProof/>
                <w:webHidden/>
              </w:rPr>
            </w:r>
            <w:r w:rsidR="00A61E51">
              <w:rPr>
                <w:noProof/>
                <w:webHidden/>
              </w:rPr>
              <w:fldChar w:fldCharType="separate"/>
            </w:r>
            <w:r w:rsidR="00A61E51">
              <w:rPr>
                <w:noProof/>
                <w:webHidden/>
              </w:rPr>
              <w:t>8</w:t>
            </w:r>
            <w:r w:rsidR="00A61E51">
              <w:rPr>
                <w:noProof/>
                <w:webHidden/>
              </w:rPr>
              <w:fldChar w:fldCharType="end"/>
            </w:r>
          </w:hyperlink>
        </w:p>
        <w:p w14:paraId="674BE35B" w14:textId="04D26958"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15" w:history="1">
            <w:r w:rsidR="00A61E51" w:rsidRPr="005C7F4D">
              <w:rPr>
                <w:rStyle w:val="Hyperlink"/>
                <w:rFonts w:ascii="Arial" w:hAnsi="Arial" w:cs="Arial"/>
                <w:noProof/>
                <w:lang w:val="en-GB"/>
              </w:rPr>
              <w:t>2.3 SWOT Analysis</w:t>
            </w:r>
            <w:r w:rsidR="00A61E51">
              <w:rPr>
                <w:noProof/>
                <w:webHidden/>
              </w:rPr>
              <w:tab/>
            </w:r>
            <w:r w:rsidR="00A61E51">
              <w:rPr>
                <w:noProof/>
                <w:webHidden/>
              </w:rPr>
              <w:fldChar w:fldCharType="begin"/>
            </w:r>
            <w:r w:rsidR="00A61E51">
              <w:rPr>
                <w:noProof/>
                <w:webHidden/>
              </w:rPr>
              <w:instrText xml:space="preserve"> PAGEREF _Toc237034015 \h </w:instrText>
            </w:r>
            <w:r w:rsidR="00A61E51">
              <w:rPr>
                <w:noProof/>
                <w:webHidden/>
              </w:rPr>
            </w:r>
            <w:r w:rsidR="00A61E51">
              <w:rPr>
                <w:noProof/>
                <w:webHidden/>
              </w:rPr>
              <w:fldChar w:fldCharType="separate"/>
            </w:r>
            <w:r w:rsidR="00A61E51">
              <w:rPr>
                <w:noProof/>
                <w:webHidden/>
              </w:rPr>
              <w:t>11</w:t>
            </w:r>
            <w:r w:rsidR="00A61E51">
              <w:rPr>
                <w:noProof/>
                <w:webHidden/>
              </w:rPr>
              <w:fldChar w:fldCharType="end"/>
            </w:r>
          </w:hyperlink>
        </w:p>
        <w:p w14:paraId="655E1743" w14:textId="41869F62" w:rsidR="00A61E51" w:rsidRDefault="005A0203">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16" w:history="1">
            <w:r w:rsidR="00A61E51" w:rsidRPr="005C7F4D">
              <w:rPr>
                <w:rStyle w:val="Hyperlink"/>
                <w:noProof/>
                <w:lang w:val="en-GB"/>
              </w:rPr>
              <w:t>3. Comprehensive and Holistic View of the Organisation</w:t>
            </w:r>
            <w:r w:rsidR="00A61E51">
              <w:rPr>
                <w:noProof/>
                <w:webHidden/>
              </w:rPr>
              <w:tab/>
            </w:r>
            <w:r w:rsidR="00A61E51">
              <w:rPr>
                <w:noProof/>
                <w:webHidden/>
              </w:rPr>
              <w:fldChar w:fldCharType="begin"/>
            </w:r>
            <w:r w:rsidR="00A61E51">
              <w:rPr>
                <w:noProof/>
                <w:webHidden/>
              </w:rPr>
              <w:instrText xml:space="preserve"> PAGEREF _Toc237034016 \h </w:instrText>
            </w:r>
            <w:r w:rsidR="00A61E51">
              <w:rPr>
                <w:noProof/>
                <w:webHidden/>
              </w:rPr>
            </w:r>
            <w:r w:rsidR="00A61E51">
              <w:rPr>
                <w:noProof/>
                <w:webHidden/>
              </w:rPr>
              <w:fldChar w:fldCharType="separate"/>
            </w:r>
            <w:r w:rsidR="00A61E51">
              <w:rPr>
                <w:noProof/>
                <w:webHidden/>
              </w:rPr>
              <w:t>13</w:t>
            </w:r>
            <w:r w:rsidR="00A61E51">
              <w:rPr>
                <w:noProof/>
                <w:webHidden/>
              </w:rPr>
              <w:fldChar w:fldCharType="end"/>
            </w:r>
          </w:hyperlink>
        </w:p>
        <w:p w14:paraId="65AF532F" w14:textId="7ECCFC46"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17" w:history="1">
            <w:r w:rsidR="00A61E51" w:rsidRPr="005C7F4D">
              <w:rPr>
                <w:rStyle w:val="Hyperlink"/>
                <w:noProof/>
                <w:lang w:val="en-GB"/>
              </w:rPr>
              <w:t>3.1 Corporate Social Responsibility (CSR) Strategy</w:t>
            </w:r>
            <w:r w:rsidR="00A61E51">
              <w:rPr>
                <w:noProof/>
                <w:webHidden/>
              </w:rPr>
              <w:tab/>
            </w:r>
            <w:r w:rsidR="00A61E51">
              <w:rPr>
                <w:noProof/>
                <w:webHidden/>
              </w:rPr>
              <w:fldChar w:fldCharType="begin"/>
            </w:r>
            <w:r w:rsidR="00A61E51">
              <w:rPr>
                <w:noProof/>
                <w:webHidden/>
              </w:rPr>
              <w:instrText xml:space="preserve"> PAGEREF _Toc237034017 \h </w:instrText>
            </w:r>
            <w:r w:rsidR="00A61E51">
              <w:rPr>
                <w:noProof/>
                <w:webHidden/>
              </w:rPr>
            </w:r>
            <w:r w:rsidR="00A61E51">
              <w:rPr>
                <w:noProof/>
                <w:webHidden/>
              </w:rPr>
              <w:fldChar w:fldCharType="separate"/>
            </w:r>
            <w:r w:rsidR="00A61E51">
              <w:rPr>
                <w:noProof/>
                <w:webHidden/>
              </w:rPr>
              <w:t>13</w:t>
            </w:r>
            <w:r w:rsidR="00A61E51">
              <w:rPr>
                <w:noProof/>
                <w:webHidden/>
              </w:rPr>
              <w:fldChar w:fldCharType="end"/>
            </w:r>
          </w:hyperlink>
        </w:p>
        <w:p w14:paraId="121716DB" w14:textId="595E9068"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18" w:history="1">
            <w:r w:rsidR="00A61E51" w:rsidRPr="005C7F4D">
              <w:rPr>
                <w:rStyle w:val="Hyperlink"/>
                <w:noProof/>
                <w:lang w:val="en-GB"/>
              </w:rPr>
              <w:t>3.2 Balanced Scorecard Analysis</w:t>
            </w:r>
            <w:r w:rsidR="00A61E51">
              <w:rPr>
                <w:noProof/>
                <w:webHidden/>
              </w:rPr>
              <w:tab/>
            </w:r>
            <w:r w:rsidR="00A61E51">
              <w:rPr>
                <w:noProof/>
                <w:webHidden/>
              </w:rPr>
              <w:fldChar w:fldCharType="begin"/>
            </w:r>
            <w:r w:rsidR="00A61E51">
              <w:rPr>
                <w:noProof/>
                <w:webHidden/>
              </w:rPr>
              <w:instrText xml:space="preserve"> PAGEREF _Toc237034018 \h </w:instrText>
            </w:r>
            <w:r w:rsidR="00A61E51">
              <w:rPr>
                <w:noProof/>
                <w:webHidden/>
              </w:rPr>
            </w:r>
            <w:r w:rsidR="00A61E51">
              <w:rPr>
                <w:noProof/>
                <w:webHidden/>
              </w:rPr>
              <w:fldChar w:fldCharType="separate"/>
            </w:r>
            <w:r w:rsidR="00A61E51">
              <w:rPr>
                <w:noProof/>
                <w:webHidden/>
              </w:rPr>
              <w:t>14</w:t>
            </w:r>
            <w:r w:rsidR="00A61E51">
              <w:rPr>
                <w:noProof/>
                <w:webHidden/>
              </w:rPr>
              <w:fldChar w:fldCharType="end"/>
            </w:r>
          </w:hyperlink>
        </w:p>
        <w:p w14:paraId="1AD48ECD" w14:textId="19BB5A57" w:rsidR="00A61E51" w:rsidRDefault="005A0203">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19" w:history="1">
            <w:r w:rsidR="00A61E51" w:rsidRPr="005C7F4D">
              <w:rPr>
                <w:rStyle w:val="Hyperlink"/>
                <w:rFonts w:ascii="Arial" w:hAnsi="Arial" w:cs="Arial"/>
                <w:noProof/>
                <w:lang w:val="en-GB"/>
              </w:rPr>
              <w:t>4. Strategic Choices and Implementation</w:t>
            </w:r>
            <w:r w:rsidR="00A61E51">
              <w:rPr>
                <w:noProof/>
                <w:webHidden/>
              </w:rPr>
              <w:tab/>
            </w:r>
            <w:r w:rsidR="00A61E51">
              <w:rPr>
                <w:noProof/>
                <w:webHidden/>
              </w:rPr>
              <w:fldChar w:fldCharType="begin"/>
            </w:r>
            <w:r w:rsidR="00A61E51">
              <w:rPr>
                <w:noProof/>
                <w:webHidden/>
              </w:rPr>
              <w:instrText xml:space="preserve"> PAGEREF _Toc237034019 \h </w:instrText>
            </w:r>
            <w:r w:rsidR="00A61E51">
              <w:rPr>
                <w:noProof/>
                <w:webHidden/>
              </w:rPr>
            </w:r>
            <w:r w:rsidR="00A61E51">
              <w:rPr>
                <w:noProof/>
                <w:webHidden/>
              </w:rPr>
              <w:fldChar w:fldCharType="separate"/>
            </w:r>
            <w:r w:rsidR="00A61E51">
              <w:rPr>
                <w:noProof/>
                <w:webHidden/>
              </w:rPr>
              <w:t>17</w:t>
            </w:r>
            <w:r w:rsidR="00A61E51">
              <w:rPr>
                <w:noProof/>
                <w:webHidden/>
              </w:rPr>
              <w:fldChar w:fldCharType="end"/>
            </w:r>
          </w:hyperlink>
        </w:p>
        <w:p w14:paraId="67770DA3" w14:textId="729E57CE"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20" w:history="1">
            <w:r w:rsidR="00A61E51" w:rsidRPr="005C7F4D">
              <w:rPr>
                <w:rStyle w:val="Hyperlink"/>
                <w:rFonts w:ascii="Arial" w:hAnsi="Arial" w:cs="Arial"/>
                <w:noProof/>
                <w:lang w:val="en-GB"/>
              </w:rPr>
              <w:t>4.1 Strategic Choices at the Business Level</w:t>
            </w:r>
            <w:r w:rsidR="00A61E51">
              <w:rPr>
                <w:noProof/>
                <w:webHidden/>
              </w:rPr>
              <w:tab/>
            </w:r>
            <w:r w:rsidR="00A61E51">
              <w:rPr>
                <w:noProof/>
                <w:webHidden/>
              </w:rPr>
              <w:fldChar w:fldCharType="begin"/>
            </w:r>
            <w:r w:rsidR="00A61E51">
              <w:rPr>
                <w:noProof/>
                <w:webHidden/>
              </w:rPr>
              <w:instrText xml:space="preserve"> PAGEREF _Toc237034020 \h </w:instrText>
            </w:r>
            <w:r w:rsidR="00A61E51">
              <w:rPr>
                <w:noProof/>
                <w:webHidden/>
              </w:rPr>
            </w:r>
            <w:r w:rsidR="00A61E51">
              <w:rPr>
                <w:noProof/>
                <w:webHidden/>
              </w:rPr>
              <w:fldChar w:fldCharType="separate"/>
            </w:r>
            <w:r w:rsidR="00A61E51">
              <w:rPr>
                <w:noProof/>
                <w:webHidden/>
              </w:rPr>
              <w:t>17</w:t>
            </w:r>
            <w:r w:rsidR="00A61E51">
              <w:rPr>
                <w:noProof/>
                <w:webHidden/>
              </w:rPr>
              <w:fldChar w:fldCharType="end"/>
            </w:r>
          </w:hyperlink>
        </w:p>
        <w:p w14:paraId="5D5304C6" w14:textId="48809C01"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21" w:history="1">
            <w:r w:rsidR="00A61E51" w:rsidRPr="005C7F4D">
              <w:rPr>
                <w:rStyle w:val="Hyperlink"/>
                <w:rFonts w:ascii="Arial" w:hAnsi="Arial" w:cs="Arial"/>
                <w:noProof/>
                <w:lang w:val="en-GB"/>
              </w:rPr>
              <w:t>4.2 Evaluation of the Recommended Strategy (SAFe Framework)</w:t>
            </w:r>
            <w:r w:rsidR="00A61E51">
              <w:rPr>
                <w:noProof/>
                <w:webHidden/>
              </w:rPr>
              <w:tab/>
            </w:r>
            <w:r w:rsidR="00A61E51">
              <w:rPr>
                <w:noProof/>
                <w:webHidden/>
              </w:rPr>
              <w:fldChar w:fldCharType="begin"/>
            </w:r>
            <w:r w:rsidR="00A61E51">
              <w:rPr>
                <w:noProof/>
                <w:webHidden/>
              </w:rPr>
              <w:instrText xml:space="preserve"> PAGEREF _Toc237034021 \h </w:instrText>
            </w:r>
            <w:r w:rsidR="00A61E51">
              <w:rPr>
                <w:noProof/>
                <w:webHidden/>
              </w:rPr>
            </w:r>
            <w:r w:rsidR="00A61E51">
              <w:rPr>
                <w:noProof/>
                <w:webHidden/>
              </w:rPr>
              <w:fldChar w:fldCharType="separate"/>
            </w:r>
            <w:r w:rsidR="00A61E51">
              <w:rPr>
                <w:noProof/>
                <w:webHidden/>
              </w:rPr>
              <w:t>18</w:t>
            </w:r>
            <w:r w:rsidR="00A61E51">
              <w:rPr>
                <w:noProof/>
                <w:webHidden/>
              </w:rPr>
              <w:fldChar w:fldCharType="end"/>
            </w:r>
          </w:hyperlink>
        </w:p>
        <w:p w14:paraId="54EB029C" w14:textId="23DC9712"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22" w:history="1">
            <w:r w:rsidR="00A61E51" w:rsidRPr="005C7F4D">
              <w:rPr>
                <w:rStyle w:val="Hyperlink"/>
                <w:rFonts w:ascii="Arial" w:hAnsi="Arial" w:cs="Arial"/>
                <w:noProof/>
                <w:lang w:val="en-GB"/>
              </w:rPr>
              <w:t>4.3 Strategy Implementation</w:t>
            </w:r>
            <w:r w:rsidR="00A61E51">
              <w:rPr>
                <w:noProof/>
                <w:webHidden/>
              </w:rPr>
              <w:tab/>
            </w:r>
            <w:r w:rsidR="00A61E51">
              <w:rPr>
                <w:noProof/>
                <w:webHidden/>
              </w:rPr>
              <w:fldChar w:fldCharType="begin"/>
            </w:r>
            <w:r w:rsidR="00A61E51">
              <w:rPr>
                <w:noProof/>
                <w:webHidden/>
              </w:rPr>
              <w:instrText xml:space="preserve"> PAGEREF _Toc237034022 \h </w:instrText>
            </w:r>
            <w:r w:rsidR="00A61E51">
              <w:rPr>
                <w:noProof/>
                <w:webHidden/>
              </w:rPr>
            </w:r>
            <w:r w:rsidR="00A61E51">
              <w:rPr>
                <w:noProof/>
                <w:webHidden/>
              </w:rPr>
              <w:fldChar w:fldCharType="separate"/>
            </w:r>
            <w:r w:rsidR="00A61E51">
              <w:rPr>
                <w:noProof/>
                <w:webHidden/>
              </w:rPr>
              <w:t>18</w:t>
            </w:r>
            <w:r w:rsidR="00A61E51">
              <w:rPr>
                <w:noProof/>
                <w:webHidden/>
              </w:rPr>
              <w:fldChar w:fldCharType="end"/>
            </w:r>
          </w:hyperlink>
        </w:p>
        <w:p w14:paraId="56CFFCFA" w14:textId="666B5D21"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23" w:history="1">
            <w:r w:rsidR="00A61E51" w:rsidRPr="005C7F4D">
              <w:rPr>
                <w:rStyle w:val="Hyperlink"/>
                <w:rFonts w:ascii="Arial" w:hAnsi="Arial" w:cs="Arial"/>
                <w:noProof/>
                <w:lang w:val="en-GB"/>
              </w:rPr>
              <w:t>4.4 Implementation Challenges and Risk Mitigation</w:t>
            </w:r>
            <w:r w:rsidR="00A61E51">
              <w:rPr>
                <w:noProof/>
                <w:webHidden/>
              </w:rPr>
              <w:tab/>
            </w:r>
            <w:r w:rsidR="00A61E51">
              <w:rPr>
                <w:noProof/>
                <w:webHidden/>
              </w:rPr>
              <w:fldChar w:fldCharType="begin"/>
            </w:r>
            <w:r w:rsidR="00A61E51">
              <w:rPr>
                <w:noProof/>
                <w:webHidden/>
              </w:rPr>
              <w:instrText xml:space="preserve"> PAGEREF _Toc237034023 \h </w:instrText>
            </w:r>
            <w:r w:rsidR="00A61E51">
              <w:rPr>
                <w:noProof/>
                <w:webHidden/>
              </w:rPr>
            </w:r>
            <w:r w:rsidR="00A61E51">
              <w:rPr>
                <w:noProof/>
                <w:webHidden/>
              </w:rPr>
              <w:fldChar w:fldCharType="separate"/>
            </w:r>
            <w:r w:rsidR="00A61E51">
              <w:rPr>
                <w:noProof/>
                <w:webHidden/>
              </w:rPr>
              <w:t>19</w:t>
            </w:r>
            <w:r w:rsidR="00A61E51">
              <w:rPr>
                <w:noProof/>
                <w:webHidden/>
              </w:rPr>
              <w:fldChar w:fldCharType="end"/>
            </w:r>
          </w:hyperlink>
        </w:p>
        <w:p w14:paraId="0428E8A7" w14:textId="2AA841EA" w:rsidR="00A61E51" w:rsidRDefault="005A0203">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24" w:history="1">
            <w:r w:rsidR="00A61E51" w:rsidRPr="005C7F4D">
              <w:rPr>
                <w:rStyle w:val="Hyperlink"/>
                <w:rFonts w:ascii="Arial" w:hAnsi="Arial" w:cs="Arial"/>
                <w:noProof/>
                <w:lang w:val="en-GB"/>
              </w:rPr>
              <w:t>5. Reflective Account</w:t>
            </w:r>
            <w:r w:rsidR="00A61E51">
              <w:rPr>
                <w:noProof/>
                <w:webHidden/>
              </w:rPr>
              <w:tab/>
            </w:r>
            <w:r w:rsidR="00A61E51">
              <w:rPr>
                <w:noProof/>
                <w:webHidden/>
              </w:rPr>
              <w:fldChar w:fldCharType="begin"/>
            </w:r>
            <w:r w:rsidR="00A61E51">
              <w:rPr>
                <w:noProof/>
                <w:webHidden/>
              </w:rPr>
              <w:instrText xml:space="preserve"> PAGEREF _Toc237034024 \h </w:instrText>
            </w:r>
            <w:r w:rsidR="00A61E51">
              <w:rPr>
                <w:noProof/>
                <w:webHidden/>
              </w:rPr>
            </w:r>
            <w:r w:rsidR="00A61E51">
              <w:rPr>
                <w:noProof/>
                <w:webHidden/>
              </w:rPr>
              <w:fldChar w:fldCharType="separate"/>
            </w:r>
            <w:r w:rsidR="00A61E51">
              <w:rPr>
                <w:noProof/>
                <w:webHidden/>
              </w:rPr>
              <w:t>20</w:t>
            </w:r>
            <w:r w:rsidR="00A61E51">
              <w:rPr>
                <w:noProof/>
                <w:webHidden/>
              </w:rPr>
              <w:fldChar w:fldCharType="end"/>
            </w:r>
          </w:hyperlink>
        </w:p>
        <w:p w14:paraId="3071FC60" w14:textId="4C6F4CC1"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25" w:history="1">
            <w:r w:rsidR="00A61E51" w:rsidRPr="005C7F4D">
              <w:rPr>
                <w:rStyle w:val="Hyperlink"/>
                <w:rFonts w:ascii="Arial" w:hAnsi="Arial" w:cs="Arial"/>
                <w:noProof/>
                <w:lang w:val="en-GB"/>
              </w:rPr>
              <w:t>5.1 Description</w:t>
            </w:r>
            <w:r w:rsidR="00A61E51">
              <w:rPr>
                <w:noProof/>
                <w:webHidden/>
              </w:rPr>
              <w:tab/>
            </w:r>
            <w:r w:rsidR="00A61E51">
              <w:rPr>
                <w:noProof/>
                <w:webHidden/>
              </w:rPr>
              <w:fldChar w:fldCharType="begin"/>
            </w:r>
            <w:r w:rsidR="00A61E51">
              <w:rPr>
                <w:noProof/>
                <w:webHidden/>
              </w:rPr>
              <w:instrText xml:space="preserve"> PAGEREF _Toc237034025 \h </w:instrText>
            </w:r>
            <w:r w:rsidR="00A61E51">
              <w:rPr>
                <w:noProof/>
                <w:webHidden/>
              </w:rPr>
            </w:r>
            <w:r w:rsidR="00A61E51">
              <w:rPr>
                <w:noProof/>
                <w:webHidden/>
              </w:rPr>
              <w:fldChar w:fldCharType="separate"/>
            </w:r>
            <w:r w:rsidR="00A61E51">
              <w:rPr>
                <w:noProof/>
                <w:webHidden/>
              </w:rPr>
              <w:t>20</w:t>
            </w:r>
            <w:r w:rsidR="00A61E51">
              <w:rPr>
                <w:noProof/>
                <w:webHidden/>
              </w:rPr>
              <w:fldChar w:fldCharType="end"/>
            </w:r>
          </w:hyperlink>
        </w:p>
        <w:p w14:paraId="1FEBC113" w14:textId="11062933"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26" w:history="1">
            <w:r w:rsidR="00A61E51" w:rsidRPr="005C7F4D">
              <w:rPr>
                <w:rStyle w:val="Hyperlink"/>
                <w:rFonts w:ascii="Arial" w:hAnsi="Arial" w:cs="Arial"/>
                <w:noProof/>
                <w:lang w:val="en-GB"/>
              </w:rPr>
              <w:t>5.2 Feelings</w:t>
            </w:r>
            <w:r w:rsidR="00A61E51">
              <w:rPr>
                <w:noProof/>
                <w:webHidden/>
              </w:rPr>
              <w:tab/>
            </w:r>
            <w:r w:rsidR="00A61E51">
              <w:rPr>
                <w:noProof/>
                <w:webHidden/>
              </w:rPr>
              <w:fldChar w:fldCharType="begin"/>
            </w:r>
            <w:r w:rsidR="00A61E51">
              <w:rPr>
                <w:noProof/>
                <w:webHidden/>
              </w:rPr>
              <w:instrText xml:space="preserve"> PAGEREF _Toc237034026 \h </w:instrText>
            </w:r>
            <w:r w:rsidR="00A61E51">
              <w:rPr>
                <w:noProof/>
                <w:webHidden/>
              </w:rPr>
            </w:r>
            <w:r w:rsidR="00A61E51">
              <w:rPr>
                <w:noProof/>
                <w:webHidden/>
              </w:rPr>
              <w:fldChar w:fldCharType="separate"/>
            </w:r>
            <w:r w:rsidR="00A61E51">
              <w:rPr>
                <w:noProof/>
                <w:webHidden/>
              </w:rPr>
              <w:t>20</w:t>
            </w:r>
            <w:r w:rsidR="00A61E51">
              <w:rPr>
                <w:noProof/>
                <w:webHidden/>
              </w:rPr>
              <w:fldChar w:fldCharType="end"/>
            </w:r>
          </w:hyperlink>
        </w:p>
        <w:p w14:paraId="325AB358" w14:textId="7B2B5809"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27" w:history="1">
            <w:r w:rsidR="00A61E51" w:rsidRPr="005C7F4D">
              <w:rPr>
                <w:rStyle w:val="Hyperlink"/>
                <w:rFonts w:ascii="Arial" w:hAnsi="Arial" w:cs="Arial"/>
                <w:noProof/>
                <w:lang w:val="en-GB"/>
              </w:rPr>
              <w:t>5.3 Evaluation</w:t>
            </w:r>
            <w:r w:rsidR="00A61E51">
              <w:rPr>
                <w:noProof/>
                <w:webHidden/>
              </w:rPr>
              <w:tab/>
            </w:r>
            <w:r w:rsidR="00A61E51">
              <w:rPr>
                <w:noProof/>
                <w:webHidden/>
              </w:rPr>
              <w:fldChar w:fldCharType="begin"/>
            </w:r>
            <w:r w:rsidR="00A61E51">
              <w:rPr>
                <w:noProof/>
                <w:webHidden/>
              </w:rPr>
              <w:instrText xml:space="preserve"> PAGEREF _Toc237034027 \h </w:instrText>
            </w:r>
            <w:r w:rsidR="00A61E51">
              <w:rPr>
                <w:noProof/>
                <w:webHidden/>
              </w:rPr>
            </w:r>
            <w:r w:rsidR="00A61E51">
              <w:rPr>
                <w:noProof/>
                <w:webHidden/>
              </w:rPr>
              <w:fldChar w:fldCharType="separate"/>
            </w:r>
            <w:r w:rsidR="00A61E51">
              <w:rPr>
                <w:noProof/>
                <w:webHidden/>
              </w:rPr>
              <w:t>20</w:t>
            </w:r>
            <w:r w:rsidR="00A61E51">
              <w:rPr>
                <w:noProof/>
                <w:webHidden/>
              </w:rPr>
              <w:fldChar w:fldCharType="end"/>
            </w:r>
          </w:hyperlink>
        </w:p>
        <w:p w14:paraId="5C9F0EB5" w14:textId="6D2C850B"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28" w:history="1">
            <w:r w:rsidR="00A61E51" w:rsidRPr="005C7F4D">
              <w:rPr>
                <w:rStyle w:val="Hyperlink"/>
                <w:rFonts w:ascii="Arial" w:hAnsi="Arial" w:cs="Arial"/>
                <w:noProof/>
                <w:lang w:val="en-GB"/>
              </w:rPr>
              <w:t>5.4 Analysis</w:t>
            </w:r>
            <w:r w:rsidR="00A61E51">
              <w:rPr>
                <w:noProof/>
                <w:webHidden/>
              </w:rPr>
              <w:tab/>
            </w:r>
            <w:r w:rsidR="00A61E51">
              <w:rPr>
                <w:noProof/>
                <w:webHidden/>
              </w:rPr>
              <w:fldChar w:fldCharType="begin"/>
            </w:r>
            <w:r w:rsidR="00A61E51">
              <w:rPr>
                <w:noProof/>
                <w:webHidden/>
              </w:rPr>
              <w:instrText xml:space="preserve"> PAGEREF _Toc237034028 \h </w:instrText>
            </w:r>
            <w:r w:rsidR="00A61E51">
              <w:rPr>
                <w:noProof/>
                <w:webHidden/>
              </w:rPr>
            </w:r>
            <w:r w:rsidR="00A61E51">
              <w:rPr>
                <w:noProof/>
                <w:webHidden/>
              </w:rPr>
              <w:fldChar w:fldCharType="separate"/>
            </w:r>
            <w:r w:rsidR="00A61E51">
              <w:rPr>
                <w:noProof/>
                <w:webHidden/>
              </w:rPr>
              <w:t>20</w:t>
            </w:r>
            <w:r w:rsidR="00A61E51">
              <w:rPr>
                <w:noProof/>
                <w:webHidden/>
              </w:rPr>
              <w:fldChar w:fldCharType="end"/>
            </w:r>
          </w:hyperlink>
        </w:p>
        <w:p w14:paraId="5D042A7E" w14:textId="6C97D833"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29" w:history="1">
            <w:r w:rsidR="00A61E51" w:rsidRPr="005C7F4D">
              <w:rPr>
                <w:rStyle w:val="Hyperlink"/>
                <w:rFonts w:ascii="Arial" w:hAnsi="Arial" w:cs="Arial"/>
                <w:noProof/>
                <w:lang w:val="en-GB"/>
              </w:rPr>
              <w:t>5.5 Conclusion</w:t>
            </w:r>
            <w:r w:rsidR="00A61E51">
              <w:rPr>
                <w:noProof/>
                <w:webHidden/>
              </w:rPr>
              <w:tab/>
            </w:r>
            <w:r w:rsidR="00A61E51">
              <w:rPr>
                <w:noProof/>
                <w:webHidden/>
              </w:rPr>
              <w:fldChar w:fldCharType="begin"/>
            </w:r>
            <w:r w:rsidR="00A61E51">
              <w:rPr>
                <w:noProof/>
                <w:webHidden/>
              </w:rPr>
              <w:instrText xml:space="preserve"> PAGEREF _Toc237034029 \h </w:instrText>
            </w:r>
            <w:r w:rsidR="00A61E51">
              <w:rPr>
                <w:noProof/>
                <w:webHidden/>
              </w:rPr>
            </w:r>
            <w:r w:rsidR="00A61E51">
              <w:rPr>
                <w:noProof/>
                <w:webHidden/>
              </w:rPr>
              <w:fldChar w:fldCharType="separate"/>
            </w:r>
            <w:r w:rsidR="00A61E51">
              <w:rPr>
                <w:noProof/>
                <w:webHidden/>
              </w:rPr>
              <w:t>21</w:t>
            </w:r>
            <w:r w:rsidR="00A61E51">
              <w:rPr>
                <w:noProof/>
                <w:webHidden/>
              </w:rPr>
              <w:fldChar w:fldCharType="end"/>
            </w:r>
          </w:hyperlink>
        </w:p>
        <w:p w14:paraId="03DEFD77" w14:textId="07F320C9" w:rsidR="00A61E51" w:rsidRDefault="005A0203">
          <w:pPr>
            <w:pStyle w:val="TOC2"/>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30" w:history="1">
            <w:r w:rsidR="00A61E51" w:rsidRPr="005C7F4D">
              <w:rPr>
                <w:rStyle w:val="Hyperlink"/>
                <w:rFonts w:ascii="Arial" w:hAnsi="Arial" w:cs="Arial"/>
                <w:noProof/>
                <w:lang w:val="en-GB"/>
              </w:rPr>
              <w:t>5.6 Action Plan</w:t>
            </w:r>
            <w:r w:rsidR="00A61E51">
              <w:rPr>
                <w:noProof/>
                <w:webHidden/>
              </w:rPr>
              <w:tab/>
            </w:r>
            <w:r w:rsidR="00A61E51">
              <w:rPr>
                <w:noProof/>
                <w:webHidden/>
              </w:rPr>
              <w:fldChar w:fldCharType="begin"/>
            </w:r>
            <w:r w:rsidR="00A61E51">
              <w:rPr>
                <w:noProof/>
                <w:webHidden/>
              </w:rPr>
              <w:instrText xml:space="preserve"> PAGEREF _Toc237034030 \h </w:instrText>
            </w:r>
            <w:r w:rsidR="00A61E51">
              <w:rPr>
                <w:noProof/>
                <w:webHidden/>
              </w:rPr>
            </w:r>
            <w:r w:rsidR="00A61E51">
              <w:rPr>
                <w:noProof/>
                <w:webHidden/>
              </w:rPr>
              <w:fldChar w:fldCharType="separate"/>
            </w:r>
            <w:r w:rsidR="00A61E51">
              <w:rPr>
                <w:noProof/>
                <w:webHidden/>
              </w:rPr>
              <w:t>21</w:t>
            </w:r>
            <w:r w:rsidR="00A61E51">
              <w:rPr>
                <w:noProof/>
                <w:webHidden/>
              </w:rPr>
              <w:fldChar w:fldCharType="end"/>
            </w:r>
          </w:hyperlink>
        </w:p>
        <w:p w14:paraId="1CAE81F8" w14:textId="70AEEBB2" w:rsidR="00A61E51" w:rsidRDefault="005A0203">
          <w:pPr>
            <w:pStyle w:val="TOC1"/>
            <w:tabs>
              <w:tab w:val="right" w:leader="dot" w:pos="9016"/>
            </w:tabs>
            <w:rPr>
              <w:rFonts w:asciiTheme="minorHAnsi" w:eastAsiaTheme="minorEastAsia" w:hAnsiTheme="minorHAnsi"/>
              <w:noProof/>
              <w:color w:val="auto"/>
              <w:kern w:val="2"/>
              <w:szCs w:val="30"/>
              <w:lang w:val="en-IN" w:eastAsia="en-IN" w:bidi="bn-IN"/>
              <w14:ligatures w14:val="standardContextual"/>
            </w:rPr>
          </w:pPr>
          <w:hyperlink w:anchor="_Toc237034031" w:history="1">
            <w:r w:rsidR="00A61E51" w:rsidRPr="005C7F4D">
              <w:rPr>
                <w:rStyle w:val="Hyperlink"/>
                <w:rFonts w:ascii="Arial" w:hAnsi="Arial" w:cs="Arial"/>
                <w:noProof/>
                <w:lang w:val="en-GB"/>
              </w:rPr>
              <w:t>References</w:t>
            </w:r>
            <w:r w:rsidR="00A61E51">
              <w:rPr>
                <w:noProof/>
                <w:webHidden/>
              </w:rPr>
              <w:tab/>
            </w:r>
            <w:r w:rsidR="00A61E51">
              <w:rPr>
                <w:noProof/>
                <w:webHidden/>
              </w:rPr>
              <w:fldChar w:fldCharType="begin"/>
            </w:r>
            <w:r w:rsidR="00A61E51">
              <w:rPr>
                <w:noProof/>
                <w:webHidden/>
              </w:rPr>
              <w:instrText xml:space="preserve"> PAGEREF _Toc237034031 \h </w:instrText>
            </w:r>
            <w:r w:rsidR="00A61E51">
              <w:rPr>
                <w:noProof/>
                <w:webHidden/>
              </w:rPr>
            </w:r>
            <w:r w:rsidR="00A61E51">
              <w:rPr>
                <w:noProof/>
                <w:webHidden/>
              </w:rPr>
              <w:fldChar w:fldCharType="separate"/>
            </w:r>
            <w:r w:rsidR="00A61E51">
              <w:rPr>
                <w:noProof/>
                <w:webHidden/>
              </w:rPr>
              <w:t>22</w:t>
            </w:r>
            <w:r w:rsidR="00A61E51">
              <w:rPr>
                <w:noProof/>
                <w:webHidden/>
              </w:rPr>
              <w:fldChar w:fldCharType="end"/>
            </w:r>
          </w:hyperlink>
        </w:p>
        <w:p w14:paraId="0931D515" w14:textId="6DBCC25C" w:rsidR="000265FA" w:rsidRPr="00487B84" w:rsidRDefault="000265FA" w:rsidP="00487B84">
          <w:pPr>
            <w:spacing w:line="360" w:lineRule="auto"/>
            <w:rPr>
              <w:rFonts w:ascii="Arial" w:hAnsi="Arial" w:cs="Arial"/>
              <w:color w:val="000000" w:themeColor="text1"/>
              <w:szCs w:val="24"/>
              <w:lang w:val="en-GB"/>
            </w:rPr>
          </w:pPr>
          <w:r w:rsidRPr="00487B84">
            <w:rPr>
              <w:rFonts w:ascii="Arial" w:hAnsi="Arial" w:cs="Arial"/>
              <w:b/>
              <w:bCs/>
              <w:noProof/>
              <w:color w:val="000000" w:themeColor="text1"/>
              <w:szCs w:val="24"/>
              <w:lang w:val="en-GB"/>
            </w:rPr>
            <w:fldChar w:fldCharType="end"/>
          </w:r>
        </w:p>
      </w:sdtContent>
    </w:sdt>
    <w:p w14:paraId="57C84C2A" w14:textId="77777777" w:rsidR="000265FA" w:rsidRPr="00487B84" w:rsidRDefault="000265FA" w:rsidP="00487B84">
      <w:pPr>
        <w:spacing w:line="360" w:lineRule="auto"/>
        <w:rPr>
          <w:rFonts w:ascii="Arial" w:eastAsiaTheme="majorEastAsia" w:hAnsi="Arial" w:cs="Arial"/>
          <w:b/>
          <w:color w:val="000000" w:themeColor="text1"/>
          <w:szCs w:val="24"/>
          <w:lang w:val="en-GB"/>
        </w:rPr>
      </w:pPr>
      <w:r w:rsidRPr="00487B84">
        <w:rPr>
          <w:rFonts w:ascii="Arial" w:hAnsi="Arial" w:cs="Arial"/>
          <w:color w:val="000000" w:themeColor="text1"/>
          <w:szCs w:val="24"/>
          <w:lang w:val="en-GB"/>
        </w:rPr>
        <w:br w:type="page"/>
      </w:r>
    </w:p>
    <w:p w14:paraId="3A1EBBD1" w14:textId="77777777" w:rsidR="000265FA" w:rsidRPr="00487B84" w:rsidRDefault="000265FA" w:rsidP="00487B84">
      <w:pPr>
        <w:pStyle w:val="Heading1"/>
        <w:spacing w:before="240" w:after="240" w:line="360" w:lineRule="auto"/>
        <w:rPr>
          <w:rFonts w:ascii="Arial" w:hAnsi="Arial" w:cs="Arial"/>
          <w:szCs w:val="24"/>
          <w:lang w:val="en-GB"/>
        </w:rPr>
      </w:pPr>
      <w:bookmarkStart w:id="4" w:name="_Toc237034009"/>
      <w:r w:rsidRPr="00487B84">
        <w:rPr>
          <w:rFonts w:ascii="Arial" w:hAnsi="Arial" w:cs="Arial"/>
          <w:szCs w:val="24"/>
          <w:lang w:val="en-GB"/>
        </w:rPr>
        <w:lastRenderedPageBreak/>
        <w:t>1. Organisational Context and UK Market Position</w:t>
      </w:r>
      <w:bookmarkEnd w:id="4"/>
    </w:p>
    <w:p w14:paraId="481806E9" w14:textId="77777777" w:rsidR="000265FA" w:rsidRPr="00487B84" w:rsidRDefault="000265FA" w:rsidP="00487B84">
      <w:pPr>
        <w:pStyle w:val="Heading2"/>
        <w:spacing w:before="240" w:after="240" w:line="360" w:lineRule="auto"/>
        <w:rPr>
          <w:rFonts w:ascii="Arial" w:hAnsi="Arial" w:cs="Arial"/>
          <w:szCs w:val="24"/>
          <w:lang w:val="en-GB"/>
        </w:rPr>
      </w:pPr>
      <w:bookmarkStart w:id="5" w:name="_Toc237034010"/>
      <w:r w:rsidRPr="00487B84">
        <w:rPr>
          <w:rFonts w:ascii="Arial" w:hAnsi="Arial" w:cs="Arial"/>
          <w:szCs w:val="24"/>
          <w:lang w:val="en-GB"/>
        </w:rPr>
        <w:t>1.1 Organisational Overview</w:t>
      </w:r>
      <w:bookmarkEnd w:id="5"/>
    </w:p>
    <w:p w14:paraId="5321922B" w14:textId="43A32C23" w:rsidR="007D13F1" w:rsidRPr="00487B84"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H&amp;M Group is a Swedish fashion retailer company that was founded in 1947 by Erling Persson and is currently one of the largest fashion retailers in the world. It has been expanding since then and has presence in over 70 markets across the globe. It also possesses a number of fashion </w:t>
      </w:r>
      <w:r w:rsidR="004366D1" w:rsidRPr="00487B84">
        <w:rPr>
          <w:rFonts w:ascii="Arial" w:hAnsi="Arial" w:cs="Arial"/>
          <w:color w:val="000000" w:themeColor="text1"/>
          <w:szCs w:val="24"/>
          <w:lang w:val="en-GB"/>
        </w:rPr>
        <w:t>brands,</w:t>
      </w:r>
      <w:r w:rsidRPr="00487B84">
        <w:rPr>
          <w:rFonts w:ascii="Arial" w:hAnsi="Arial" w:cs="Arial"/>
          <w:color w:val="000000" w:themeColor="text1"/>
          <w:szCs w:val="24"/>
          <w:lang w:val="en-GB"/>
        </w:rPr>
        <w:t xml:space="preserve"> but H&amp;M is its flagship brand. The main aim of the company is to offer fashion and quality at best price in a sustainable </w:t>
      </w:r>
      <w:r w:rsidR="004366D1" w:rsidRPr="00487B84">
        <w:rPr>
          <w:rFonts w:ascii="Arial" w:hAnsi="Arial" w:cs="Arial"/>
          <w:color w:val="000000" w:themeColor="text1"/>
          <w:szCs w:val="24"/>
          <w:lang w:val="en-GB"/>
        </w:rPr>
        <w:t>manner,</w:t>
      </w:r>
      <w:r w:rsidRPr="00487B84">
        <w:rPr>
          <w:rFonts w:ascii="Arial" w:hAnsi="Arial" w:cs="Arial"/>
          <w:color w:val="000000" w:themeColor="text1"/>
          <w:szCs w:val="24"/>
          <w:lang w:val="en-GB"/>
        </w:rPr>
        <w:t xml:space="preserve"> and its long-term vision is to become the driver for change in the fashion industry (H&amp;M Group, 2025a).</w:t>
      </w:r>
    </w:p>
    <w:p w14:paraId="6C3981A6" w14:textId="5E3E6AD1" w:rsidR="00A43434" w:rsidRPr="00487B84"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 vision is achieved through continuous investments in responsible sourcing, innovation and circular business. The company's business model revolves around provision of fashionable products, procurement of these products from all over the world at competitive prices and transporting their products using an integrated system of </w:t>
      </w:r>
      <w:r w:rsidR="00E5160E" w:rsidRPr="00487B84">
        <w:rPr>
          <w:rFonts w:ascii="Arial" w:hAnsi="Arial" w:cs="Arial"/>
          <w:color w:val="000000" w:themeColor="text1"/>
          <w:szCs w:val="24"/>
          <w:lang w:val="en-GB"/>
        </w:rPr>
        <w:t>brick-and-mortar</w:t>
      </w:r>
      <w:r w:rsidRPr="00487B84">
        <w:rPr>
          <w:rFonts w:ascii="Arial" w:hAnsi="Arial" w:cs="Arial"/>
          <w:color w:val="000000" w:themeColor="text1"/>
          <w:szCs w:val="24"/>
          <w:lang w:val="en-GB"/>
        </w:rPr>
        <w:t xml:space="preserve"> stores and e-commerce. H&amp;M’s ability to source for fashionable products in an efficient manner from all over the world, efficiently managing their inventory and using omnichannel retailing to deliver their products in time to their customers makes sure that H&amp;M provides fashion and affordable products which satisfy the needs of customers owing to their changing tastes. (H&amp;M Group, 2026a).</w:t>
      </w:r>
    </w:p>
    <w:p w14:paraId="61DCA7BD" w14:textId="77777777" w:rsidR="000265FA" w:rsidRPr="00487B84" w:rsidRDefault="000265FA" w:rsidP="00487B84">
      <w:pPr>
        <w:pStyle w:val="Heading2"/>
        <w:spacing w:before="240" w:after="240" w:line="360" w:lineRule="auto"/>
        <w:rPr>
          <w:rFonts w:ascii="Arial" w:hAnsi="Arial" w:cs="Arial"/>
          <w:szCs w:val="24"/>
          <w:lang w:val="en-GB"/>
        </w:rPr>
      </w:pPr>
      <w:bookmarkStart w:id="6" w:name="_Toc237034011"/>
      <w:r w:rsidRPr="00487B84">
        <w:rPr>
          <w:rFonts w:ascii="Arial" w:hAnsi="Arial" w:cs="Arial"/>
          <w:szCs w:val="24"/>
          <w:lang w:val="en-GB"/>
        </w:rPr>
        <w:t>1.2 UK Fashion Retail Industry and Market Position</w:t>
      </w:r>
      <w:bookmarkEnd w:id="6"/>
    </w:p>
    <w:p w14:paraId="5B1D0C03" w14:textId="12D14D1F" w:rsidR="007D13F1" w:rsidRPr="00487B84"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H&amp;M is a player within an intensely competitive fashion retail industry within the United Kingdom where short product cycles, technological advancements leading to digitalization, shifting consumer preferences, and strong price competition prevail. Economic factors, promotional activities, and seasonal trends will have a considerable effect on consumers' demands and operational responsiveness will be an important success factor (Office for National Statistics, 2025). Within this environment, H&amp;M is positioned well within the value fashion category, meaning that it offers both low prices and contemporary designs, and sustainable values. The competitors include Zara for its quick innovativeness and responsiveness to changing trends and Shein for offering super-low prices and super-fast product cycles (Reuters, 2025a).</w:t>
      </w:r>
    </w:p>
    <w:p w14:paraId="70C917B6" w14:textId="0C9F8114" w:rsidR="00A43434" w:rsidRPr="00487B84"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lastRenderedPageBreak/>
        <w:t>There are other value shoppers who get served by other players such as Primark and Next, who also heighten the level of competition. However, H&amp;M is not a company that competes through prices alone. With a widely known global brand and omnichannel operations, H&amp;M is able to compete sustainably. By digital retailing, H&amp;M is able to secure its competitive advantage through more transparency in the supply chain and relevance in product offerings (Massi et al., 2023).</w:t>
      </w:r>
    </w:p>
    <w:p w14:paraId="46F5BABB" w14:textId="77777777" w:rsidR="000265FA" w:rsidRPr="00487B84" w:rsidRDefault="000265FA" w:rsidP="00487B84">
      <w:pPr>
        <w:pStyle w:val="Heading1"/>
        <w:spacing w:before="240" w:after="240" w:line="360" w:lineRule="auto"/>
        <w:rPr>
          <w:rFonts w:ascii="Arial" w:hAnsi="Arial" w:cs="Arial"/>
          <w:szCs w:val="24"/>
          <w:lang w:val="en-GB"/>
        </w:rPr>
      </w:pPr>
      <w:bookmarkStart w:id="7" w:name="_Toc237034012"/>
      <w:r w:rsidRPr="00487B84">
        <w:rPr>
          <w:rFonts w:ascii="Arial" w:hAnsi="Arial" w:cs="Arial"/>
          <w:szCs w:val="24"/>
          <w:lang w:val="en-GB"/>
        </w:rPr>
        <w:t>2. External and Internal Analysis</w:t>
      </w:r>
      <w:bookmarkEnd w:id="7"/>
    </w:p>
    <w:p w14:paraId="6250F183" w14:textId="5B52F94F" w:rsidR="0096426A" w:rsidRPr="00487B84" w:rsidRDefault="0096426A" w:rsidP="00487B84">
      <w:pPr>
        <w:pStyle w:val="Heading2"/>
        <w:spacing w:before="240" w:after="240" w:line="360" w:lineRule="auto"/>
        <w:rPr>
          <w:rFonts w:ascii="Arial" w:hAnsi="Arial" w:cs="Arial"/>
          <w:szCs w:val="24"/>
          <w:lang w:val="en-GB"/>
        </w:rPr>
      </w:pPr>
      <w:bookmarkStart w:id="8" w:name="_Toc237034013"/>
      <w:r w:rsidRPr="00487B84">
        <w:rPr>
          <w:rFonts w:ascii="Arial" w:hAnsi="Arial" w:cs="Arial"/>
          <w:szCs w:val="24"/>
          <w:lang w:val="en-GB"/>
        </w:rPr>
        <w:t>2.</w:t>
      </w:r>
      <w:r w:rsidR="00E52C00" w:rsidRPr="00487B84">
        <w:rPr>
          <w:rFonts w:ascii="Arial" w:hAnsi="Arial" w:cs="Arial"/>
          <w:szCs w:val="24"/>
          <w:lang w:val="en-GB"/>
        </w:rPr>
        <w:t>1</w:t>
      </w:r>
      <w:r w:rsidRPr="00487B84">
        <w:rPr>
          <w:rFonts w:ascii="Arial" w:hAnsi="Arial" w:cs="Arial"/>
          <w:szCs w:val="24"/>
          <w:lang w:val="en-GB"/>
        </w:rPr>
        <w:t xml:space="preserve"> External Environment Analysis – PESTEL</w:t>
      </w:r>
      <w:bookmarkEnd w:id="8"/>
    </w:p>
    <w:p w14:paraId="12377D1A" w14:textId="77777777" w:rsidR="00A43434" w:rsidRPr="00487B84" w:rsidRDefault="00A43434"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It is important to have an understanding of the external environment because not only the capabilities of an organisation are important to strategic performance, but the political, economic, social, technological, environmental and legal factors outside the organisation are equally vital. PESTEL is a structured approach to identifying opportunities and threats from the external environment that can impact strategic decision making. H&amp;M UK's external environment is defined by fast technological developments, growing sustainability demands, rising inflation and growing regulatory pressures. These factors all play a key role in the company being able to sustain it competitiveness in the UK fashion retail market, which is dynamic.</w:t>
      </w:r>
    </w:p>
    <w:p w14:paraId="0ECDC5C9" w14:textId="77777777" w:rsidR="0096426A" w:rsidRPr="00487B84" w:rsidRDefault="0096426A" w:rsidP="00487B84">
      <w:pPr>
        <w:spacing w:line="360" w:lineRule="auto"/>
        <w:rPr>
          <w:rFonts w:ascii="Arial" w:hAnsi="Arial" w:cs="Arial"/>
          <w:b/>
          <w:bCs/>
          <w:color w:val="000000" w:themeColor="text1"/>
          <w:szCs w:val="24"/>
          <w:lang w:val="en-GB"/>
        </w:rPr>
      </w:pPr>
      <w:r w:rsidRPr="00487B84">
        <w:rPr>
          <w:rFonts w:ascii="Arial" w:hAnsi="Arial" w:cs="Arial"/>
          <w:b/>
          <w:bCs/>
          <w:color w:val="000000" w:themeColor="text1"/>
          <w:szCs w:val="24"/>
          <w:lang w:val="en-GB"/>
        </w:rPr>
        <w:t>Political Factors</w:t>
      </w:r>
    </w:p>
    <w:p w14:paraId="57C904DA" w14:textId="77777777" w:rsidR="006A5ED0" w:rsidRDefault="00A43434"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International trade policy and import policy and supply-chain governance are the main aspects of political conditions that impact H&amp;M. H&amp;M is a global retailer that has to purchase products from a myriad of countries, and therefore is sensitive to international politics, tariff adjustments, and international logistics disturbances. The growing focus of governments on ethical sourcing and labour practices has also led to expectations about transparency throughout global supply chains. </w:t>
      </w:r>
    </w:p>
    <w:p w14:paraId="1E2753DC" w14:textId="2666FB72" w:rsidR="00A43434" w:rsidRPr="00487B84" w:rsidRDefault="00A43434"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These demands are not only more expensive to operate but also have a positive effect on supplier governance and lower the risk of damage to the reputation of the company. In response, H&amp;M has stepped up its efforts to monitor suppliers and increased sustainability reporting, which suggests that political compliance can be a driver of strategic legitimacy, not just regulatory compliance (H&amp;M Group, 2025b). Compliance </w:t>
      </w:r>
      <w:r w:rsidRPr="00487B84">
        <w:rPr>
          <w:rFonts w:ascii="Arial" w:hAnsi="Arial" w:cs="Arial"/>
          <w:color w:val="000000" w:themeColor="text1"/>
          <w:szCs w:val="24"/>
          <w:lang w:val="en-GB"/>
        </w:rPr>
        <w:lastRenderedPageBreak/>
        <w:t>is more likely to strengthen the trust of stakeholders than be seen as a business cost, especially from a strategic standpoint (Oyasor and Gbadebo, 2024).</w:t>
      </w:r>
    </w:p>
    <w:p w14:paraId="5B3F40C5" w14:textId="77777777" w:rsidR="0096426A" w:rsidRPr="00487B84" w:rsidRDefault="0096426A" w:rsidP="00487B84">
      <w:pPr>
        <w:spacing w:line="360" w:lineRule="auto"/>
        <w:rPr>
          <w:rFonts w:ascii="Arial" w:hAnsi="Arial" w:cs="Arial"/>
          <w:b/>
          <w:bCs/>
          <w:color w:val="000000" w:themeColor="text1"/>
          <w:szCs w:val="24"/>
          <w:lang w:val="en-GB"/>
        </w:rPr>
      </w:pPr>
      <w:r w:rsidRPr="00487B84">
        <w:rPr>
          <w:rFonts w:ascii="Arial" w:hAnsi="Arial" w:cs="Arial"/>
          <w:b/>
          <w:bCs/>
          <w:color w:val="000000" w:themeColor="text1"/>
          <w:szCs w:val="24"/>
          <w:lang w:val="en-GB"/>
        </w:rPr>
        <w:t>Economic Factors</w:t>
      </w:r>
    </w:p>
    <w:p w14:paraId="76CA8364" w14:textId="67146E59" w:rsidR="00E75822" w:rsidRDefault="00A43434"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One of the biggest risks to H&amp;M's UK business is, at present, the economy. The overall fashion retail industry is becoming more price sensitive due to persistent inflation, rising cost of living and consumers being more cautious about their spending. Consumers are becoming </w:t>
      </w:r>
      <w:r w:rsidR="00B67D86" w:rsidRPr="00487B84">
        <w:rPr>
          <w:rFonts w:ascii="Arial" w:hAnsi="Arial" w:cs="Arial"/>
          <w:color w:val="000000" w:themeColor="text1"/>
          <w:szCs w:val="24"/>
          <w:lang w:val="en-GB"/>
        </w:rPr>
        <w:t>pickier</w:t>
      </w:r>
      <w:r w:rsidR="00E75822" w:rsidRPr="00487B84">
        <w:rPr>
          <w:rFonts w:ascii="Arial" w:hAnsi="Arial" w:cs="Arial"/>
          <w:color w:val="000000" w:themeColor="text1"/>
          <w:szCs w:val="24"/>
          <w:lang w:val="en-GB"/>
        </w:rPr>
        <w:t xml:space="preserve"> </w:t>
      </w:r>
      <w:r w:rsidR="00FA6C67">
        <w:rPr>
          <w:rFonts w:ascii="Arial" w:hAnsi="Arial" w:cs="Arial"/>
          <w:color w:val="000000" w:themeColor="text1"/>
          <w:szCs w:val="24"/>
          <w:lang w:val="en-GB"/>
        </w:rPr>
        <w:t>+-</w:t>
      </w:r>
      <w:r w:rsidR="00E75822" w:rsidRPr="00487B84">
        <w:rPr>
          <w:rFonts w:ascii="Arial" w:hAnsi="Arial" w:cs="Arial"/>
          <w:color w:val="000000" w:themeColor="text1"/>
          <w:szCs w:val="24"/>
          <w:lang w:val="en-GB"/>
        </w:rPr>
        <w:t>and</w:t>
      </w:r>
      <w:r w:rsidRPr="00487B84">
        <w:rPr>
          <w:rFonts w:ascii="Arial" w:hAnsi="Arial" w:cs="Arial"/>
          <w:color w:val="000000" w:themeColor="text1"/>
          <w:szCs w:val="24"/>
          <w:lang w:val="en-GB"/>
        </w:rPr>
        <w:t xml:space="preserve"> often research various stores to make a purchase. This means that H&amp;M is always under pressure with their pricing, stock control and profit margins. Meanwhile, competitors like Shein are aggressively discounting products, further increasing competition in the market and lowering switching costs for customers, creating an even greater challenge in retaining them (Reuters, 2025a)</w:t>
      </w:r>
      <w:r w:rsidR="00FA6C67">
        <w:rPr>
          <w:rFonts w:ascii="Arial" w:hAnsi="Arial" w:cs="Arial"/>
          <w:color w:val="000000" w:themeColor="text1"/>
          <w:szCs w:val="24"/>
          <w:lang w:val="en-GB"/>
        </w:rPr>
        <w:t>.</w:t>
      </w:r>
    </w:p>
    <w:p w14:paraId="68C6E62E" w14:textId="16C0A0E8" w:rsidR="00A43434" w:rsidRPr="00487B84" w:rsidRDefault="00A43434"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Economic uncertainty restricts revenue </w:t>
      </w:r>
      <w:r w:rsidR="00B67D86" w:rsidRPr="00487B84">
        <w:rPr>
          <w:rFonts w:ascii="Arial" w:hAnsi="Arial" w:cs="Arial"/>
          <w:color w:val="000000" w:themeColor="text1"/>
          <w:szCs w:val="24"/>
          <w:lang w:val="en-GB"/>
        </w:rPr>
        <w:t>growth,</w:t>
      </w:r>
      <w:r w:rsidRPr="00487B84">
        <w:rPr>
          <w:rFonts w:ascii="Arial" w:hAnsi="Arial" w:cs="Arial"/>
          <w:color w:val="000000" w:themeColor="text1"/>
          <w:szCs w:val="24"/>
          <w:lang w:val="en-GB"/>
        </w:rPr>
        <w:t xml:space="preserve"> but it also presents opportunities for retailers who can find ways to satisfy consumers that both they are getting a good deal and that the product they are purchasing is a high-quality one. H&amp;M will thus need to focus on increasing the value of their demand forecasting, minimizing the need for markdowns and improving operational efficiency, not just on their promotional pricing strategies, in order to be successful in their strategy (Reuters, 2025b).</w:t>
      </w:r>
    </w:p>
    <w:p w14:paraId="5E5B3E39" w14:textId="77777777" w:rsidR="0096426A" w:rsidRPr="00487B84" w:rsidRDefault="0096426A" w:rsidP="00487B84">
      <w:pPr>
        <w:spacing w:line="360" w:lineRule="auto"/>
        <w:rPr>
          <w:rFonts w:ascii="Arial" w:hAnsi="Arial" w:cs="Arial"/>
          <w:b/>
          <w:bCs/>
          <w:color w:val="000000" w:themeColor="text1"/>
          <w:szCs w:val="24"/>
          <w:lang w:val="en-GB"/>
        </w:rPr>
      </w:pPr>
      <w:r w:rsidRPr="00487B84">
        <w:rPr>
          <w:rFonts w:ascii="Arial" w:hAnsi="Arial" w:cs="Arial"/>
          <w:b/>
          <w:bCs/>
          <w:color w:val="000000" w:themeColor="text1"/>
          <w:szCs w:val="24"/>
          <w:lang w:val="en-GB"/>
        </w:rPr>
        <w:t>Social Factors</w:t>
      </w:r>
    </w:p>
    <w:p w14:paraId="4C4F499E" w14:textId="77777777" w:rsidR="00CC0A86"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 consumer attitudes to fashion in the UK are changing, and sustainability, ethics, and digital convenience have become the main elements in purchasing decisions. Contemporary consumers are interested not only in fashionable clothes but also in the ability of the brand to teach them how they can be environmentally and socially responsible. That the consumers have become aware of the circular economy of fashion, of recycling, and of the ethical labour conditions means that the competitive advantage no longer relies on the price competition. H&amp;M has invested much into sustainability credentials through the use of recycled materials, garments collection programs and responsible sourcing. </w:t>
      </w:r>
    </w:p>
    <w:p w14:paraId="4EAAA973" w14:textId="71B51E10" w:rsidR="00A43434" w:rsidRPr="00487B84"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lastRenderedPageBreak/>
        <w:t>All those initiatives enhance the company's legitimacy and help to meet consumer expectations from the brand (H&amp;M Group, 2025a). There is a possibility to create the competitive value through the sustainability which transcends the short-term period because the commitment to environmental responsibility does not only belong to marketing but to the whole customer journey (Gomes et al., 2024). Thus, it is the responsibility of H&amp;M to turn sustainability into competitive value for its customers.</w:t>
      </w:r>
    </w:p>
    <w:p w14:paraId="5498BDFA" w14:textId="77777777" w:rsidR="0096426A" w:rsidRPr="00487B84" w:rsidRDefault="0096426A" w:rsidP="00487B84">
      <w:pPr>
        <w:spacing w:line="360" w:lineRule="auto"/>
        <w:rPr>
          <w:rFonts w:ascii="Arial" w:hAnsi="Arial" w:cs="Arial"/>
          <w:b/>
          <w:bCs/>
          <w:color w:val="000000" w:themeColor="text1"/>
          <w:szCs w:val="24"/>
          <w:lang w:val="en-GB"/>
        </w:rPr>
      </w:pPr>
      <w:r w:rsidRPr="00487B84">
        <w:rPr>
          <w:rFonts w:ascii="Arial" w:hAnsi="Arial" w:cs="Arial"/>
          <w:b/>
          <w:bCs/>
          <w:color w:val="000000" w:themeColor="text1"/>
          <w:szCs w:val="24"/>
          <w:lang w:val="en-GB"/>
        </w:rPr>
        <w:t>Technological Factors</w:t>
      </w:r>
    </w:p>
    <w:p w14:paraId="6AFCC5D7" w14:textId="77777777" w:rsidR="00ED3BC6"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 technology is considered one of the most promising sources of strategic differentiation for H&amp;M. With the rise of omnichannel retailing, there is a requirement to make an integration of physical stores, mobile application, and ecommerce into one platform. Nowadays' consumers expect having real-time information on inventory, recommendation and fast delivery regardless of purchasing channel used by the buyer. In order to meet the needs of current customers, the retailer should apply AI and predictive analytics and use digital inventory management to predict and prevent from stockouts. </w:t>
      </w:r>
    </w:p>
    <w:p w14:paraId="23B8A1D7" w14:textId="189D6DDE" w:rsidR="001D30A8" w:rsidRPr="00487B84"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 implementation of AI-based inventory management and omnichannel </w:t>
      </w:r>
      <w:r w:rsidR="009C557D" w:rsidRPr="00487B84">
        <w:rPr>
          <w:rFonts w:ascii="Arial" w:hAnsi="Arial" w:cs="Arial"/>
          <w:color w:val="000000" w:themeColor="text1"/>
          <w:szCs w:val="24"/>
          <w:lang w:val="en-GB"/>
        </w:rPr>
        <w:t>fulfilment</w:t>
      </w:r>
      <w:r w:rsidRPr="00487B84">
        <w:rPr>
          <w:rFonts w:ascii="Arial" w:hAnsi="Arial" w:cs="Arial"/>
          <w:color w:val="000000" w:themeColor="text1"/>
          <w:szCs w:val="24"/>
          <w:lang w:val="en-GB"/>
        </w:rPr>
        <w:t xml:space="preserve"> has increased the responsiveness of H&amp;M Group operations in the UK market (H&amp;M Group, 2026b). However, technology initiatives are valuable only when implemented in combination with other processes of the organization and not through stand-alone technology projects. Nevertheless, it is crucial to integrate three functions: merchandising, logistics, and customer relationship management in order to build sustainable competitive advantage based on the technology (Yamamoto, 2020).</w:t>
      </w:r>
    </w:p>
    <w:p w14:paraId="28270A08" w14:textId="322D9EA7" w:rsidR="0096426A" w:rsidRPr="00487B84" w:rsidRDefault="0096426A" w:rsidP="00487B84">
      <w:pPr>
        <w:spacing w:line="360" w:lineRule="auto"/>
        <w:rPr>
          <w:rFonts w:ascii="Arial" w:hAnsi="Arial" w:cs="Arial"/>
          <w:b/>
          <w:bCs/>
          <w:color w:val="000000" w:themeColor="text1"/>
          <w:szCs w:val="24"/>
          <w:lang w:val="en-GB"/>
        </w:rPr>
      </w:pPr>
      <w:r w:rsidRPr="00487B84">
        <w:rPr>
          <w:rFonts w:ascii="Arial" w:hAnsi="Arial" w:cs="Arial"/>
          <w:b/>
          <w:bCs/>
          <w:color w:val="000000" w:themeColor="text1"/>
          <w:szCs w:val="24"/>
          <w:lang w:val="en-GB"/>
        </w:rPr>
        <w:t>Environmental and Legal Factors</w:t>
      </w:r>
    </w:p>
    <w:p w14:paraId="1CA41D02" w14:textId="77777777" w:rsidR="00B3379B"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 interdependence between the fashion and sustainability sector is today more pronounced than ever before and this is the way things ought to </w:t>
      </w:r>
      <w:r w:rsidR="00B3379B" w:rsidRPr="00487B84">
        <w:rPr>
          <w:rFonts w:ascii="Arial" w:hAnsi="Arial" w:cs="Arial"/>
          <w:color w:val="000000" w:themeColor="text1"/>
          <w:szCs w:val="24"/>
          <w:lang w:val="en-GB"/>
        </w:rPr>
        <w:t>be. The</w:t>
      </w:r>
      <w:r w:rsidRPr="00487B84">
        <w:rPr>
          <w:rFonts w:ascii="Arial" w:hAnsi="Arial" w:cs="Arial"/>
          <w:color w:val="000000" w:themeColor="text1"/>
          <w:szCs w:val="24"/>
          <w:lang w:val="en-GB"/>
        </w:rPr>
        <w:t xml:space="preserve"> fashion and sustainability sectors are increasingly </w:t>
      </w:r>
      <w:r w:rsidR="00B3379B" w:rsidRPr="00487B84">
        <w:rPr>
          <w:rFonts w:ascii="Arial" w:hAnsi="Arial" w:cs="Arial"/>
          <w:color w:val="000000" w:themeColor="text1"/>
          <w:szCs w:val="24"/>
          <w:lang w:val="en-GB"/>
        </w:rPr>
        <w:t>interrelated,</w:t>
      </w:r>
      <w:r w:rsidRPr="00487B84">
        <w:rPr>
          <w:rFonts w:ascii="Arial" w:hAnsi="Arial" w:cs="Arial"/>
          <w:color w:val="000000" w:themeColor="text1"/>
          <w:szCs w:val="24"/>
          <w:lang w:val="en-GB"/>
        </w:rPr>
        <w:t xml:space="preserve"> and this is how things ought to be. There are increasing expectations of retailers to reduce carbon footprint, improve carbon tracing of materials and ensure ethical production in their supply chain from the perspective of governments, investors and consumers. </w:t>
      </w:r>
    </w:p>
    <w:p w14:paraId="17E8CE5C" w14:textId="2A0F41AD" w:rsidR="007D13F1" w:rsidRPr="00487B84"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lastRenderedPageBreak/>
        <w:t xml:space="preserve">In addition, increased obligations regarding ESG reporting and supply chain due diligence law reinforce the organisational accountability on environmental and labour issues.Additionally, increased obligations regarding ESG reporting and supply chain due diligence law reinforce organisational accountability on environmental and labour issues. The </w:t>
      </w:r>
      <w:r w:rsidR="00722BF7" w:rsidRPr="00487B84">
        <w:rPr>
          <w:rFonts w:ascii="Arial" w:hAnsi="Arial" w:cs="Arial"/>
          <w:color w:val="000000" w:themeColor="text1"/>
          <w:szCs w:val="24"/>
          <w:lang w:val="en-GB"/>
        </w:rPr>
        <w:t>above-mentioned</w:t>
      </w:r>
      <w:r w:rsidRPr="00487B84">
        <w:rPr>
          <w:rFonts w:ascii="Arial" w:hAnsi="Arial" w:cs="Arial"/>
          <w:color w:val="000000" w:themeColor="text1"/>
          <w:szCs w:val="24"/>
          <w:lang w:val="en-GB"/>
        </w:rPr>
        <w:t xml:space="preserve"> trends are both opportunities and threats to H&amp;M.</w:t>
      </w:r>
    </w:p>
    <w:p w14:paraId="3E49AEAF" w14:textId="43C8E43F" w:rsidR="001D30A8" w:rsidRPr="00487B84"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There is much investment required in terms of monitoring, traceability mechanisms, and sustainable materials; however, compliance provides an additional positive effect on corporate reputation and builds stakeholder trust. The adoption of such an approach by H&amp;M proves that not only environmental practices but also regulatory compliance and competitive advantage can be attained with the help of environmental initiatives (Reuters, 2024). Moreover, studies show that transparency in the supply chain, along with participation of various stakeholders in the cooperation process, helps to increase the company’s resilience (Garcia-Torres et al., 2024).</w:t>
      </w:r>
    </w:p>
    <w:p w14:paraId="522C140C" w14:textId="2BBF5135" w:rsidR="0096426A" w:rsidRPr="00487B84" w:rsidRDefault="001D30A8"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The PESTEL analysis shows that H&amp;M is facing a growing complex external environment, with the economic pressures and the high level of competition being the most important risks, while technological innovations and sustainability are the most important opportunities. To be competitive in the UK market, the organisation will need to continue to focus on digital integration, supply-chain resilience and sustainability in its business model and not as stand-alone strategic objectives.</w:t>
      </w:r>
    </w:p>
    <w:p w14:paraId="0009EACD" w14:textId="322D9EA7" w:rsidR="0096426A" w:rsidRPr="00487B84" w:rsidRDefault="0096426A" w:rsidP="00487B84">
      <w:pPr>
        <w:pStyle w:val="Heading2"/>
        <w:spacing w:before="240" w:after="240" w:line="360" w:lineRule="auto"/>
        <w:rPr>
          <w:rFonts w:ascii="Arial" w:hAnsi="Arial" w:cs="Arial"/>
          <w:szCs w:val="24"/>
          <w:lang w:val="en-GB"/>
        </w:rPr>
      </w:pPr>
      <w:bookmarkStart w:id="9" w:name="_Toc237034014"/>
      <w:r w:rsidRPr="00487B84">
        <w:rPr>
          <w:rFonts w:ascii="Arial" w:hAnsi="Arial" w:cs="Arial"/>
          <w:szCs w:val="24"/>
          <w:lang w:val="en-GB"/>
        </w:rPr>
        <w:t>2.2 Internal Environment Analysis – VRIO</w:t>
      </w:r>
      <w:bookmarkEnd w:id="9"/>
      <w:r w:rsidRPr="00487B84">
        <w:rPr>
          <w:rFonts w:ascii="Arial" w:hAnsi="Arial" w:cs="Arial"/>
          <w:szCs w:val="24"/>
          <w:lang w:val="en-GB"/>
        </w:rPr>
        <w:t xml:space="preserve"> </w:t>
      </w:r>
    </w:p>
    <w:p w14:paraId="21FBA26F" w14:textId="7F5382BB" w:rsidR="001D30A8" w:rsidRPr="00487B84" w:rsidRDefault="001D30A8"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 Resource Based View (RBV) states that the key to developing sustainable competitive advantage is for an organisation to have resources and capabilities that are valuable, rare, hard to imitate and organised properly. The VRIO framework is thus a suitable tool to assess if H&amp;M's internal resources can create a sustainable competitive advantage in the very competitive fashion retail market in the UK. The VRIO model is not just about physical </w:t>
      </w:r>
      <w:r w:rsidR="00722BF7" w:rsidRPr="00487B84">
        <w:rPr>
          <w:rFonts w:ascii="Arial" w:hAnsi="Arial" w:cs="Arial"/>
          <w:color w:val="000000" w:themeColor="text1"/>
          <w:szCs w:val="24"/>
          <w:lang w:val="en-GB"/>
        </w:rPr>
        <w:t>assets;</w:t>
      </w:r>
      <w:r w:rsidRPr="00487B84">
        <w:rPr>
          <w:rFonts w:ascii="Arial" w:hAnsi="Arial" w:cs="Arial"/>
          <w:color w:val="000000" w:themeColor="text1"/>
          <w:szCs w:val="24"/>
          <w:lang w:val="en-GB"/>
        </w:rPr>
        <w:t xml:space="preserve"> it's about how the organisation's capabilities add to their overall strategic performance over the long term.</w:t>
      </w:r>
    </w:p>
    <w:tbl>
      <w:tblPr>
        <w:tblStyle w:val="GridTable5Dark-Accent1"/>
        <w:tblW w:w="0" w:type="auto"/>
        <w:tblLook w:val="04A0" w:firstRow="1" w:lastRow="0" w:firstColumn="1" w:lastColumn="0" w:noHBand="0" w:noVBand="1"/>
      </w:tblPr>
      <w:tblGrid>
        <w:gridCol w:w="2446"/>
        <w:gridCol w:w="1170"/>
        <w:gridCol w:w="1195"/>
        <w:gridCol w:w="1299"/>
        <w:gridCol w:w="1363"/>
        <w:gridCol w:w="1543"/>
      </w:tblGrid>
      <w:tr w:rsidR="0096426A" w:rsidRPr="00487B84" w14:paraId="36A930BD" w14:textId="77777777" w:rsidTr="00093D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C5650B"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lastRenderedPageBreak/>
              <w:t>Resource/Capability</w:t>
            </w:r>
          </w:p>
        </w:tc>
        <w:tc>
          <w:tcPr>
            <w:tcW w:w="0" w:type="auto"/>
            <w:hideMark/>
          </w:tcPr>
          <w:p w14:paraId="1BC235E0" w14:textId="77777777" w:rsidR="0096426A" w:rsidRPr="00487B84" w:rsidRDefault="0096426A"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Valuable</w:t>
            </w:r>
          </w:p>
        </w:tc>
        <w:tc>
          <w:tcPr>
            <w:tcW w:w="0" w:type="auto"/>
            <w:hideMark/>
          </w:tcPr>
          <w:p w14:paraId="0499A2B4" w14:textId="77777777" w:rsidR="0096426A" w:rsidRPr="00487B84" w:rsidRDefault="0096426A"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Rare</w:t>
            </w:r>
          </w:p>
        </w:tc>
        <w:tc>
          <w:tcPr>
            <w:tcW w:w="0" w:type="auto"/>
            <w:hideMark/>
          </w:tcPr>
          <w:p w14:paraId="15037C14" w14:textId="77777777" w:rsidR="0096426A" w:rsidRPr="00487B84" w:rsidRDefault="0096426A"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Inimitable</w:t>
            </w:r>
          </w:p>
        </w:tc>
        <w:tc>
          <w:tcPr>
            <w:tcW w:w="0" w:type="auto"/>
            <w:hideMark/>
          </w:tcPr>
          <w:p w14:paraId="41BBD6F2" w14:textId="77777777" w:rsidR="0096426A" w:rsidRPr="00487B84" w:rsidRDefault="0096426A"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Organised</w:t>
            </w:r>
          </w:p>
        </w:tc>
        <w:tc>
          <w:tcPr>
            <w:tcW w:w="0" w:type="auto"/>
            <w:hideMark/>
          </w:tcPr>
          <w:p w14:paraId="5E31C6EC" w14:textId="77777777" w:rsidR="0096426A" w:rsidRPr="00487B84" w:rsidRDefault="0096426A"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Competitive Implication</w:t>
            </w:r>
          </w:p>
        </w:tc>
      </w:tr>
      <w:tr w:rsidR="0096426A" w:rsidRPr="00487B84" w14:paraId="0D0B24E2" w14:textId="77777777" w:rsidTr="00093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BF96CF"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Global H&amp;M Brand</w:t>
            </w:r>
          </w:p>
        </w:tc>
        <w:tc>
          <w:tcPr>
            <w:tcW w:w="0" w:type="auto"/>
            <w:hideMark/>
          </w:tcPr>
          <w:p w14:paraId="38093600"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Segoe UI Symbol" w:hAnsi="Segoe UI Symbol" w:cs="Segoe UI Symbol"/>
                <w:color w:val="000000" w:themeColor="text1"/>
                <w:szCs w:val="24"/>
                <w:lang w:val="en-GB"/>
              </w:rPr>
              <w:t>✓</w:t>
            </w:r>
          </w:p>
        </w:tc>
        <w:tc>
          <w:tcPr>
            <w:tcW w:w="0" w:type="auto"/>
            <w:hideMark/>
          </w:tcPr>
          <w:p w14:paraId="54697DAF"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Segoe UI Symbol" w:hAnsi="Segoe UI Symbol" w:cs="Segoe UI Symbol"/>
                <w:color w:val="000000" w:themeColor="text1"/>
                <w:szCs w:val="24"/>
                <w:lang w:val="en-GB"/>
              </w:rPr>
              <w:t>✓</w:t>
            </w:r>
          </w:p>
        </w:tc>
        <w:tc>
          <w:tcPr>
            <w:tcW w:w="0" w:type="auto"/>
            <w:hideMark/>
          </w:tcPr>
          <w:p w14:paraId="6E077AB0"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Moderate</w:t>
            </w:r>
          </w:p>
        </w:tc>
        <w:tc>
          <w:tcPr>
            <w:tcW w:w="0" w:type="auto"/>
            <w:hideMark/>
          </w:tcPr>
          <w:p w14:paraId="2FFAA328"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Segoe UI Symbol" w:hAnsi="Segoe UI Symbol" w:cs="Segoe UI Symbol"/>
                <w:color w:val="000000" w:themeColor="text1"/>
                <w:szCs w:val="24"/>
                <w:lang w:val="en-GB"/>
              </w:rPr>
              <w:t>✓</w:t>
            </w:r>
          </w:p>
        </w:tc>
        <w:tc>
          <w:tcPr>
            <w:tcW w:w="0" w:type="auto"/>
            <w:hideMark/>
          </w:tcPr>
          <w:p w14:paraId="3D51FAB1"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Temporary advantage</w:t>
            </w:r>
          </w:p>
        </w:tc>
      </w:tr>
      <w:tr w:rsidR="0096426A" w:rsidRPr="00487B84" w14:paraId="507DD6F8" w14:textId="77777777" w:rsidTr="00093D2C">
        <w:tc>
          <w:tcPr>
            <w:cnfStyle w:val="001000000000" w:firstRow="0" w:lastRow="0" w:firstColumn="1" w:lastColumn="0" w:oddVBand="0" w:evenVBand="0" w:oddHBand="0" w:evenHBand="0" w:firstRowFirstColumn="0" w:firstRowLastColumn="0" w:lastRowFirstColumn="0" w:lastRowLastColumn="0"/>
            <w:tcW w:w="0" w:type="auto"/>
            <w:hideMark/>
          </w:tcPr>
          <w:p w14:paraId="7F9297A3"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UK Store Network</w:t>
            </w:r>
          </w:p>
        </w:tc>
        <w:tc>
          <w:tcPr>
            <w:tcW w:w="0" w:type="auto"/>
            <w:hideMark/>
          </w:tcPr>
          <w:p w14:paraId="35D0487E"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Segoe UI Symbol" w:hAnsi="Segoe UI Symbol" w:cs="Segoe UI Symbol"/>
                <w:color w:val="000000" w:themeColor="text1"/>
                <w:szCs w:val="24"/>
                <w:lang w:val="en-GB"/>
              </w:rPr>
              <w:t>✓</w:t>
            </w:r>
          </w:p>
        </w:tc>
        <w:tc>
          <w:tcPr>
            <w:tcW w:w="0" w:type="auto"/>
            <w:hideMark/>
          </w:tcPr>
          <w:p w14:paraId="1279E26B"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No</w:t>
            </w:r>
          </w:p>
        </w:tc>
        <w:tc>
          <w:tcPr>
            <w:tcW w:w="0" w:type="auto"/>
            <w:hideMark/>
          </w:tcPr>
          <w:p w14:paraId="68EFD1C6"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No</w:t>
            </w:r>
          </w:p>
        </w:tc>
        <w:tc>
          <w:tcPr>
            <w:tcW w:w="0" w:type="auto"/>
            <w:hideMark/>
          </w:tcPr>
          <w:p w14:paraId="534F8DE4"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Segoe UI Symbol" w:hAnsi="Segoe UI Symbol" w:cs="Segoe UI Symbol"/>
                <w:color w:val="000000" w:themeColor="text1"/>
                <w:szCs w:val="24"/>
                <w:lang w:val="en-GB"/>
              </w:rPr>
              <w:t>✓</w:t>
            </w:r>
          </w:p>
        </w:tc>
        <w:tc>
          <w:tcPr>
            <w:tcW w:w="0" w:type="auto"/>
            <w:hideMark/>
          </w:tcPr>
          <w:p w14:paraId="2E03526C"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Competitive parity</w:t>
            </w:r>
          </w:p>
        </w:tc>
      </w:tr>
      <w:tr w:rsidR="0096426A" w:rsidRPr="00487B84" w14:paraId="1C147AF8" w14:textId="77777777" w:rsidTr="00093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ACCADA"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Global Supply Chain</w:t>
            </w:r>
          </w:p>
        </w:tc>
        <w:tc>
          <w:tcPr>
            <w:tcW w:w="0" w:type="auto"/>
            <w:hideMark/>
          </w:tcPr>
          <w:p w14:paraId="2DEED01C"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Segoe UI Symbol" w:hAnsi="Segoe UI Symbol" w:cs="Segoe UI Symbol"/>
                <w:color w:val="000000" w:themeColor="text1"/>
                <w:szCs w:val="24"/>
                <w:lang w:val="en-GB"/>
              </w:rPr>
              <w:t>✓</w:t>
            </w:r>
          </w:p>
        </w:tc>
        <w:tc>
          <w:tcPr>
            <w:tcW w:w="0" w:type="auto"/>
            <w:hideMark/>
          </w:tcPr>
          <w:p w14:paraId="3DB27D84"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Moderate</w:t>
            </w:r>
          </w:p>
        </w:tc>
        <w:tc>
          <w:tcPr>
            <w:tcW w:w="0" w:type="auto"/>
            <w:hideMark/>
          </w:tcPr>
          <w:p w14:paraId="03860567"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Moderate</w:t>
            </w:r>
          </w:p>
        </w:tc>
        <w:tc>
          <w:tcPr>
            <w:tcW w:w="0" w:type="auto"/>
            <w:hideMark/>
          </w:tcPr>
          <w:p w14:paraId="4789E8BB"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Segoe UI Symbol" w:hAnsi="Segoe UI Symbol" w:cs="Segoe UI Symbol"/>
                <w:color w:val="000000" w:themeColor="text1"/>
                <w:szCs w:val="24"/>
                <w:lang w:val="en-GB"/>
              </w:rPr>
              <w:t>✓</w:t>
            </w:r>
          </w:p>
        </w:tc>
        <w:tc>
          <w:tcPr>
            <w:tcW w:w="0" w:type="auto"/>
            <w:hideMark/>
          </w:tcPr>
          <w:p w14:paraId="10B21D23"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Temporary advantage</w:t>
            </w:r>
          </w:p>
        </w:tc>
      </w:tr>
      <w:tr w:rsidR="0096426A" w:rsidRPr="00487B84" w14:paraId="09F360A9" w14:textId="77777777" w:rsidTr="00093D2C">
        <w:tc>
          <w:tcPr>
            <w:cnfStyle w:val="001000000000" w:firstRow="0" w:lastRow="0" w:firstColumn="1" w:lastColumn="0" w:oddVBand="0" w:evenVBand="0" w:oddHBand="0" w:evenHBand="0" w:firstRowFirstColumn="0" w:firstRowLastColumn="0" w:lastRowFirstColumn="0" w:lastRowLastColumn="0"/>
            <w:tcW w:w="0" w:type="auto"/>
            <w:hideMark/>
          </w:tcPr>
          <w:p w14:paraId="58BE38DC"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Sustainability Capability</w:t>
            </w:r>
          </w:p>
        </w:tc>
        <w:tc>
          <w:tcPr>
            <w:tcW w:w="0" w:type="auto"/>
            <w:hideMark/>
          </w:tcPr>
          <w:p w14:paraId="149835AD"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Segoe UI Symbol" w:hAnsi="Segoe UI Symbol" w:cs="Segoe UI Symbol"/>
                <w:color w:val="000000" w:themeColor="text1"/>
                <w:szCs w:val="24"/>
                <w:lang w:val="en-GB"/>
              </w:rPr>
              <w:t>✓</w:t>
            </w:r>
          </w:p>
        </w:tc>
        <w:tc>
          <w:tcPr>
            <w:tcW w:w="0" w:type="auto"/>
            <w:hideMark/>
          </w:tcPr>
          <w:p w14:paraId="2E4FFAF3"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Moderate</w:t>
            </w:r>
          </w:p>
        </w:tc>
        <w:tc>
          <w:tcPr>
            <w:tcW w:w="0" w:type="auto"/>
            <w:hideMark/>
          </w:tcPr>
          <w:p w14:paraId="4D5B1298"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Difficult</w:t>
            </w:r>
          </w:p>
        </w:tc>
        <w:tc>
          <w:tcPr>
            <w:tcW w:w="0" w:type="auto"/>
            <w:hideMark/>
          </w:tcPr>
          <w:p w14:paraId="39E534A6"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Segoe UI Symbol" w:hAnsi="Segoe UI Symbol" w:cs="Segoe UI Symbol"/>
                <w:color w:val="000000" w:themeColor="text1"/>
                <w:szCs w:val="24"/>
                <w:lang w:val="en-GB"/>
              </w:rPr>
              <w:t>✓</w:t>
            </w:r>
          </w:p>
        </w:tc>
        <w:tc>
          <w:tcPr>
            <w:tcW w:w="0" w:type="auto"/>
            <w:hideMark/>
          </w:tcPr>
          <w:p w14:paraId="29219F92"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Emerging competitive advantage</w:t>
            </w:r>
          </w:p>
        </w:tc>
      </w:tr>
      <w:tr w:rsidR="0096426A" w:rsidRPr="00487B84" w14:paraId="6E607FDA" w14:textId="77777777" w:rsidTr="00093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CFE4D9"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Digital &amp; Omnichannel Capability</w:t>
            </w:r>
          </w:p>
        </w:tc>
        <w:tc>
          <w:tcPr>
            <w:tcW w:w="0" w:type="auto"/>
            <w:hideMark/>
          </w:tcPr>
          <w:p w14:paraId="3A8B2E2D"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Segoe UI Symbol" w:hAnsi="Segoe UI Symbol" w:cs="Segoe UI Symbol"/>
                <w:color w:val="000000" w:themeColor="text1"/>
                <w:szCs w:val="24"/>
                <w:lang w:val="en-GB"/>
              </w:rPr>
              <w:t>✓</w:t>
            </w:r>
          </w:p>
        </w:tc>
        <w:tc>
          <w:tcPr>
            <w:tcW w:w="0" w:type="auto"/>
            <w:hideMark/>
          </w:tcPr>
          <w:p w14:paraId="087749EB"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Moderate</w:t>
            </w:r>
          </w:p>
        </w:tc>
        <w:tc>
          <w:tcPr>
            <w:tcW w:w="0" w:type="auto"/>
            <w:hideMark/>
          </w:tcPr>
          <w:p w14:paraId="635B807B"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Moderate</w:t>
            </w:r>
          </w:p>
        </w:tc>
        <w:tc>
          <w:tcPr>
            <w:tcW w:w="0" w:type="auto"/>
            <w:hideMark/>
          </w:tcPr>
          <w:p w14:paraId="485CCCCB"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Segoe UI Symbol" w:hAnsi="Segoe UI Symbol" w:cs="Segoe UI Symbol"/>
                <w:color w:val="000000" w:themeColor="text1"/>
                <w:szCs w:val="24"/>
                <w:lang w:val="en-GB"/>
              </w:rPr>
              <w:t>✓</w:t>
            </w:r>
          </w:p>
        </w:tc>
        <w:tc>
          <w:tcPr>
            <w:tcW w:w="0" w:type="auto"/>
            <w:hideMark/>
          </w:tcPr>
          <w:p w14:paraId="2B2966FB"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Temporary advantage</w:t>
            </w:r>
          </w:p>
        </w:tc>
      </w:tr>
    </w:tbl>
    <w:p w14:paraId="2B9C6528" w14:textId="77777777" w:rsidR="00722BF7"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 most valuable asset of H&amp;M is its world-renowned brand name that has been developed through decades of growth in the global market space, being positioned on the issue of affordability and sustainability of fashion products. The importance of brand loyalty and recognition is vital for the company and therefore serves as one of its valuable strategic assets. Nevertheless, in the case of the fashion industry in the UK, brand recognition alone is insufficient to ensure sustainable competitive advantage for the firm as other companies such as Zara and Uniqlo have their own brand image. </w:t>
      </w:r>
    </w:p>
    <w:p w14:paraId="6CFC9621" w14:textId="41CB3426" w:rsidR="001D30A8" w:rsidRPr="00487B84"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 fact is that fashion trends can be easily reproduced and therefore it is much more common to see the brand differentiation. This means that brand competitive </w:t>
      </w:r>
      <w:r w:rsidRPr="00487B84">
        <w:rPr>
          <w:rFonts w:ascii="Arial" w:hAnsi="Arial" w:cs="Arial"/>
          <w:color w:val="000000" w:themeColor="text1"/>
          <w:szCs w:val="24"/>
          <w:lang w:val="en-GB"/>
        </w:rPr>
        <w:lastRenderedPageBreak/>
        <w:t>advantage is temporary and must be maintained through innovation and customer interaction (H&amp;M Group, 2026a). Furthermore, according to the Resource Based View, valuable resources will result in superior performance only if continuously improved and synchronized among all business functions (Tiwari et al., 2024).</w:t>
      </w:r>
    </w:p>
    <w:p w14:paraId="0E14FB60" w14:textId="77777777" w:rsidR="00B46758"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Another strength that makes H&amp;M stand out is that of having a well-developed global supply chain together with strong multi-channel retailing capabilities. The model of H&amp;M integrates physical world and digital </w:t>
      </w:r>
      <w:r w:rsidR="00B46758" w:rsidRPr="00487B84">
        <w:rPr>
          <w:rFonts w:ascii="Arial" w:hAnsi="Arial" w:cs="Arial"/>
          <w:color w:val="000000" w:themeColor="text1"/>
          <w:szCs w:val="24"/>
          <w:lang w:val="en-GB"/>
        </w:rPr>
        <w:t>fulfilment</w:t>
      </w:r>
      <w:r w:rsidRPr="00487B84">
        <w:rPr>
          <w:rFonts w:ascii="Arial" w:hAnsi="Arial" w:cs="Arial"/>
          <w:color w:val="000000" w:themeColor="text1"/>
          <w:szCs w:val="24"/>
          <w:lang w:val="en-GB"/>
        </w:rPr>
        <w:t xml:space="preserve"> together with digital world into a seamless customer experience. With the help of the aforementioned feature, the company is able to replenish its stock more quickly, have improved availability of goods and greater flexibility when reacting to the consumer demand. </w:t>
      </w:r>
    </w:p>
    <w:p w14:paraId="3118560B" w14:textId="592F7E81" w:rsidR="001D30A8" w:rsidRPr="00487B84"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Furthermore, greater integration of the supply chain leads to better visibility of inventory and operational efficiency, which reduces forecasting errors and facilitates merchandising decision-making process. Nevertheless, it should be noted that such functions are far from being unobtainable by competitors, since there is massive investment in development of digital tools and multi-channel strategy on the part of major fashion brands. Technology alone is not very important; what matters is how it is implemented within decision making process.</w:t>
      </w:r>
    </w:p>
    <w:p w14:paraId="571CD42F" w14:textId="77777777" w:rsidR="00910532" w:rsidRDefault="001D30A8"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Sustainability capability is a highly promising long-term strategic resource for H&amp;M. The company's commitment to responsible sourcing, recycled materials, transparency in its supply chain and circular business strategies builds capabilities that are much harder to quickly replicate by other companies. Sustainable supplier relationships, traceability systems and organisational sustainability culture are more complex and take time to invest and build with the suppliers in the supply chain. They enhance the trust of stakeholders and also aid to satisfy authorities standards and customer demands for responsible fashion. </w:t>
      </w:r>
    </w:p>
    <w:p w14:paraId="0DA9A6C3" w14:textId="010C7CCF" w:rsidR="001D30A8" w:rsidRPr="00487B84" w:rsidRDefault="001D30A8"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With sustainability becoming a more integral part of the competitive strategy, H&amp;M's environmental competence can become a sustainable competitive advantage, and even a source of differentiation (Garcia-Torres et al., 2024).</w:t>
      </w:r>
    </w:p>
    <w:p w14:paraId="41A15C8A" w14:textId="77777777" w:rsidR="00910532"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While the strengths mentioned above are significant, H&amp;M has several internal weaknesses worth considering. First, the inability to correctly forecast inventory, along </w:t>
      </w:r>
      <w:r w:rsidRPr="00487B84">
        <w:rPr>
          <w:rFonts w:ascii="Arial" w:hAnsi="Arial" w:cs="Arial"/>
          <w:color w:val="000000" w:themeColor="text1"/>
          <w:szCs w:val="24"/>
          <w:lang w:val="en-GB"/>
        </w:rPr>
        <w:lastRenderedPageBreak/>
        <w:t xml:space="preserve">with having to use markdowns to sell the inventory and the complexity of managing a global sourcing network negatively impact profitability and operational agility. While continuously engaging in promotional activity, the company's potential for resource utilization is limited due to margins' erosion. These weaknesses, as it follows from the discussion above, show the importance of having valuable capabilities that cannot be effective without effective organizational coordination and execution. </w:t>
      </w:r>
    </w:p>
    <w:p w14:paraId="406F343F" w14:textId="0804F7C1" w:rsidR="001D30A8" w:rsidRPr="00487B84" w:rsidRDefault="007D13F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Overall, based on the analysis above, H&amp;M already possesses many strategic resources, but to stay competitive in the UK market, the company should focus more on increasing its supply chain agility and integrating digitalization and sustainability into the decision-making process, rather than using the power of its brand.</w:t>
      </w:r>
    </w:p>
    <w:p w14:paraId="5E37CB4B" w14:textId="77777777" w:rsidR="0096426A" w:rsidRPr="00487B84" w:rsidRDefault="0096426A" w:rsidP="00487B84">
      <w:pPr>
        <w:pStyle w:val="Heading2"/>
        <w:spacing w:before="240" w:after="240" w:line="360" w:lineRule="auto"/>
        <w:rPr>
          <w:rFonts w:ascii="Arial" w:hAnsi="Arial" w:cs="Arial"/>
          <w:szCs w:val="24"/>
          <w:lang w:val="en-GB"/>
        </w:rPr>
      </w:pPr>
      <w:bookmarkStart w:id="10" w:name="_Toc237034015"/>
      <w:r w:rsidRPr="00487B84">
        <w:rPr>
          <w:rFonts w:ascii="Arial" w:hAnsi="Arial" w:cs="Arial"/>
          <w:szCs w:val="24"/>
          <w:lang w:val="en-GB"/>
        </w:rPr>
        <w:t>2.3 SWOT Analysis</w:t>
      </w:r>
      <w:bookmarkEnd w:id="10"/>
    </w:p>
    <w:p w14:paraId="07D82124" w14:textId="653B4934" w:rsidR="001D30A8" w:rsidRPr="00487B84" w:rsidRDefault="001D30A8"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 SWOT framework combines the results of the PESTEL and VRIO analysis to provide a strategic set of priorities that will impact the long-term competitiveness of H&amp;M in the UK fashion retail market. SWOT is not a checklist of what the organisation is </w:t>
      </w:r>
      <w:r w:rsidR="00185ADD" w:rsidRPr="00487B84">
        <w:rPr>
          <w:rFonts w:ascii="Arial" w:hAnsi="Arial" w:cs="Arial"/>
          <w:color w:val="000000" w:themeColor="text1"/>
          <w:szCs w:val="24"/>
          <w:lang w:val="en-GB"/>
        </w:rPr>
        <w:t>like but</w:t>
      </w:r>
      <w:r w:rsidRPr="00487B84">
        <w:rPr>
          <w:rFonts w:ascii="Arial" w:hAnsi="Arial" w:cs="Arial"/>
          <w:color w:val="000000" w:themeColor="text1"/>
          <w:szCs w:val="24"/>
          <w:lang w:val="en-GB"/>
        </w:rPr>
        <w:t xml:space="preserve"> is a synthesis of the organisation's strengths and weaknesses with the opportunities and threats in the market; it identifies areas of the market where the organisation's management attention should be directed.</w:t>
      </w:r>
    </w:p>
    <w:tbl>
      <w:tblPr>
        <w:tblStyle w:val="GridTable4-Accent3"/>
        <w:tblW w:w="5000" w:type="pct"/>
        <w:tblLook w:val="04A0" w:firstRow="1" w:lastRow="0" w:firstColumn="1" w:lastColumn="0" w:noHBand="0" w:noVBand="1"/>
      </w:tblPr>
      <w:tblGrid>
        <w:gridCol w:w="4533"/>
        <w:gridCol w:w="4483"/>
      </w:tblGrid>
      <w:tr w:rsidR="0096426A" w:rsidRPr="00487B84" w14:paraId="5EBB904C" w14:textId="77777777" w:rsidTr="00093D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4" w:type="pct"/>
            <w:hideMark/>
          </w:tcPr>
          <w:p w14:paraId="255DE1E0"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Strengths</w:t>
            </w:r>
          </w:p>
        </w:tc>
        <w:tc>
          <w:tcPr>
            <w:tcW w:w="2486" w:type="pct"/>
            <w:hideMark/>
          </w:tcPr>
          <w:p w14:paraId="1DAF0766" w14:textId="77777777" w:rsidR="0096426A" w:rsidRPr="00487B84" w:rsidRDefault="0096426A"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Weaknesses</w:t>
            </w:r>
          </w:p>
        </w:tc>
      </w:tr>
      <w:tr w:rsidR="0096426A" w:rsidRPr="00487B84" w14:paraId="48B1C8FB" w14:textId="77777777" w:rsidTr="00093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4" w:type="pct"/>
            <w:hideMark/>
          </w:tcPr>
          <w:p w14:paraId="5C9B8EF2"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Globally recognised brand</w:t>
            </w:r>
          </w:p>
        </w:tc>
        <w:tc>
          <w:tcPr>
            <w:tcW w:w="2486" w:type="pct"/>
            <w:hideMark/>
          </w:tcPr>
          <w:p w14:paraId="56C7C3DD"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Heavy discounting pressure</w:t>
            </w:r>
          </w:p>
        </w:tc>
      </w:tr>
      <w:tr w:rsidR="0096426A" w:rsidRPr="00487B84" w14:paraId="54659699" w14:textId="77777777" w:rsidTr="00093D2C">
        <w:tc>
          <w:tcPr>
            <w:cnfStyle w:val="001000000000" w:firstRow="0" w:lastRow="0" w:firstColumn="1" w:lastColumn="0" w:oddVBand="0" w:evenVBand="0" w:oddHBand="0" w:evenHBand="0" w:firstRowFirstColumn="0" w:firstRowLastColumn="0" w:lastRowFirstColumn="0" w:lastRowLastColumn="0"/>
            <w:tcW w:w="2514" w:type="pct"/>
            <w:hideMark/>
          </w:tcPr>
          <w:p w14:paraId="67781AE6"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Strong UK retail presence</w:t>
            </w:r>
          </w:p>
        </w:tc>
        <w:tc>
          <w:tcPr>
            <w:tcW w:w="2486" w:type="pct"/>
            <w:hideMark/>
          </w:tcPr>
          <w:p w14:paraId="05ACE1F8"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Mid-market positioning</w:t>
            </w:r>
          </w:p>
        </w:tc>
      </w:tr>
      <w:tr w:rsidR="0096426A" w:rsidRPr="00487B84" w14:paraId="6C74B5B4" w14:textId="77777777" w:rsidTr="00093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4" w:type="pct"/>
            <w:hideMark/>
          </w:tcPr>
          <w:p w14:paraId="584F4B90"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Integrated omnichannel capability</w:t>
            </w:r>
          </w:p>
        </w:tc>
        <w:tc>
          <w:tcPr>
            <w:tcW w:w="2486" w:type="pct"/>
            <w:hideMark/>
          </w:tcPr>
          <w:p w14:paraId="7512C74C"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Inventory forecasting challenges</w:t>
            </w:r>
          </w:p>
        </w:tc>
      </w:tr>
      <w:tr w:rsidR="0096426A" w:rsidRPr="00487B84" w14:paraId="102D4215" w14:textId="77777777" w:rsidTr="00093D2C">
        <w:tc>
          <w:tcPr>
            <w:cnfStyle w:val="001000000000" w:firstRow="0" w:lastRow="0" w:firstColumn="1" w:lastColumn="0" w:oddVBand="0" w:evenVBand="0" w:oddHBand="0" w:evenHBand="0" w:firstRowFirstColumn="0" w:firstRowLastColumn="0" w:lastRowFirstColumn="0" w:lastRowLastColumn="0"/>
            <w:tcW w:w="2514" w:type="pct"/>
            <w:hideMark/>
          </w:tcPr>
          <w:p w14:paraId="546BA769"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Sustainability and circular fashion initiatives</w:t>
            </w:r>
          </w:p>
        </w:tc>
        <w:tc>
          <w:tcPr>
            <w:tcW w:w="2486" w:type="pct"/>
            <w:hideMark/>
          </w:tcPr>
          <w:p w14:paraId="41024C13"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Margin pressure</w:t>
            </w:r>
          </w:p>
        </w:tc>
      </w:tr>
    </w:tbl>
    <w:p w14:paraId="334CD68D" w14:textId="77777777" w:rsidR="0096426A" w:rsidRPr="00487B84" w:rsidRDefault="0096426A" w:rsidP="00487B84">
      <w:pPr>
        <w:spacing w:line="360" w:lineRule="auto"/>
        <w:rPr>
          <w:rFonts w:ascii="Arial" w:hAnsi="Arial" w:cs="Arial"/>
          <w:b/>
          <w:bCs/>
          <w:color w:val="000000" w:themeColor="text1"/>
          <w:szCs w:val="24"/>
          <w:lang w:val="en-GB"/>
        </w:rPr>
      </w:pPr>
    </w:p>
    <w:tbl>
      <w:tblPr>
        <w:tblStyle w:val="GridTable4-Accent4"/>
        <w:tblW w:w="5000" w:type="pct"/>
        <w:tblLook w:val="04A0" w:firstRow="1" w:lastRow="0" w:firstColumn="1" w:lastColumn="0" w:noHBand="0" w:noVBand="1"/>
      </w:tblPr>
      <w:tblGrid>
        <w:gridCol w:w="4531"/>
        <w:gridCol w:w="4485"/>
      </w:tblGrid>
      <w:tr w:rsidR="0096426A" w:rsidRPr="00487B84" w14:paraId="3691DC75" w14:textId="77777777" w:rsidTr="00093D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3" w:type="pct"/>
            <w:hideMark/>
          </w:tcPr>
          <w:p w14:paraId="25CFBE89"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lastRenderedPageBreak/>
              <w:t>Opportunities</w:t>
            </w:r>
          </w:p>
        </w:tc>
        <w:tc>
          <w:tcPr>
            <w:tcW w:w="2487" w:type="pct"/>
            <w:hideMark/>
          </w:tcPr>
          <w:p w14:paraId="2DCD430C" w14:textId="77777777" w:rsidR="0096426A" w:rsidRPr="00487B84" w:rsidRDefault="0096426A"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Threats</w:t>
            </w:r>
          </w:p>
        </w:tc>
      </w:tr>
      <w:tr w:rsidR="0096426A" w:rsidRPr="00487B84" w14:paraId="689B1CFC" w14:textId="77777777" w:rsidTr="00093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3" w:type="pct"/>
            <w:hideMark/>
          </w:tcPr>
          <w:p w14:paraId="14C337B8"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Growing demand for circular fashion</w:t>
            </w:r>
          </w:p>
        </w:tc>
        <w:tc>
          <w:tcPr>
            <w:tcW w:w="2487" w:type="pct"/>
            <w:hideMark/>
          </w:tcPr>
          <w:p w14:paraId="203D3EB3"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Intense competition from Zara and Shein</w:t>
            </w:r>
          </w:p>
        </w:tc>
      </w:tr>
      <w:tr w:rsidR="0096426A" w:rsidRPr="00487B84" w14:paraId="32E12EBB" w14:textId="77777777" w:rsidTr="00093D2C">
        <w:tc>
          <w:tcPr>
            <w:cnfStyle w:val="001000000000" w:firstRow="0" w:lastRow="0" w:firstColumn="1" w:lastColumn="0" w:oddVBand="0" w:evenVBand="0" w:oddHBand="0" w:evenHBand="0" w:firstRowFirstColumn="0" w:firstRowLastColumn="0" w:lastRowFirstColumn="0" w:lastRowLastColumn="0"/>
            <w:tcW w:w="2513" w:type="pct"/>
            <w:hideMark/>
          </w:tcPr>
          <w:p w14:paraId="21B3E616"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Artificial intelligence and digital retail</w:t>
            </w:r>
          </w:p>
        </w:tc>
        <w:tc>
          <w:tcPr>
            <w:tcW w:w="2487" w:type="pct"/>
            <w:hideMark/>
          </w:tcPr>
          <w:p w14:paraId="0D8E9B1C"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Inflation and rising operating costs</w:t>
            </w:r>
          </w:p>
        </w:tc>
      </w:tr>
      <w:tr w:rsidR="0096426A" w:rsidRPr="00487B84" w14:paraId="6DFA32D2" w14:textId="77777777" w:rsidTr="00093D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3" w:type="pct"/>
            <w:hideMark/>
          </w:tcPr>
          <w:p w14:paraId="03CA8033"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Increasing ESG-conscious consumers</w:t>
            </w:r>
          </w:p>
        </w:tc>
        <w:tc>
          <w:tcPr>
            <w:tcW w:w="2487" w:type="pct"/>
            <w:hideMark/>
          </w:tcPr>
          <w:p w14:paraId="0AA4C3DA" w14:textId="77777777" w:rsidR="0096426A" w:rsidRPr="00487B84" w:rsidRDefault="0096426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Low customer switching costs</w:t>
            </w:r>
          </w:p>
        </w:tc>
      </w:tr>
      <w:tr w:rsidR="0096426A" w:rsidRPr="00487B84" w14:paraId="456EC041" w14:textId="77777777" w:rsidTr="00093D2C">
        <w:tc>
          <w:tcPr>
            <w:cnfStyle w:val="001000000000" w:firstRow="0" w:lastRow="0" w:firstColumn="1" w:lastColumn="0" w:oddVBand="0" w:evenVBand="0" w:oddHBand="0" w:evenHBand="0" w:firstRowFirstColumn="0" w:firstRowLastColumn="0" w:lastRowFirstColumn="0" w:lastRowLastColumn="0"/>
            <w:tcW w:w="2513" w:type="pct"/>
            <w:hideMark/>
          </w:tcPr>
          <w:p w14:paraId="327C9E12" w14:textId="77777777" w:rsidR="0096426A" w:rsidRPr="00487B84" w:rsidRDefault="0096426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Supply-chain innovation and traceability</w:t>
            </w:r>
          </w:p>
        </w:tc>
        <w:tc>
          <w:tcPr>
            <w:tcW w:w="2487" w:type="pct"/>
            <w:hideMark/>
          </w:tcPr>
          <w:p w14:paraId="71C8F513" w14:textId="77777777" w:rsidR="0096426A" w:rsidRPr="00487B84" w:rsidRDefault="0096426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Expanding regulatory requirements</w:t>
            </w:r>
          </w:p>
        </w:tc>
      </w:tr>
    </w:tbl>
    <w:p w14:paraId="70E1DFD8" w14:textId="2DD42478" w:rsidR="001D30A8" w:rsidRPr="00487B84" w:rsidRDefault="00376022"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From the SWOT analysis, we can see that there are quite a few key competitive advantages that H&amp;M possesses. These include its global brand identity, omni-channel platform as well as growing emphasis on sustainability. All these sources are good for differentiation in the fashion industry of the United Kingdom. But at the same time, the SWOT analysis indicates that these advantages are constrained by certain weaknesses in terms of operational performance, including the fact that they rely on discounts, poor inventory forecasting and margins. As long as they are present, they will continue limiting H&amp;M's ability to benefit from its strategic assets during its transition to digitalization and sustainability (Reuters, 2025a).</w:t>
      </w:r>
    </w:p>
    <w:p w14:paraId="246C586A" w14:textId="3427CA6B" w:rsidR="001D30A8" w:rsidRPr="00487B84" w:rsidRDefault="00376022"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There are also many opportunities and threats in the external environment. Nonetheless, given the increasing demand for ethical clothing as well as technological developments such as AI, H&amp;M has the opportunity to create customer loyalty and efficiency in operations. In contrast, Zara and Shein are aggressive, inflation is a threat, there are lower switching costs and there are stricter regulations, thus profitability and market share pose great threats (Gomes et al., 2024). From the strategic perspective, H&amp;M needs to invest in sustainable and digital as well as agile supply-chain integration under one operating model. Such actions will allow the company to capitalize on its strengths and create sustainable competitive advantages </w:t>
      </w:r>
      <w:r w:rsidRPr="00487B84">
        <w:rPr>
          <w:rFonts w:ascii="Arial" w:hAnsi="Arial" w:cs="Arial"/>
          <w:color w:val="000000" w:themeColor="text1"/>
          <w:szCs w:val="24"/>
          <w:lang w:val="en-GB"/>
        </w:rPr>
        <w:lastRenderedPageBreak/>
        <w:t>in light of the threats identified through PESTLE and VRIO analysis (Quezada et al., 2020).</w:t>
      </w:r>
    </w:p>
    <w:p w14:paraId="15AA13E5" w14:textId="77777777" w:rsidR="00E23091" w:rsidRPr="00487B84" w:rsidRDefault="00E23091" w:rsidP="00185ADD">
      <w:pPr>
        <w:pStyle w:val="Heading1"/>
        <w:rPr>
          <w:lang w:val="en-GB"/>
        </w:rPr>
      </w:pPr>
      <w:bookmarkStart w:id="11" w:name="_Toc237034016"/>
      <w:r w:rsidRPr="00487B84">
        <w:rPr>
          <w:lang w:val="en-GB"/>
        </w:rPr>
        <w:t>3. Comprehensive and Holistic View of the Organisation</w:t>
      </w:r>
      <w:bookmarkEnd w:id="11"/>
    </w:p>
    <w:p w14:paraId="38C9EA78" w14:textId="6D89A208" w:rsidR="00E23091" w:rsidRPr="00487B84" w:rsidRDefault="00E23091" w:rsidP="00185ADD">
      <w:pPr>
        <w:pStyle w:val="Heading2"/>
        <w:rPr>
          <w:lang w:val="en-GB"/>
        </w:rPr>
      </w:pPr>
      <w:bookmarkStart w:id="12" w:name="_Toc237034017"/>
      <w:r w:rsidRPr="00487B84">
        <w:rPr>
          <w:lang w:val="en-GB"/>
        </w:rPr>
        <w:t>3.1 Corporate Social Responsibility (CSR) Strategy</w:t>
      </w:r>
      <w:bookmarkEnd w:id="12"/>
      <w:r w:rsidRPr="00487B84">
        <w:rPr>
          <w:lang w:val="en-GB"/>
        </w:rPr>
        <w:t xml:space="preserve"> </w:t>
      </w:r>
    </w:p>
    <w:p w14:paraId="560E9000" w14:textId="3C75E652" w:rsidR="001D30A8" w:rsidRPr="00487B84" w:rsidRDefault="001D30A8"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CSR is not just an initiative of the company but part of H&amp;M's competitive strategy. Responsible sourcing, circular business models, recycled materials and increased transparency in the supply chain are part of the company's mission to offer fashion and quality at the best price in a sustainable way (H&amp;M Group, 2025a). The initiatives show that sustainability is part of H&amp;M's business model and </w:t>
      </w:r>
      <w:r w:rsidR="00185ADD" w:rsidRPr="00487B84">
        <w:rPr>
          <w:rFonts w:ascii="Arial" w:hAnsi="Arial" w:cs="Arial"/>
          <w:color w:val="000000" w:themeColor="text1"/>
          <w:szCs w:val="24"/>
          <w:lang w:val="en-GB"/>
        </w:rPr>
        <w:t>fulfils</w:t>
      </w:r>
      <w:r w:rsidRPr="00487B84">
        <w:rPr>
          <w:rFonts w:ascii="Arial" w:hAnsi="Arial" w:cs="Arial"/>
          <w:color w:val="000000" w:themeColor="text1"/>
          <w:szCs w:val="24"/>
          <w:lang w:val="en-GB"/>
        </w:rPr>
        <w:t xml:space="preserve"> the organisation's goal of keeping customers happy and meeting growing stakeholder demands.</w:t>
      </w:r>
    </w:p>
    <w:p w14:paraId="07B7324F" w14:textId="77777777" w:rsidR="001D30A8" w:rsidRPr="00487B84" w:rsidRDefault="001D30A8"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In the UK fashion industry, CSR has evolved from being primarily a reputational consideration to becoming a strategic requirement. Retailers are increasingly expected to produce tangible environmental and social results across their value chains by consumers, investors and regulators. Environmental responsibility is now being integrated into the everyday decision-making process, not just a marketing campaign, as seen in H&amp;M's efforts to phase out virgin down usage and boost the amount of recycled content in their products, and increase supplier traceability (Reuters, 2024). These measures help to reinforce corporate legitimacy and build customer loyalty and regulatory compliance.</w:t>
      </w:r>
    </w:p>
    <w:p w14:paraId="1A11C02B" w14:textId="4A839EA9" w:rsidR="001D30A8" w:rsidRPr="00487B84" w:rsidRDefault="009C3C7F"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These strengths may be accompanied by some difficulties for H&amp;M in implementing its CSR policy. Firstly, using sustainable materials is more expensive and complex. Secondly, ethical sourcing and enhanced monitoring of the suppliers increase complexity. Even though it may affect short-term profits, it will improve competitiveness and reduce risks associated with environment and reputation (Garcia-Torres et al., 2024). Thus, CSR must be viewed as an investment in achieving business objectives rather than a mere obligation. That is why for creating sustainable competitive advantage (Barletta et al., 2024), H&amp;M needs to incorporate sustainability into their operations and make it efficient and cost-effective. Therefore, the success of </w:t>
      </w:r>
      <w:r w:rsidRPr="00487B84">
        <w:rPr>
          <w:rFonts w:ascii="Arial" w:hAnsi="Arial" w:cs="Arial"/>
          <w:color w:val="000000" w:themeColor="text1"/>
          <w:szCs w:val="24"/>
          <w:lang w:val="en-GB"/>
        </w:rPr>
        <w:lastRenderedPageBreak/>
        <w:t>the sustainability strategy of H&amp;M will depend on the ability to combine sustainability and efficiency along with digital innovation and value creation for their customers.</w:t>
      </w:r>
    </w:p>
    <w:p w14:paraId="4C3287CF" w14:textId="61B18B97" w:rsidR="00E23091" w:rsidRPr="00487B84" w:rsidRDefault="00E23091" w:rsidP="005D1862">
      <w:pPr>
        <w:pStyle w:val="Heading2"/>
        <w:rPr>
          <w:lang w:val="en-GB"/>
        </w:rPr>
      </w:pPr>
      <w:bookmarkStart w:id="13" w:name="_Toc237034018"/>
      <w:r w:rsidRPr="00487B84">
        <w:rPr>
          <w:lang w:val="en-GB"/>
        </w:rPr>
        <w:t>3.2 Balanced Scorecard Analysis</w:t>
      </w:r>
      <w:bookmarkEnd w:id="13"/>
      <w:r w:rsidRPr="00487B84">
        <w:rPr>
          <w:lang w:val="en-GB"/>
        </w:rPr>
        <w:t xml:space="preserve"> </w:t>
      </w:r>
    </w:p>
    <w:p w14:paraId="12A6E8B0" w14:textId="77777777" w:rsidR="001D30A8" w:rsidRPr="00487B84" w:rsidRDefault="001D30A8"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The Balanced Score Card (BSC) is a strategic performance management framework which was developed by Kaplan and Norton (1992) that translates the organisational strategy into measurable goals on both financial and non-financial perspectives. The BSC measures customer outcomes, internal business processes, and organisational learning, rather than traditional financial metrics, that will help achieve long-term strategic goals. The framework is of particular interest to H&amp;M UK as the company's strategy is built on the pillars of profitability, sustainability, digital transformation and customer satisfaction. H&amp;M can track if its actions are creating long-term value, or short-term profits, and see if its mission of providing fashion and quality sustainably at the best price is being achieved (Kober and Northcott, 2021).</w:t>
      </w:r>
    </w:p>
    <w:p w14:paraId="59BF78AA" w14:textId="77777777" w:rsidR="00E23091" w:rsidRPr="00487B84" w:rsidRDefault="00E23091" w:rsidP="00487B84">
      <w:pPr>
        <w:spacing w:line="360" w:lineRule="auto"/>
        <w:rPr>
          <w:rFonts w:ascii="Arial" w:hAnsi="Arial" w:cs="Arial"/>
          <w:b/>
          <w:bCs/>
          <w:color w:val="000000" w:themeColor="text1"/>
          <w:szCs w:val="24"/>
          <w:lang w:val="en-GB"/>
        </w:rPr>
      </w:pPr>
      <w:r w:rsidRPr="00487B84">
        <w:rPr>
          <w:rFonts w:ascii="Arial" w:hAnsi="Arial" w:cs="Arial"/>
          <w:b/>
          <w:bCs/>
          <w:color w:val="000000" w:themeColor="text1"/>
          <w:szCs w:val="24"/>
          <w:lang w:val="en-GB"/>
        </w:rPr>
        <w:t>Balanced Scorecard for H&amp;M UK</w:t>
      </w:r>
    </w:p>
    <w:tbl>
      <w:tblPr>
        <w:tblStyle w:val="GridTable5Dark-Accent5"/>
        <w:tblW w:w="0" w:type="auto"/>
        <w:tblLook w:val="04A0" w:firstRow="1" w:lastRow="0" w:firstColumn="1" w:lastColumn="0" w:noHBand="0" w:noVBand="1"/>
      </w:tblPr>
      <w:tblGrid>
        <w:gridCol w:w="1635"/>
        <w:gridCol w:w="1736"/>
        <w:gridCol w:w="1902"/>
        <w:gridCol w:w="1852"/>
        <w:gridCol w:w="1891"/>
      </w:tblGrid>
      <w:tr w:rsidR="00E23091" w:rsidRPr="00487B84" w14:paraId="241BB8AC" w14:textId="77777777" w:rsidTr="00E230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84E634" w14:textId="77777777" w:rsidR="00E23091" w:rsidRPr="00487B84" w:rsidRDefault="00E2309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Perspective</w:t>
            </w:r>
          </w:p>
        </w:tc>
        <w:tc>
          <w:tcPr>
            <w:tcW w:w="0" w:type="auto"/>
            <w:hideMark/>
          </w:tcPr>
          <w:p w14:paraId="02802792" w14:textId="77777777" w:rsidR="00E23091" w:rsidRPr="00487B84" w:rsidRDefault="00E23091"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Objective</w:t>
            </w:r>
          </w:p>
        </w:tc>
        <w:tc>
          <w:tcPr>
            <w:tcW w:w="0" w:type="auto"/>
            <w:hideMark/>
          </w:tcPr>
          <w:p w14:paraId="097AB4E1" w14:textId="77777777" w:rsidR="00E23091" w:rsidRPr="00487B84" w:rsidRDefault="00E23091"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Key Performance Indicator (KPI)</w:t>
            </w:r>
          </w:p>
        </w:tc>
        <w:tc>
          <w:tcPr>
            <w:tcW w:w="0" w:type="auto"/>
            <w:hideMark/>
          </w:tcPr>
          <w:p w14:paraId="4379CEFE" w14:textId="77777777" w:rsidR="00E23091" w:rsidRPr="00487B84" w:rsidRDefault="00E23091"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Target</w:t>
            </w:r>
          </w:p>
        </w:tc>
        <w:tc>
          <w:tcPr>
            <w:tcW w:w="0" w:type="auto"/>
            <w:hideMark/>
          </w:tcPr>
          <w:p w14:paraId="3306BA09" w14:textId="77777777" w:rsidR="00E23091" w:rsidRPr="00487B84" w:rsidRDefault="00E23091"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Strategic Initiative</w:t>
            </w:r>
          </w:p>
        </w:tc>
      </w:tr>
      <w:tr w:rsidR="00E23091" w:rsidRPr="00487B84" w14:paraId="2AC76E57" w14:textId="77777777" w:rsidTr="00E230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886A50" w14:textId="77777777" w:rsidR="00E23091" w:rsidRPr="00487B84" w:rsidRDefault="00E2309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Financial</w:t>
            </w:r>
          </w:p>
        </w:tc>
        <w:tc>
          <w:tcPr>
            <w:tcW w:w="0" w:type="auto"/>
            <w:hideMark/>
          </w:tcPr>
          <w:p w14:paraId="4A635202" w14:textId="77777777" w:rsidR="00E23091" w:rsidRPr="00487B84" w:rsidRDefault="00E23091"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Improve profitability and operational efficiency</w:t>
            </w:r>
          </w:p>
        </w:tc>
        <w:tc>
          <w:tcPr>
            <w:tcW w:w="0" w:type="auto"/>
            <w:hideMark/>
          </w:tcPr>
          <w:p w14:paraId="5F4DF37C" w14:textId="77777777" w:rsidR="00E23091" w:rsidRPr="00487B84" w:rsidRDefault="00E23091"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Gross margin, inventory turnover, markdown rate</w:t>
            </w:r>
          </w:p>
        </w:tc>
        <w:tc>
          <w:tcPr>
            <w:tcW w:w="0" w:type="auto"/>
            <w:hideMark/>
          </w:tcPr>
          <w:p w14:paraId="4C82D74E" w14:textId="77777777" w:rsidR="00E23091" w:rsidRPr="00487B84" w:rsidRDefault="00E23091"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Increase gross margin by 5%; reduce markdown rate by 10% within 12 months</w:t>
            </w:r>
          </w:p>
        </w:tc>
        <w:tc>
          <w:tcPr>
            <w:tcW w:w="0" w:type="auto"/>
            <w:hideMark/>
          </w:tcPr>
          <w:p w14:paraId="528A9D75" w14:textId="77777777" w:rsidR="00E23091" w:rsidRPr="00487B84" w:rsidRDefault="00E23091"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Improve demand forecasting and optimise inventory planning</w:t>
            </w:r>
          </w:p>
        </w:tc>
      </w:tr>
      <w:tr w:rsidR="00E23091" w:rsidRPr="00487B84" w14:paraId="007A0A06" w14:textId="77777777" w:rsidTr="00E23091">
        <w:tc>
          <w:tcPr>
            <w:cnfStyle w:val="001000000000" w:firstRow="0" w:lastRow="0" w:firstColumn="1" w:lastColumn="0" w:oddVBand="0" w:evenVBand="0" w:oddHBand="0" w:evenHBand="0" w:firstRowFirstColumn="0" w:firstRowLastColumn="0" w:lastRowFirstColumn="0" w:lastRowLastColumn="0"/>
            <w:tcW w:w="0" w:type="auto"/>
            <w:hideMark/>
          </w:tcPr>
          <w:p w14:paraId="3FE0DB78" w14:textId="77777777" w:rsidR="00E23091" w:rsidRPr="00487B84" w:rsidRDefault="00E2309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Customer</w:t>
            </w:r>
          </w:p>
        </w:tc>
        <w:tc>
          <w:tcPr>
            <w:tcW w:w="0" w:type="auto"/>
            <w:hideMark/>
          </w:tcPr>
          <w:p w14:paraId="30505898" w14:textId="77777777" w:rsidR="00E23091" w:rsidRPr="00487B84" w:rsidRDefault="00E23091"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 xml:space="preserve">Strengthen customer </w:t>
            </w:r>
            <w:r w:rsidRPr="00487B84">
              <w:rPr>
                <w:rFonts w:ascii="Arial" w:hAnsi="Arial" w:cs="Arial"/>
                <w:color w:val="000000" w:themeColor="text1"/>
                <w:szCs w:val="24"/>
                <w:lang w:val="en-GB"/>
              </w:rPr>
              <w:lastRenderedPageBreak/>
              <w:t>satisfaction and loyalty</w:t>
            </w:r>
          </w:p>
        </w:tc>
        <w:tc>
          <w:tcPr>
            <w:tcW w:w="0" w:type="auto"/>
            <w:hideMark/>
          </w:tcPr>
          <w:p w14:paraId="15639C6F" w14:textId="77777777" w:rsidR="00E23091" w:rsidRPr="00487B84" w:rsidRDefault="00E23091"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lastRenderedPageBreak/>
              <w:t xml:space="preserve">Customer satisfaction score, repeat purchase rate, </w:t>
            </w:r>
            <w:r w:rsidRPr="00487B84">
              <w:rPr>
                <w:rFonts w:ascii="Arial" w:hAnsi="Arial" w:cs="Arial"/>
                <w:color w:val="000000" w:themeColor="text1"/>
                <w:szCs w:val="24"/>
                <w:lang w:val="en-GB"/>
              </w:rPr>
              <w:lastRenderedPageBreak/>
              <w:t>app engagement</w:t>
            </w:r>
          </w:p>
        </w:tc>
        <w:tc>
          <w:tcPr>
            <w:tcW w:w="0" w:type="auto"/>
            <w:hideMark/>
          </w:tcPr>
          <w:p w14:paraId="2975004E" w14:textId="77777777" w:rsidR="00E23091" w:rsidRPr="00487B84" w:rsidRDefault="00E23091"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lastRenderedPageBreak/>
              <w:t xml:space="preserve">Increase repeat purchases by 8% and </w:t>
            </w:r>
            <w:r w:rsidRPr="00487B84">
              <w:rPr>
                <w:rFonts w:ascii="Arial" w:hAnsi="Arial" w:cs="Arial"/>
                <w:color w:val="000000" w:themeColor="text1"/>
                <w:szCs w:val="24"/>
                <w:lang w:val="en-GB"/>
              </w:rPr>
              <w:lastRenderedPageBreak/>
              <w:t>customer satisfaction by 10%</w:t>
            </w:r>
          </w:p>
        </w:tc>
        <w:tc>
          <w:tcPr>
            <w:tcW w:w="0" w:type="auto"/>
            <w:hideMark/>
          </w:tcPr>
          <w:p w14:paraId="089969BC" w14:textId="77777777" w:rsidR="00E23091" w:rsidRPr="00487B84" w:rsidRDefault="00E23091"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lastRenderedPageBreak/>
              <w:t xml:space="preserve">Enhance omnichannel experience and personalised </w:t>
            </w:r>
            <w:r w:rsidRPr="00487B84">
              <w:rPr>
                <w:rFonts w:ascii="Arial" w:hAnsi="Arial" w:cs="Arial"/>
                <w:color w:val="000000" w:themeColor="text1"/>
                <w:szCs w:val="24"/>
                <w:lang w:val="en-GB"/>
              </w:rPr>
              <w:lastRenderedPageBreak/>
              <w:t>digital marketing</w:t>
            </w:r>
          </w:p>
        </w:tc>
      </w:tr>
      <w:tr w:rsidR="00E23091" w:rsidRPr="00487B84" w14:paraId="3EC4D97E" w14:textId="77777777" w:rsidTr="00E230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DF288C" w14:textId="77777777" w:rsidR="00E23091" w:rsidRPr="00487B84" w:rsidRDefault="00E2309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lastRenderedPageBreak/>
              <w:t>Internal Business Processes</w:t>
            </w:r>
          </w:p>
        </w:tc>
        <w:tc>
          <w:tcPr>
            <w:tcW w:w="0" w:type="auto"/>
            <w:hideMark/>
          </w:tcPr>
          <w:p w14:paraId="60236EAE" w14:textId="77777777" w:rsidR="00E23091" w:rsidRPr="00487B84" w:rsidRDefault="00E23091"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Improve supply-chain efficiency and sustainability</w:t>
            </w:r>
          </w:p>
        </w:tc>
        <w:tc>
          <w:tcPr>
            <w:tcW w:w="0" w:type="auto"/>
            <w:hideMark/>
          </w:tcPr>
          <w:p w14:paraId="4A59FD20" w14:textId="77777777" w:rsidR="00E23091" w:rsidRPr="00487B84" w:rsidRDefault="00E23091"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Forecast accuracy, supplier traceability, order fulfilment time</w:t>
            </w:r>
          </w:p>
        </w:tc>
        <w:tc>
          <w:tcPr>
            <w:tcW w:w="0" w:type="auto"/>
            <w:hideMark/>
          </w:tcPr>
          <w:p w14:paraId="79508E63" w14:textId="77777777" w:rsidR="00E23091" w:rsidRPr="00487B84" w:rsidRDefault="00E23091"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Achieve 95% supplier traceability and reduce lead times by 15%</w:t>
            </w:r>
          </w:p>
        </w:tc>
        <w:tc>
          <w:tcPr>
            <w:tcW w:w="0" w:type="auto"/>
            <w:hideMark/>
          </w:tcPr>
          <w:p w14:paraId="22735D09" w14:textId="77777777" w:rsidR="00E23091" w:rsidRPr="00487B84" w:rsidRDefault="00E23091"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Strengthen digital supply-chain integration and sustainability governance</w:t>
            </w:r>
          </w:p>
        </w:tc>
      </w:tr>
      <w:tr w:rsidR="00E23091" w:rsidRPr="00487B84" w14:paraId="04FF9FA0" w14:textId="77777777" w:rsidTr="00E23091">
        <w:tc>
          <w:tcPr>
            <w:cnfStyle w:val="001000000000" w:firstRow="0" w:lastRow="0" w:firstColumn="1" w:lastColumn="0" w:oddVBand="0" w:evenVBand="0" w:oddHBand="0" w:evenHBand="0" w:firstRowFirstColumn="0" w:firstRowLastColumn="0" w:lastRowFirstColumn="0" w:lastRowLastColumn="0"/>
            <w:tcW w:w="0" w:type="auto"/>
            <w:hideMark/>
          </w:tcPr>
          <w:p w14:paraId="20D88B98" w14:textId="77777777" w:rsidR="00E23091" w:rsidRPr="00487B84" w:rsidRDefault="00E2309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Learning and Growth</w:t>
            </w:r>
          </w:p>
        </w:tc>
        <w:tc>
          <w:tcPr>
            <w:tcW w:w="0" w:type="auto"/>
            <w:hideMark/>
          </w:tcPr>
          <w:p w14:paraId="2E701160" w14:textId="77777777" w:rsidR="00E23091" w:rsidRPr="00487B84" w:rsidRDefault="00E23091"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Develop employee capability and innovation</w:t>
            </w:r>
          </w:p>
        </w:tc>
        <w:tc>
          <w:tcPr>
            <w:tcW w:w="0" w:type="auto"/>
            <w:hideMark/>
          </w:tcPr>
          <w:p w14:paraId="1C574A79" w14:textId="77777777" w:rsidR="00E23091" w:rsidRPr="00487B84" w:rsidRDefault="00E23091"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Employee training completion, digital capability, sustainability literacy</w:t>
            </w:r>
          </w:p>
        </w:tc>
        <w:tc>
          <w:tcPr>
            <w:tcW w:w="0" w:type="auto"/>
            <w:hideMark/>
          </w:tcPr>
          <w:p w14:paraId="5BD0B914" w14:textId="77777777" w:rsidR="00E23091" w:rsidRPr="00487B84" w:rsidRDefault="00E23091"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Achieve 100% completion of sustainability and digital training programmes</w:t>
            </w:r>
          </w:p>
        </w:tc>
        <w:tc>
          <w:tcPr>
            <w:tcW w:w="0" w:type="auto"/>
            <w:hideMark/>
          </w:tcPr>
          <w:p w14:paraId="71592C26" w14:textId="77777777" w:rsidR="00E23091" w:rsidRPr="00487B84" w:rsidRDefault="00E23091"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Invest in workforce development, digital skills and innovation culture</w:t>
            </w:r>
          </w:p>
        </w:tc>
      </w:tr>
    </w:tbl>
    <w:p w14:paraId="5D9B6D4D" w14:textId="77777777" w:rsidR="00E23091" w:rsidRPr="00487B84" w:rsidRDefault="00E23091" w:rsidP="00487B84">
      <w:pPr>
        <w:spacing w:line="360" w:lineRule="auto"/>
        <w:rPr>
          <w:rFonts w:ascii="Arial" w:hAnsi="Arial" w:cs="Arial"/>
          <w:b/>
          <w:bCs/>
          <w:color w:val="000000" w:themeColor="text1"/>
          <w:szCs w:val="24"/>
          <w:lang w:val="en-GB"/>
        </w:rPr>
      </w:pPr>
      <w:r w:rsidRPr="00487B84">
        <w:rPr>
          <w:rFonts w:ascii="Arial" w:hAnsi="Arial" w:cs="Arial"/>
          <w:b/>
          <w:bCs/>
          <w:color w:val="000000" w:themeColor="text1"/>
          <w:szCs w:val="24"/>
          <w:lang w:val="en-GB"/>
        </w:rPr>
        <w:t>Financial Perspective</w:t>
      </w:r>
    </w:p>
    <w:p w14:paraId="09FC952D" w14:textId="7538F183" w:rsidR="001D30A8" w:rsidRPr="00487B84" w:rsidRDefault="001D30A8"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 financial perspective is about how much more profitable the company can be, while keeping its market position as a value provider. The organisation should work to increase the gross margins, rather than depending on promotional pricing, by managing the inventory, increasing stock turnover and decreasing the reliance on markdowns. </w:t>
      </w:r>
      <w:r w:rsidR="005D1862" w:rsidRPr="00487B84">
        <w:rPr>
          <w:rFonts w:ascii="Arial" w:hAnsi="Arial" w:cs="Arial"/>
          <w:color w:val="000000" w:themeColor="text1"/>
          <w:szCs w:val="24"/>
          <w:lang w:val="en-GB"/>
        </w:rPr>
        <w:t>This performance</w:t>
      </w:r>
      <w:r w:rsidRPr="00487B84">
        <w:rPr>
          <w:rFonts w:ascii="Arial" w:hAnsi="Arial" w:cs="Arial"/>
          <w:color w:val="000000" w:themeColor="text1"/>
          <w:szCs w:val="24"/>
          <w:lang w:val="en-GB"/>
        </w:rPr>
        <w:t xml:space="preserve"> indicators help management assess whether decisions on merchandising, pricing policies and demand forecasting are positively affecting financial performance and helping to achieve long term competitiveness (Kumar C V and Agrawal, 2024). Leveraging these financial outcomes to the rest of the Balanced Scorecard means that profitability is driven by operational improvements, not short-term cost cutting. (Kober and Northcott, 2021)</w:t>
      </w:r>
    </w:p>
    <w:p w14:paraId="2F857F64" w14:textId="77777777" w:rsidR="005D1862" w:rsidRDefault="005D1862">
      <w:pPr>
        <w:spacing w:before="0" w:after="160" w:line="278" w:lineRule="auto"/>
        <w:jc w:val="left"/>
        <w:rPr>
          <w:rFonts w:ascii="Arial" w:hAnsi="Arial" w:cs="Arial"/>
          <w:b/>
          <w:bCs/>
          <w:color w:val="000000" w:themeColor="text1"/>
          <w:szCs w:val="24"/>
          <w:lang w:val="en-GB"/>
        </w:rPr>
      </w:pPr>
      <w:r>
        <w:rPr>
          <w:rFonts w:ascii="Arial" w:hAnsi="Arial" w:cs="Arial"/>
          <w:b/>
          <w:bCs/>
          <w:color w:val="000000" w:themeColor="text1"/>
          <w:szCs w:val="24"/>
          <w:lang w:val="en-GB"/>
        </w:rPr>
        <w:br w:type="page"/>
      </w:r>
    </w:p>
    <w:p w14:paraId="27CD749A" w14:textId="249627E7" w:rsidR="00E23091" w:rsidRPr="00487B84" w:rsidRDefault="00E23091" w:rsidP="00487B84">
      <w:pPr>
        <w:spacing w:line="360" w:lineRule="auto"/>
        <w:rPr>
          <w:rFonts w:ascii="Arial" w:hAnsi="Arial" w:cs="Arial"/>
          <w:b/>
          <w:bCs/>
          <w:color w:val="000000" w:themeColor="text1"/>
          <w:szCs w:val="24"/>
          <w:lang w:val="en-GB"/>
        </w:rPr>
      </w:pPr>
      <w:r w:rsidRPr="00487B84">
        <w:rPr>
          <w:rFonts w:ascii="Arial" w:hAnsi="Arial" w:cs="Arial"/>
          <w:b/>
          <w:bCs/>
          <w:color w:val="000000" w:themeColor="text1"/>
          <w:szCs w:val="24"/>
          <w:lang w:val="en-GB"/>
        </w:rPr>
        <w:lastRenderedPageBreak/>
        <w:t>Customer Perspective</w:t>
      </w:r>
    </w:p>
    <w:p w14:paraId="0AD470AD" w14:textId="2F74FB31" w:rsidR="001D30A8" w:rsidRPr="00487B84" w:rsidRDefault="001D30A8"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Customer performance should be gauged by metrics that demonstrate loyalty, satisfaction and engagement at both online and offline points of sale. Repeat purchase rates, customer satisfaction scores and mobile application engagement are valuable examples of customer experience and brand loyalty. Affordable fashion and sustainability are part of the strategy H&amp;M has. The need for consistent customer experiences is paramount for H&amp;M's strategy, which is to combine affordable fashion with sustainability across all channels. Personal marketing, digital convenience, and omnichannel experiences enhance customer connections and promote long-term loyalty (Liu and Song, 2024). Other studies also suggest that the digital experiences that are integrated into the process boost customer trust and competitive positioning within highly competitive retail markets (Chen and Prentice, 2024).</w:t>
      </w:r>
    </w:p>
    <w:p w14:paraId="43242E30" w14:textId="77777777" w:rsidR="00E23091" w:rsidRPr="00487B84" w:rsidRDefault="00E23091" w:rsidP="00487B84">
      <w:pPr>
        <w:spacing w:line="360" w:lineRule="auto"/>
        <w:rPr>
          <w:rFonts w:ascii="Arial" w:hAnsi="Arial" w:cs="Arial"/>
          <w:b/>
          <w:bCs/>
          <w:color w:val="000000" w:themeColor="text1"/>
          <w:szCs w:val="24"/>
          <w:lang w:val="en-GB"/>
        </w:rPr>
      </w:pPr>
      <w:r w:rsidRPr="00487B84">
        <w:rPr>
          <w:rFonts w:ascii="Arial" w:hAnsi="Arial" w:cs="Arial"/>
          <w:b/>
          <w:bCs/>
          <w:color w:val="000000" w:themeColor="text1"/>
          <w:szCs w:val="24"/>
          <w:lang w:val="en-GB"/>
        </w:rPr>
        <w:t>Internal Business Process Perspective</w:t>
      </w:r>
    </w:p>
    <w:p w14:paraId="05EBFFD0" w14:textId="1586E638" w:rsidR="001D30A8" w:rsidRPr="00487B84" w:rsidRDefault="006E18BD"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The internal processes must focus on enhancing the efficiency of the operational processes and managing the sustainability of the supply chain. The most important advantage of accurate forecasting is that it allows H&amp;M to ignore the consumer demands and act fast without any waste or loss of inventory along with enhanced supplier visibility. Efficient merchandising, logistics, and digital operations must be coordinated to deliver efficient omnichannel services and achieve sustainability targets. Hence, process enhancements can help achieve operational excellence and sustainability in accordance with the strategic targets of H&amp;M for the future (Garcia-Torres et al., 2024). Such flexible and well-coordinated supply chains can help build resilience within the ever-changing fashion retail industry (Tiwari et al., 2024).</w:t>
      </w:r>
    </w:p>
    <w:p w14:paraId="2BEF207D" w14:textId="77777777" w:rsidR="00E23091" w:rsidRPr="00487B84" w:rsidRDefault="00E23091" w:rsidP="00487B84">
      <w:pPr>
        <w:spacing w:line="360" w:lineRule="auto"/>
        <w:rPr>
          <w:rFonts w:ascii="Arial" w:hAnsi="Arial" w:cs="Arial"/>
          <w:b/>
          <w:bCs/>
          <w:color w:val="000000" w:themeColor="text1"/>
          <w:szCs w:val="24"/>
          <w:lang w:val="en-GB"/>
        </w:rPr>
      </w:pPr>
      <w:r w:rsidRPr="00487B84">
        <w:rPr>
          <w:rFonts w:ascii="Arial" w:hAnsi="Arial" w:cs="Arial"/>
          <w:b/>
          <w:bCs/>
          <w:color w:val="000000" w:themeColor="text1"/>
          <w:szCs w:val="24"/>
          <w:lang w:val="en-GB"/>
        </w:rPr>
        <w:t>Learning and Growth Perspective</w:t>
      </w:r>
    </w:p>
    <w:p w14:paraId="5B7B782A" w14:textId="0CB8295B" w:rsidR="001D30A8" w:rsidRPr="00487B84" w:rsidRDefault="006E18BD"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 learning and growth orientation is aimed at developing employee competencies, organisational competence and innovation, which are essential for sustainable competitive advantage. Continuous training in digital retailing, analytics, and sustainability enables employees to cope with evolving customer requirements and advances in technology. Organisational competence is measured using performance metrics, such as completion of training programs, employee digital skills and </w:t>
      </w:r>
      <w:r w:rsidRPr="00487B84">
        <w:rPr>
          <w:rFonts w:ascii="Arial" w:hAnsi="Arial" w:cs="Arial"/>
          <w:color w:val="000000" w:themeColor="text1"/>
          <w:szCs w:val="24"/>
          <w:lang w:val="en-GB"/>
        </w:rPr>
        <w:lastRenderedPageBreak/>
        <w:t>sustainability awareness to assess whether organisational competence is being developed over time. Workforce development helps innovate, improve service quality and ensure organisational improvement. The strategic goals of the organisation are successfully achieved and become more competitive in the UK fashion retail market by creating capable employees who will assist in the implementation of the H&amp;M sustainability and digital strategy (Mello, 2021).</w:t>
      </w:r>
    </w:p>
    <w:p w14:paraId="2ABDC305" w14:textId="77777777" w:rsidR="001D30A8" w:rsidRPr="00487B84" w:rsidRDefault="001D30A8"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In sum, the Balanced Scorecard offers H&amp;M a comprehensive performance management tool that connects financial performance, serving customers, operating well and learning and growing with the long-term strategic goals, without sustainability and profitability being mutually exclusive.</w:t>
      </w:r>
    </w:p>
    <w:p w14:paraId="29A570B5" w14:textId="77777777" w:rsidR="00B06B2A" w:rsidRPr="00487B84" w:rsidRDefault="00B06B2A" w:rsidP="00487B84">
      <w:pPr>
        <w:pStyle w:val="Heading1"/>
        <w:spacing w:before="240" w:after="240" w:line="360" w:lineRule="auto"/>
        <w:rPr>
          <w:rFonts w:ascii="Arial" w:hAnsi="Arial" w:cs="Arial"/>
          <w:szCs w:val="24"/>
          <w:lang w:val="en-GB"/>
        </w:rPr>
      </w:pPr>
      <w:bookmarkStart w:id="14" w:name="_Toc237034019"/>
      <w:r w:rsidRPr="00487B84">
        <w:rPr>
          <w:rFonts w:ascii="Arial" w:hAnsi="Arial" w:cs="Arial"/>
          <w:szCs w:val="24"/>
          <w:lang w:val="en-GB"/>
        </w:rPr>
        <w:t>4. Strategic Choices and Implementation</w:t>
      </w:r>
      <w:bookmarkEnd w:id="14"/>
    </w:p>
    <w:p w14:paraId="4AE18C4C" w14:textId="77777777" w:rsidR="00B06B2A" w:rsidRPr="00487B84" w:rsidRDefault="00B06B2A" w:rsidP="00487B84">
      <w:pPr>
        <w:pStyle w:val="Heading2"/>
        <w:spacing w:before="240" w:after="240" w:line="360" w:lineRule="auto"/>
        <w:rPr>
          <w:rFonts w:ascii="Arial" w:hAnsi="Arial" w:cs="Arial"/>
          <w:szCs w:val="24"/>
          <w:lang w:val="en-GB"/>
        </w:rPr>
      </w:pPr>
      <w:bookmarkStart w:id="15" w:name="_Toc237034020"/>
      <w:r w:rsidRPr="00487B84">
        <w:rPr>
          <w:rFonts w:ascii="Arial" w:hAnsi="Arial" w:cs="Arial"/>
          <w:szCs w:val="24"/>
          <w:lang w:val="en-GB"/>
        </w:rPr>
        <w:t>4.1 Strategic Choices at the Business Level</w:t>
      </w:r>
      <w:bookmarkEnd w:id="15"/>
    </w:p>
    <w:p w14:paraId="7F039593" w14:textId="77777777" w:rsidR="000A1595" w:rsidRPr="00487B84" w:rsidRDefault="000A1595"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At the business level, H&amp;M has three key business-level strategies: cost leadership, differentiation, and value differentiation. Continuous price cuts would be needed to be competitive with Shein and Primark with a pure cost leadership strategy. This would make it even harder to maintain a competitive advantage in the UK market in the long term, though, as it would further squeeze margins and rely on promotional pricing (Reuters, 2025a). On the other hand, the exclusive one has its drawbacks as well, as H&amp;M is not in the luxury market, but the mass fashion market.</w:t>
      </w:r>
    </w:p>
    <w:p w14:paraId="478E2708" w14:textId="21042ECA" w:rsidR="000A1595" w:rsidRPr="00487B84" w:rsidRDefault="005E48C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Value differentiation, such as low prices, fashionable clothes, sustainability, and seamless customer experience across all channels, is the optimal strategy for making decisions. This is the right strategy because it is in line with H&amp;M's vision of delivering fashion and quality at the best price sustainably. H&amp;M is a company that differentiates itself not just on the basis of low prices, but also on the grounds of responsible sourcing, technological innovation, and customer convenience. Strategic positioning plays an important role in increasing customer satisfaction and ensuring efficiency of the business, which is crucial in the highly competitive retail industry.</w:t>
      </w:r>
    </w:p>
    <w:p w14:paraId="2D22FA84" w14:textId="77777777" w:rsidR="00B06B2A" w:rsidRPr="00487B84" w:rsidRDefault="00B06B2A" w:rsidP="00487B84">
      <w:pPr>
        <w:pStyle w:val="Heading2"/>
        <w:spacing w:before="240" w:after="240" w:line="360" w:lineRule="auto"/>
        <w:rPr>
          <w:rFonts w:ascii="Arial" w:hAnsi="Arial" w:cs="Arial"/>
          <w:szCs w:val="24"/>
          <w:lang w:val="en-GB"/>
        </w:rPr>
      </w:pPr>
      <w:bookmarkStart w:id="16" w:name="_Toc237034021"/>
      <w:r w:rsidRPr="00487B84">
        <w:rPr>
          <w:rFonts w:ascii="Arial" w:hAnsi="Arial" w:cs="Arial"/>
          <w:szCs w:val="24"/>
          <w:lang w:val="en-GB"/>
        </w:rPr>
        <w:lastRenderedPageBreak/>
        <w:t>4.2 Evaluation of the Recommended Strategy (SAFe Framework)</w:t>
      </w:r>
      <w:bookmarkEnd w:id="16"/>
    </w:p>
    <w:p w14:paraId="2247BF7E" w14:textId="77777777" w:rsidR="000A1595" w:rsidRPr="00487B84" w:rsidRDefault="000A1595"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The SAFe framework can be used to evaluate the proposed value differentiation strategy, to measure strategic appropriateness, acceptability and feasibility.</w:t>
      </w:r>
    </w:p>
    <w:tbl>
      <w:tblPr>
        <w:tblStyle w:val="GridTable5Dark-Accent4"/>
        <w:tblW w:w="0" w:type="auto"/>
        <w:tblLook w:val="04A0" w:firstRow="1" w:lastRow="0" w:firstColumn="1" w:lastColumn="0" w:noHBand="0" w:noVBand="1"/>
      </w:tblPr>
      <w:tblGrid>
        <w:gridCol w:w="1722"/>
        <w:gridCol w:w="7294"/>
      </w:tblGrid>
      <w:tr w:rsidR="00B06B2A" w:rsidRPr="00487B84" w14:paraId="1503B212" w14:textId="77777777" w:rsidTr="00B06B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EE9BB3" w14:textId="77777777" w:rsidR="00B06B2A" w:rsidRPr="00487B84" w:rsidRDefault="00B06B2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SAFe Criteria</w:t>
            </w:r>
          </w:p>
        </w:tc>
        <w:tc>
          <w:tcPr>
            <w:tcW w:w="0" w:type="auto"/>
            <w:hideMark/>
          </w:tcPr>
          <w:p w14:paraId="20D7E1F2" w14:textId="77777777" w:rsidR="00B06B2A" w:rsidRPr="00487B84" w:rsidRDefault="00B06B2A"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Evaluation</w:t>
            </w:r>
          </w:p>
        </w:tc>
      </w:tr>
      <w:tr w:rsidR="00B06B2A" w:rsidRPr="00487B84" w14:paraId="1C5C2B45" w14:textId="77777777" w:rsidTr="00B06B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D31602" w14:textId="77777777" w:rsidR="00B06B2A" w:rsidRPr="00487B84" w:rsidRDefault="00B06B2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Suitability</w:t>
            </w:r>
          </w:p>
        </w:tc>
        <w:tc>
          <w:tcPr>
            <w:tcW w:w="0" w:type="auto"/>
            <w:hideMark/>
          </w:tcPr>
          <w:p w14:paraId="420030C7" w14:textId="77777777" w:rsidR="00B06B2A" w:rsidRPr="00487B84" w:rsidRDefault="00B06B2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Responds to increasing competition through sustainable products, digital innovation and enhanced customer experience.</w:t>
            </w:r>
          </w:p>
        </w:tc>
      </w:tr>
      <w:tr w:rsidR="00B06B2A" w:rsidRPr="00487B84" w14:paraId="3C31A139" w14:textId="77777777" w:rsidTr="00B06B2A">
        <w:tc>
          <w:tcPr>
            <w:cnfStyle w:val="001000000000" w:firstRow="0" w:lastRow="0" w:firstColumn="1" w:lastColumn="0" w:oddVBand="0" w:evenVBand="0" w:oddHBand="0" w:evenHBand="0" w:firstRowFirstColumn="0" w:firstRowLastColumn="0" w:lastRowFirstColumn="0" w:lastRowLastColumn="0"/>
            <w:tcW w:w="0" w:type="auto"/>
            <w:hideMark/>
          </w:tcPr>
          <w:p w14:paraId="16F4BBE7" w14:textId="77777777" w:rsidR="00B06B2A" w:rsidRPr="00487B84" w:rsidRDefault="00B06B2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Acceptability</w:t>
            </w:r>
          </w:p>
        </w:tc>
        <w:tc>
          <w:tcPr>
            <w:tcW w:w="0" w:type="auto"/>
            <w:hideMark/>
          </w:tcPr>
          <w:p w14:paraId="45D94B7C" w14:textId="77777777" w:rsidR="00B06B2A" w:rsidRPr="00487B84" w:rsidRDefault="00B06B2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Supports customer loyalty, stakeholder expectations and long-term profitability while reinforcing H&amp;M's sustainability commitments.</w:t>
            </w:r>
          </w:p>
        </w:tc>
      </w:tr>
      <w:tr w:rsidR="00B06B2A" w:rsidRPr="00487B84" w14:paraId="1BB706C5" w14:textId="77777777" w:rsidTr="00B06B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02E4FE" w14:textId="77777777" w:rsidR="00B06B2A" w:rsidRPr="00487B84" w:rsidRDefault="00B06B2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Feasibility</w:t>
            </w:r>
          </w:p>
        </w:tc>
        <w:tc>
          <w:tcPr>
            <w:tcW w:w="0" w:type="auto"/>
            <w:hideMark/>
          </w:tcPr>
          <w:p w14:paraId="2517C396" w14:textId="77777777" w:rsidR="00B06B2A" w:rsidRPr="00487B84" w:rsidRDefault="00B06B2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Builds upon H&amp;M's established brand, global supply chain, omnichannel capabilities and sustainability investments.</w:t>
            </w:r>
          </w:p>
        </w:tc>
      </w:tr>
    </w:tbl>
    <w:p w14:paraId="6942496F" w14:textId="77777777" w:rsidR="000A1595" w:rsidRPr="00487B84" w:rsidRDefault="000A1595"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The strategy is appropriate as it directly tackles the key issues which have been identified in the PESTEL and SWOT analyses such as competition and the consumer preference changes and the rising expectations of the consumers regarding sustainability. It is okay because it is adding value to customers, shareholders and other stakeholders by integrating commercial performance with responsible business practices. The strategy is also viable as H&amp;M already has the organizational resources, digital infrastructure and global supplier network to successfully execute the strategy (Kumar C V and Agrawal, 2024). In addition, boosting the integration of omnichannel and coordination of the supply chain can help the organisation deliver superior customer experience and enhance the operational performance, which can facilitate sustainable competitive advantage (Liu and Song, 2024).</w:t>
      </w:r>
    </w:p>
    <w:p w14:paraId="6431994F" w14:textId="77777777" w:rsidR="00B06B2A" w:rsidRPr="00487B84" w:rsidRDefault="00B06B2A" w:rsidP="00487B84">
      <w:pPr>
        <w:pStyle w:val="Heading2"/>
        <w:spacing w:before="240" w:after="240" w:line="360" w:lineRule="auto"/>
        <w:rPr>
          <w:rFonts w:ascii="Arial" w:hAnsi="Arial" w:cs="Arial"/>
          <w:szCs w:val="24"/>
          <w:lang w:val="en-GB"/>
        </w:rPr>
      </w:pPr>
      <w:bookmarkStart w:id="17" w:name="_Toc237034022"/>
      <w:r w:rsidRPr="00487B84">
        <w:rPr>
          <w:rFonts w:ascii="Arial" w:hAnsi="Arial" w:cs="Arial"/>
          <w:szCs w:val="24"/>
          <w:lang w:val="en-GB"/>
        </w:rPr>
        <w:t>4.3 Strategy Implementation</w:t>
      </w:r>
      <w:bookmarkEnd w:id="17"/>
    </w:p>
    <w:p w14:paraId="6A5446BD" w14:textId="7F47952C" w:rsidR="000A1595" w:rsidRPr="00487B84" w:rsidRDefault="005E48C1"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 implementation process requires certain structure and stages to be successful. To start with, H&amp;M should improve forecasting and planning of merchandise locally to reduce dependence on mark-downs and inventory surpluses at the stores in UK. </w:t>
      </w:r>
      <w:r w:rsidRPr="00487B84">
        <w:rPr>
          <w:rFonts w:ascii="Arial" w:hAnsi="Arial" w:cs="Arial"/>
          <w:color w:val="000000" w:themeColor="text1"/>
          <w:szCs w:val="24"/>
          <w:lang w:val="en-GB"/>
        </w:rPr>
        <w:lastRenderedPageBreak/>
        <w:t>Second, investments should be increased into the sphere of supply chain visibility and supplier traceability to build upon the company’s commitment to sustainability and increase stakeholders’ trust (Garcia-Torres et al., 2024). Third, it is important to track the organizational performance by means of Balanced Scorecard with measures from the financial, customer, operational and learning perspectives. Performance measures related to merchandising, digital business and supply chain management will promote organizational coordination and support strategic goals (Yamamoto, 2020).</w:t>
      </w:r>
    </w:p>
    <w:p w14:paraId="5386082C" w14:textId="77777777" w:rsidR="00B06B2A" w:rsidRPr="00487B84" w:rsidRDefault="00B06B2A" w:rsidP="00487B84">
      <w:pPr>
        <w:pStyle w:val="Heading2"/>
        <w:spacing w:before="240" w:after="240" w:line="360" w:lineRule="auto"/>
        <w:rPr>
          <w:rFonts w:ascii="Arial" w:hAnsi="Arial" w:cs="Arial"/>
          <w:szCs w:val="24"/>
          <w:lang w:val="en-GB"/>
        </w:rPr>
      </w:pPr>
      <w:bookmarkStart w:id="18" w:name="_Toc237034023"/>
      <w:r w:rsidRPr="00487B84">
        <w:rPr>
          <w:rFonts w:ascii="Arial" w:hAnsi="Arial" w:cs="Arial"/>
          <w:szCs w:val="24"/>
          <w:lang w:val="en-GB"/>
        </w:rPr>
        <w:t>4.4 Implementation Challenges and Risk Mitigation</w:t>
      </w:r>
      <w:bookmarkEnd w:id="18"/>
    </w:p>
    <w:tbl>
      <w:tblPr>
        <w:tblStyle w:val="GridTable5Dark-Accent6"/>
        <w:tblW w:w="0" w:type="auto"/>
        <w:tblLook w:val="04A0" w:firstRow="1" w:lastRow="0" w:firstColumn="1" w:lastColumn="0" w:noHBand="0" w:noVBand="1"/>
      </w:tblPr>
      <w:tblGrid>
        <w:gridCol w:w="2548"/>
        <w:gridCol w:w="2652"/>
        <w:gridCol w:w="3816"/>
      </w:tblGrid>
      <w:tr w:rsidR="00B06B2A" w:rsidRPr="00487B84" w14:paraId="5C7C14B4" w14:textId="77777777" w:rsidTr="00B06B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F453E7" w14:textId="77777777" w:rsidR="00B06B2A" w:rsidRPr="00487B84" w:rsidRDefault="00B06B2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Challenge</w:t>
            </w:r>
          </w:p>
        </w:tc>
        <w:tc>
          <w:tcPr>
            <w:tcW w:w="0" w:type="auto"/>
            <w:hideMark/>
          </w:tcPr>
          <w:p w14:paraId="5343AF8A" w14:textId="77777777" w:rsidR="00B06B2A" w:rsidRPr="00487B84" w:rsidRDefault="00B06B2A"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Potential Impact</w:t>
            </w:r>
          </w:p>
        </w:tc>
        <w:tc>
          <w:tcPr>
            <w:tcW w:w="0" w:type="auto"/>
            <w:hideMark/>
          </w:tcPr>
          <w:p w14:paraId="66B22D2D" w14:textId="77777777" w:rsidR="00B06B2A" w:rsidRPr="00487B84" w:rsidRDefault="00B06B2A" w:rsidP="00487B8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Mitigation Strategy</w:t>
            </w:r>
          </w:p>
        </w:tc>
      </w:tr>
      <w:tr w:rsidR="00B06B2A" w:rsidRPr="00487B84" w14:paraId="035D4BCB" w14:textId="77777777" w:rsidTr="00B06B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3312D0" w14:textId="77777777" w:rsidR="00B06B2A" w:rsidRPr="00487B84" w:rsidRDefault="00B06B2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Cross-functional coordination</w:t>
            </w:r>
          </w:p>
        </w:tc>
        <w:tc>
          <w:tcPr>
            <w:tcW w:w="0" w:type="auto"/>
            <w:hideMark/>
          </w:tcPr>
          <w:p w14:paraId="05656BBD" w14:textId="77777777" w:rsidR="00B06B2A" w:rsidRPr="00487B84" w:rsidRDefault="00B06B2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Inconsistent execution</w:t>
            </w:r>
          </w:p>
        </w:tc>
        <w:tc>
          <w:tcPr>
            <w:tcW w:w="0" w:type="auto"/>
            <w:hideMark/>
          </w:tcPr>
          <w:p w14:paraId="1EE2F1A7" w14:textId="77777777" w:rsidR="00B06B2A" w:rsidRPr="00487B84" w:rsidRDefault="00B06B2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Introduce shared KPIs and integrated governance</w:t>
            </w:r>
          </w:p>
        </w:tc>
      </w:tr>
      <w:tr w:rsidR="00B06B2A" w:rsidRPr="00487B84" w14:paraId="712F6FC8" w14:textId="77777777" w:rsidTr="00B06B2A">
        <w:tc>
          <w:tcPr>
            <w:cnfStyle w:val="001000000000" w:firstRow="0" w:lastRow="0" w:firstColumn="1" w:lastColumn="0" w:oddVBand="0" w:evenVBand="0" w:oddHBand="0" w:evenHBand="0" w:firstRowFirstColumn="0" w:firstRowLastColumn="0" w:lastRowFirstColumn="0" w:lastRowLastColumn="0"/>
            <w:tcW w:w="0" w:type="auto"/>
            <w:hideMark/>
          </w:tcPr>
          <w:p w14:paraId="2D316019" w14:textId="77777777" w:rsidR="00B06B2A" w:rsidRPr="00487B84" w:rsidRDefault="00B06B2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Supply-chain disruption</w:t>
            </w:r>
          </w:p>
        </w:tc>
        <w:tc>
          <w:tcPr>
            <w:tcW w:w="0" w:type="auto"/>
            <w:hideMark/>
          </w:tcPr>
          <w:p w14:paraId="5A405F25" w14:textId="77777777" w:rsidR="00B06B2A" w:rsidRPr="00487B84" w:rsidRDefault="00B06B2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Inventory shortages and delays</w:t>
            </w:r>
          </w:p>
        </w:tc>
        <w:tc>
          <w:tcPr>
            <w:tcW w:w="0" w:type="auto"/>
            <w:hideMark/>
          </w:tcPr>
          <w:p w14:paraId="728EF3E4" w14:textId="77777777" w:rsidR="00B06B2A" w:rsidRPr="00487B84" w:rsidRDefault="00B06B2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Diversify suppliers and strengthen risk monitoring</w:t>
            </w:r>
          </w:p>
        </w:tc>
      </w:tr>
      <w:tr w:rsidR="00B06B2A" w:rsidRPr="00487B84" w14:paraId="4EAB1C41" w14:textId="77777777" w:rsidTr="00B06B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E03288" w14:textId="77777777" w:rsidR="00B06B2A" w:rsidRPr="00487B84" w:rsidRDefault="00B06B2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Employee resistance</w:t>
            </w:r>
          </w:p>
        </w:tc>
        <w:tc>
          <w:tcPr>
            <w:tcW w:w="0" w:type="auto"/>
            <w:hideMark/>
          </w:tcPr>
          <w:p w14:paraId="0AFF7462" w14:textId="77777777" w:rsidR="00B06B2A" w:rsidRPr="00487B84" w:rsidRDefault="00B06B2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Slow adoption of new processes</w:t>
            </w:r>
          </w:p>
        </w:tc>
        <w:tc>
          <w:tcPr>
            <w:tcW w:w="0" w:type="auto"/>
            <w:hideMark/>
          </w:tcPr>
          <w:p w14:paraId="05209970" w14:textId="77777777" w:rsidR="00B06B2A" w:rsidRPr="00487B84" w:rsidRDefault="00B06B2A" w:rsidP="00487B8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Provide training and structured change management</w:t>
            </w:r>
          </w:p>
        </w:tc>
      </w:tr>
      <w:tr w:rsidR="00B06B2A" w:rsidRPr="00487B84" w14:paraId="2D21BA9A" w14:textId="77777777" w:rsidTr="00B06B2A">
        <w:tc>
          <w:tcPr>
            <w:cnfStyle w:val="001000000000" w:firstRow="0" w:lastRow="0" w:firstColumn="1" w:lastColumn="0" w:oddVBand="0" w:evenVBand="0" w:oddHBand="0" w:evenHBand="0" w:firstRowFirstColumn="0" w:firstRowLastColumn="0" w:lastRowFirstColumn="0" w:lastRowLastColumn="0"/>
            <w:tcW w:w="0" w:type="auto"/>
            <w:hideMark/>
          </w:tcPr>
          <w:p w14:paraId="1567B6CB" w14:textId="77777777" w:rsidR="00B06B2A" w:rsidRPr="00487B84" w:rsidRDefault="00B06B2A"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Technology integration</w:t>
            </w:r>
          </w:p>
        </w:tc>
        <w:tc>
          <w:tcPr>
            <w:tcW w:w="0" w:type="auto"/>
            <w:hideMark/>
          </w:tcPr>
          <w:p w14:paraId="46DC40AB" w14:textId="77777777" w:rsidR="00B06B2A" w:rsidRPr="00487B84" w:rsidRDefault="00B06B2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Higher implementation costs</w:t>
            </w:r>
          </w:p>
        </w:tc>
        <w:tc>
          <w:tcPr>
            <w:tcW w:w="0" w:type="auto"/>
            <w:hideMark/>
          </w:tcPr>
          <w:p w14:paraId="0AA9BF6F" w14:textId="77777777" w:rsidR="00B06B2A" w:rsidRPr="00487B84" w:rsidRDefault="00B06B2A" w:rsidP="00487B8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Cs w:val="24"/>
                <w:lang w:val="en-GB"/>
              </w:rPr>
            </w:pPr>
            <w:r w:rsidRPr="00487B84">
              <w:rPr>
                <w:rFonts w:ascii="Arial" w:hAnsi="Arial" w:cs="Arial"/>
                <w:color w:val="000000" w:themeColor="text1"/>
                <w:szCs w:val="24"/>
                <w:lang w:val="en-GB"/>
              </w:rPr>
              <w:t>Adopt phased implementation with continuous evaluation</w:t>
            </w:r>
          </w:p>
        </w:tc>
      </w:tr>
    </w:tbl>
    <w:p w14:paraId="20715DA9" w14:textId="77777777" w:rsidR="000A1595" w:rsidRPr="00487B84" w:rsidRDefault="000A1595"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The key implementation hurdle is to coordinate well between merchandising, digital operation, sustainability and supply-chain operations. In the absence of integrated governance, strategic initiatives can get lost in the details and not achieve desired business results. With the Balanced Scorecard and frequent management reviews, H&amp;M will be able to detect implementation problems early on and ensure that the strategic direction is aligned with operations (Kober and Northcott, 2021).</w:t>
      </w:r>
    </w:p>
    <w:p w14:paraId="20EB7173" w14:textId="77777777" w:rsidR="000265FA" w:rsidRPr="00487B84" w:rsidRDefault="000265FA" w:rsidP="00487B84">
      <w:pPr>
        <w:pStyle w:val="Heading1"/>
        <w:spacing w:before="240" w:after="240" w:line="360" w:lineRule="auto"/>
        <w:rPr>
          <w:rFonts w:ascii="Arial" w:hAnsi="Arial" w:cs="Arial"/>
          <w:szCs w:val="24"/>
          <w:lang w:val="en-GB"/>
        </w:rPr>
      </w:pPr>
      <w:bookmarkStart w:id="19" w:name="_Toc237034024"/>
      <w:r w:rsidRPr="00487B84">
        <w:rPr>
          <w:rFonts w:ascii="Arial" w:hAnsi="Arial" w:cs="Arial"/>
          <w:szCs w:val="24"/>
          <w:lang w:val="en-GB"/>
        </w:rPr>
        <w:lastRenderedPageBreak/>
        <w:t>5. Reflective Account</w:t>
      </w:r>
      <w:bookmarkEnd w:id="19"/>
    </w:p>
    <w:p w14:paraId="036C1941" w14:textId="77777777" w:rsidR="000265FA" w:rsidRPr="00487B84" w:rsidRDefault="000265FA" w:rsidP="00487B84">
      <w:pPr>
        <w:pStyle w:val="Heading2"/>
        <w:spacing w:before="240" w:after="240" w:line="360" w:lineRule="auto"/>
        <w:rPr>
          <w:rFonts w:ascii="Arial" w:hAnsi="Arial" w:cs="Arial"/>
          <w:szCs w:val="24"/>
          <w:lang w:val="en-GB"/>
        </w:rPr>
      </w:pPr>
      <w:bookmarkStart w:id="20" w:name="_Toc237034025"/>
      <w:r w:rsidRPr="00487B84">
        <w:rPr>
          <w:rFonts w:ascii="Arial" w:hAnsi="Arial" w:cs="Arial"/>
          <w:szCs w:val="24"/>
          <w:lang w:val="en-GB"/>
        </w:rPr>
        <w:t>5.1 Description</w:t>
      </w:r>
      <w:bookmarkEnd w:id="20"/>
    </w:p>
    <w:p w14:paraId="47492787" w14:textId="77777777" w:rsidR="000A1595" w:rsidRPr="00487B84" w:rsidRDefault="000A1595"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This report's research involved researching the strategic position of H&amp;M in the UK fashion retail market. The analysis of the process was done by reviewing reports from the company, official statistics, articles published in Reuters as well as recent academic literature, where the external environment, internal capabilities and capabilities, strategy for CSR, Balanced Scorecard and strategic options of H&amp;M were evaluated.</w:t>
      </w:r>
    </w:p>
    <w:p w14:paraId="6CCAAC98" w14:textId="77777777" w:rsidR="000265FA" w:rsidRPr="00487B84" w:rsidRDefault="000265FA" w:rsidP="00487B84">
      <w:pPr>
        <w:pStyle w:val="Heading2"/>
        <w:spacing w:before="240" w:after="240" w:line="360" w:lineRule="auto"/>
        <w:rPr>
          <w:rFonts w:ascii="Arial" w:hAnsi="Arial" w:cs="Arial"/>
          <w:szCs w:val="24"/>
          <w:lang w:val="en-GB"/>
        </w:rPr>
      </w:pPr>
      <w:bookmarkStart w:id="21" w:name="_Toc237034026"/>
      <w:r w:rsidRPr="00487B84">
        <w:rPr>
          <w:rFonts w:ascii="Arial" w:hAnsi="Arial" w:cs="Arial"/>
          <w:szCs w:val="24"/>
          <w:lang w:val="en-GB"/>
        </w:rPr>
        <w:t>5.2 Feelings</w:t>
      </w:r>
      <w:bookmarkEnd w:id="21"/>
    </w:p>
    <w:p w14:paraId="1E0109D8" w14:textId="77777777" w:rsidR="000A1595" w:rsidRPr="00487B84" w:rsidRDefault="000A1595"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Initially there was a great deal of information to be found and it was difficult to distinguish between operational or strategic issues. One challenge I had was to be able to share the company information along with independent, academic information and maintain an objective perspective.</w:t>
      </w:r>
    </w:p>
    <w:p w14:paraId="23C0FAA4" w14:textId="77777777" w:rsidR="000265FA" w:rsidRPr="00487B84" w:rsidRDefault="000265FA" w:rsidP="00487B84">
      <w:pPr>
        <w:pStyle w:val="Heading2"/>
        <w:spacing w:before="240" w:after="240" w:line="360" w:lineRule="auto"/>
        <w:rPr>
          <w:rFonts w:ascii="Arial" w:hAnsi="Arial" w:cs="Arial"/>
          <w:szCs w:val="24"/>
          <w:lang w:val="en-GB"/>
        </w:rPr>
      </w:pPr>
      <w:bookmarkStart w:id="22" w:name="_Toc237034027"/>
      <w:r w:rsidRPr="00487B84">
        <w:rPr>
          <w:rFonts w:ascii="Arial" w:hAnsi="Arial" w:cs="Arial"/>
          <w:szCs w:val="24"/>
          <w:lang w:val="en-GB"/>
        </w:rPr>
        <w:t>5.3 Evaluation</w:t>
      </w:r>
      <w:bookmarkEnd w:id="22"/>
    </w:p>
    <w:p w14:paraId="5ACA111D" w14:textId="4768F5F7" w:rsidR="000A1595" w:rsidRPr="00487B84" w:rsidRDefault="000A1595"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The process of research was </w:t>
      </w:r>
      <w:r w:rsidR="00EA5061" w:rsidRPr="00487B84">
        <w:rPr>
          <w:rFonts w:ascii="Arial" w:hAnsi="Arial" w:cs="Arial"/>
          <w:color w:val="000000" w:themeColor="text1"/>
          <w:szCs w:val="24"/>
          <w:lang w:val="en-GB"/>
        </w:rPr>
        <w:t>protracted,</w:t>
      </w:r>
      <w:r w:rsidRPr="00487B84">
        <w:rPr>
          <w:rFonts w:ascii="Arial" w:hAnsi="Arial" w:cs="Arial"/>
          <w:color w:val="000000" w:themeColor="text1"/>
          <w:szCs w:val="24"/>
          <w:lang w:val="en-GB"/>
        </w:rPr>
        <w:t xml:space="preserve"> and the Gibbs' reflective cycle was used to achieve this and it was determined that not all the sources that were relevant were strategically useful. Company reports, official statistics, Reuters articles, and peer-reviewed academic literature were the most valuable sources of evidence as these sources helped to give complementary strategic perspectives. The report was focused to the H&amp;M's operations in the United Kingdom to make it more relevant and focused.</w:t>
      </w:r>
    </w:p>
    <w:p w14:paraId="16BD6043" w14:textId="77777777" w:rsidR="000265FA" w:rsidRPr="00487B84" w:rsidRDefault="000265FA" w:rsidP="00487B84">
      <w:pPr>
        <w:pStyle w:val="Heading2"/>
        <w:spacing w:before="240" w:after="240" w:line="360" w:lineRule="auto"/>
        <w:rPr>
          <w:rFonts w:ascii="Arial" w:hAnsi="Arial" w:cs="Arial"/>
          <w:szCs w:val="24"/>
          <w:lang w:val="en-GB"/>
        </w:rPr>
      </w:pPr>
      <w:bookmarkStart w:id="23" w:name="_Toc237034028"/>
      <w:r w:rsidRPr="00487B84">
        <w:rPr>
          <w:rFonts w:ascii="Arial" w:hAnsi="Arial" w:cs="Arial"/>
          <w:szCs w:val="24"/>
          <w:lang w:val="en-GB"/>
        </w:rPr>
        <w:t>5.4 Analysis</w:t>
      </w:r>
      <w:bookmarkEnd w:id="23"/>
    </w:p>
    <w:p w14:paraId="375973C4" w14:textId="77777777" w:rsidR="000A1595" w:rsidRPr="00487B84" w:rsidRDefault="000A1595"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During the analysis stage it was revealed that low sales levels were symptoms and not strategic issues. The margin pressures, integration of the channels, stock control and growing competition were the more important problems. In this stage I gained more insight into the connection between evidence in business and strategic management concepts.</w:t>
      </w:r>
    </w:p>
    <w:p w14:paraId="1E747C6F" w14:textId="77777777" w:rsidR="000265FA" w:rsidRPr="00487B84" w:rsidRDefault="000265FA" w:rsidP="00487B84">
      <w:pPr>
        <w:pStyle w:val="Heading2"/>
        <w:spacing w:before="240" w:after="240" w:line="360" w:lineRule="auto"/>
        <w:rPr>
          <w:rFonts w:ascii="Arial" w:hAnsi="Arial" w:cs="Arial"/>
          <w:szCs w:val="24"/>
          <w:lang w:val="en-GB"/>
        </w:rPr>
      </w:pPr>
      <w:bookmarkStart w:id="24" w:name="_Toc237034029"/>
      <w:r w:rsidRPr="00487B84">
        <w:rPr>
          <w:rFonts w:ascii="Arial" w:hAnsi="Arial" w:cs="Arial"/>
          <w:szCs w:val="24"/>
          <w:lang w:val="en-GB"/>
        </w:rPr>
        <w:lastRenderedPageBreak/>
        <w:t>5.5 Conclusion</w:t>
      </w:r>
      <w:bookmarkEnd w:id="24"/>
    </w:p>
    <w:p w14:paraId="593DA144" w14:textId="77777777" w:rsidR="000A1595" w:rsidRPr="00487B84" w:rsidRDefault="000A1595"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The exercise enabled me to acquire a critical strategic information analysis skill, rather than describe business events. I also found that it was important to find appropriate strategic frameworks and to present convincing evidence in support of recommendations.</w:t>
      </w:r>
    </w:p>
    <w:p w14:paraId="3FAEA1E6" w14:textId="77777777" w:rsidR="000265FA" w:rsidRPr="00487B84" w:rsidRDefault="000265FA" w:rsidP="00487B84">
      <w:pPr>
        <w:pStyle w:val="Heading2"/>
        <w:spacing w:before="240" w:after="240" w:line="360" w:lineRule="auto"/>
        <w:rPr>
          <w:rFonts w:ascii="Arial" w:hAnsi="Arial" w:cs="Arial"/>
          <w:szCs w:val="24"/>
          <w:lang w:val="en-GB"/>
        </w:rPr>
      </w:pPr>
      <w:bookmarkStart w:id="25" w:name="_Toc237034030"/>
      <w:r w:rsidRPr="00487B84">
        <w:rPr>
          <w:rFonts w:ascii="Arial" w:hAnsi="Arial" w:cs="Arial"/>
          <w:szCs w:val="24"/>
          <w:lang w:val="en-GB"/>
        </w:rPr>
        <w:t>5.6 Action Plan</w:t>
      </w:r>
      <w:bookmarkEnd w:id="25"/>
    </w:p>
    <w:p w14:paraId="7736618F" w14:textId="4E37EC70" w:rsidR="000A1595" w:rsidRPr="00487B84" w:rsidRDefault="00B74B20"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In the analysis process, for the future, I will first make an assessment of the requirement according to a relevant strategic framework and then carry out my research in detail. Additionally, I will give more time for assessing other strategic options and benchmarking against the industry.</w:t>
      </w:r>
    </w:p>
    <w:p w14:paraId="06027AF9" w14:textId="4295271A" w:rsidR="000A1595" w:rsidRPr="00487B84" w:rsidRDefault="000A1595"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Looking back at the research process, the primary learning was that combining company reporting, current industry evidence and academic theory together is the best approach for strategic analysis, rather than considering them as three separate streams. If Gibbs or Kolb is used, the process is more disciplined as it will push the researcher to go from description to interpretation to action. The most helpful action in this report was to relate strategic statements to operational evidence, as this revealed where the true issues </w:t>
      </w:r>
      <w:r w:rsidR="00EA5061" w:rsidRPr="00487B84">
        <w:rPr>
          <w:rFonts w:ascii="Arial" w:hAnsi="Arial" w:cs="Arial"/>
          <w:color w:val="000000" w:themeColor="text1"/>
          <w:szCs w:val="24"/>
          <w:lang w:val="en-GB"/>
        </w:rPr>
        <w:t>lay</w:t>
      </w:r>
      <w:r w:rsidRPr="00487B84">
        <w:rPr>
          <w:rFonts w:ascii="Arial" w:hAnsi="Arial" w:cs="Arial"/>
          <w:color w:val="000000" w:themeColor="text1"/>
          <w:szCs w:val="24"/>
          <w:lang w:val="en-GB"/>
        </w:rPr>
        <w:t xml:space="preserve"> Stock control, Margin pressure and Market fit. This has been backed up by reflective learning literature which demonstrates that structured review and feedback </w:t>
      </w:r>
      <w:r w:rsidR="00EA5061" w:rsidRPr="00487B84">
        <w:rPr>
          <w:rFonts w:ascii="Arial" w:hAnsi="Arial" w:cs="Arial"/>
          <w:color w:val="000000" w:themeColor="text1"/>
          <w:szCs w:val="24"/>
          <w:lang w:val="en-GB"/>
        </w:rPr>
        <w:t>have</w:t>
      </w:r>
      <w:r w:rsidRPr="00487B84">
        <w:rPr>
          <w:rFonts w:ascii="Arial" w:hAnsi="Arial" w:cs="Arial"/>
          <w:color w:val="000000" w:themeColor="text1"/>
          <w:szCs w:val="24"/>
          <w:lang w:val="en-GB"/>
        </w:rPr>
        <w:t xml:space="preserve"> the potential to enhance quality of judgement particularly when the evidence base is complex and time sensitive (Mello, 2021). A more detailed research log would be beneficial to future work as it would be easier to justify the source screening, the framework used, and the recommendations made (Prilla et al., 2020).</w:t>
      </w:r>
    </w:p>
    <w:p w14:paraId="3F52C01D" w14:textId="77777777" w:rsidR="000265FA" w:rsidRPr="00487B84" w:rsidRDefault="000265FA" w:rsidP="00487B84">
      <w:pPr>
        <w:spacing w:line="360" w:lineRule="auto"/>
        <w:rPr>
          <w:rFonts w:ascii="Arial" w:eastAsiaTheme="majorEastAsia" w:hAnsi="Arial" w:cs="Arial"/>
          <w:b/>
          <w:color w:val="000000" w:themeColor="text1"/>
          <w:szCs w:val="24"/>
          <w:lang w:val="en-GB"/>
        </w:rPr>
      </w:pPr>
      <w:r w:rsidRPr="00487B84">
        <w:rPr>
          <w:rFonts w:ascii="Arial" w:hAnsi="Arial" w:cs="Arial"/>
          <w:color w:val="000000" w:themeColor="text1"/>
          <w:szCs w:val="24"/>
          <w:lang w:val="en-GB"/>
        </w:rPr>
        <w:br w:type="page"/>
      </w:r>
    </w:p>
    <w:p w14:paraId="64A0F140" w14:textId="77777777" w:rsidR="000265FA" w:rsidRPr="00487B84" w:rsidRDefault="000265FA" w:rsidP="00487B84">
      <w:pPr>
        <w:pStyle w:val="Heading1"/>
        <w:spacing w:before="240" w:after="240" w:line="360" w:lineRule="auto"/>
        <w:rPr>
          <w:rFonts w:ascii="Arial" w:hAnsi="Arial" w:cs="Arial"/>
          <w:szCs w:val="24"/>
          <w:lang w:val="en-GB"/>
        </w:rPr>
      </w:pPr>
      <w:bookmarkStart w:id="26" w:name="_Toc237034031"/>
      <w:r w:rsidRPr="00487B84">
        <w:rPr>
          <w:rFonts w:ascii="Arial" w:hAnsi="Arial" w:cs="Arial"/>
          <w:szCs w:val="24"/>
          <w:lang w:val="en-GB"/>
        </w:rPr>
        <w:lastRenderedPageBreak/>
        <w:t>References</w:t>
      </w:r>
      <w:bookmarkEnd w:id="26"/>
    </w:p>
    <w:p w14:paraId="6701E7EB"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Agyabeng-Mensah, Y., Afum, E. and Baah, C., 2024. </w:t>
      </w:r>
      <w:r w:rsidRPr="00487B84">
        <w:rPr>
          <w:rFonts w:ascii="Arial" w:hAnsi="Arial" w:cs="Arial"/>
          <w:i/>
          <w:iCs/>
          <w:color w:val="000000" w:themeColor="text1"/>
          <w:szCs w:val="24"/>
          <w:lang w:val="en-GB"/>
        </w:rPr>
        <w:t>Stakeholder pressure and circular supply chain practices: Moderating roles of environmental information exchange capability and circular innovation orientation</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Business Strategy and the Environment</w:t>
      </w:r>
      <w:r w:rsidRPr="00487B84">
        <w:rPr>
          <w:rFonts w:ascii="Arial" w:hAnsi="Arial" w:cs="Arial"/>
          <w:color w:val="000000" w:themeColor="text1"/>
          <w:szCs w:val="24"/>
          <w:lang w:val="en-GB"/>
        </w:rPr>
        <w:t xml:space="preserve">, 33(6), pp. 5703–5720. Available at: </w:t>
      </w:r>
      <w:hyperlink r:id="rId8" w:tgtFrame="_new" w:history="1">
        <w:r w:rsidRPr="00487B84">
          <w:rPr>
            <w:rStyle w:val="Hyperlink"/>
            <w:rFonts w:ascii="Arial" w:hAnsi="Arial" w:cs="Arial"/>
            <w:color w:val="000000" w:themeColor="text1"/>
            <w:szCs w:val="24"/>
            <w:lang w:val="en-GB"/>
          </w:rPr>
          <w:t>https://doi.org/10.1002/bse.3779</w:t>
        </w:r>
      </w:hyperlink>
      <w:r w:rsidRPr="00487B84">
        <w:rPr>
          <w:rFonts w:ascii="Arial" w:hAnsi="Arial" w:cs="Arial"/>
          <w:color w:val="000000" w:themeColor="text1"/>
          <w:szCs w:val="24"/>
          <w:lang w:val="en-GB"/>
        </w:rPr>
        <w:t xml:space="preserve"> [Accessed: 7 August 2026].</w:t>
      </w:r>
    </w:p>
    <w:p w14:paraId="4F2B0D38"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Barletta, M., D'Adamo, I., Garza-Reyes, J.A. and Gastaldi, M., 2024. </w:t>
      </w:r>
      <w:r w:rsidRPr="00487B84">
        <w:rPr>
          <w:rFonts w:ascii="Arial" w:hAnsi="Arial" w:cs="Arial"/>
          <w:i/>
          <w:iCs/>
          <w:color w:val="000000" w:themeColor="text1"/>
          <w:szCs w:val="24"/>
          <w:lang w:val="en-GB"/>
        </w:rPr>
        <w:t>Business strategy and innovative models in the fashion industry: Clothing leasing as a driver of sustainability</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Business Strategy and the Environment</w:t>
      </w:r>
      <w:r w:rsidRPr="00487B84">
        <w:rPr>
          <w:rFonts w:ascii="Arial" w:hAnsi="Arial" w:cs="Arial"/>
          <w:color w:val="000000" w:themeColor="text1"/>
          <w:szCs w:val="24"/>
          <w:lang w:val="en-GB"/>
        </w:rPr>
        <w:t xml:space="preserve">, 33(5), pp. 4730–4743. Available at: </w:t>
      </w:r>
      <w:hyperlink r:id="rId9" w:tgtFrame="_new" w:history="1">
        <w:r w:rsidRPr="00487B84">
          <w:rPr>
            <w:rStyle w:val="Hyperlink"/>
            <w:rFonts w:ascii="Arial" w:hAnsi="Arial" w:cs="Arial"/>
            <w:color w:val="000000" w:themeColor="text1"/>
            <w:szCs w:val="24"/>
            <w:lang w:val="en-GB"/>
          </w:rPr>
          <w:t>https://doi.org/10.1002/bse.3723</w:t>
        </w:r>
      </w:hyperlink>
      <w:r w:rsidRPr="00487B84">
        <w:rPr>
          <w:rFonts w:ascii="Arial" w:hAnsi="Arial" w:cs="Arial"/>
          <w:color w:val="000000" w:themeColor="text1"/>
          <w:szCs w:val="24"/>
          <w:lang w:val="en-GB"/>
        </w:rPr>
        <w:t xml:space="preserve"> [Accessed: 7 August 2026].</w:t>
      </w:r>
    </w:p>
    <w:p w14:paraId="41A6F7EF"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Camilleri, M.A., 2021. </w:t>
      </w:r>
      <w:r w:rsidRPr="00487B84">
        <w:rPr>
          <w:rFonts w:ascii="Arial" w:hAnsi="Arial" w:cs="Arial"/>
          <w:i/>
          <w:iCs/>
          <w:color w:val="000000" w:themeColor="text1"/>
          <w:szCs w:val="24"/>
          <w:lang w:val="en-GB"/>
        </w:rPr>
        <w:t>Using the balanced scorecard as a performance management tool in higher education</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Management in Education</w:t>
      </w:r>
      <w:r w:rsidRPr="00487B84">
        <w:rPr>
          <w:rFonts w:ascii="Arial" w:hAnsi="Arial" w:cs="Arial"/>
          <w:color w:val="000000" w:themeColor="text1"/>
          <w:szCs w:val="24"/>
          <w:lang w:val="en-GB"/>
        </w:rPr>
        <w:t xml:space="preserve">, 35(1), pp. 10–21. Available at: </w:t>
      </w:r>
      <w:hyperlink r:id="rId10" w:tgtFrame="_new" w:history="1">
        <w:r w:rsidRPr="00487B84">
          <w:rPr>
            <w:rStyle w:val="Hyperlink"/>
            <w:rFonts w:ascii="Arial" w:hAnsi="Arial" w:cs="Arial"/>
            <w:color w:val="000000" w:themeColor="text1"/>
            <w:szCs w:val="24"/>
            <w:lang w:val="en-GB"/>
          </w:rPr>
          <w:t>https://doi.org/10.1177/0892020620921412</w:t>
        </w:r>
      </w:hyperlink>
      <w:r w:rsidRPr="00487B84">
        <w:rPr>
          <w:rFonts w:ascii="Arial" w:hAnsi="Arial" w:cs="Arial"/>
          <w:color w:val="000000" w:themeColor="text1"/>
          <w:szCs w:val="24"/>
          <w:lang w:val="en-GB"/>
        </w:rPr>
        <w:t xml:space="preserve"> [Accessed: 7 August 2026].</w:t>
      </w:r>
    </w:p>
    <w:p w14:paraId="3D825674"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Chen, Y. and Prentice, C., 2024. </w:t>
      </w:r>
      <w:r w:rsidRPr="00487B84">
        <w:rPr>
          <w:rFonts w:ascii="Arial" w:hAnsi="Arial" w:cs="Arial"/>
          <w:i/>
          <w:iCs/>
          <w:color w:val="000000" w:themeColor="text1"/>
          <w:szCs w:val="24"/>
          <w:lang w:val="en-GB"/>
        </w:rPr>
        <w:t>Integrating artificial intelligence and customer experience</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Journal of Consumer Behaviour</w:t>
      </w:r>
      <w:r w:rsidRPr="00487B84">
        <w:rPr>
          <w:rFonts w:ascii="Arial" w:hAnsi="Arial" w:cs="Arial"/>
          <w:color w:val="000000" w:themeColor="text1"/>
          <w:szCs w:val="24"/>
          <w:lang w:val="en-GB"/>
        </w:rPr>
        <w:t xml:space="preserve">, 33(2). Available at: </w:t>
      </w:r>
      <w:hyperlink r:id="rId11" w:tgtFrame="_new" w:history="1">
        <w:r w:rsidRPr="00487B84">
          <w:rPr>
            <w:rStyle w:val="Hyperlink"/>
            <w:rFonts w:ascii="Arial" w:hAnsi="Arial" w:cs="Arial"/>
            <w:color w:val="000000" w:themeColor="text1"/>
            <w:szCs w:val="24"/>
            <w:lang w:val="en-GB"/>
          </w:rPr>
          <w:t>https://doi.org/10.1177/14413582241252904</w:t>
        </w:r>
      </w:hyperlink>
      <w:r w:rsidRPr="00487B84">
        <w:rPr>
          <w:rFonts w:ascii="Arial" w:hAnsi="Arial" w:cs="Arial"/>
          <w:color w:val="000000" w:themeColor="text1"/>
          <w:szCs w:val="24"/>
          <w:lang w:val="en-GB"/>
        </w:rPr>
        <w:t xml:space="preserve"> [Accessed: 7 August 2026].</w:t>
      </w:r>
    </w:p>
    <w:p w14:paraId="4C3B76AF"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Faria, S. and Carvalho, J.M.S., 2025. </w:t>
      </w:r>
      <w:r w:rsidRPr="00487B84">
        <w:rPr>
          <w:rFonts w:ascii="Arial" w:hAnsi="Arial" w:cs="Arial"/>
          <w:i/>
          <w:iCs/>
          <w:color w:val="000000" w:themeColor="text1"/>
          <w:szCs w:val="24"/>
          <w:lang w:val="en-GB"/>
        </w:rPr>
        <w:t>From a multichannel to an optichannel strategy in retail</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Journal of Theoretical and Applied Electronic Commerce Research</w:t>
      </w:r>
      <w:r w:rsidRPr="00487B84">
        <w:rPr>
          <w:rFonts w:ascii="Arial" w:hAnsi="Arial" w:cs="Arial"/>
          <w:color w:val="000000" w:themeColor="text1"/>
          <w:szCs w:val="24"/>
          <w:lang w:val="en-GB"/>
        </w:rPr>
        <w:t xml:space="preserve">, 20(1), 45. Available at: </w:t>
      </w:r>
      <w:hyperlink r:id="rId12" w:tgtFrame="_new" w:history="1">
        <w:r w:rsidRPr="00487B84">
          <w:rPr>
            <w:rStyle w:val="Hyperlink"/>
            <w:rFonts w:ascii="Arial" w:hAnsi="Arial" w:cs="Arial"/>
            <w:color w:val="000000" w:themeColor="text1"/>
            <w:szCs w:val="24"/>
            <w:lang w:val="en-GB"/>
          </w:rPr>
          <w:t>https://doi.org/10.3390/jtaer20010045</w:t>
        </w:r>
      </w:hyperlink>
      <w:r w:rsidRPr="00487B84">
        <w:rPr>
          <w:rFonts w:ascii="Arial" w:hAnsi="Arial" w:cs="Arial"/>
          <w:color w:val="000000" w:themeColor="text1"/>
          <w:szCs w:val="24"/>
          <w:lang w:val="en-GB"/>
        </w:rPr>
        <w:t xml:space="preserve"> [Accessed: 7 August 2026].</w:t>
      </w:r>
    </w:p>
    <w:p w14:paraId="2044E98C"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Garcia-Torres, S., Rey-Garcia, M. and Sáenz, M.J., 2024. </w:t>
      </w:r>
      <w:r w:rsidRPr="00487B84">
        <w:rPr>
          <w:rFonts w:ascii="Arial" w:hAnsi="Arial" w:cs="Arial"/>
          <w:i/>
          <w:iCs/>
          <w:color w:val="000000" w:themeColor="text1"/>
          <w:szCs w:val="24"/>
          <w:lang w:val="en-GB"/>
        </w:rPr>
        <w:t>Enhancing sustainable supply chains through traceability, transparency and stakeholder collaboration: A quantitative analysis</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Business Strategy and the Environment</w:t>
      </w:r>
      <w:r w:rsidRPr="00487B84">
        <w:rPr>
          <w:rFonts w:ascii="Arial" w:hAnsi="Arial" w:cs="Arial"/>
          <w:color w:val="000000" w:themeColor="text1"/>
          <w:szCs w:val="24"/>
          <w:lang w:val="en-GB"/>
        </w:rPr>
        <w:t xml:space="preserve">, 33(7), pp. 7607–7629. Available at: </w:t>
      </w:r>
      <w:hyperlink r:id="rId13" w:tgtFrame="_new" w:history="1">
        <w:r w:rsidRPr="00487B84">
          <w:rPr>
            <w:rStyle w:val="Hyperlink"/>
            <w:rFonts w:ascii="Arial" w:hAnsi="Arial" w:cs="Arial"/>
            <w:color w:val="000000" w:themeColor="text1"/>
            <w:szCs w:val="24"/>
            <w:lang w:val="en-GB"/>
          </w:rPr>
          <w:t>https://doi.org/10.1002/bse.3884</w:t>
        </w:r>
      </w:hyperlink>
      <w:r w:rsidRPr="00487B84">
        <w:rPr>
          <w:rFonts w:ascii="Arial" w:hAnsi="Arial" w:cs="Arial"/>
          <w:color w:val="000000" w:themeColor="text1"/>
          <w:szCs w:val="24"/>
          <w:lang w:val="en-GB"/>
        </w:rPr>
        <w:t xml:space="preserve"> [Accessed: 7 August 2026].</w:t>
      </w:r>
    </w:p>
    <w:p w14:paraId="0EC06EC3"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Gomes, G.M., Moreira, N. and Ometto, A.R., 2024. </w:t>
      </w:r>
      <w:r w:rsidRPr="00487B84">
        <w:rPr>
          <w:rFonts w:ascii="Arial" w:hAnsi="Arial" w:cs="Arial"/>
          <w:i/>
          <w:iCs/>
          <w:color w:val="000000" w:themeColor="text1"/>
          <w:szCs w:val="24"/>
          <w:lang w:val="en-GB"/>
        </w:rPr>
        <w:t>Consumer engagement in circular consumption systems: A roadmap structure for apparel retail companies</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Circular Economy and Sustainability</w:t>
      </w:r>
      <w:r w:rsidRPr="00487B84">
        <w:rPr>
          <w:rFonts w:ascii="Arial" w:hAnsi="Arial" w:cs="Arial"/>
          <w:color w:val="000000" w:themeColor="text1"/>
          <w:szCs w:val="24"/>
          <w:lang w:val="en-GB"/>
        </w:rPr>
        <w:t xml:space="preserve">, 4, pp. 1405–1425. Available at: </w:t>
      </w:r>
      <w:hyperlink r:id="rId14" w:tgtFrame="_new" w:history="1">
        <w:r w:rsidRPr="00487B84">
          <w:rPr>
            <w:rStyle w:val="Hyperlink"/>
            <w:rFonts w:ascii="Arial" w:hAnsi="Arial" w:cs="Arial"/>
            <w:color w:val="000000" w:themeColor="text1"/>
            <w:szCs w:val="24"/>
            <w:lang w:val="en-GB"/>
          </w:rPr>
          <w:t>https://doi.org/10.1007/s43615-023-00332-8</w:t>
        </w:r>
      </w:hyperlink>
      <w:r w:rsidRPr="00487B84">
        <w:rPr>
          <w:rFonts w:ascii="Arial" w:hAnsi="Arial" w:cs="Arial"/>
          <w:color w:val="000000" w:themeColor="text1"/>
          <w:szCs w:val="24"/>
          <w:lang w:val="en-GB"/>
        </w:rPr>
        <w:t xml:space="preserve"> [Accessed: 7 August 2026].</w:t>
      </w:r>
    </w:p>
    <w:p w14:paraId="0765EC96" w14:textId="6B6517CC"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lastRenderedPageBreak/>
        <w:t>H&amp;M Group</w:t>
      </w:r>
      <w:r w:rsidR="00113F4B">
        <w:rPr>
          <w:rFonts w:ascii="Arial" w:hAnsi="Arial" w:cs="Arial"/>
          <w:color w:val="000000" w:themeColor="text1"/>
          <w:szCs w:val="24"/>
          <w:lang w:val="en-GB"/>
        </w:rPr>
        <w:t>.</w:t>
      </w:r>
      <w:r w:rsidRPr="00487B84">
        <w:rPr>
          <w:rFonts w:ascii="Arial" w:hAnsi="Arial" w:cs="Arial"/>
          <w:color w:val="000000" w:themeColor="text1"/>
          <w:szCs w:val="24"/>
          <w:lang w:val="en-GB"/>
        </w:rPr>
        <w:t xml:space="preserve">, 2025a. </w:t>
      </w:r>
      <w:r w:rsidRPr="00487B84">
        <w:rPr>
          <w:rFonts w:ascii="Arial" w:hAnsi="Arial" w:cs="Arial"/>
          <w:i/>
          <w:iCs/>
          <w:color w:val="000000" w:themeColor="text1"/>
          <w:szCs w:val="24"/>
          <w:lang w:val="en-GB"/>
        </w:rPr>
        <w:t>H &amp; M Hennes &amp; Mauritz AB publishes its annual and sustainability report 2024</w:t>
      </w:r>
      <w:r w:rsidRPr="00487B84">
        <w:rPr>
          <w:rFonts w:ascii="Arial" w:hAnsi="Arial" w:cs="Arial"/>
          <w:color w:val="000000" w:themeColor="text1"/>
          <w:szCs w:val="24"/>
          <w:lang w:val="en-GB"/>
        </w:rPr>
        <w:t xml:space="preserve">. Available at: </w:t>
      </w:r>
      <w:hyperlink r:id="rId15" w:tgtFrame="_new" w:history="1">
        <w:r w:rsidRPr="00487B84">
          <w:rPr>
            <w:rStyle w:val="Hyperlink"/>
            <w:rFonts w:ascii="Arial" w:hAnsi="Arial" w:cs="Arial"/>
            <w:color w:val="000000" w:themeColor="text1"/>
            <w:szCs w:val="24"/>
            <w:lang w:val="en-GB"/>
          </w:rPr>
          <w:t>https://hmgroup.com/news/h-m-hennes-mauritz-ab-publishes-its-annual-and-sustainability-report-2024/</w:t>
        </w:r>
      </w:hyperlink>
      <w:r w:rsidRPr="00487B84">
        <w:rPr>
          <w:rFonts w:ascii="Arial" w:hAnsi="Arial" w:cs="Arial"/>
          <w:color w:val="000000" w:themeColor="text1"/>
          <w:szCs w:val="24"/>
          <w:lang w:val="en-GB"/>
        </w:rPr>
        <w:t xml:space="preserve"> [Accessed: 7 August 2026].</w:t>
      </w:r>
    </w:p>
    <w:p w14:paraId="6C31DD61" w14:textId="204EE5AC"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H&amp;M Group</w:t>
      </w:r>
      <w:r w:rsidR="00113F4B">
        <w:rPr>
          <w:rFonts w:ascii="Arial" w:hAnsi="Arial" w:cs="Arial"/>
          <w:color w:val="000000" w:themeColor="text1"/>
          <w:szCs w:val="24"/>
          <w:lang w:val="en-GB"/>
        </w:rPr>
        <w:t>.</w:t>
      </w:r>
      <w:r w:rsidRPr="00487B84">
        <w:rPr>
          <w:rFonts w:ascii="Arial" w:hAnsi="Arial" w:cs="Arial"/>
          <w:color w:val="000000" w:themeColor="text1"/>
          <w:szCs w:val="24"/>
          <w:lang w:val="en-GB"/>
        </w:rPr>
        <w:t xml:space="preserve">, 2026a. </w:t>
      </w:r>
      <w:r w:rsidRPr="00487B84">
        <w:rPr>
          <w:rFonts w:ascii="Arial" w:hAnsi="Arial" w:cs="Arial"/>
          <w:i/>
          <w:iCs/>
          <w:color w:val="000000" w:themeColor="text1"/>
          <w:szCs w:val="24"/>
          <w:lang w:val="en-GB"/>
        </w:rPr>
        <w:t>Word from CEO</w:t>
      </w:r>
      <w:r w:rsidRPr="00487B84">
        <w:rPr>
          <w:rFonts w:ascii="Arial" w:hAnsi="Arial" w:cs="Arial"/>
          <w:color w:val="000000" w:themeColor="text1"/>
          <w:szCs w:val="24"/>
          <w:lang w:val="en-GB"/>
        </w:rPr>
        <w:t xml:space="preserve">. Available at: </w:t>
      </w:r>
      <w:hyperlink r:id="rId16" w:tgtFrame="_new" w:history="1">
        <w:r w:rsidRPr="00487B84">
          <w:rPr>
            <w:rStyle w:val="Hyperlink"/>
            <w:rFonts w:ascii="Arial" w:hAnsi="Arial" w:cs="Arial"/>
            <w:color w:val="000000" w:themeColor="text1"/>
            <w:szCs w:val="24"/>
            <w:lang w:val="en-GB"/>
          </w:rPr>
          <w:t>https://hmgroup.com/investors/annual-and-sustainability-report/ceo-letter/</w:t>
        </w:r>
      </w:hyperlink>
      <w:r w:rsidRPr="00487B84">
        <w:rPr>
          <w:rFonts w:ascii="Arial" w:hAnsi="Arial" w:cs="Arial"/>
          <w:color w:val="000000" w:themeColor="text1"/>
          <w:szCs w:val="24"/>
          <w:lang w:val="en-GB"/>
        </w:rPr>
        <w:t xml:space="preserve"> [Accessed: 7 August 2026].</w:t>
      </w:r>
    </w:p>
    <w:p w14:paraId="5006B67E" w14:textId="0DCDB501"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H&amp;M Group</w:t>
      </w:r>
      <w:r w:rsidR="00113F4B">
        <w:rPr>
          <w:rFonts w:ascii="Arial" w:hAnsi="Arial" w:cs="Arial"/>
          <w:color w:val="000000" w:themeColor="text1"/>
          <w:szCs w:val="24"/>
          <w:lang w:val="en-GB"/>
        </w:rPr>
        <w:t>.</w:t>
      </w:r>
      <w:r w:rsidRPr="00487B84">
        <w:rPr>
          <w:rFonts w:ascii="Arial" w:hAnsi="Arial" w:cs="Arial"/>
          <w:color w:val="000000" w:themeColor="text1"/>
          <w:szCs w:val="24"/>
          <w:lang w:val="en-GB"/>
        </w:rPr>
        <w:t xml:space="preserve">, 2026b. </w:t>
      </w:r>
      <w:r w:rsidRPr="00487B84">
        <w:rPr>
          <w:rFonts w:ascii="Arial" w:hAnsi="Arial" w:cs="Arial"/>
          <w:i/>
          <w:iCs/>
          <w:color w:val="000000" w:themeColor="text1"/>
          <w:szCs w:val="24"/>
          <w:lang w:val="en-GB"/>
        </w:rPr>
        <w:t>Annual and sustainability report 2025</w:t>
      </w:r>
      <w:r w:rsidRPr="00487B84">
        <w:rPr>
          <w:rFonts w:ascii="Arial" w:hAnsi="Arial" w:cs="Arial"/>
          <w:color w:val="000000" w:themeColor="text1"/>
          <w:szCs w:val="24"/>
          <w:lang w:val="en-GB"/>
        </w:rPr>
        <w:t xml:space="preserve">. Available at: </w:t>
      </w:r>
      <w:hyperlink r:id="rId17" w:tgtFrame="_new" w:history="1">
        <w:r w:rsidRPr="00487B84">
          <w:rPr>
            <w:rStyle w:val="Hyperlink"/>
            <w:rFonts w:ascii="Arial" w:hAnsi="Arial" w:cs="Arial"/>
            <w:color w:val="000000" w:themeColor="text1"/>
            <w:szCs w:val="24"/>
            <w:lang w:val="en-GB"/>
          </w:rPr>
          <w:t>https://hmgroup.com/investors/annual-and-sustainability-report/</w:t>
        </w:r>
      </w:hyperlink>
      <w:r w:rsidRPr="00487B84">
        <w:rPr>
          <w:rFonts w:ascii="Arial" w:hAnsi="Arial" w:cs="Arial"/>
          <w:color w:val="000000" w:themeColor="text1"/>
          <w:szCs w:val="24"/>
          <w:lang w:val="en-GB"/>
        </w:rPr>
        <w:t xml:space="preserve"> [Accessed: 7 August 2026].</w:t>
      </w:r>
    </w:p>
    <w:p w14:paraId="2C93DB1D"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Kober, R. and Northcott, D., 2021. </w:t>
      </w:r>
      <w:r w:rsidRPr="00487B84">
        <w:rPr>
          <w:rFonts w:ascii="Arial" w:hAnsi="Arial" w:cs="Arial"/>
          <w:i/>
          <w:iCs/>
          <w:color w:val="000000" w:themeColor="text1"/>
          <w:szCs w:val="24"/>
          <w:lang w:val="en-GB"/>
        </w:rPr>
        <w:t>Testing cause-and-effect relationships within a balanced scorecard</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Accounting &amp; Finance</w:t>
      </w:r>
      <w:r w:rsidRPr="00487B84">
        <w:rPr>
          <w:rFonts w:ascii="Arial" w:hAnsi="Arial" w:cs="Arial"/>
          <w:color w:val="000000" w:themeColor="text1"/>
          <w:szCs w:val="24"/>
          <w:lang w:val="en-GB"/>
        </w:rPr>
        <w:t xml:space="preserve">, 61(S1), pp. 1815–1849. Available at: </w:t>
      </w:r>
      <w:hyperlink r:id="rId18" w:tgtFrame="_new" w:history="1">
        <w:r w:rsidRPr="00487B84">
          <w:rPr>
            <w:rStyle w:val="Hyperlink"/>
            <w:rFonts w:ascii="Arial" w:hAnsi="Arial" w:cs="Arial"/>
            <w:color w:val="000000" w:themeColor="text1"/>
            <w:szCs w:val="24"/>
            <w:lang w:val="en-GB"/>
          </w:rPr>
          <w:t>https://doi.org/10.1111/acfi.12645</w:t>
        </w:r>
      </w:hyperlink>
      <w:r w:rsidRPr="00487B84">
        <w:rPr>
          <w:rFonts w:ascii="Arial" w:hAnsi="Arial" w:cs="Arial"/>
          <w:color w:val="000000" w:themeColor="text1"/>
          <w:szCs w:val="24"/>
          <w:lang w:val="en-GB"/>
        </w:rPr>
        <w:t xml:space="preserve"> [Accessed: 7 August 2026].</w:t>
      </w:r>
    </w:p>
    <w:p w14:paraId="3F49AB1F"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Kumar C V, S. and Agrawal, R., 2024. </w:t>
      </w:r>
      <w:r w:rsidRPr="00487B84">
        <w:rPr>
          <w:rFonts w:ascii="Arial" w:hAnsi="Arial" w:cs="Arial"/>
          <w:i/>
          <w:iCs/>
          <w:color w:val="000000" w:themeColor="text1"/>
          <w:szCs w:val="24"/>
          <w:lang w:val="en-GB"/>
        </w:rPr>
        <w:t>Developing customer convenience and experience through increased competency and efficiency: A strategic approach to retail operations mastery</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Heliyon</w:t>
      </w:r>
      <w:r w:rsidRPr="00487B84">
        <w:rPr>
          <w:rFonts w:ascii="Arial" w:hAnsi="Arial" w:cs="Arial"/>
          <w:color w:val="000000" w:themeColor="text1"/>
          <w:szCs w:val="24"/>
          <w:lang w:val="en-GB"/>
        </w:rPr>
        <w:t xml:space="preserve">, 10(16), e36395. Available at: </w:t>
      </w:r>
      <w:hyperlink r:id="rId19" w:tgtFrame="_new" w:history="1">
        <w:r w:rsidRPr="00487B84">
          <w:rPr>
            <w:rStyle w:val="Hyperlink"/>
            <w:rFonts w:ascii="Arial" w:hAnsi="Arial" w:cs="Arial"/>
            <w:color w:val="000000" w:themeColor="text1"/>
            <w:szCs w:val="24"/>
            <w:lang w:val="en-GB"/>
          </w:rPr>
          <w:t>https://doi.org/10.1016/j.heliyon.2024.e36395</w:t>
        </w:r>
      </w:hyperlink>
      <w:r w:rsidRPr="00487B84">
        <w:rPr>
          <w:rFonts w:ascii="Arial" w:hAnsi="Arial" w:cs="Arial"/>
          <w:color w:val="000000" w:themeColor="text1"/>
          <w:szCs w:val="24"/>
          <w:lang w:val="en-GB"/>
        </w:rPr>
        <w:t xml:space="preserve"> [Accessed: 7 August 2026].</w:t>
      </w:r>
    </w:p>
    <w:p w14:paraId="083697F6"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Liu, Y. and Song, X., 2024. </w:t>
      </w:r>
      <w:r w:rsidRPr="00487B84">
        <w:rPr>
          <w:rFonts w:ascii="Arial" w:hAnsi="Arial" w:cs="Arial"/>
          <w:i/>
          <w:iCs/>
          <w:color w:val="000000" w:themeColor="text1"/>
          <w:szCs w:val="24"/>
          <w:lang w:val="en-GB"/>
        </w:rPr>
        <w:t>Factors affecting supply chain integration in omni-channel retailing</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Sustainability</w:t>
      </w:r>
      <w:r w:rsidRPr="00487B84">
        <w:rPr>
          <w:rFonts w:ascii="Arial" w:hAnsi="Arial" w:cs="Arial"/>
          <w:color w:val="000000" w:themeColor="text1"/>
          <w:szCs w:val="24"/>
          <w:lang w:val="en-GB"/>
        </w:rPr>
        <w:t xml:space="preserve">, 16(8), 3445. Available at: </w:t>
      </w:r>
      <w:hyperlink r:id="rId20" w:tgtFrame="_new" w:history="1">
        <w:r w:rsidRPr="00487B84">
          <w:rPr>
            <w:rStyle w:val="Hyperlink"/>
            <w:rFonts w:ascii="Arial" w:hAnsi="Arial" w:cs="Arial"/>
            <w:color w:val="000000" w:themeColor="text1"/>
            <w:szCs w:val="24"/>
            <w:lang w:val="en-GB"/>
          </w:rPr>
          <w:t>https://doi.org/10.3390/su16083445</w:t>
        </w:r>
      </w:hyperlink>
      <w:r w:rsidRPr="00487B84">
        <w:rPr>
          <w:rFonts w:ascii="Arial" w:hAnsi="Arial" w:cs="Arial"/>
          <w:color w:val="000000" w:themeColor="text1"/>
          <w:szCs w:val="24"/>
          <w:lang w:val="en-GB"/>
        </w:rPr>
        <w:t xml:space="preserve"> [Accessed: 7 August 2026].</w:t>
      </w:r>
    </w:p>
    <w:p w14:paraId="317067B9"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Massi, M., Piancatelli, C. and Vocino, A., 2023. </w:t>
      </w:r>
      <w:r w:rsidRPr="00487B84">
        <w:rPr>
          <w:rFonts w:ascii="Arial" w:hAnsi="Arial" w:cs="Arial"/>
          <w:i/>
          <w:iCs/>
          <w:color w:val="000000" w:themeColor="text1"/>
          <w:szCs w:val="24"/>
          <w:lang w:val="en-GB"/>
        </w:rPr>
        <w:t>Authentic omnichannel: Providing consumers with a seamless brand experience through authenticity</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Psychology &amp; Marketing</w:t>
      </w:r>
      <w:r w:rsidRPr="00487B84">
        <w:rPr>
          <w:rFonts w:ascii="Arial" w:hAnsi="Arial" w:cs="Arial"/>
          <w:color w:val="000000" w:themeColor="text1"/>
          <w:szCs w:val="24"/>
          <w:lang w:val="en-GB"/>
        </w:rPr>
        <w:t xml:space="preserve">, 40(7), pp. 1280–1298. Available at: </w:t>
      </w:r>
      <w:hyperlink r:id="rId21" w:tgtFrame="_new" w:history="1">
        <w:r w:rsidRPr="00487B84">
          <w:rPr>
            <w:rStyle w:val="Hyperlink"/>
            <w:rFonts w:ascii="Arial" w:hAnsi="Arial" w:cs="Arial"/>
            <w:color w:val="000000" w:themeColor="text1"/>
            <w:szCs w:val="24"/>
            <w:lang w:val="en-GB"/>
          </w:rPr>
          <w:t>https://doi.org/10.1002/mar.21815</w:t>
        </w:r>
      </w:hyperlink>
      <w:r w:rsidRPr="00487B84">
        <w:rPr>
          <w:rFonts w:ascii="Arial" w:hAnsi="Arial" w:cs="Arial"/>
          <w:color w:val="000000" w:themeColor="text1"/>
          <w:szCs w:val="24"/>
          <w:lang w:val="en-GB"/>
        </w:rPr>
        <w:t xml:space="preserve"> [Accessed: 7 August 2026].</w:t>
      </w:r>
    </w:p>
    <w:p w14:paraId="4047F641"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Mello, L.V., 2021. </w:t>
      </w:r>
      <w:r w:rsidRPr="00487B84">
        <w:rPr>
          <w:rFonts w:ascii="Arial" w:hAnsi="Arial" w:cs="Arial"/>
          <w:i/>
          <w:iCs/>
          <w:color w:val="000000" w:themeColor="text1"/>
          <w:szCs w:val="24"/>
          <w:lang w:val="en-GB"/>
        </w:rPr>
        <w:t>A structured reflective process supports student awareness of employability skills development in a science placement module</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FEBS Open Bio</w:t>
      </w:r>
      <w:r w:rsidRPr="00487B84">
        <w:rPr>
          <w:rFonts w:ascii="Arial" w:hAnsi="Arial" w:cs="Arial"/>
          <w:color w:val="000000" w:themeColor="text1"/>
          <w:szCs w:val="24"/>
          <w:lang w:val="en-GB"/>
        </w:rPr>
        <w:t xml:space="preserve">, 11(6), pp. 1524–1536. Available at: </w:t>
      </w:r>
      <w:hyperlink r:id="rId22" w:tgtFrame="_new" w:history="1">
        <w:r w:rsidRPr="00487B84">
          <w:rPr>
            <w:rStyle w:val="Hyperlink"/>
            <w:rFonts w:ascii="Arial" w:hAnsi="Arial" w:cs="Arial"/>
            <w:color w:val="000000" w:themeColor="text1"/>
            <w:szCs w:val="24"/>
            <w:lang w:val="en-GB"/>
          </w:rPr>
          <w:t>https://doi.org/10.1002/2211-5463.13158</w:t>
        </w:r>
      </w:hyperlink>
      <w:r w:rsidRPr="00487B84">
        <w:rPr>
          <w:rFonts w:ascii="Arial" w:hAnsi="Arial" w:cs="Arial"/>
          <w:color w:val="000000" w:themeColor="text1"/>
          <w:szCs w:val="24"/>
          <w:lang w:val="en-GB"/>
        </w:rPr>
        <w:t xml:space="preserve"> [Accessed: 7 August 2026].</w:t>
      </w:r>
    </w:p>
    <w:p w14:paraId="23BEF17C"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lastRenderedPageBreak/>
        <w:t xml:space="preserve">O'Connor, A. and McCurtin, A., 2021. </w:t>
      </w:r>
      <w:r w:rsidRPr="00487B84">
        <w:rPr>
          <w:rFonts w:ascii="Arial" w:hAnsi="Arial" w:cs="Arial"/>
          <w:i/>
          <w:iCs/>
          <w:color w:val="000000" w:themeColor="text1"/>
          <w:szCs w:val="24"/>
          <w:lang w:val="en-GB"/>
        </w:rPr>
        <w:t>A feedback journey: Employing a constructivist approach to the development of feedback literacy among health professional learners</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BMC Medical Education</w:t>
      </w:r>
      <w:r w:rsidRPr="00487B84">
        <w:rPr>
          <w:rFonts w:ascii="Arial" w:hAnsi="Arial" w:cs="Arial"/>
          <w:color w:val="000000" w:themeColor="text1"/>
          <w:szCs w:val="24"/>
          <w:lang w:val="en-GB"/>
        </w:rPr>
        <w:t xml:space="preserve">, 21, 486. Available at: </w:t>
      </w:r>
      <w:hyperlink r:id="rId23" w:tgtFrame="_new" w:history="1">
        <w:r w:rsidRPr="00487B84">
          <w:rPr>
            <w:rStyle w:val="Hyperlink"/>
            <w:rFonts w:ascii="Arial" w:hAnsi="Arial" w:cs="Arial"/>
            <w:color w:val="000000" w:themeColor="text1"/>
            <w:szCs w:val="24"/>
            <w:lang w:val="en-GB"/>
          </w:rPr>
          <w:t>https://doi.org/10.1186/s12909-021-02914-2</w:t>
        </w:r>
      </w:hyperlink>
      <w:r w:rsidRPr="00487B84">
        <w:rPr>
          <w:rFonts w:ascii="Arial" w:hAnsi="Arial" w:cs="Arial"/>
          <w:color w:val="000000" w:themeColor="text1"/>
          <w:szCs w:val="24"/>
          <w:lang w:val="en-GB"/>
        </w:rPr>
        <w:t xml:space="preserve"> [Accessed: 7 August 2026].</w:t>
      </w:r>
    </w:p>
    <w:p w14:paraId="6F42DBAA" w14:textId="79BCDA09"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Office for National Statistics</w:t>
      </w:r>
      <w:r w:rsidR="00D807C2">
        <w:rPr>
          <w:rFonts w:ascii="Arial" w:hAnsi="Arial" w:cs="Arial"/>
          <w:color w:val="000000" w:themeColor="text1"/>
          <w:szCs w:val="24"/>
          <w:lang w:val="en-GB"/>
        </w:rPr>
        <w:t xml:space="preserve">., </w:t>
      </w:r>
      <w:r w:rsidRPr="00487B84">
        <w:rPr>
          <w:rFonts w:ascii="Arial" w:hAnsi="Arial" w:cs="Arial"/>
          <w:color w:val="000000" w:themeColor="text1"/>
          <w:szCs w:val="24"/>
          <w:lang w:val="en-GB"/>
        </w:rPr>
        <w:t>ONS</w:t>
      </w:r>
      <w:r w:rsidR="00D807C2">
        <w:rPr>
          <w:rFonts w:ascii="Arial" w:hAnsi="Arial" w:cs="Arial"/>
          <w:color w:val="000000" w:themeColor="text1"/>
          <w:szCs w:val="24"/>
          <w:lang w:val="en-GB"/>
        </w:rPr>
        <w:t>.</w:t>
      </w:r>
      <w:r w:rsidRPr="00487B84">
        <w:rPr>
          <w:rFonts w:ascii="Arial" w:hAnsi="Arial" w:cs="Arial"/>
          <w:color w:val="000000" w:themeColor="text1"/>
          <w:szCs w:val="24"/>
          <w:lang w:val="en-GB"/>
        </w:rPr>
        <w:t xml:space="preserve"> 2025. </w:t>
      </w:r>
      <w:r w:rsidRPr="00487B84">
        <w:rPr>
          <w:rFonts w:ascii="Arial" w:hAnsi="Arial" w:cs="Arial"/>
          <w:i/>
          <w:iCs/>
          <w:color w:val="000000" w:themeColor="text1"/>
          <w:szCs w:val="24"/>
          <w:lang w:val="en-GB"/>
        </w:rPr>
        <w:t>Retail sales, Great Britain: March 2025</w:t>
      </w:r>
      <w:r w:rsidRPr="00487B84">
        <w:rPr>
          <w:rFonts w:ascii="Arial" w:hAnsi="Arial" w:cs="Arial"/>
          <w:color w:val="000000" w:themeColor="text1"/>
          <w:szCs w:val="24"/>
          <w:lang w:val="en-GB"/>
        </w:rPr>
        <w:t xml:space="preserve">. Available at: </w:t>
      </w:r>
      <w:hyperlink r:id="rId24" w:tgtFrame="_new" w:history="1">
        <w:r w:rsidRPr="00487B84">
          <w:rPr>
            <w:rStyle w:val="Hyperlink"/>
            <w:rFonts w:ascii="Arial" w:hAnsi="Arial" w:cs="Arial"/>
            <w:color w:val="000000" w:themeColor="text1"/>
            <w:szCs w:val="24"/>
            <w:lang w:val="en-GB"/>
          </w:rPr>
          <w:t>https://www.ons.gov.uk/businessindustryandtrade/retailindustry/bulletins/retailsales/march2025</w:t>
        </w:r>
      </w:hyperlink>
      <w:r w:rsidRPr="00487B84">
        <w:rPr>
          <w:rFonts w:ascii="Arial" w:hAnsi="Arial" w:cs="Arial"/>
          <w:color w:val="000000" w:themeColor="text1"/>
          <w:szCs w:val="24"/>
          <w:lang w:val="en-GB"/>
        </w:rPr>
        <w:t xml:space="preserve"> [Accessed: 7 August 2026].</w:t>
      </w:r>
    </w:p>
    <w:p w14:paraId="72F1FCBE"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Oyasor, E.I. and Gbadebo, A.D., 2024. </w:t>
      </w:r>
      <w:r w:rsidRPr="00487B84">
        <w:rPr>
          <w:rFonts w:ascii="Arial" w:hAnsi="Arial" w:cs="Arial"/>
          <w:i/>
          <w:iCs/>
          <w:color w:val="000000" w:themeColor="text1"/>
          <w:szCs w:val="24"/>
          <w:lang w:val="en-GB"/>
        </w:rPr>
        <w:t>Strategic decisions for business sustainability: Evidence based on the five C analysis and PEST analysis</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International Journal of Professional Business Review</w:t>
      </w:r>
      <w:r w:rsidRPr="00487B84">
        <w:rPr>
          <w:rFonts w:ascii="Arial" w:hAnsi="Arial" w:cs="Arial"/>
          <w:color w:val="000000" w:themeColor="text1"/>
          <w:szCs w:val="24"/>
          <w:lang w:val="en-GB"/>
        </w:rPr>
        <w:t xml:space="preserve">, 9(11). Available at: </w:t>
      </w:r>
      <w:hyperlink r:id="rId25" w:tgtFrame="_new" w:history="1">
        <w:r w:rsidRPr="00487B84">
          <w:rPr>
            <w:rStyle w:val="Hyperlink"/>
            <w:rFonts w:ascii="Arial" w:hAnsi="Arial" w:cs="Arial"/>
            <w:color w:val="000000" w:themeColor="text1"/>
            <w:szCs w:val="24"/>
            <w:lang w:val="en-GB"/>
          </w:rPr>
          <w:t>https://doi.org/10.26668/businessreview/2024.v9i11.5100</w:t>
        </w:r>
      </w:hyperlink>
      <w:r w:rsidRPr="00487B84">
        <w:rPr>
          <w:rFonts w:ascii="Arial" w:hAnsi="Arial" w:cs="Arial"/>
          <w:color w:val="000000" w:themeColor="text1"/>
          <w:szCs w:val="24"/>
          <w:lang w:val="en-GB"/>
        </w:rPr>
        <w:t xml:space="preserve"> [Accessed: 7 August 2026].</w:t>
      </w:r>
    </w:p>
    <w:p w14:paraId="487A0C1E"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Prilla, M., Blunk, O. and Chounta, I.-A., 2020. </w:t>
      </w:r>
      <w:r w:rsidRPr="00487B84">
        <w:rPr>
          <w:rFonts w:ascii="Arial" w:hAnsi="Arial" w:cs="Arial"/>
          <w:i/>
          <w:iCs/>
          <w:color w:val="000000" w:themeColor="text1"/>
          <w:szCs w:val="24"/>
          <w:lang w:val="en-GB"/>
        </w:rPr>
        <w:t>How does collaborative reflection unfold in online communities? An analysis of two data sets</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Computer Supported Cooperative Work</w:t>
      </w:r>
      <w:r w:rsidRPr="00487B84">
        <w:rPr>
          <w:rFonts w:ascii="Arial" w:hAnsi="Arial" w:cs="Arial"/>
          <w:color w:val="000000" w:themeColor="text1"/>
          <w:szCs w:val="24"/>
          <w:lang w:val="en-GB"/>
        </w:rPr>
        <w:t xml:space="preserve">, 29, pp. 697–741. Available at: </w:t>
      </w:r>
      <w:hyperlink r:id="rId26" w:tgtFrame="_new" w:history="1">
        <w:r w:rsidRPr="00487B84">
          <w:rPr>
            <w:rStyle w:val="Hyperlink"/>
            <w:rFonts w:ascii="Arial" w:hAnsi="Arial" w:cs="Arial"/>
            <w:color w:val="000000" w:themeColor="text1"/>
            <w:szCs w:val="24"/>
            <w:lang w:val="en-GB"/>
          </w:rPr>
          <w:t>https://doi.org/10.1007/s10606-020-09382-0</w:t>
        </w:r>
      </w:hyperlink>
      <w:r w:rsidRPr="00487B84">
        <w:rPr>
          <w:rFonts w:ascii="Arial" w:hAnsi="Arial" w:cs="Arial"/>
          <w:color w:val="000000" w:themeColor="text1"/>
          <w:szCs w:val="24"/>
          <w:lang w:val="en-GB"/>
        </w:rPr>
        <w:t xml:space="preserve"> [Accessed: 7 August 2026].</w:t>
      </w:r>
    </w:p>
    <w:p w14:paraId="0D2FC7EC"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Quezada, L.E., Reinao, E.A., Palominos, P. and Oddershede, A., 2020. </w:t>
      </w:r>
      <w:r w:rsidRPr="00487B84">
        <w:rPr>
          <w:rFonts w:ascii="Arial" w:hAnsi="Arial" w:cs="Arial"/>
          <w:i/>
          <w:iCs/>
          <w:color w:val="000000" w:themeColor="text1"/>
          <w:szCs w:val="24"/>
          <w:lang w:val="en-GB"/>
        </w:rPr>
        <w:t>Measuring performance using SWOT analysis and balanced scorecard</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Procedia Manufacturing</w:t>
      </w:r>
      <w:r w:rsidRPr="00487B84">
        <w:rPr>
          <w:rFonts w:ascii="Arial" w:hAnsi="Arial" w:cs="Arial"/>
          <w:color w:val="000000" w:themeColor="text1"/>
          <w:szCs w:val="24"/>
          <w:lang w:val="en-GB"/>
        </w:rPr>
        <w:t xml:space="preserve">, 39, pp. 786–793. Available at: </w:t>
      </w:r>
      <w:hyperlink r:id="rId27" w:tgtFrame="_new" w:history="1">
        <w:r w:rsidRPr="00487B84">
          <w:rPr>
            <w:rStyle w:val="Hyperlink"/>
            <w:rFonts w:ascii="Arial" w:hAnsi="Arial" w:cs="Arial"/>
            <w:color w:val="000000" w:themeColor="text1"/>
            <w:szCs w:val="24"/>
            <w:lang w:val="en-GB"/>
          </w:rPr>
          <w:t>https://doi.org/10.1016/j.promfg.2020.01.430</w:t>
        </w:r>
      </w:hyperlink>
      <w:r w:rsidRPr="00487B84">
        <w:rPr>
          <w:rFonts w:ascii="Arial" w:hAnsi="Arial" w:cs="Arial"/>
          <w:color w:val="000000" w:themeColor="text1"/>
          <w:szCs w:val="24"/>
          <w:lang w:val="en-GB"/>
        </w:rPr>
        <w:t xml:space="preserve"> [Accessed: 7 August 2026].</w:t>
      </w:r>
    </w:p>
    <w:p w14:paraId="7D156739" w14:textId="736CFB3A"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Reuters</w:t>
      </w:r>
      <w:r w:rsidR="003E138B">
        <w:rPr>
          <w:rFonts w:ascii="Arial" w:hAnsi="Arial" w:cs="Arial"/>
          <w:color w:val="000000" w:themeColor="text1"/>
          <w:szCs w:val="24"/>
          <w:lang w:val="en-GB"/>
        </w:rPr>
        <w:t>.</w:t>
      </w:r>
      <w:r w:rsidRPr="00487B84">
        <w:rPr>
          <w:rFonts w:ascii="Arial" w:hAnsi="Arial" w:cs="Arial"/>
          <w:color w:val="000000" w:themeColor="text1"/>
          <w:szCs w:val="24"/>
          <w:lang w:val="en-GB"/>
        </w:rPr>
        <w:t xml:space="preserve">, 2024. </w:t>
      </w:r>
      <w:r w:rsidRPr="00487B84">
        <w:rPr>
          <w:rFonts w:ascii="Arial" w:hAnsi="Arial" w:cs="Arial"/>
          <w:i/>
          <w:iCs/>
          <w:color w:val="000000" w:themeColor="text1"/>
          <w:szCs w:val="24"/>
          <w:lang w:val="en-GB"/>
        </w:rPr>
        <w:t>H&amp;M to phase out virgin down by end of 2025</w:t>
      </w:r>
      <w:r w:rsidRPr="00487B84">
        <w:rPr>
          <w:rFonts w:ascii="Arial" w:hAnsi="Arial" w:cs="Arial"/>
          <w:color w:val="000000" w:themeColor="text1"/>
          <w:szCs w:val="24"/>
          <w:lang w:val="en-GB"/>
        </w:rPr>
        <w:t xml:space="preserve">. Available at: </w:t>
      </w:r>
      <w:hyperlink r:id="rId28" w:tgtFrame="_new" w:history="1">
        <w:r w:rsidRPr="00487B84">
          <w:rPr>
            <w:rStyle w:val="Hyperlink"/>
            <w:rFonts w:ascii="Arial" w:hAnsi="Arial" w:cs="Arial"/>
            <w:color w:val="000000" w:themeColor="text1"/>
            <w:szCs w:val="24"/>
            <w:lang w:val="en-GB"/>
          </w:rPr>
          <w:t>https://www.reuters.com/business/retail-consumer/hm-phase-out-virgin-down-by-end-2025-2024-10-04/</w:t>
        </w:r>
      </w:hyperlink>
      <w:r w:rsidRPr="00487B84">
        <w:rPr>
          <w:rFonts w:ascii="Arial" w:hAnsi="Arial" w:cs="Arial"/>
          <w:color w:val="000000" w:themeColor="text1"/>
          <w:szCs w:val="24"/>
          <w:lang w:val="en-GB"/>
        </w:rPr>
        <w:t xml:space="preserve"> [Accessed: 7 August 2026].</w:t>
      </w:r>
    </w:p>
    <w:p w14:paraId="3925E247" w14:textId="36EEDC9A"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Reuters</w:t>
      </w:r>
      <w:r w:rsidR="003E138B">
        <w:rPr>
          <w:rFonts w:ascii="Arial" w:hAnsi="Arial" w:cs="Arial"/>
          <w:color w:val="000000" w:themeColor="text1"/>
          <w:szCs w:val="24"/>
          <w:lang w:val="en-GB"/>
        </w:rPr>
        <w:t>.</w:t>
      </w:r>
      <w:r w:rsidRPr="00487B84">
        <w:rPr>
          <w:rFonts w:ascii="Arial" w:hAnsi="Arial" w:cs="Arial"/>
          <w:color w:val="000000" w:themeColor="text1"/>
          <w:szCs w:val="24"/>
          <w:lang w:val="en-GB"/>
        </w:rPr>
        <w:t xml:space="preserve">, 2025a. </w:t>
      </w:r>
      <w:r w:rsidRPr="00487B84">
        <w:rPr>
          <w:rFonts w:ascii="Arial" w:hAnsi="Arial" w:cs="Arial"/>
          <w:i/>
          <w:iCs/>
          <w:color w:val="000000" w:themeColor="text1"/>
          <w:szCs w:val="24"/>
          <w:lang w:val="en-GB"/>
        </w:rPr>
        <w:t>H&amp;M's fourth-quarter sales dented by late Black Friday</w:t>
      </w:r>
      <w:r w:rsidRPr="00487B84">
        <w:rPr>
          <w:rFonts w:ascii="Arial" w:hAnsi="Arial" w:cs="Arial"/>
          <w:color w:val="000000" w:themeColor="text1"/>
          <w:szCs w:val="24"/>
          <w:lang w:val="en-GB"/>
        </w:rPr>
        <w:t xml:space="preserve">. Available at: </w:t>
      </w:r>
      <w:hyperlink r:id="rId29" w:tgtFrame="_new" w:history="1">
        <w:r w:rsidRPr="00487B84">
          <w:rPr>
            <w:rStyle w:val="Hyperlink"/>
            <w:rFonts w:ascii="Arial" w:hAnsi="Arial" w:cs="Arial"/>
            <w:color w:val="000000" w:themeColor="text1"/>
            <w:szCs w:val="24"/>
            <w:lang w:val="en-GB"/>
          </w:rPr>
          <w:t>https://www.reuters.com/business/retail-consumer/hm-reports-weaker-than-expected-fourth-quarter-sales-2025-01-30/</w:t>
        </w:r>
      </w:hyperlink>
      <w:r w:rsidRPr="00487B84">
        <w:rPr>
          <w:rFonts w:ascii="Arial" w:hAnsi="Arial" w:cs="Arial"/>
          <w:color w:val="000000" w:themeColor="text1"/>
          <w:szCs w:val="24"/>
          <w:lang w:val="en-GB"/>
        </w:rPr>
        <w:t xml:space="preserve"> [Accessed: 7 August 2026].</w:t>
      </w:r>
    </w:p>
    <w:p w14:paraId="7D669F45" w14:textId="0491D598"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Reuters</w:t>
      </w:r>
      <w:r w:rsidR="003E138B">
        <w:rPr>
          <w:rFonts w:ascii="Arial" w:hAnsi="Arial" w:cs="Arial"/>
          <w:color w:val="000000" w:themeColor="text1"/>
          <w:szCs w:val="24"/>
          <w:lang w:val="en-GB"/>
        </w:rPr>
        <w:t>.</w:t>
      </w:r>
      <w:r w:rsidRPr="00487B84">
        <w:rPr>
          <w:rFonts w:ascii="Arial" w:hAnsi="Arial" w:cs="Arial"/>
          <w:color w:val="000000" w:themeColor="text1"/>
          <w:szCs w:val="24"/>
          <w:lang w:val="en-GB"/>
        </w:rPr>
        <w:t xml:space="preserve">, 2025b. </w:t>
      </w:r>
      <w:r w:rsidRPr="00487B84">
        <w:rPr>
          <w:rFonts w:ascii="Arial" w:hAnsi="Arial" w:cs="Arial"/>
          <w:i/>
          <w:iCs/>
          <w:color w:val="000000" w:themeColor="text1"/>
          <w:szCs w:val="24"/>
          <w:lang w:val="en-GB"/>
        </w:rPr>
        <w:t>H&amp;M reports sluggish start to spring sales</w:t>
      </w:r>
      <w:r w:rsidRPr="00487B84">
        <w:rPr>
          <w:rFonts w:ascii="Arial" w:hAnsi="Arial" w:cs="Arial"/>
          <w:color w:val="000000" w:themeColor="text1"/>
          <w:szCs w:val="24"/>
          <w:lang w:val="en-GB"/>
        </w:rPr>
        <w:t xml:space="preserve">. Available at: </w:t>
      </w:r>
      <w:hyperlink r:id="rId30" w:tgtFrame="_new" w:history="1">
        <w:r w:rsidRPr="00487B84">
          <w:rPr>
            <w:rStyle w:val="Hyperlink"/>
            <w:rFonts w:ascii="Arial" w:hAnsi="Arial" w:cs="Arial"/>
            <w:color w:val="000000" w:themeColor="text1"/>
            <w:szCs w:val="24"/>
            <w:lang w:val="en-GB"/>
          </w:rPr>
          <w:t>https://www.reuters.com/business/retail-consumer/hm-first-quarter-sales-weaker-than-expected-2025-03-27/</w:t>
        </w:r>
      </w:hyperlink>
      <w:r w:rsidRPr="00487B84">
        <w:rPr>
          <w:rFonts w:ascii="Arial" w:hAnsi="Arial" w:cs="Arial"/>
          <w:color w:val="000000" w:themeColor="text1"/>
          <w:szCs w:val="24"/>
          <w:lang w:val="en-GB"/>
        </w:rPr>
        <w:t xml:space="preserve"> [Accessed: 7 August 2026].</w:t>
      </w:r>
    </w:p>
    <w:p w14:paraId="64F92655" w14:textId="77777777" w:rsidR="00B225FC" w:rsidRPr="00487B84" w:rsidRDefault="00B225FC" w:rsidP="00487B84">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lastRenderedPageBreak/>
        <w:t xml:space="preserve">Tiwari, M., Bryde, D.J., Stavropoulou, F. and Malhotra, G., 2024. </w:t>
      </w:r>
      <w:r w:rsidRPr="00487B84">
        <w:rPr>
          <w:rFonts w:ascii="Arial" w:hAnsi="Arial" w:cs="Arial"/>
          <w:i/>
          <w:iCs/>
          <w:color w:val="000000" w:themeColor="text1"/>
          <w:szCs w:val="24"/>
          <w:lang w:val="en-GB"/>
        </w:rPr>
        <w:t>Understanding the evolution of flexible supply chain in the business-to-business sector: A resource-based theory perspective</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International Studies of Management &amp; Organization</w:t>
      </w:r>
      <w:r w:rsidRPr="00487B84">
        <w:rPr>
          <w:rFonts w:ascii="Arial" w:hAnsi="Arial" w:cs="Arial"/>
          <w:color w:val="000000" w:themeColor="text1"/>
          <w:szCs w:val="24"/>
          <w:lang w:val="en-GB"/>
        </w:rPr>
        <w:t xml:space="preserve">, 54(4), pp. 380–406. Available at: </w:t>
      </w:r>
      <w:hyperlink r:id="rId31" w:tgtFrame="_new" w:history="1">
        <w:r w:rsidRPr="00487B84">
          <w:rPr>
            <w:rStyle w:val="Hyperlink"/>
            <w:rFonts w:ascii="Arial" w:hAnsi="Arial" w:cs="Arial"/>
            <w:color w:val="000000" w:themeColor="text1"/>
            <w:szCs w:val="24"/>
            <w:lang w:val="en-GB"/>
          </w:rPr>
          <w:t>https://doi.org/10.1080/00208825.2024.2324245</w:t>
        </w:r>
      </w:hyperlink>
      <w:r w:rsidRPr="00487B84">
        <w:rPr>
          <w:rFonts w:ascii="Arial" w:hAnsi="Arial" w:cs="Arial"/>
          <w:color w:val="000000" w:themeColor="text1"/>
          <w:szCs w:val="24"/>
          <w:lang w:val="en-GB"/>
        </w:rPr>
        <w:t xml:space="preserve"> [Accessed: 7 August 2026].</w:t>
      </w:r>
    </w:p>
    <w:p w14:paraId="454065EB" w14:textId="77777777" w:rsidR="00B225FC" w:rsidRPr="00487B84" w:rsidRDefault="00B225FC" w:rsidP="00314445">
      <w:pPr>
        <w:spacing w:line="360" w:lineRule="auto"/>
        <w:rPr>
          <w:rFonts w:ascii="Arial" w:hAnsi="Arial" w:cs="Arial"/>
          <w:color w:val="000000" w:themeColor="text1"/>
          <w:szCs w:val="24"/>
          <w:lang w:val="en-GB"/>
        </w:rPr>
      </w:pPr>
      <w:r w:rsidRPr="00487B84">
        <w:rPr>
          <w:rFonts w:ascii="Arial" w:hAnsi="Arial" w:cs="Arial"/>
          <w:color w:val="000000" w:themeColor="text1"/>
          <w:szCs w:val="24"/>
          <w:lang w:val="en-GB"/>
        </w:rPr>
        <w:t xml:space="preserve">Yamamoto, S., 2020. </w:t>
      </w:r>
      <w:r w:rsidRPr="00487B84">
        <w:rPr>
          <w:rFonts w:ascii="Arial" w:hAnsi="Arial" w:cs="Arial"/>
          <w:i/>
          <w:iCs/>
          <w:color w:val="000000" w:themeColor="text1"/>
          <w:szCs w:val="24"/>
          <w:lang w:val="en-GB"/>
        </w:rPr>
        <w:t>A strategic map for digital transformation</w:t>
      </w:r>
      <w:r w:rsidRPr="00487B84">
        <w:rPr>
          <w:rFonts w:ascii="Arial" w:hAnsi="Arial" w:cs="Arial"/>
          <w:color w:val="000000" w:themeColor="text1"/>
          <w:szCs w:val="24"/>
          <w:lang w:val="en-GB"/>
        </w:rPr>
        <w:t xml:space="preserve">. </w:t>
      </w:r>
      <w:r w:rsidRPr="00487B84">
        <w:rPr>
          <w:rFonts w:ascii="Arial" w:hAnsi="Arial" w:cs="Arial"/>
          <w:i/>
          <w:iCs/>
          <w:color w:val="000000" w:themeColor="text1"/>
          <w:szCs w:val="24"/>
          <w:lang w:val="en-GB"/>
        </w:rPr>
        <w:t>Procedia Computer Science</w:t>
      </w:r>
      <w:r w:rsidRPr="00487B84">
        <w:rPr>
          <w:rFonts w:ascii="Arial" w:hAnsi="Arial" w:cs="Arial"/>
          <w:color w:val="000000" w:themeColor="text1"/>
          <w:szCs w:val="24"/>
          <w:lang w:val="en-GB"/>
        </w:rPr>
        <w:t xml:space="preserve">, 176, pp. 1374–1381. Available at: </w:t>
      </w:r>
      <w:hyperlink r:id="rId32" w:tgtFrame="_new" w:history="1">
        <w:r w:rsidRPr="00487B84">
          <w:rPr>
            <w:rStyle w:val="Hyperlink"/>
            <w:rFonts w:ascii="Arial" w:hAnsi="Arial" w:cs="Arial"/>
            <w:color w:val="000000" w:themeColor="text1"/>
            <w:szCs w:val="24"/>
            <w:lang w:val="en-GB"/>
          </w:rPr>
          <w:t>https://doi.org/10.1016/j.procs.2020.09.147</w:t>
        </w:r>
      </w:hyperlink>
      <w:r w:rsidRPr="00487B84">
        <w:rPr>
          <w:rFonts w:ascii="Arial" w:hAnsi="Arial" w:cs="Arial"/>
          <w:color w:val="000000" w:themeColor="text1"/>
          <w:szCs w:val="24"/>
          <w:lang w:val="en-GB"/>
        </w:rPr>
        <w:t xml:space="preserve"> [Accessed: 7 August 2026].</w:t>
      </w:r>
    </w:p>
    <w:p w14:paraId="5D30BCD0" w14:textId="77777777" w:rsidR="000265FA" w:rsidRPr="00487B84" w:rsidRDefault="000265FA" w:rsidP="00314445">
      <w:pPr>
        <w:spacing w:line="360" w:lineRule="auto"/>
        <w:rPr>
          <w:rFonts w:ascii="Arial" w:hAnsi="Arial" w:cs="Arial"/>
          <w:vanish/>
          <w:color w:val="000000" w:themeColor="text1"/>
          <w:szCs w:val="24"/>
          <w:lang w:val="en-GB"/>
        </w:rPr>
      </w:pPr>
      <w:r w:rsidRPr="00487B84">
        <w:rPr>
          <w:rFonts w:ascii="Arial" w:hAnsi="Arial" w:cs="Arial"/>
          <w:vanish/>
          <w:color w:val="000000" w:themeColor="text1"/>
          <w:szCs w:val="24"/>
          <w:lang w:val="en-GB"/>
        </w:rPr>
        <w:t>Top of Form</w:t>
      </w:r>
    </w:p>
    <w:p w14:paraId="31C84C75" w14:textId="77777777" w:rsidR="000265FA" w:rsidRPr="00487B84" w:rsidRDefault="000265FA" w:rsidP="00314445">
      <w:pPr>
        <w:spacing w:line="360" w:lineRule="auto"/>
        <w:rPr>
          <w:rFonts w:ascii="Arial" w:hAnsi="Arial" w:cs="Arial"/>
          <w:vanish/>
          <w:color w:val="000000" w:themeColor="text1"/>
          <w:szCs w:val="24"/>
          <w:lang w:val="en-GB"/>
        </w:rPr>
      </w:pPr>
      <w:r w:rsidRPr="00487B84">
        <w:rPr>
          <w:rFonts w:ascii="Arial" w:hAnsi="Arial" w:cs="Arial"/>
          <w:vanish/>
          <w:color w:val="000000" w:themeColor="text1"/>
          <w:szCs w:val="24"/>
          <w:lang w:val="en-GB"/>
        </w:rPr>
        <w:t>Bottom of Form</w:t>
      </w:r>
    </w:p>
    <w:p w14:paraId="6C29F69F" w14:textId="77777777" w:rsidR="000265FA" w:rsidRPr="00487B84" w:rsidRDefault="000265FA" w:rsidP="00314445">
      <w:pPr>
        <w:spacing w:line="360" w:lineRule="auto"/>
        <w:rPr>
          <w:rFonts w:ascii="Arial" w:eastAsiaTheme="majorEastAsia" w:hAnsi="Arial" w:cs="Arial"/>
          <w:b/>
          <w:color w:val="000000" w:themeColor="text1"/>
          <w:kern w:val="2"/>
          <w:szCs w:val="24"/>
          <w:lang w:val="en-GB"/>
          <w14:ligatures w14:val="standardContextual"/>
        </w:rPr>
      </w:pPr>
    </w:p>
    <w:sectPr w:rsidR="000265FA" w:rsidRPr="00487B84" w:rsidSect="001A6B26">
      <w:footerReference w:type="default" r:id="rId33"/>
      <w:pgSz w:w="11906" w:h="16838"/>
      <w:pgMar w:top="1440" w:right="1440" w:bottom="1440" w:left="1440" w:header="708" w:footer="708" w:gutter="0"/>
      <w:pgBorders w:offsetFrom="page">
        <w:top w:val="double" w:sz="18" w:space="24" w:color="auto"/>
        <w:left w:val="double" w:sz="18" w:space="24" w:color="auto"/>
        <w:bottom w:val="double" w:sz="18" w:space="24" w:color="auto"/>
        <w:right w:val="double" w:sz="18"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3EB309" w14:textId="77777777" w:rsidR="005A0203" w:rsidRDefault="005A0203" w:rsidP="001A6B26">
      <w:pPr>
        <w:spacing w:after="0" w:line="240" w:lineRule="auto"/>
      </w:pPr>
      <w:r>
        <w:separator/>
      </w:r>
    </w:p>
  </w:endnote>
  <w:endnote w:type="continuationSeparator" w:id="0">
    <w:p w14:paraId="404EBABE" w14:textId="77777777" w:rsidR="005A0203" w:rsidRDefault="005A0203" w:rsidP="001A6B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62766485"/>
      <w:docPartObj>
        <w:docPartGallery w:val="Page Numbers (Bottom of Page)"/>
        <w:docPartUnique/>
      </w:docPartObj>
    </w:sdtPr>
    <w:sdtEndPr>
      <w:rPr>
        <w:noProof/>
      </w:rPr>
    </w:sdtEndPr>
    <w:sdtContent>
      <w:p w14:paraId="588A8B4C" w14:textId="77777777" w:rsidR="001A6B26" w:rsidRDefault="001A6B26">
        <w:pPr>
          <w:pStyle w:val="Footer"/>
          <w:jc w:val="right"/>
        </w:pPr>
        <w:r>
          <w:fldChar w:fldCharType="begin"/>
        </w:r>
        <w:r>
          <w:instrText xml:space="preserve"> PAGE   \* MERGEFORMAT </w:instrText>
        </w:r>
        <w:r>
          <w:fldChar w:fldCharType="separate"/>
        </w:r>
        <w:r w:rsidR="00BC684E">
          <w:rPr>
            <w:noProof/>
          </w:rPr>
          <w:t>2</w:t>
        </w:r>
        <w:r>
          <w:rPr>
            <w:noProof/>
          </w:rPr>
          <w:fldChar w:fldCharType="end"/>
        </w:r>
      </w:p>
    </w:sdtContent>
  </w:sdt>
  <w:p w14:paraId="560ECA3C" w14:textId="77777777" w:rsidR="001A6B26" w:rsidRDefault="001A6B2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97A4AD" w14:textId="77777777" w:rsidR="005A0203" w:rsidRDefault="005A0203" w:rsidP="001A6B26">
      <w:pPr>
        <w:spacing w:after="0" w:line="240" w:lineRule="auto"/>
      </w:pPr>
      <w:r>
        <w:separator/>
      </w:r>
    </w:p>
  </w:footnote>
  <w:footnote w:type="continuationSeparator" w:id="0">
    <w:p w14:paraId="1C82040A" w14:textId="77777777" w:rsidR="005A0203" w:rsidRDefault="005A0203" w:rsidP="001A6B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61C7"/>
    <w:rsid w:val="000015AA"/>
    <w:rsid w:val="000265FA"/>
    <w:rsid w:val="00060C43"/>
    <w:rsid w:val="000A1595"/>
    <w:rsid w:val="000C35E4"/>
    <w:rsid w:val="000E398C"/>
    <w:rsid w:val="000F1BB5"/>
    <w:rsid w:val="00113F4B"/>
    <w:rsid w:val="001633F6"/>
    <w:rsid w:val="00185ADD"/>
    <w:rsid w:val="001A6B26"/>
    <w:rsid w:val="001B3203"/>
    <w:rsid w:val="001B5690"/>
    <w:rsid w:val="001D30A8"/>
    <w:rsid w:val="001E3016"/>
    <w:rsid w:val="00204D8B"/>
    <w:rsid w:val="00213060"/>
    <w:rsid w:val="00233D72"/>
    <w:rsid w:val="002519B2"/>
    <w:rsid w:val="00292F08"/>
    <w:rsid w:val="00314445"/>
    <w:rsid w:val="00323781"/>
    <w:rsid w:val="00325A7D"/>
    <w:rsid w:val="003471F3"/>
    <w:rsid w:val="00376022"/>
    <w:rsid w:val="00377E00"/>
    <w:rsid w:val="003908CA"/>
    <w:rsid w:val="003B2C59"/>
    <w:rsid w:val="003D3DFF"/>
    <w:rsid w:val="003E138B"/>
    <w:rsid w:val="00411149"/>
    <w:rsid w:val="0043087D"/>
    <w:rsid w:val="004366D1"/>
    <w:rsid w:val="00487B84"/>
    <w:rsid w:val="00493E6B"/>
    <w:rsid w:val="004A7806"/>
    <w:rsid w:val="004B4D25"/>
    <w:rsid w:val="005866FF"/>
    <w:rsid w:val="005A0203"/>
    <w:rsid w:val="005A04B9"/>
    <w:rsid w:val="005D1862"/>
    <w:rsid w:val="005D5D53"/>
    <w:rsid w:val="005E48C1"/>
    <w:rsid w:val="0068685F"/>
    <w:rsid w:val="006A5ED0"/>
    <w:rsid w:val="006C1BF4"/>
    <w:rsid w:val="006E18BD"/>
    <w:rsid w:val="00705B17"/>
    <w:rsid w:val="00716E53"/>
    <w:rsid w:val="00722BF7"/>
    <w:rsid w:val="007467B7"/>
    <w:rsid w:val="007B6250"/>
    <w:rsid w:val="007D1297"/>
    <w:rsid w:val="007D13F1"/>
    <w:rsid w:val="007D3483"/>
    <w:rsid w:val="008203CE"/>
    <w:rsid w:val="00826E35"/>
    <w:rsid w:val="008439DE"/>
    <w:rsid w:val="00843E82"/>
    <w:rsid w:val="00844E0E"/>
    <w:rsid w:val="00855093"/>
    <w:rsid w:val="0087557D"/>
    <w:rsid w:val="008A7A9E"/>
    <w:rsid w:val="008F215F"/>
    <w:rsid w:val="00910532"/>
    <w:rsid w:val="00915A2E"/>
    <w:rsid w:val="00935878"/>
    <w:rsid w:val="0096426A"/>
    <w:rsid w:val="0097079B"/>
    <w:rsid w:val="009772EA"/>
    <w:rsid w:val="009A1EBD"/>
    <w:rsid w:val="009C3C7F"/>
    <w:rsid w:val="009C557D"/>
    <w:rsid w:val="00A0524B"/>
    <w:rsid w:val="00A43434"/>
    <w:rsid w:val="00A50367"/>
    <w:rsid w:val="00A5669A"/>
    <w:rsid w:val="00A61E51"/>
    <w:rsid w:val="00A661C7"/>
    <w:rsid w:val="00A73E9D"/>
    <w:rsid w:val="00AC7ACB"/>
    <w:rsid w:val="00AD5366"/>
    <w:rsid w:val="00B06B2A"/>
    <w:rsid w:val="00B225FC"/>
    <w:rsid w:val="00B3379B"/>
    <w:rsid w:val="00B46758"/>
    <w:rsid w:val="00B67D86"/>
    <w:rsid w:val="00B7031C"/>
    <w:rsid w:val="00B73383"/>
    <w:rsid w:val="00B74B20"/>
    <w:rsid w:val="00B81F4A"/>
    <w:rsid w:val="00B96E48"/>
    <w:rsid w:val="00BA0AE8"/>
    <w:rsid w:val="00BB6BAD"/>
    <w:rsid w:val="00BC684E"/>
    <w:rsid w:val="00BF5F44"/>
    <w:rsid w:val="00C11439"/>
    <w:rsid w:val="00C13B86"/>
    <w:rsid w:val="00C3007D"/>
    <w:rsid w:val="00C37A35"/>
    <w:rsid w:val="00CA366F"/>
    <w:rsid w:val="00CC0A86"/>
    <w:rsid w:val="00CF7D73"/>
    <w:rsid w:val="00D807C2"/>
    <w:rsid w:val="00DC2118"/>
    <w:rsid w:val="00DE17CD"/>
    <w:rsid w:val="00E23091"/>
    <w:rsid w:val="00E352FC"/>
    <w:rsid w:val="00E5160E"/>
    <w:rsid w:val="00E52C00"/>
    <w:rsid w:val="00E54B72"/>
    <w:rsid w:val="00E6089D"/>
    <w:rsid w:val="00E75822"/>
    <w:rsid w:val="00EA5061"/>
    <w:rsid w:val="00ED143D"/>
    <w:rsid w:val="00ED3BC6"/>
    <w:rsid w:val="00F14E6E"/>
    <w:rsid w:val="00F24E11"/>
    <w:rsid w:val="00F62B97"/>
    <w:rsid w:val="00FA6C6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45288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65FA"/>
    <w:pPr>
      <w:spacing w:before="240" w:after="240" w:line="480" w:lineRule="auto"/>
      <w:jc w:val="both"/>
    </w:pPr>
    <w:rPr>
      <w:rFonts w:ascii="Times New Roman" w:eastAsia="Times New Roman" w:hAnsi="Times New Roman"/>
      <w:color w:val="000000"/>
      <w:kern w:val="0"/>
      <w:szCs w:val="22"/>
      <w:lang w:val="en-US"/>
      <w14:ligatures w14:val="none"/>
    </w:rPr>
  </w:style>
  <w:style w:type="paragraph" w:styleId="Heading1">
    <w:name w:val="heading 1"/>
    <w:basedOn w:val="Normal"/>
    <w:next w:val="Normal"/>
    <w:link w:val="Heading1Char"/>
    <w:uiPriority w:val="9"/>
    <w:qFormat/>
    <w:rsid w:val="00F62B97"/>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F62B9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A661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61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61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61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61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61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61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B97"/>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F62B97"/>
    <w:rPr>
      <w:rFonts w:ascii="Times New Roman" w:eastAsiaTheme="majorEastAsia" w:hAnsi="Times New Roman" w:cstheme="majorBidi"/>
      <w:b/>
      <w:color w:val="000000" w:themeColor="text1"/>
      <w:szCs w:val="32"/>
      <w:lang w:val="en-GB"/>
    </w:rPr>
  </w:style>
  <w:style w:type="character" w:customStyle="1" w:styleId="Heading3Char">
    <w:name w:val="Heading 3 Char"/>
    <w:basedOn w:val="DefaultParagraphFont"/>
    <w:link w:val="Heading3"/>
    <w:uiPriority w:val="9"/>
    <w:semiHidden/>
    <w:rsid w:val="00A661C7"/>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661C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661C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661C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661C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661C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661C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661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1C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661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61C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661C7"/>
    <w:pPr>
      <w:spacing w:before="160"/>
      <w:jc w:val="center"/>
    </w:pPr>
    <w:rPr>
      <w:i/>
      <w:iCs/>
      <w:color w:val="404040" w:themeColor="text1" w:themeTint="BF"/>
    </w:rPr>
  </w:style>
  <w:style w:type="character" w:customStyle="1" w:styleId="QuoteChar">
    <w:name w:val="Quote Char"/>
    <w:basedOn w:val="DefaultParagraphFont"/>
    <w:link w:val="Quote"/>
    <w:uiPriority w:val="29"/>
    <w:rsid w:val="00A661C7"/>
    <w:rPr>
      <w:i/>
      <w:iCs/>
      <w:color w:val="404040" w:themeColor="text1" w:themeTint="BF"/>
      <w:lang w:val="en-GB"/>
    </w:rPr>
  </w:style>
  <w:style w:type="paragraph" w:styleId="ListParagraph">
    <w:name w:val="List Paragraph"/>
    <w:basedOn w:val="Normal"/>
    <w:uiPriority w:val="34"/>
    <w:qFormat/>
    <w:rsid w:val="00A661C7"/>
    <w:pPr>
      <w:ind w:left="720"/>
      <w:contextualSpacing/>
    </w:pPr>
  </w:style>
  <w:style w:type="character" w:styleId="IntenseEmphasis">
    <w:name w:val="Intense Emphasis"/>
    <w:basedOn w:val="DefaultParagraphFont"/>
    <w:uiPriority w:val="21"/>
    <w:qFormat/>
    <w:rsid w:val="00A661C7"/>
    <w:rPr>
      <w:i/>
      <w:iCs/>
      <w:color w:val="0F4761" w:themeColor="accent1" w:themeShade="BF"/>
    </w:rPr>
  </w:style>
  <w:style w:type="paragraph" w:styleId="IntenseQuote">
    <w:name w:val="Intense Quote"/>
    <w:basedOn w:val="Normal"/>
    <w:next w:val="Normal"/>
    <w:link w:val="IntenseQuoteChar"/>
    <w:uiPriority w:val="30"/>
    <w:qFormat/>
    <w:rsid w:val="00A661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61C7"/>
    <w:rPr>
      <w:i/>
      <w:iCs/>
      <w:color w:val="0F4761" w:themeColor="accent1" w:themeShade="BF"/>
      <w:lang w:val="en-GB"/>
    </w:rPr>
  </w:style>
  <w:style w:type="character" w:styleId="IntenseReference">
    <w:name w:val="Intense Reference"/>
    <w:basedOn w:val="DefaultParagraphFont"/>
    <w:uiPriority w:val="32"/>
    <w:qFormat/>
    <w:rsid w:val="00A661C7"/>
    <w:rPr>
      <w:b/>
      <w:bCs/>
      <w:smallCaps/>
      <w:color w:val="0F4761" w:themeColor="accent1" w:themeShade="BF"/>
      <w:spacing w:val="5"/>
    </w:rPr>
  </w:style>
  <w:style w:type="paragraph" w:styleId="Header">
    <w:name w:val="header"/>
    <w:basedOn w:val="Normal"/>
    <w:link w:val="HeaderChar"/>
    <w:uiPriority w:val="99"/>
    <w:unhideWhenUsed/>
    <w:rsid w:val="001A6B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B26"/>
    <w:rPr>
      <w:lang w:val="en-GB"/>
    </w:rPr>
  </w:style>
  <w:style w:type="paragraph" w:styleId="Footer">
    <w:name w:val="footer"/>
    <w:basedOn w:val="Normal"/>
    <w:link w:val="FooterChar"/>
    <w:uiPriority w:val="99"/>
    <w:unhideWhenUsed/>
    <w:rsid w:val="001A6B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B26"/>
    <w:rPr>
      <w:lang w:val="en-GB"/>
    </w:rPr>
  </w:style>
  <w:style w:type="character" w:styleId="Hyperlink">
    <w:name w:val="Hyperlink"/>
    <w:basedOn w:val="DefaultParagraphFont"/>
    <w:uiPriority w:val="99"/>
    <w:unhideWhenUsed/>
    <w:rsid w:val="00915A2E"/>
    <w:rPr>
      <w:color w:val="467886" w:themeColor="hyperlink"/>
      <w:u w:val="single"/>
    </w:rPr>
  </w:style>
  <w:style w:type="character" w:customStyle="1" w:styleId="UnresolvedMention">
    <w:name w:val="Unresolved Mention"/>
    <w:basedOn w:val="DefaultParagraphFont"/>
    <w:uiPriority w:val="99"/>
    <w:semiHidden/>
    <w:unhideWhenUsed/>
    <w:rsid w:val="00915A2E"/>
    <w:rPr>
      <w:color w:val="605E5C"/>
      <w:shd w:val="clear" w:color="auto" w:fill="E1DFDD"/>
    </w:rPr>
  </w:style>
  <w:style w:type="table" w:styleId="TableGrid">
    <w:name w:val="Table Grid"/>
    <w:basedOn w:val="TableNormal"/>
    <w:uiPriority w:val="39"/>
    <w:rsid w:val="001B569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0265FA"/>
    <w:pPr>
      <w:spacing w:before="240" w:after="0" w:line="259" w:lineRule="auto"/>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0265FA"/>
    <w:pPr>
      <w:spacing w:after="100"/>
    </w:pPr>
  </w:style>
  <w:style w:type="table" w:styleId="GridTable5Dark-Accent1">
    <w:name w:val="Grid Table 5 Dark Accent 1"/>
    <w:basedOn w:val="TableNormal"/>
    <w:uiPriority w:val="50"/>
    <w:rsid w:val="000265FA"/>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5">
    <w:name w:val="Grid Table 5 Dark Accent 5"/>
    <w:basedOn w:val="TableNormal"/>
    <w:uiPriority w:val="50"/>
    <w:rsid w:val="000265FA"/>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3">
    <w:name w:val="Grid Table 5 Dark Accent 3"/>
    <w:basedOn w:val="TableNormal"/>
    <w:uiPriority w:val="50"/>
    <w:rsid w:val="000265FA"/>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paragraph" w:styleId="TOC2">
    <w:name w:val="toc 2"/>
    <w:basedOn w:val="Normal"/>
    <w:next w:val="Normal"/>
    <w:autoRedefine/>
    <w:uiPriority w:val="39"/>
    <w:unhideWhenUsed/>
    <w:rsid w:val="000265FA"/>
    <w:pPr>
      <w:spacing w:after="100"/>
      <w:ind w:left="240"/>
    </w:pPr>
  </w:style>
  <w:style w:type="table" w:styleId="GridTable5Dark">
    <w:name w:val="Grid Table 5 Dark"/>
    <w:basedOn w:val="TableNormal"/>
    <w:uiPriority w:val="50"/>
    <w:rsid w:val="000265FA"/>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2">
    <w:name w:val="Grid Table 5 Dark Accent 2"/>
    <w:basedOn w:val="TableNormal"/>
    <w:uiPriority w:val="50"/>
    <w:rsid w:val="000265FA"/>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4-Accent3">
    <w:name w:val="Grid Table 4 Accent 3"/>
    <w:basedOn w:val="TableNormal"/>
    <w:uiPriority w:val="49"/>
    <w:rsid w:val="0096426A"/>
    <w:pPr>
      <w:spacing w:after="0" w:line="240" w:lineRule="auto"/>
    </w:pPr>
    <w:tblPr>
      <w:tblStyleRowBandSize w:val="1"/>
      <w:tblStyleColBandSize w:val="1"/>
      <w:tblInd w:w="0" w:type="dxa"/>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4">
    <w:name w:val="Grid Table 4 Accent 4"/>
    <w:basedOn w:val="TableNormal"/>
    <w:uiPriority w:val="49"/>
    <w:rsid w:val="0096426A"/>
    <w:pPr>
      <w:spacing w:after="0" w:line="240" w:lineRule="auto"/>
    </w:pPr>
    <w:tblPr>
      <w:tblStyleRowBandSize w:val="1"/>
      <w:tblStyleColBandSize w:val="1"/>
      <w:tblInd w:w="0" w:type="dxa"/>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6">
    <w:name w:val="Grid Table 5 Dark Accent 6"/>
    <w:basedOn w:val="TableNormal"/>
    <w:uiPriority w:val="50"/>
    <w:rsid w:val="00B06B2A"/>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5Dark-Accent4">
    <w:name w:val="Grid Table 5 Dark Accent 4"/>
    <w:basedOn w:val="TableNormal"/>
    <w:uiPriority w:val="50"/>
    <w:rsid w:val="00B06B2A"/>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bse.3884" TargetMode="External"/><Relationship Id="rId18" Type="http://schemas.openxmlformats.org/officeDocument/2006/relationships/hyperlink" Target="https://doi.org/10.1111/acfi.12645" TargetMode="External"/><Relationship Id="rId26" Type="http://schemas.openxmlformats.org/officeDocument/2006/relationships/hyperlink" Target="https://doi.org/10.1007/s10606-020-09382-0" TargetMode="External"/><Relationship Id="rId3" Type="http://schemas.openxmlformats.org/officeDocument/2006/relationships/settings" Target="settings.xml"/><Relationship Id="rId21" Type="http://schemas.openxmlformats.org/officeDocument/2006/relationships/hyperlink" Target="https://doi.org/10.1002/mar.21815"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3390/jtaer20010045" TargetMode="External"/><Relationship Id="rId17" Type="http://schemas.openxmlformats.org/officeDocument/2006/relationships/hyperlink" Target="https://hmgroup.com/investors/annual-and-sustainability-report/" TargetMode="External"/><Relationship Id="rId25" Type="http://schemas.openxmlformats.org/officeDocument/2006/relationships/hyperlink" Target="https://doi.org/10.26668/businessreview/2024.v9i11.5100"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hmgroup.com/investors/annual-and-sustainability-report/ceo-letter/" TargetMode="External"/><Relationship Id="rId20" Type="http://schemas.openxmlformats.org/officeDocument/2006/relationships/hyperlink" Target="https://doi.org/10.3390/su16083445" TargetMode="External"/><Relationship Id="rId29" Type="http://schemas.openxmlformats.org/officeDocument/2006/relationships/hyperlink" Target="https://www.reuters.com/business/retail-consumer/hm-reports-weaker-than-expected-fourth-quarter-sales-2025-01-3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14413582241252904" TargetMode="External"/><Relationship Id="rId24" Type="http://schemas.openxmlformats.org/officeDocument/2006/relationships/hyperlink" Target="https://www.ons.gov.uk/businessindustryandtrade/retailindustry/bulletins/retailsales/march2025" TargetMode="External"/><Relationship Id="rId32" Type="http://schemas.openxmlformats.org/officeDocument/2006/relationships/hyperlink" Target="https://doi.org/10.1016/j.procs.2020.09.147" TargetMode="External"/><Relationship Id="rId5" Type="http://schemas.openxmlformats.org/officeDocument/2006/relationships/footnotes" Target="footnotes.xml"/><Relationship Id="rId15" Type="http://schemas.openxmlformats.org/officeDocument/2006/relationships/hyperlink" Target="https://hmgroup.com/news/h-m-hennes-mauritz-ab-publishes-its-annual-and-sustainability-report-2024/" TargetMode="External"/><Relationship Id="rId23" Type="http://schemas.openxmlformats.org/officeDocument/2006/relationships/hyperlink" Target="https://doi.org/10.1186/s12909-021-02914-2" TargetMode="External"/><Relationship Id="rId28" Type="http://schemas.openxmlformats.org/officeDocument/2006/relationships/hyperlink" Target="https://www.reuters.com/business/retail-consumer/hm-phase-out-virgin-down-by-end-2025-2024-10-04/" TargetMode="External"/><Relationship Id="rId10" Type="http://schemas.openxmlformats.org/officeDocument/2006/relationships/hyperlink" Target="https://doi.org/10.1177/0892020620921412" TargetMode="External"/><Relationship Id="rId19" Type="http://schemas.openxmlformats.org/officeDocument/2006/relationships/hyperlink" Target="https://doi.org/10.1016/j.heliyon.2024.e36395" TargetMode="External"/><Relationship Id="rId31" Type="http://schemas.openxmlformats.org/officeDocument/2006/relationships/hyperlink" Target="https://doi.org/10.1080/00208825.2024.2324245" TargetMode="External"/><Relationship Id="rId4" Type="http://schemas.openxmlformats.org/officeDocument/2006/relationships/webSettings" Target="webSettings.xml"/><Relationship Id="rId9" Type="http://schemas.openxmlformats.org/officeDocument/2006/relationships/hyperlink" Target="https://doi.org/10.1002/bse.3723" TargetMode="External"/><Relationship Id="rId14" Type="http://schemas.openxmlformats.org/officeDocument/2006/relationships/hyperlink" Target="https://doi.org/10.1007/s43615-023-00332-8" TargetMode="External"/><Relationship Id="rId22" Type="http://schemas.openxmlformats.org/officeDocument/2006/relationships/hyperlink" Target="https://doi.org/10.1002/2211-5463.13158" TargetMode="External"/><Relationship Id="rId27" Type="http://schemas.openxmlformats.org/officeDocument/2006/relationships/hyperlink" Target="https://doi.org/10.1016/j.promfg.2020.01.430" TargetMode="External"/><Relationship Id="rId30" Type="http://schemas.openxmlformats.org/officeDocument/2006/relationships/hyperlink" Target="https://www.reuters.com/business/retail-consumer/hm-first-quarter-sales-weaker-than-expected-2025-03-27/" TargetMode="External"/><Relationship Id="rId35" Type="http://schemas.openxmlformats.org/officeDocument/2006/relationships/theme" Target="theme/theme1.xml"/><Relationship Id="rId8" Type="http://schemas.openxmlformats.org/officeDocument/2006/relationships/hyperlink" Target="https://doi.org/10.1002/bse.37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F39672-3321-4B54-B9A3-463D3EF38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6692</Words>
  <Characters>38146</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2026-08-11T10:45:00Z</dcterms:created>
  <dcterms:modified xsi:type="dcterms:W3CDTF">2026-08-11T10:45:00Z</dcterms:modified>
</cp:coreProperties>
</file>