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media/image4.svg" ContentType="image/svg+xml"/>
  <Override PartName="/word/media/image6.svg" ContentType="image/sv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C325B6">
      <w:pPr>
        <w:jc w:val="center"/>
        <w:rPr>
          <w:rFonts w:asciiTheme="minorBidi" w:hAnsiTheme="minorBidi"/>
        </w:rPr>
      </w:pPr>
      <w:r>
        <w:rPr>
          <w:rFonts w:asciiTheme="minorBidi" w:hAnsiTheme="minorBidi"/>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r>
        <w:rPr>
          <w:rFonts w:asciiTheme="minorBidi" w:hAnsiTheme="minorBidi"/>
        </w:rPr>
        <w:fldChar w:fldCharType="begin"/>
      </w:r>
      <w:r>
        <w:rPr>
          <w:rFonts w:asciiTheme="minorBidi" w:hAnsiTheme="minorBidi"/>
        </w:rPr>
        <w:instrText xml:space="preserve"> INCLUDEPICTURE "C:\\Users\\AzZedin01\\Library\\Group Containers\\UBF8T346G9.ms\\WebArchiveCopyPasteTempFiles\\com.microsoft.Word\\8P2xdp3q1g646AAAAAElFTkSuQmCC" \* MERGEFORMAT </w:instrText>
      </w:r>
      <w:r>
        <w:rPr>
          <w:rFonts w:asciiTheme="minorBidi" w:hAnsiTheme="minorBidi"/>
        </w:rPr>
        <w:fldChar w:fldCharType="separate"/>
      </w:r>
      <w:r>
        <w:rPr>
          <w:rFonts w:asciiTheme="minorBidi" w:hAnsiTheme="minorBidi"/>
        </w:rPr>
        <w:fldChar w:fldCharType="end"/>
      </w:r>
    </w:p>
    <w:p w14:paraId="6D0C4720">
      <w:pPr>
        <w:jc w:val="center"/>
        <w:rPr>
          <w:rFonts w:asciiTheme="minorBidi" w:hAnsiTheme="minorBidi"/>
        </w:rPr>
      </w:pPr>
    </w:p>
    <w:p w14:paraId="384AD48D">
      <w:pPr>
        <w:jc w:val="center"/>
        <w:rPr>
          <w:rFonts w:asciiTheme="minorBidi" w:hAnsiTheme="minorBidi"/>
        </w:rPr>
      </w:pPr>
    </w:p>
    <w:p w14:paraId="1C4A58E1">
      <w:pPr>
        <w:jc w:val="center"/>
        <w:rPr>
          <w:rFonts w:asciiTheme="minorBidi" w:hAnsiTheme="minorBidi"/>
        </w:rPr>
      </w:pPr>
    </w:p>
    <w:p w14:paraId="21811744">
      <w:pPr>
        <w:jc w:val="center"/>
        <w:rPr>
          <w:rFonts w:asciiTheme="minorBidi" w:hAnsiTheme="minorBidi"/>
        </w:rPr>
      </w:pPr>
    </w:p>
    <w:p w14:paraId="1EC34BAD">
      <w:pPr>
        <w:jc w:val="center"/>
        <w:rPr>
          <w:rFonts w:asciiTheme="minorBidi" w:hAnsiTheme="minorBidi"/>
        </w:rPr>
      </w:pPr>
    </w:p>
    <w:p w14:paraId="020B9CFF">
      <w:pPr>
        <w:jc w:val="center"/>
        <w:rPr>
          <w:rFonts w:hint="default" w:asciiTheme="minorBidi" w:hAnsiTheme="minorBidi"/>
          <w:b/>
          <w:bCs/>
          <w:sz w:val="28"/>
          <w:szCs w:val="28"/>
          <w:lang w:val="en-GB"/>
        </w:rPr>
      </w:pPr>
      <w:r>
        <w:rPr>
          <w:rFonts w:asciiTheme="minorBidi" w:hAnsiTheme="minorBidi"/>
          <w:b/>
          <w:bCs/>
          <w:sz w:val="28"/>
          <w:szCs w:val="28"/>
        </w:rPr>
        <w:t>Student Name:</w:t>
      </w:r>
      <w:r>
        <w:rPr>
          <w:rFonts w:hint="default" w:asciiTheme="minorBidi" w:hAnsiTheme="minorBidi"/>
          <w:b/>
          <w:bCs/>
          <w:sz w:val="28"/>
          <w:szCs w:val="28"/>
          <w:lang w:val="en-GB"/>
        </w:rPr>
        <w:t xml:space="preserve"> Patel Vivekkumar Yatinbhai</w:t>
      </w:r>
    </w:p>
    <w:p w14:paraId="2AAC98E7">
      <w:pPr>
        <w:jc w:val="center"/>
        <w:rPr>
          <w:rFonts w:asciiTheme="minorBidi" w:hAnsiTheme="minorBidi"/>
          <w:b/>
          <w:bCs/>
          <w:sz w:val="28"/>
          <w:szCs w:val="28"/>
        </w:rPr>
      </w:pPr>
    </w:p>
    <w:p w14:paraId="586C6996">
      <w:pPr>
        <w:jc w:val="center"/>
        <w:rPr>
          <w:rFonts w:hint="default" w:asciiTheme="minorBidi" w:hAnsiTheme="minorBidi"/>
          <w:b/>
          <w:bCs/>
          <w:sz w:val="28"/>
          <w:szCs w:val="28"/>
          <w:lang w:val="en-GB"/>
        </w:rPr>
      </w:pPr>
      <w:r>
        <w:rPr>
          <w:rFonts w:asciiTheme="minorBidi" w:hAnsiTheme="minorBidi"/>
          <w:b/>
          <w:bCs/>
          <w:sz w:val="28"/>
          <w:szCs w:val="28"/>
        </w:rPr>
        <w:t>Student ID:</w:t>
      </w:r>
      <w:r>
        <w:rPr>
          <w:rFonts w:hint="default" w:asciiTheme="minorBidi" w:hAnsiTheme="minorBidi"/>
          <w:b/>
          <w:bCs/>
          <w:sz w:val="28"/>
          <w:szCs w:val="28"/>
          <w:lang w:val="en-GB"/>
        </w:rPr>
        <w:t xml:space="preserve"> 2523277</w:t>
      </w:r>
    </w:p>
    <w:p w14:paraId="63080C9E">
      <w:pPr>
        <w:jc w:val="center"/>
        <w:rPr>
          <w:rFonts w:asciiTheme="minorBidi" w:hAnsiTheme="minorBidi"/>
          <w:sz w:val="28"/>
          <w:szCs w:val="28"/>
        </w:rPr>
      </w:pPr>
    </w:p>
    <w:p w14:paraId="3D7751B6">
      <w:pPr>
        <w:jc w:val="center"/>
        <w:rPr>
          <w:rFonts w:asciiTheme="minorBidi" w:hAnsiTheme="minorBidi"/>
          <w:sz w:val="28"/>
          <w:szCs w:val="28"/>
        </w:rPr>
      </w:pPr>
    </w:p>
    <w:p w14:paraId="37F10C9F">
      <w:pPr>
        <w:jc w:val="center"/>
        <w:rPr>
          <w:rFonts w:asciiTheme="minorBidi" w:hAnsiTheme="minorBidi"/>
          <w:b/>
          <w:bCs/>
          <w:sz w:val="28"/>
          <w:szCs w:val="28"/>
        </w:rPr>
      </w:pPr>
      <w:r>
        <w:rPr>
          <w:rFonts w:asciiTheme="minorBidi" w:hAnsiTheme="minorBidi"/>
          <w:b/>
          <w:bCs/>
          <w:sz w:val="28"/>
          <w:szCs w:val="28"/>
        </w:rPr>
        <w:t>Module Name: Marketing Management</w:t>
      </w:r>
    </w:p>
    <w:p w14:paraId="1F614A44">
      <w:pPr>
        <w:jc w:val="center"/>
        <w:rPr>
          <w:rFonts w:asciiTheme="minorBidi" w:hAnsiTheme="minorBidi"/>
          <w:b/>
          <w:bCs/>
          <w:sz w:val="28"/>
          <w:szCs w:val="28"/>
        </w:rPr>
      </w:pPr>
    </w:p>
    <w:p w14:paraId="0794A99E">
      <w:pPr>
        <w:jc w:val="center"/>
        <w:rPr>
          <w:rFonts w:asciiTheme="minorBidi" w:hAnsiTheme="minorBidi"/>
          <w:b/>
          <w:bCs/>
          <w:sz w:val="28"/>
          <w:szCs w:val="28"/>
        </w:rPr>
      </w:pPr>
      <w:r>
        <w:rPr>
          <w:rFonts w:asciiTheme="minorBidi" w:hAnsiTheme="minorBidi"/>
          <w:b/>
          <w:bCs/>
          <w:sz w:val="28"/>
          <w:szCs w:val="28"/>
        </w:rPr>
        <w:t>Module Code: LCMB7024</w:t>
      </w:r>
    </w:p>
    <w:p w14:paraId="242318AB">
      <w:pPr>
        <w:jc w:val="center"/>
        <w:rPr>
          <w:rFonts w:asciiTheme="minorBidi" w:hAnsiTheme="minorBidi"/>
          <w:b/>
          <w:bCs/>
          <w:sz w:val="28"/>
          <w:szCs w:val="28"/>
        </w:rPr>
      </w:pPr>
    </w:p>
    <w:p w14:paraId="5A962802">
      <w:pPr>
        <w:jc w:val="center"/>
        <w:rPr>
          <w:rFonts w:asciiTheme="minorBidi" w:hAnsiTheme="minorBidi"/>
          <w:b/>
          <w:bCs/>
          <w:sz w:val="28"/>
          <w:szCs w:val="28"/>
        </w:rPr>
      </w:pPr>
    </w:p>
    <w:p w14:paraId="38F1A035">
      <w:pPr>
        <w:jc w:val="center"/>
        <w:rPr>
          <w:rFonts w:asciiTheme="minorBidi" w:hAnsiTheme="minorBidi"/>
          <w:b/>
          <w:bCs/>
          <w:sz w:val="28"/>
          <w:szCs w:val="28"/>
        </w:rPr>
      </w:pPr>
    </w:p>
    <w:p w14:paraId="7E74A1F6">
      <w:pPr>
        <w:jc w:val="center"/>
        <w:rPr>
          <w:rFonts w:asciiTheme="minorBidi" w:hAnsiTheme="minorBidi"/>
          <w:b/>
          <w:bCs/>
          <w:sz w:val="28"/>
          <w:szCs w:val="28"/>
        </w:rPr>
      </w:pPr>
    </w:p>
    <w:p w14:paraId="1C05EEAE">
      <w:pPr>
        <w:jc w:val="center"/>
        <w:rPr>
          <w:rFonts w:hint="default" w:asciiTheme="minorBidi" w:hAnsiTheme="minorBidi"/>
          <w:b/>
          <w:bCs/>
          <w:sz w:val="28"/>
          <w:szCs w:val="28"/>
          <w:lang w:val="en-GB"/>
        </w:rPr>
      </w:pPr>
      <w:r>
        <w:rPr>
          <w:rFonts w:asciiTheme="minorBidi" w:hAnsiTheme="minorBidi"/>
          <w:b/>
          <w:bCs/>
          <w:sz w:val="28"/>
          <w:szCs w:val="28"/>
        </w:rPr>
        <w:t>Lecturer’s Name:</w:t>
      </w:r>
      <w:r>
        <w:rPr>
          <w:rFonts w:hint="default" w:asciiTheme="minorBidi" w:hAnsiTheme="minorBidi"/>
          <w:b/>
          <w:bCs/>
          <w:sz w:val="28"/>
          <w:szCs w:val="28"/>
          <w:lang w:val="en-GB"/>
        </w:rPr>
        <w:t xml:space="preserve"> Dr Muhammed Tariq</w:t>
      </w:r>
    </w:p>
    <w:p w14:paraId="2534BC8F">
      <w:pPr>
        <w:jc w:val="center"/>
        <w:rPr>
          <w:rFonts w:asciiTheme="minorBidi" w:hAnsiTheme="minorBidi"/>
          <w:b/>
          <w:bCs/>
          <w:sz w:val="28"/>
          <w:szCs w:val="28"/>
        </w:rPr>
      </w:pPr>
    </w:p>
    <w:p w14:paraId="70E1BD2A">
      <w:pPr>
        <w:jc w:val="center"/>
        <w:rPr>
          <w:rFonts w:asciiTheme="minorBidi" w:hAnsiTheme="minorBidi"/>
          <w:b/>
          <w:bCs/>
          <w:sz w:val="28"/>
          <w:szCs w:val="28"/>
        </w:rPr>
      </w:pPr>
    </w:p>
    <w:p w14:paraId="55B10977">
      <w:pPr>
        <w:rPr>
          <w:rFonts w:asciiTheme="minorBidi" w:hAnsiTheme="minorBidi"/>
          <w:b/>
          <w:bCs/>
          <w:sz w:val="28"/>
          <w:szCs w:val="28"/>
        </w:rPr>
      </w:pPr>
    </w:p>
    <w:p w14:paraId="39FE983B">
      <w:pPr>
        <w:jc w:val="center"/>
        <w:rPr>
          <w:rFonts w:hint="default" w:asciiTheme="minorBidi" w:hAnsiTheme="minorBidi"/>
          <w:b/>
          <w:bCs/>
          <w:sz w:val="28"/>
          <w:szCs w:val="28"/>
          <w:lang w:val="en-GB"/>
        </w:rPr>
      </w:pPr>
      <w:r>
        <w:rPr>
          <w:rFonts w:asciiTheme="minorBidi" w:hAnsiTheme="minorBidi"/>
          <w:b/>
          <w:bCs/>
          <w:sz w:val="28"/>
          <w:szCs w:val="28"/>
        </w:rPr>
        <w:t>Work Count:</w:t>
      </w:r>
      <w:r>
        <w:rPr>
          <w:rFonts w:hint="default" w:asciiTheme="minorBidi" w:hAnsiTheme="minorBidi"/>
          <w:b/>
          <w:bCs/>
          <w:sz w:val="28"/>
          <w:szCs w:val="28"/>
          <w:lang w:val="en-GB"/>
        </w:rPr>
        <w:t xml:space="preserve"> 2500  (exc. Title Page, Toic Of Contant, references)</w:t>
      </w:r>
    </w:p>
    <w:p w14:paraId="2CC2A054">
      <w:pPr>
        <w:jc w:val="center"/>
        <w:rPr>
          <w:rFonts w:asciiTheme="minorBidi" w:hAnsiTheme="minorBidi"/>
          <w:b/>
          <w:bCs/>
          <w:sz w:val="28"/>
          <w:szCs w:val="28"/>
        </w:rPr>
      </w:pPr>
    </w:p>
    <w:p w14:paraId="6A8F56C7">
      <w:pPr>
        <w:jc w:val="center"/>
        <w:rPr>
          <w:rFonts w:asciiTheme="minorBidi" w:hAnsiTheme="minorBidi"/>
          <w:b/>
          <w:bCs/>
          <w:sz w:val="28"/>
          <w:szCs w:val="28"/>
        </w:rPr>
      </w:pPr>
    </w:p>
    <w:p w14:paraId="74532E5F">
      <w:pPr>
        <w:jc w:val="center"/>
        <w:rPr>
          <w:rFonts w:asciiTheme="minorBidi" w:hAnsiTheme="minorBidi"/>
          <w:b/>
          <w:bCs/>
          <w:sz w:val="28"/>
          <w:szCs w:val="28"/>
        </w:rPr>
      </w:pPr>
    </w:p>
    <w:p w14:paraId="102B9D5E">
      <w:pPr>
        <w:jc w:val="center"/>
        <w:rPr>
          <w:rFonts w:asciiTheme="minorBidi" w:hAnsiTheme="minorBidi"/>
          <w:b/>
          <w:bCs/>
          <w:sz w:val="28"/>
          <w:szCs w:val="28"/>
        </w:rPr>
      </w:pPr>
      <w:bookmarkStart w:id="17" w:name="_GoBack"/>
      <w:bookmarkEnd w:id="17"/>
    </w:p>
    <w:p w14:paraId="76B4AC18">
      <w:pPr>
        <w:jc w:val="center"/>
        <w:rPr>
          <w:rFonts w:asciiTheme="minorBidi" w:hAnsiTheme="minorBidi"/>
          <w:b/>
          <w:bCs/>
          <w:sz w:val="28"/>
          <w:szCs w:val="28"/>
        </w:rPr>
      </w:pPr>
    </w:p>
    <w:p w14:paraId="3D7042D2">
      <w:pPr>
        <w:jc w:val="center"/>
        <w:rPr>
          <w:rFonts w:asciiTheme="minorBidi" w:hAnsiTheme="minorBidi"/>
          <w:b/>
          <w:bCs/>
          <w:sz w:val="28"/>
          <w:szCs w:val="28"/>
        </w:rPr>
      </w:pPr>
      <w:r>
        <w:rPr>
          <w:rFonts w:asciiTheme="minorBidi" w:hAnsiTheme="minorBidi"/>
          <w:b/>
          <w:bCs/>
          <w:sz w:val="28"/>
          <w:szCs w:val="28"/>
        </w:rPr>
        <w:t>Term 1</w:t>
      </w:r>
    </w:p>
    <w:p w14:paraId="12597E6A"/>
    <w:p w14:paraId="123149FC"/>
    <w:p w14:paraId="741AD2E5"/>
    <w:p w14:paraId="40C82909"/>
    <w:p w14:paraId="7CF38E1D"/>
    <w:p w14:paraId="63AA9BFF"/>
    <w:p w14:paraId="5CE56E25"/>
    <w:p w14:paraId="21367D50"/>
    <w:p w14:paraId="1A23CD6D"/>
    <w:p w14:paraId="058459E9"/>
    <w:p w14:paraId="79441B51">
      <w:r>
        <w:br w:type="page"/>
      </w:r>
    </w:p>
    <w:p w14:paraId="3C660D80"/>
    <w:p w14:paraId="0BEE8F63">
      <w:pPr>
        <w:pStyle w:val="2"/>
        <w:jc w:val="left"/>
      </w:pPr>
      <w:bookmarkStart w:id="0" w:name="_Toc26560"/>
      <w:r>
        <w:t>Executive Summary</w:t>
      </w:r>
      <w:bookmarkEnd w:id="0"/>
    </w:p>
    <w:p w14:paraId="071D4A85">
      <w:pPr>
        <w:jc w:val="both"/>
        <w:rPr>
          <w:rFonts w:hint="default"/>
        </w:rPr>
      </w:pPr>
      <w:r>
        <w:rPr>
          <w:rFonts w:hint="default"/>
        </w:rPr>
        <w:t>The present portfolio describes the marketing strategy that would allow Apple Inc. to introduce an extension of its brand into the market of mixed realities in the form of the Apple Vision Pro. Apple is an internationally acknowledged brand that is associated with innovative and quality products that are sold to loyal customers. The Apple Vision Pro enters the market of spatial computing because it is a combination of VR and AR in one premium product.</w:t>
      </w:r>
    </w:p>
    <w:p w14:paraId="6846ABF2">
      <w:pPr>
        <w:jc w:val="both"/>
        <w:rPr>
          <w:rFonts w:hint="default"/>
        </w:rPr>
      </w:pPr>
    </w:p>
    <w:p w14:paraId="13157BDC">
      <w:pPr>
        <w:jc w:val="both"/>
        <w:rPr>
          <w:rFonts w:hint="default"/>
        </w:rPr>
      </w:pPr>
      <w:r>
        <w:rPr>
          <w:rFonts w:hint="default"/>
        </w:rPr>
        <w:t>The target audience includes affluent professionals, artists, and business users between the ages of 25 to 45 in vital tech markets like the US, UK, and Japan. Apple markets the Vision Pro not as a gaming console but a professional spatial computer, retailing at $3,499 exclusively through Apple Stores and its official website. This product stands out from its rivals, including Meta Quest 3 and Microsoft HoloLens, thanks to its advanced display screen, integration with its ecosystem, and reputable brand name.</w:t>
      </w:r>
    </w:p>
    <w:p w14:paraId="18C5072A">
      <w:pPr>
        <w:jc w:val="both"/>
        <w:rPr>
          <w:rFonts w:hint="default"/>
        </w:rPr>
      </w:pPr>
    </w:p>
    <w:p w14:paraId="6CAE336D">
      <w:pPr>
        <w:jc w:val="both"/>
        <w:rPr>
          <w:rFonts w:hint="default"/>
        </w:rPr>
      </w:pPr>
      <w:r>
        <w:rPr>
          <w:rFonts w:hint="default"/>
        </w:rPr>
        <w:t>The marketing mix follows the 7 Ps model, which includes a revolutionary spatial computing device with Apple silicon and visionOS, value-based pricing, direct channel distribution, promotion campaigns, trained specialists, in-store demo process, and superior design. Each component is carefully considered and integrated into the marketing mix to support the positioning of the Vision Pro and Apple’s brand image at all customer touchpoints.</w:t>
      </w:r>
    </w:p>
    <w:p w14:paraId="383522C9">
      <w:pPr>
        <w:jc w:val="both"/>
        <w:rPr>
          <w:rFonts w:hint="default"/>
        </w:rPr>
      </w:pPr>
    </w:p>
    <w:p w14:paraId="6412AC71">
      <w:pPr>
        <w:jc w:val="both"/>
        <w:rPr>
          <w:rFonts w:hint="default"/>
        </w:rPr>
      </w:pPr>
      <w:r>
        <w:rPr>
          <w:rFonts w:hint="default"/>
        </w:rPr>
        <w:t>The Apple Vision Pro is an ideal extension of the Apple brand that plays into its strengths in order to dominate the nascent spatial computing industry.</w:t>
      </w:r>
    </w:p>
    <w:p w14:paraId="11A23C50">
      <w:pPr>
        <w:jc w:val="both"/>
        <w:rPr>
          <w:rFonts w:hint="default"/>
        </w:rPr>
      </w:pPr>
    </w:p>
    <w:p w14:paraId="53D75FE6">
      <w:pPr>
        <w:jc w:val="both"/>
        <w:rPr>
          <w:rFonts w:hint="default"/>
        </w:rPr>
      </w:pPr>
    </w:p>
    <w:p w14:paraId="6B05B491">
      <w:pPr>
        <w:jc w:val="both"/>
        <w:rPr>
          <w:rFonts w:hint="default"/>
        </w:rPr>
      </w:pPr>
    </w:p>
    <w:p w14:paraId="7011B8C4">
      <w:pPr>
        <w:jc w:val="both"/>
        <w:rPr>
          <w:rFonts w:hint="default"/>
        </w:rPr>
      </w:pPr>
    </w:p>
    <w:p w14:paraId="40CB363F">
      <w:pPr>
        <w:jc w:val="both"/>
        <w:rPr>
          <w:rFonts w:hint="default"/>
        </w:rPr>
      </w:pPr>
    </w:p>
    <w:p w14:paraId="06286836">
      <w:pPr>
        <w:rPr>
          <w:sz w:val="24"/>
          <w:szCs w:val="24"/>
        </w:rPr>
      </w:pPr>
      <w:r>
        <w:rPr>
          <w:sz w:val="24"/>
          <w:szCs w:val="24"/>
        </w:rPr>
        <w:br w:type="page"/>
      </w:r>
    </w:p>
    <w:p w14:paraId="52E85C34">
      <w:pPr>
        <w:pStyle w:val="6"/>
        <w:tabs>
          <w:tab w:val="right" w:leader="dot" w:pos="8306"/>
        </w:tabs>
      </w:pPr>
      <w:r>
        <w:fldChar w:fldCharType="begin"/>
      </w:r>
      <w:r>
        <w:instrText xml:space="preserve">TOC \o "1-3" \h \u </w:instrText>
      </w:r>
      <w:r>
        <w:fldChar w:fldCharType="separate"/>
      </w:r>
      <w:r>
        <w:fldChar w:fldCharType="begin"/>
      </w:r>
      <w:r>
        <w:instrText xml:space="preserve"> HYPERLINK \l _Toc26560 </w:instrText>
      </w:r>
      <w:r>
        <w:fldChar w:fldCharType="separate"/>
      </w:r>
      <w:r>
        <w:t>Executive Summary</w:t>
      </w:r>
      <w:r>
        <w:tab/>
      </w:r>
      <w:r>
        <w:fldChar w:fldCharType="begin"/>
      </w:r>
      <w:r>
        <w:instrText xml:space="preserve"> PAGEREF _Toc26560 \h </w:instrText>
      </w:r>
      <w:r>
        <w:fldChar w:fldCharType="separate"/>
      </w:r>
      <w:r>
        <w:t>2</w:t>
      </w:r>
      <w:r>
        <w:fldChar w:fldCharType="end"/>
      </w:r>
      <w:r>
        <w:fldChar w:fldCharType="end"/>
      </w:r>
    </w:p>
    <w:p w14:paraId="57FAA85A">
      <w:pPr>
        <w:pStyle w:val="6"/>
        <w:tabs>
          <w:tab w:val="right" w:leader="dot" w:pos="8306"/>
        </w:tabs>
      </w:pPr>
      <w:r>
        <w:fldChar w:fldCharType="begin"/>
      </w:r>
      <w:r>
        <w:instrText xml:space="preserve"> HYPERLINK \l _Toc15099 </w:instrText>
      </w:r>
      <w:r>
        <w:fldChar w:fldCharType="separate"/>
      </w:r>
      <w:r>
        <w:rPr>
          <w:szCs w:val="24"/>
        </w:rPr>
        <w:t>Element 1: Brand Extension Poster</w:t>
      </w:r>
      <w:r>
        <w:tab/>
      </w:r>
      <w:r>
        <w:fldChar w:fldCharType="begin"/>
      </w:r>
      <w:r>
        <w:instrText xml:space="preserve"> PAGEREF _Toc15099 \h </w:instrText>
      </w:r>
      <w:r>
        <w:fldChar w:fldCharType="separate"/>
      </w:r>
      <w:r>
        <w:t>4</w:t>
      </w:r>
      <w:r>
        <w:fldChar w:fldCharType="end"/>
      </w:r>
      <w:r>
        <w:fldChar w:fldCharType="end"/>
      </w:r>
    </w:p>
    <w:p w14:paraId="7729B0A3">
      <w:pPr>
        <w:pStyle w:val="6"/>
        <w:tabs>
          <w:tab w:val="right" w:leader="dot" w:pos="8306"/>
        </w:tabs>
      </w:pPr>
      <w:r>
        <w:fldChar w:fldCharType="begin"/>
      </w:r>
      <w:r>
        <w:instrText xml:space="preserve"> HYPERLINK \l _Toc5139 </w:instrText>
      </w:r>
      <w:r>
        <w:fldChar w:fldCharType="separate"/>
      </w:r>
      <w:r>
        <w:rPr>
          <w:szCs w:val="24"/>
        </w:rPr>
        <w:t>Element 2: Segmentation, Targeting, Differentiation and Positioning (STDP) Analysis</w:t>
      </w:r>
      <w:r>
        <w:tab/>
      </w:r>
      <w:r>
        <w:fldChar w:fldCharType="begin"/>
      </w:r>
      <w:r>
        <w:instrText xml:space="preserve"> PAGEREF _Toc5139 \h </w:instrText>
      </w:r>
      <w:r>
        <w:fldChar w:fldCharType="separate"/>
      </w:r>
      <w:r>
        <w:t>5</w:t>
      </w:r>
      <w:r>
        <w:fldChar w:fldCharType="end"/>
      </w:r>
      <w:r>
        <w:fldChar w:fldCharType="end"/>
      </w:r>
    </w:p>
    <w:p w14:paraId="688807C1">
      <w:pPr>
        <w:pStyle w:val="7"/>
        <w:tabs>
          <w:tab w:val="right" w:leader="dot" w:pos="8306"/>
        </w:tabs>
      </w:pPr>
      <w:r>
        <w:fldChar w:fldCharType="begin"/>
      </w:r>
      <w:r>
        <w:instrText xml:space="preserve"> HYPERLINK \l _Toc18406 </w:instrText>
      </w:r>
      <w:r>
        <w:fldChar w:fldCharType="separate"/>
      </w:r>
      <w:r>
        <w:rPr>
          <w:rFonts w:hint="default"/>
          <w:szCs w:val="24"/>
          <w:lang w:val="en-GB"/>
        </w:rPr>
        <w:t xml:space="preserve">2.1 </w:t>
      </w:r>
      <w:r>
        <w:rPr>
          <w:szCs w:val="24"/>
        </w:rPr>
        <w:t>Market Segmentation</w:t>
      </w:r>
      <w:r>
        <w:tab/>
      </w:r>
      <w:r>
        <w:fldChar w:fldCharType="begin"/>
      </w:r>
      <w:r>
        <w:instrText xml:space="preserve"> PAGEREF _Toc18406 \h </w:instrText>
      </w:r>
      <w:r>
        <w:fldChar w:fldCharType="separate"/>
      </w:r>
      <w:r>
        <w:t>5</w:t>
      </w:r>
      <w:r>
        <w:fldChar w:fldCharType="end"/>
      </w:r>
      <w:r>
        <w:fldChar w:fldCharType="end"/>
      </w:r>
    </w:p>
    <w:p w14:paraId="304205A0">
      <w:pPr>
        <w:pStyle w:val="7"/>
        <w:tabs>
          <w:tab w:val="right" w:leader="dot" w:pos="8306"/>
        </w:tabs>
      </w:pPr>
      <w:r>
        <w:fldChar w:fldCharType="begin"/>
      </w:r>
      <w:r>
        <w:instrText xml:space="preserve"> HYPERLINK \l _Toc2252 </w:instrText>
      </w:r>
      <w:r>
        <w:fldChar w:fldCharType="separate"/>
      </w:r>
      <w:r>
        <w:rPr>
          <w:rFonts w:hint="default"/>
          <w:bCs/>
          <w:szCs w:val="24"/>
          <w:lang w:val="en-GB"/>
        </w:rPr>
        <w:t>2.2 Targeting</w:t>
      </w:r>
      <w:r>
        <w:tab/>
      </w:r>
      <w:r>
        <w:fldChar w:fldCharType="begin"/>
      </w:r>
      <w:r>
        <w:instrText xml:space="preserve"> PAGEREF _Toc2252 \h </w:instrText>
      </w:r>
      <w:r>
        <w:fldChar w:fldCharType="separate"/>
      </w:r>
      <w:r>
        <w:t>6</w:t>
      </w:r>
      <w:r>
        <w:fldChar w:fldCharType="end"/>
      </w:r>
      <w:r>
        <w:fldChar w:fldCharType="end"/>
      </w:r>
    </w:p>
    <w:p w14:paraId="1A140D6C">
      <w:pPr>
        <w:pStyle w:val="7"/>
        <w:tabs>
          <w:tab w:val="right" w:leader="dot" w:pos="8306"/>
        </w:tabs>
      </w:pPr>
      <w:r>
        <w:fldChar w:fldCharType="begin"/>
      </w:r>
      <w:r>
        <w:instrText xml:space="preserve"> HYPERLINK \l _Toc9193 </w:instrText>
      </w:r>
      <w:r>
        <w:fldChar w:fldCharType="separate"/>
      </w:r>
      <w:r>
        <w:rPr>
          <w:rFonts w:hint="default"/>
          <w:bCs/>
          <w:szCs w:val="24"/>
          <w:lang w:val="en-GB"/>
        </w:rPr>
        <w:t>2.3 Differentiation</w:t>
      </w:r>
      <w:r>
        <w:tab/>
      </w:r>
      <w:r>
        <w:fldChar w:fldCharType="begin"/>
      </w:r>
      <w:r>
        <w:instrText xml:space="preserve"> PAGEREF _Toc9193 \h </w:instrText>
      </w:r>
      <w:r>
        <w:fldChar w:fldCharType="separate"/>
      </w:r>
      <w:r>
        <w:t>6</w:t>
      </w:r>
      <w:r>
        <w:fldChar w:fldCharType="end"/>
      </w:r>
      <w:r>
        <w:fldChar w:fldCharType="end"/>
      </w:r>
    </w:p>
    <w:p w14:paraId="0CC2A2C1">
      <w:pPr>
        <w:pStyle w:val="7"/>
        <w:tabs>
          <w:tab w:val="right" w:leader="dot" w:pos="8306"/>
        </w:tabs>
      </w:pPr>
      <w:r>
        <w:fldChar w:fldCharType="begin"/>
      </w:r>
      <w:r>
        <w:instrText xml:space="preserve"> HYPERLINK \l _Toc8273 </w:instrText>
      </w:r>
      <w:r>
        <w:fldChar w:fldCharType="separate"/>
      </w:r>
      <w:r>
        <w:rPr>
          <w:rFonts w:hint="default"/>
          <w:bCs/>
          <w:szCs w:val="24"/>
          <w:lang w:val="en-GB"/>
        </w:rPr>
        <w:t>2.4 Positioning</w:t>
      </w:r>
      <w:r>
        <w:tab/>
      </w:r>
      <w:r>
        <w:fldChar w:fldCharType="begin"/>
      </w:r>
      <w:r>
        <w:instrText xml:space="preserve"> PAGEREF _Toc8273 \h </w:instrText>
      </w:r>
      <w:r>
        <w:fldChar w:fldCharType="separate"/>
      </w:r>
      <w:r>
        <w:t>7</w:t>
      </w:r>
      <w:r>
        <w:fldChar w:fldCharType="end"/>
      </w:r>
      <w:r>
        <w:fldChar w:fldCharType="end"/>
      </w:r>
    </w:p>
    <w:p w14:paraId="229B0A84">
      <w:pPr>
        <w:pStyle w:val="6"/>
        <w:tabs>
          <w:tab w:val="right" w:leader="dot" w:pos="8306"/>
        </w:tabs>
      </w:pPr>
      <w:r>
        <w:fldChar w:fldCharType="begin"/>
      </w:r>
      <w:r>
        <w:instrText xml:space="preserve"> HYPERLINK \l _Toc19530 </w:instrText>
      </w:r>
      <w:r>
        <w:fldChar w:fldCharType="separate"/>
      </w:r>
      <w:r>
        <w:rPr>
          <w:rFonts w:hint="default"/>
          <w:szCs w:val="24"/>
          <w:lang w:val="en-GB"/>
        </w:rPr>
        <w:t>Element 3: Marketing Mix (7Ps)</w:t>
      </w:r>
      <w:r>
        <w:tab/>
      </w:r>
      <w:r>
        <w:fldChar w:fldCharType="begin"/>
      </w:r>
      <w:r>
        <w:instrText xml:space="preserve"> PAGEREF _Toc19530 \h </w:instrText>
      </w:r>
      <w:r>
        <w:fldChar w:fldCharType="separate"/>
      </w:r>
      <w:r>
        <w:t>8</w:t>
      </w:r>
      <w:r>
        <w:fldChar w:fldCharType="end"/>
      </w:r>
      <w:r>
        <w:fldChar w:fldCharType="end"/>
      </w:r>
    </w:p>
    <w:p w14:paraId="26091AFA">
      <w:pPr>
        <w:pStyle w:val="7"/>
        <w:tabs>
          <w:tab w:val="right" w:leader="dot" w:pos="8306"/>
        </w:tabs>
      </w:pPr>
      <w:r>
        <w:fldChar w:fldCharType="begin"/>
      </w:r>
      <w:r>
        <w:instrText xml:space="preserve"> HYPERLINK \l _Toc1406 </w:instrText>
      </w:r>
      <w:r>
        <w:fldChar w:fldCharType="separate"/>
      </w:r>
      <w:r>
        <w:rPr>
          <w:rFonts w:hint="default"/>
          <w:szCs w:val="24"/>
          <w:lang w:val="en-GB"/>
        </w:rPr>
        <w:t xml:space="preserve">3.1 </w:t>
      </w:r>
      <w:r>
        <w:rPr>
          <w:szCs w:val="24"/>
        </w:rPr>
        <w:t>Product</w:t>
      </w:r>
      <w:r>
        <w:tab/>
      </w:r>
      <w:r>
        <w:fldChar w:fldCharType="begin"/>
      </w:r>
      <w:r>
        <w:instrText xml:space="preserve"> PAGEREF _Toc1406 \h </w:instrText>
      </w:r>
      <w:r>
        <w:fldChar w:fldCharType="separate"/>
      </w:r>
      <w:r>
        <w:t>8</w:t>
      </w:r>
      <w:r>
        <w:fldChar w:fldCharType="end"/>
      </w:r>
      <w:r>
        <w:fldChar w:fldCharType="end"/>
      </w:r>
    </w:p>
    <w:p w14:paraId="7FD1F61B">
      <w:pPr>
        <w:pStyle w:val="7"/>
        <w:tabs>
          <w:tab w:val="right" w:leader="dot" w:pos="8306"/>
        </w:tabs>
      </w:pPr>
      <w:r>
        <w:fldChar w:fldCharType="begin"/>
      </w:r>
      <w:r>
        <w:instrText xml:space="preserve"> HYPERLINK \l _Toc118 </w:instrText>
      </w:r>
      <w:r>
        <w:fldChar w:fldCharType="separate"/>
      </w:r>
      <w:r>
        <w:rPr>
          <w:rFonts w:hint="default"/>
          <w:szCs w:val="24"/>
          <w:lang w:val="en-GB"/>
        </w:rPr>
        <w:t xml:space="preserve">3.2 </w:t>
      </w:r>
      <w:r>
        <w:rPr>
          <w:szCs w:val="24"/>
        </w:rPr>
        <w:t>Price</w:t>
      </w:r>
      <w:r>
        <w:tab/>
      </w:r>
      <w:r>
        <w:fldChar w:fldCharType="begin"/>
      </w:r>
      <w:r>
        <w:instrText xml:space="preserve"> PAGEREF _Toc118 \h </w:instrText>
      </w:r>
      <w:r>
        <w:fldChar w:fldCharType="separate"/>
      </w:r>
      <w:r>
        <w:t>9</w:t>
      </w:r>
      <w:r>
        <w:fldChar w:fldCharType="end"/>
      </w:r>
      <w:r>
        <w:fldChar w:fldCharType="end"/>
      </w:r>
    </w:p>
    <w:p w14:paraId="5AAAD27F">
      <w:pPr>
        <w:pStyle w:val="7"/>
        <w:tabs>
          <w:tab w:val="right" w:leader="dot" w:pos="8306"/>
        </w:tabs>
      </w:pPr>
      <w:r>
        <w:fldChar w:fldCharType="begin"/>
      </w:r>
      <w:r>
        <w:instrText xml:space="preserve"> HYPERLINK \l _Toc16900 </w:instrText>
      </w:r>
      <w:r>
        <w:fldChar w:fldCharType="separate"/>
      </w:r>
      <w:r>
        <w:rPr>
          <w:rFonts w:hint="default"/>
          <w:szCs w:val="24"/>
          <w:lang w:val="en-GB"/>
        </w:rPr>
        <w:t xml:space="preserve">3.3 </w:t>
      </w:r>
      <w:r>
        <w:rPr>
          <w:szCs w:val="24"/>
        </w:rPr>
        <w:t>Place</w:t>
      </w:r>
      <w:r>
        <w:tab/>
      </w:r>
      <w:r>
        <w:fldChar w:fldCharType="begin"/>
      </w:r>
      <w:r>
        <w:instrText xml:space="preserve"> PAGEREF _Toc16900 \h </w:instrText>
      </w:r>
      <w:r>
        <w:fldChar w:fldCharType="separate"/>
      </w:r>
      <w:r>
        <w:t>9</w:t>
      </w:r>
      <w:r>
        <w:fldChar w:fldCharType="end"/>
      </w:r>
      <w:r>
        <w:fldChar w:fldCharType="end"/>
      </w:r>
    </w:p>
    <w:p w14:paraId="558984AE">
      <w:pPr>
        <w:pStyle w:val="7"/>
        <w:tabs>
          <w:tab w:val="right" w:leader="dot" w:pos="8306"/>
        </w:tabs>
      </w:pPr>
      <w:r>
        <w:fldChar w:fldCharType="begin"/>
      </w:r>
      <w:r>
        <w:instrText xml:space="preserve"> HYPERLINK \l _Toc13164 </w:instrText>
      </w:r>
      <w:r>
        <w:fldChar w:fldCharType="separate"/>
      </w:r>
      <w:r>
        <w:rPr>
          <w:rFonts w:hint="default"/>
          <w:szCs w:val="24"/>
          <w:lang w:val="en-GB"/>
        </w:rPr>
        <w:t xml:space="preserve">3.4 </w:t>
      </w:r>
      <w:r>
        <w:rPr>
          <w:szCs w:val="24"/>
        </w:rPr>
        <w:t>Promotion</w:t>
      </w:r>
      <w:r>
        <w:tab/>
      </w:r>
      <w:r>
        <w:fldChar w:fldCharType="begin"/>
      </w:r>
      <w:r>
        <w:instrText xml:space="preserve"> PAGEREF _Toc13164 \h </w:instrText>
      </w:r>
      <w:r>
        <w:fldChar w:fldCharType="separate"/>
      </w:r>
      <w:r>
        <w:t>9</w:t>
      </w:r>
      <w:r>
        <w:fldChar w:fldCharType="end"/>
      </w:r>
      <w:r>
        <w:fldChar w:fldCharType="end"/>
      </w:r>
    </w:p>
    <w:p w14:paraId="240CBFAF">
      <w:pPr>
        <w:pStyle w:val="7"/>
        <w:tabs>
          <w:tab w:val="right" w:leader="dot" w:pos="8306"/>
        </w:tabs>
      </w:pPr>
      <w:r>
        <w:fldChar w:fldCharType="begin"/>
      </w:r>
      <w:r>
        <w:instrText xml:space="preserve"> HYPERLINK \l _Toc5294 </w:instrText>
      </w:r>
      <w:r>
        <w:fldChar w:fldCharType="separate"/>
      </w:r>
      <w:r>
        <w:rPr>
          <w:rFonts w:hint="default"/>
          <w:szCs w:val="24"/>
          <w:lang w:val="en-GB"/>
        </w:rPr>
        <w:t xml:space="preserve">3.5 </w:t>
      </w:r>
      <w:r>
        <w:rPr>
          <w:szCs w:val="24"/>
        </w:rPr>
        <w:t>People</w:t>
      </w:r>
      <w:r>
        <w:tab/>
      </w:r>
      <w:r>
        <w:fldChar w:fldCharType="begin"/>
      </w:r>
      <w:r>
        <w:instrText xml:space="preserve"> PAGEREF _Toc5294 \h </w:instrText>
      </w:r>
      <w:r>
        <w:fldChar w:fldCharType="separate"/>
      </w:r>
      <w:r>
        <w:t>10</w:t>
      </w:r>
      <w:r>
        <w:fldChar w:fldCharType="end"/>
      </w:r>
      <w:r>
        <w:fldChar w:fldCharType="end"/>
      </w:r>
    </w:p>
    <w:p w14:paraId="66E46C4E">
      <w:pPr>
        <w:pStyle w:val="7"/>
        <w:tabs>
          <w:tab w:val="right" w:leader="dot" w:pos="8306"/>
        </w:tabs>
      </w:pPr>
      <w:r>
        <w:fldChar w:fldCharType="begin"/>
      </w:r>
      <w:r>
        <w:instrText xml:space="preserve"> HYPERLINK \l _Toc2411 </w:instrText>
      </w:r>
      <w:r>
        <w:fldChar w:fldCharType="separate"/>
      </w:r>
      <w:r>
        <w:rPr>
          <w:rFonts w:hint="default"/>
          <w:szCs w:val="24"/>
          <w:lang w:val="en-GB"/>
        </w:rPr>
        <w:t xml:space="preserve">3.6 </w:t>
      </w:r>
      <w:r>
        <w:rPr>
          <w:szCs w:val="24"/>
        </w:rPr>
        <w:t>Process</w:t>
      </w:r>
      <w:r>
        <w:tab/>
      </w:r>
      <w:r>
        <w:fldChar w:fldCharType="begin"/>
      </w:r>
      <w:r>
        <w:instrText xml:space="preserve"> PAGEREF _Toc2411 \h </w:instrText>
      </w:r>
      <w:r>
        <w:fldChar w:fldCharType="separate"/>
      </w:r>
      <w:r>
        <w:t>10</w:t>
      </w:r>
      <w:r>
        <w:fldChar w:fldCharType="end"/>
      </w:r>
      <w:r>
        <w:fldChar w:fldCharType="end"/>
      </w:r>
    </w:p>
    <w:p w14:paraId="2C3AD269">
      <w:pPr>
        <w:pStyle w:val="7"/>
        <w:tabs>
          <w:tab w:val="right" w:leader="dot" w:pos="8306"/>
        </w:tabs>
      </w:pPr>
      <w:r>
        <w:fldChar w:fldCharType="begin"/>
      </w:r>
      <w:r>
        <w:instrText xml:space="preserve"> HYPERLINK \l _Toc30426 </w:instrText>
      </w:r>
      <w:r>
        <w:fldChar w:fldCharType="separate"/>
      </w:r>
      <w:r>
        <w:rPr>
          <w:rFonts w:hint="default"/>
          <w:bCs/>
          <w:szCs w:val="24"/>
          <w:lang w:val="en-GB"/>
        </w:rPr>
        <w:t>3.7 Physical Evidence</w:t>
      </w:r>
      <w:r>
        <w:tab/>
      </w:r>
      <w:r>
        <w:fldChar w:fldCharType="begin"/>
      </w:r>
      <w:r>
        <w:instrText xml:space="preserve"> PAGEREF _Toc30426 \h </w:instrText>
      </w:r>
      <w:r>
        <w:fldChar w:fldCharType="separate"/>
      </w:r>
      <w:r>
        <w:t>10</w:t>
      </w:r>
      <w:r>
        <w:fldChar w:fldCharType="end"/>
      </w:r>
      <w:r>
        <w:fldChar w:fldCharType="end"/>
      </w:r>
    </w:p>
    <w:p w14:paraId="602EC02D">
      <w:pPr>
        <w:pStyle w:val="6"/>
        <w:tabs>
          <w:tab w:val="right" w:leader="dot" w:pos="8306"/>
        </w:tabs>
      </w:pPr>
      <w:r>
        <w:fldChar w:fldCharType="begin"/>
      </w:r>
      <w:r>
        <w:instrText xml:space="preserve"> HYPERLINK \l _Toc19467 </w:instrText>
      </w:r>
      <w:r>
        <w:fldChar w:fldCharType="separate"/>
      </w:r>
      <w:r>
        <w:rPr>
          <w:szCs w:val="24"/>
        </w:rPr>
        <w:t>Element 4: Reflection</w:t>
      </w:r>
      <w:r>
        <w:tab/>
      </w:r>
      <w:r>
        <w:fldChar w:fldCharType="begin"/>
      </w:r>
      <w:r>
        <w:instrText xml:space="preserve"> PAGEREF _Toc19467 \h </w:instrText>
      </w:r>
      <w:r>
        <w:fldChar w:fldCharType="separate"/>
      </w:r>
      <w:r>
        <w:t>12</w:t>
      </w:r>
      <w:r>
        <w:fldChar w:fldCharType="end"/>
      </w:r>
      <w:r>
        <w:fldChar w:fldCharType="end"/>
      </w:r>
    </w:p>
    <w:p w14:paraId="043444F2">
      <w:pPr>
        <w:pStyle w:val="6"/>
        <w:tabs>
          <w:tab w:val="right" w:leader="dot" w:pos="8306"/>
        </w:tabs>
      </w:pPr>
      <w:r>
        <w:fldChar w:fldCharType="begin"/>
      </w:r>
      <w:r>
        <w:instrText xml:space="preserve"> HYPERLINK \l _Toc12969 </w:instrText>
      </w:r>
      <w:r>
        <w:fldChar w:fldCharType="separate"/>
      </w:r>
      <w:r>
        <w:rPr>
          <w:rFonts w:hint="default"/>
          <w:szCs w:val="24"/>
          <w:lang w:val="en-GB"/>
        </w:rPr>
        <w:t>References</w:t>
      </w:r>
      <w:r>
        <w:tab/>
      </w:r>
      <w:r>
        <w:fldChar w:fldCharType="begin"/>
      </w:r>
      <w:r>
        <w:instrText xml:space="preserve"> PAGEREF _Toc12969 \h </w:instrText>
      </w:r>
      <w:r>
        <w:fldChar w:fldCharType="separate"/>
      </w:r>
      <w:r>
        <w:t>14</w:t>
      </w:r>
      <w:r>
        <w:fldChar w:fldCharType="end"/>
      </w:r>
      <w:r>
        <w:fldChar w:fldCharType="end"/>
      </w:r>
    </w:p>
    <w:p w14:paraId="2AC16B7D">
      <w:r>
        <w:fldChar w:fldCharType="end"/>
      </w:r>
    </w:p>
    <w:p w14:paraId="255C564C">
      <w:pPr>
        <w:rPr>
          <w:sz w:val="24"/>
          <w:szCs w:val="24"/>
        </w:rPr>
      </w:pPr>
      <w:r>
        <w:rPr>
          <w:sz w:val="24"/>
          <w:szCs w:val="24"/>
        </w:rPr>
        <w:br w:type="page"/>
      </w:r>
    </w:p>
    <w:p w14:paraId="0E92F56B">
      <w:pPr>
        <w:pStyle w:val="2"/>
        <w:jc w:val="left"/>
        <w:rPr>
          <w:sz w:val="24"/>
          <w:szCs w:val="24"/>
        </w:rPr>
      </w:pPr>
      <w:bookmarkStart w:id="1" w:name="_Toc15099"/>
      <w:r>
        <w:rPr>
          <w:sz w:val="24"/>
          <w:szCs w:val="24"/>
        </w:rPr>
        <w:t>Element 1: Brand Extension Poster</w:t>
      </w:r>
      <w:bookmarkEnd w:id="1"/>
    </w:p>
    <w:p w14:paraId="52A526D1">
      <w:pPr>
        <w:jc w:val="both"/>
        <w:rPr>
          <w:rFonts w:hint="default"/>
        </w:rPr>
      </w:pPr>
      <w:r>
        <w:rPr>
          <w:rFonts w:hint="default"/>
        </w:rPr>
        <w:t xml:space="preserve">This poster on brand extension </w:t>
      </w:r>
      <w:r>
        <w:rPr>
          <w:rFonts w:hint="default"/>
          <w:lang w:val="en-GB"/>
        </w:rPr>
        <w:t>created using canva.</w:t>
      </w:r>
      <w:r>
        <w:rPr>
          <w:rFonts w:hint="default"/>
        </w:rPr>
        <w:t xml:space="preserve"> The poster showcases how Apple's brand expansion into the mixed reality (MR) sector has been achieved using the Vision Pro device, emphasizing how Apple's business strategy aligns with the latest technological advances and its commitment to sustainability. The poster can be viewed in its entirety below.</w:t>
      </w:r>
    </w:p>
    <w:p w14:paraId="46152AF0">
      <w:pPr>
        <w:rPr>
          <w:rFonts w:hint="default"/>
        </w:rPr>
      </w:pPr>
    </w:p>
    <w:p w14:paraId="0B339930">
      <w:pPr>
        <w:rPr>
          <w:rFonts w:hint="default"/>
          <w:lang w:val="en-GB"/>
        </w:rPr>
      </w:pPr>
      <w:r>
        <w:rPr>
          <w:rFonts w:hint="default"/>
          <w:lang w:val="en-GB"/>
        </w:rPr>
        <w:drawing>
          <wp:inline distT="0" distB="0" distL="114300" distR="114300">
            <wp:extent cx="5273040" cy="7456805"/>
            <wp:effectExtent l="0" t="0" r="3810" b="10795"/>
            <wp:docPr id="3" name="Picture 3" descr="Poster prestantaion_page-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oster prestantaion_page-0002"/>
                    <pic:cNvPicPr>
                      <a:picLocks noChangeAspect="1"/>
                    </pic:cNvPicPr>
                  </pic:nvPicPr>
                  <pic:blipFill>
                    <a:blip r:embed="rId5"/>
                    <a:stretch>
                      <a:fillRect/>
                    </a:stretch>
                  </pic:blipFill>
                  <pic:spPr>
                    <a:xfrm>
                      <a:off x="0" y="0"/>
                      <a:ext cx="5273040" cy="7456805"/>
                    </a:xfrm>
                    <a:prstGeom prst="rect">
                      <a:avLst/>
                    </a:prstGeom>
                  </pic:spPr>
                </pic:pic>
              </a:graphicData>
            </a:graphic>
          </wp:inline>
        </w:drawing>
      </w:r>
    </w:p>
    <w:p w14:paraId="5C2591A7">
      <w:pPr>
        <w:rPr>
          <w:sz w:val="24"/>
          <w:szCs w:val="24"/>
        </w:rPr>
      </w:pPr>
      <w:r>
        <w:rPr>
          <w:sz w:val="24"/>
          <w:szCs w:val="24"/>
        </w:rPr>
        <w:br w:type="page"/>
      </w:r>
    </w:p>
    <w:p w14:paraId="536AE0AC">
      <w:pPr>
        <w:pStyle w:val="2"/>
        <w:bidi w:val="0"/>
        <w:rPr>
          <w:sz w:val="24"/>
          <w:szCs w:val="24"/>
        </w:rPr>
      </w:pPr>
      <w:bookmarkStart w:id="2" w:name="_Toc5139"/>
      <w:r>
        <w:rPr>
          <w:sz w:val="24"/>
          <w:szCs w:val="24"/>
        </w:rPr>
        <w:t>Element 2: Segmentation, Targeting, Differentiation and Positioning (STDP) Analysis</w:t>
      </w:r>
      <w:bookmarkEnd w:id="2"/>
    </w:p>
    <w:p w14:paraId="63352BA4">
      <w:pPr>
        <w:jc w:val="both"/>
      </w:pPr>
    </w:p>
    <w:p w14:paraId="233755FB">
      <w:pPr>
        <w:jc w:val="both"/>
        <w:rPr>
          <w:rFonts w:hint="default"/>
        </w:rPr>
      </w:pPr>
      <w:r>
        <w:rPr>
          <w:rFonts w:hint="default"/>
        </w:rPr>
        <w:t>The Segmentation, Targeting, Differentiation, and Positioning (STDP) approach can be considered an invaluable tool in marketing planning, which allows organisations to select the customer segments, which will provide maximum benefit for them and develop a unique position on the market (Kotler et al., 2024). In this regard, applying the STDP approach to Apple Vision Pro can ensure successful marketing decisions.</w:t>
      </w:r>
    </w:p>
    <w:p w14:paraId="0EDB4CF0">
      <w:pPr>
        <w:jc w:val="both"/>
        <w:rPr>
          <w:rFonts w:hint="default"/>
        </w:rPr>
      </w:pPr>
    </w:p>
    <w:p w14:paraId="6427622A">
      <w:pPr>
        <w:jc w:val="both"/>
        <w:rPr>
          <w:rFonts w:hint="default"/>
          <w:lang w:val="en-GB"/>
        </w:rPr>
      </w:pPr>
      <w:r>
        <w:rPr>
          <w:rFonts w:hint="default"/>
          <w:lang w:val="en-GB"/>
        </w:rPr>
        <w:drawing>
          <wp:inline distT="0" distB="0" distL="114300" distR="114300">
            <wp:extent cx="5272405" cy="4258945"/>
            <wp:effectExtent l="0" t="0" r="0" b="0"/>
            <wp:docPr id="1" name="Picture 1" descr="stdp_apple_vision_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tdp_apple_vision_pro"/>
                    <pic:cNvPicPr>
                      <a:picLocks noChangeAspect="1"/>
                    </pic:cNvPicPr>
                  </pic:nvPicPr>
                  <pic:blipFill>
                    <a:blip r:embed="rId6">
                      <a:extLst>
                        <a:ext uri="{96DAC541-7B7A-43D3-8B79-37D633B846F1}">
                          <asvg:svgBlip xmlns:asvg="http://schemas.microsoft.com/office/drawing/2016/SVG/main" r:embed="rId7"/>
                        </a:ext>
                      </a:extLst>
                    </a:blip>
                    <a:stretch>
                      <a:fillRect/>
                    </a:stretch>
                  </pic:blipFill>
                  <pic:spPr>
                    <a:xfrm>
                      <a:off x="0" y="0"/>
                      <a:ext cx="5272405" cy="4258945"/>
                    </a:xfrm>
                    <a:prstGeom prst="rect">
                      <a:avLst/>
                    </a:prstGeom>
                  </pic:spPr>
                </pic:pic>
              </a:graphicData>
            </a:graphic>
          </wp:inline>
        </w:drawing>
      </w:r>
    </w:p>
    <w:p w14:paraId="12659939">
      <w:pPr>
        <w:pStyle w:val="3"/>
        <w:bidi w:val="0"/>
        <w:jc w:val="both"/>
        <w:rPr>
          <w:sz w:val="24"/>
          <w:szCs w:val="24"/>
        </w:rPr>
      </w:pPr>
      <w:bookmarkStart w:id="3" w:name="_Toc18406"/>
      <w:r>
        <w:rPr>
          <w:rFonts w:hint="default"/>
          <w:sz w:val="24"/>
          <w:szCs w:val="24"/>
          <w:lang w:val="en-GB"/>
        </w:rPr>
        <w:t xml:space="preserve">2.1 </w:t>
      </w:r>
      <w:r>
        <w:rPr>
          <w:sz w:val="24"/>
          <w:szCs w:val="24"/>
        </w:rPr>
        <w:t>Market Segmentation</w:t>
      </w:r>
      <w:bookmarkEnd w:id="3"/>
    </w:p>
    <w:p w14:paraId="740C395C">
      <w:pPr>
        <w:jc w:val="both"/>
        <w:rPr>
          <w:rFonts w:hint="default"/>
          <w:lang w:val="en-GB"/>
        </w:rPr>
      </w:pPr>
      <w:r>
        <w:rPr>
          <w:rFonts w:hint="default"/>
          <w:lang w:val="en-GB"/>
        </w:rPr>
        <w:t>Segmentation refers to the process whereby a large market is divided into sub-markets of customers that share similar characteristics, making the marketing process more effective. In the case of the Apple Vision Pro, segmentation can be carried out using four main criteria.</w:t>
      </w:r>
    </w:p>
    <w:p w14:paraId="68875E01">
      <w:pPr>
        <w:jc w:val="both"/>
        <w:rPr>
          <w:rFonts w:hint="default"/>
          <w:lang w:val="en-GB"/>
        </w:rPr>
      </w:pPr>
    </w:p>
    <w:p w14:paraId="10DA68E1">
      <w:pPr>
        <w:jc w:val="both"/>
        <w:rPr>
          <w:rFonts w:hint="default"/>
          <w:lang w:val="en-GB"/>
        </w:rPr>
      </w:pPr>
      <w:r>
        <w:rPr>
          <w:rFonts w:hint="default"/>
          <w:lang w:val="en-GB"/>
        </w:rPr>
        <w:t>From the demographic perspective, the intended customers for the Apple Vision Pro include adults aged between 25 and 45 years, including professionals, entrepreneurs, and creatives. These customers have above average incomes and an existing awareness of Apple products. Students enrolled in institutions of higher learning studying design, engineering, and technology are secondary target groups for this product (IDC, 2024).</w:t>
      </w:r>
    </w:p>
    <w:p w14:paraId="64DF3E6F">
      <w:pPr>
        <w:jc w:val="both"/>
        <w:rPr>
          <w:rFonts w:hint="default"/>
          <w:lang w:val="en-GB"/>
        </w:rPr>
      </w:pPr>
      <w:r>
        <w:rPr>
          <w:rFonts w:hint="default"/>
          <w:lang w:val="en-GB"/>
        </w:rPr>
        <w:t>In terms of psychographics, the target market comprises early adopters and tech fans who prize innovation, luxury products, and technology that boosts their efficiency. Such customers are highly lifestyle-focused and brand loyal, especially to products embodying their values such as innovation and quality. Furthermore, they do not mind paying extra for a more pleasant experience in their products (Kotler et al., 2024). Finally, status and professionalism matter to this audience, making them want to be at the cutting edge of technology.</w:t>
      </w:r>
    </w:p>
    <w:p w14:paraId="14C4B470">
      <w:pPr>
        <w:jc w:val="both"/>
        <w:rPr>
          <w:rFonts w:hint="default"/>
          <w:lang w:val="en-GB"/>
        </w:rPr>
      </w:pPr>
    </w:p>
    <w:p w14:paraId="03A05C48">
      <w:pPr>
        <w:jc w:val="both"/>
        <w:rPr>
          <w:rFonts w:hint="default"/>
          <w:lang w:val="en-GB"/>
        </w:rPr>
      </w:pPr>
      <w:r>
        <w:rPr>
          <w:rFonts w:hint="default"/>
          <w:lang w:val="en-GB"/>
        </w:rPr>
        <w:t>As for behavioural characteristics, such users tend to buy many Apple products and are devoted to the brand. They regularly consume digital media, play games, and use various tools for remote work and creativity – all features relevant to the use of the Vision Pro headset (Apple, 2024).</w:t>
      </w:r>
    </w:p>
    <w:p w14:paraId="0016FE36">
      <w:pPr>
        <w:jc w:val="both"/>
        <w:rPr>
          <w:rFonts w:hint="default"/>
          <w:lang w:val="en-GB"/>
        </w:rPr>
      </w:pPr>
    </w:p>
    <w:p w14:paraId="647DB695">
      <w:pPr>
        <w:pStyle w:val="3"/>
        <w:bidi w:val="0"/>
        <w:jc w:val="both"/>
        <w:rPr>
          <w:rFonts w:hint="default"/>
          <w:b/>
          <w:bCs/>
          <w:sz w:val="24"/>
          <w:szCs w:val="24"/>
          <w:lang w:val="en-GB"/>
        </w:rPr>
      </w:pPr>
      <w:bookmarkStart w:id="4" w:name="_Toc2252"/>
      <w:r>
        <w:rPr>
          <w:rFonts w:hint="default"/>
          <w:b/>
          <w:bCs/>
          <w:sz w:val="24"/>
          <w:szCs w:val="24"/>
          <w:lang w:val="en-GB"/>
        </w:rPr>
        <w:t>2.2 Targeting</w:t>
      </w:r>
      <w:bookmarkEnd w:id="4"/>
    </w:p>
    <w:p w14:paraId="65ADC6AE">
      <w:pPr>
        <w:jc w:val="both"/>
        <w:rPr>
          <w:rFonts w:hint="default"/>
          <w:lang w:val="en-GB"/>
        </w:rPr>
      </w:pPr>
      <w:r>
        <w:rPr>
          <w:rFonts w:hint="default"/>
          <w:lang w:val="en-GB"/>
        </w:rPr>
        <w:t xml:space="preserve">From a psychographic perspective, the target market would include early adopters and technophiles, who prioritize innovation and high-quality products that enhance their productivity. Such individuals have a lifestyle-oriented outlook and consider themselves strong supporters of brands, which emphasize their dedication to quality and design. They are also status-driven and interested in maintaining an edge in terms of being well-equipped with advanced technologies (Kotler et al., 2024). </w:t>
      </w:r>
    </w:p>
    <w:p w14:paraId="34EE9EA7">
      <w:pPr>
        <w:jc w:val="both"/>
        <w:rPr>
          <w:rFonts w:hint="default"/>
          <w:lang w:val="en-GB"/>
        </w:rPr>
      </w:pPr>
      <w:r>
        <w:rPr>
          <w:rFonts w:hint="default"/>
          <w:lang w:val="en-GB"/>
        </w:rPr>
        <w:t>In terms of behavior, the targeted segment is characterized by frequent use of Apple devices, brand loyalty, and readiness to buy products from the entire line of Apple products. Specifically, they use iPhones, Mac computers, iPads, and Apple watches. These consumers are also known for engaging in the use of digital content, video games, communication tools, and creative software.</w:t>
      </w:r>
    </w:p>
    <w:p w14:paraId="06BEBBD4">
      <w:pPr>
        <w:jc w:val="both"/>
        <w:rPr>
          <w:rFonts w:hint="default"/>
          <w:lang w:val="en-GB"/>
        </w:rPr>
      </w:pPr>
    </w:p>
    <w:p w14:paraId="0AC9A07A">
      <w:pPr>
        <w:pStyle w:val="3"/>
        <w:bidi w:val="0"/>
        <w:jc w:val="both"/>
        <w:rPr>
          <w:rFonts w:hint="default"/>
          <w:b/>
          <w:bCs/>
          <w:sz w:val="24"/>
          <w:szCs w:val="24"/>
          <w:lang w:val="en-GB"/>
        </w:rPr>
      </w:pPr>
      <w:bookmarkStart w:id="5" w:name="_Toc9193"/>
      <w:r>
        <w:rPr>
          <w:rFonts w:hint="default"/>
          <w:b/>
          <w:bCs/>
          <w:sz w:val="24"/>
          <w:szCs w:val="24"/>
          <w:lang w:val="en-GB"/>
        </w:rPr>
        <w:t>2.3 Differentiation</w:t>
      </w:r>
      <w:bookmarkEnd w:id="5"/>
    </w:p>
    <w:p w14:paraId="17769666">
      <w:pPr>
        <w:jc w:val="both"/>
        <w:rPr>
          <w:rFonts w:hint="default"/>
          <w:lang w:val="en-GB"/>
        </w:rPr>
      </w:pPr>
      <w:r>
        <w:rPr>
          <w:rFonts w:hint="default"/>
          <w:lang w:val="en-GB"/>
        </w:rPr>
        <w:t>Differentiation can be defined as the way in which a brand creates differences that will enable it to offer something better than or unique compared to other brands in the perspective of the target market (Porter, 1985). Apple Vision Pro differentiates itself from competing products such as Meta Quest 3 and Microsoft HoloLens on various grounds.</w:t>
      </w:r>
    </w:p>
    <w:p w14:paraId="3CF5D968">
      <w:pPr>
        <w:jc w:val="both"/>
        <w:rPr>
          <w:rFonts w:hint="default"/>
          <w:lang w:val="en-GB"/>
        </w:rPr>
      </w:pPr>
    </w:p>
    <w:p w14:paraId="72B75D81">
      <w:pPr>
        <w:jc w:val="both"/>
        <w:rPr>
          <w:rFonts w:hint="default"/>
          <w:lang w:val="en-GB"/>
        </w:rPr>
      </w:pPr>
      <w:r>
        <w:rPr>
          <w:rFonts w:hint="default"/>
          <w:lang w:val="en-GB"/>
        </w:rPr>
        <w:t>Firstly, it provides an integrated spatial computing capability where its users can easily interact with their MacBooks, iPhones, and iPads using Vision Pro, an advantage that cannot be offered by competitors. Secondly, Vision Pro runs on the visionOS system, which allows users to interact with the gadget naturally through vision, touch, and sound commands without requiring any controller whatsoever. Thirdly, Apple uses micro-OLED screens in its Vision Pro gadgets, providing more clarity and higher resolution than competing products available today (Gartner, 2024).</w:t>
      </w:r>
    </w:p>
    <w:p w14:paraId="5E648965">
      <w:pPr>
        <w:jc w:val="both"/>
        <w:rPr>
          <w:rFonts w:hint="default"/>
          <w:lang w:val="en-GB"/>
        </w:rPr>
      </w:pPr>
    </w:p>
    <w:p w14:paraId="6DA4A532">
      <w:pPr>
        <w:jc w:val="both"/>
        <w:rPr>
          <w:rFonts w:hint="default"/>
          <w:lang w:val="en-GB"/>
        </w:rPr>
      </w:pPr>
    </w:p>
    <w:p w14:paraId="168B1C33">
      <w:pPr>
        <w:pStyle w:val="3"/>
        <w:bidi w:val="0"/>
        <w:jc w:val="both"/>
        <w:rPr>
          <w:rFonts w:hint="default"/>
          <w:b/>
          <w:bCs/>
          <w:sz w:val="24"/>
          <w:szCs w:val="24"/>
          <w:lang w:val="en-GB"/>
        </w:rPr>
      </w:pPr>
      <w:bookmarkStart w:id="6" w:name="_Toc8273"/>
      <w:r>
        <w:rPr>
          <w:rFonts w:hint="default"/>
          <w:b/>
          <w:bCs/>
          <w:sz w:val="24"/>
          <w:szCs w:val="24"/>
          <w:lang w:val="en-GB"/>
        </w:rPr>
        <w:t>2.4 Positioning</w:t>
      </w:r>
      <w:bookmarkEnd w:id="6"/>
    </w:p>
    <w:p w14:paraId="619D5BCF">
      <w:pPr>
        <w:jc w:val="both"/>
        <w:rPr>
          <w:rFonts w:hint="default"/>
          <w:lang w:val="en-GB"/>
        </w:rPr>
      </w:pPr>
      <w:r>
        <w:rPr>
          <w:rFonts w:hint="default"/>
          <w:lang w:val="en-GB"/>
        </w:rPr>
        <w:t>Positioning refers to the way a brand creates and maintains a unique position in the customer's mind (Ries and Trout, 2001). In positioning Vision Pro, Apple has not portrayed it as a gaming or entertainment head-mounted display, but a spatial computer—a productivity and creativity device that represents an extension of the Mac platform into a three-dimensional space. This positioning is reflected in its high cost ($3,499), limited sales channels in Apple stores, and marketing campaigns targeting professional customers. The brand positioning is further strengthened by the brand equity that Apple has been able to create based on its reputation as a design innovator over decades (Keller, 2020).</w:t>
      </w:r>
    </w:p>
    <w:p w14:paraId="5F83F586">
      <w:pPr>
        <w:jc w:val="both"/>
        <w:rPr>
          <w:rFonts w:hint="default"/>
          <w:lang w:val="en-GB"/>
        </w:rPr>
      </w:pPr>
    </w:p>
    <w:p w14:paraId="5F06FC3A">
      <w:pPr>
        <w:jc w:val="both"/>
        <w:rPr>
          <w:rFonts w:hint="default"/>
          <w:lang w:val="en-GB"/>
        </w:rPr>
      </w:pPr>
    </w:p>
    <w:p w14:paraId="268D6783">
      <w:pPr>
        <w:jc w:val="both"/>
        <w:rPr>
          <w:rFonts w:hint="default"/>
          <w:lang w:val="en-GB"/>
        </w:rPr>
      </w:pPr>
    </w:p>
    <w:p w14:paraId="0FDEE79C">
      <w:pPr>
        <w:jc w:val="both"/>
        <w:rPr>
          <w:rFonts w:hint="default"/>
          <w:lang w:val="en-GB"/>
        </w:rPr>
      </w:pPr>
    </w:p>
    <w:p w14:paraId="684D5665">
      <w:pPr>
        <w:jc w:val="both"/>
        <w:rPr>
          <w:rFonts w:hint="default"/>
          <w:lang w:val="en-GB"/>
        </w:rPr>
      </w:pPr>
    </w:p>
    <w:p w14:paraId="50A83241">
      <w:pPr>
        <w:jc w:val="both"/>
        <w:rPr>
          <w:rFonts w:hint="default"/>
          <w:lang w:val="en-GB"/>
        </w:rPr>
      </w:pPr>
    </w:p>
    <w:p w14:paraId="63011C27">
      <w:pPr>
        <w:jc w:val="both"/>
        <w:rPr>
          <w:rFonts w:hint="default"/>
          <w:lang w:val="en-GB"/>
        </w:rPr>
      </w:pPr>
    </w:p>
    <w:p w14:paraId="01689830">
      <w:pPr>
        <w:jc w:val="both"/>
        <w:rPr>
          <w:rFonts w:hint="default"/>
          <w:lang w:val="en-GB"/>
        </w:rPr>
      </w:pPr>
    </w:p>
    <w:p w14:paraId="048D53E9">
      <w:pPr>
        <w:jc w:val="both"/>
        <w:rPr>
          <w:rFonts w:hint="default"/>
          <w:lang w:val="en-GB"/>
        </w:rPr>
      </w:pPr>
    </w:p>
    <w:p w14:paraId="7D44B9BB">
      <w:pPr>
        <w:jc w:val="both"/>
        <w:rPr>
          <w:rFonts w:hint="default"/>
          <w:lang w:val="en-GB"/>
        </w:rPr>
      </w:pPr>
    </w:p>
    <w:p w14:paraId="7C163A01">
      <w:pPr>
        <w:jc w:val="both"/>
        <w:rPr>
          <w:rFonts w:hint="default"/>
          <w:lang w:val="en-GB"/>
        </w:rPr>
      </w:pPr>
    </w:p>
    <w:p w14:paraId="72718901">
      <w:pPr>
        <w:jc w:val="both"/>
        <w:rPr>
          <w:rFonts w:hint="default"/>
          <w:lang w:val="en-GB"/>
        </w:rPr>
      </w:pPr>
    </w:p>
    <w:p w14:paraId="5EF65BAE">
      <w:pPr>
        <w:jc w:val="both"/>
        <w:rPr>
          <w:rFonts w:hint="default"/>
          <w:lang w:val="en-GB"/>
        </w:rPr>
      </w:pPr>
    </w:p>
    <w:p w14:paraId="7353ACD2">
      <w:pPr>
        <w:jc w:val="both"/>
        <w:rPr>
          <w:rFonts w:hint="default"/>
          <w:lang w:val="en-GB"/>
        </w:rPr>
      </w:pPr>
    </w:p>
    <w:p w14:paraId="495B3BDF">
      <w:pPr>
        <w:jc w:val="both"/>
        <w:rPr>
          <w:rFonts w:hint="default"/>
          <w:lang w:val="en-GB"/>
        </w:rPr>
      </w:pPr>
    </w:p>
    <w:p w14:paraId="10B9C14A">
      <w:pPr>
        <w:jc w:val="both"/>
        <w:rPr>
          <w:rFonts w:hint="default"/>
          <w:lang w:val="en-GB"/>
        </w:rPr>
      </w:pPr>
    </w:p>
    <w:p w14:paraId="5D05745F">
      <w:pPr>
        <w:jc w:val="both"/>
        <w:rPr>
          <w:rFonts w:hint="default"/>
          <w:lang w:val="en-GB"/>
        </w:rPr>
      </w:pPr>
    </w:p>
    <w:p w14:paraId="700D117C">
      <w:pPr>
        <w:jc w:val="both"/>
        <w:rPr>
          <w:rFonts w:hint="default"/>
          <w:lang w:val="en-GB"/>
        </w:rPr>
      </w:pPr>
    </w:p>
    <w:p w14:paraId="67321373">
      <w:pPr>
        <w:jc w:val="both"/>
        <w:rPr>
          <w:rFonts w:hint="default"/>
          <w:lang w:val="en-GB"/>
        </w:rPr>
      </w:pPr>
    </w:p>
    <w:p w14:paraId="75CB41C5">
      <w:pPr>
        <w:jc w:val="both"/>
        <w:rPr>
          <w:rFonts w:hint="default"/>
          <w:lang w:val="en-GB"/>
        </w:rPr>
      </w:pPr>
    </w:p>
    <w:p w14:paraId="7C5AB9EC">
      <w:pPr>
        <w:jc w:val="both"/>
        <w:rPr>
          <w:rFonts w:hint="default"/>
          <w:lang w:val="en-GB"/>
        </w:rPr>
      </w:pPr>
    </w:p>
    <w:p w14:paraId="68274C95">
      <w:pPr>
        <w:jc w:val="both"/>
        <w:rPr>
          <w:rFonts w:hint="default"/>
          <w:lang w:val="en-GB"/>
        </w:rPr>
      </w:pPr>
    </w:p>
    <w:p w14:paraId="4E177779">
      <w:pPr>
        <w:jc w:val="both"/>
        <w:rPr>
          <w:rFonts w:hint="default"/>
          <w:lang w:val="en-GB"/>
        </w:rPr>
      </w:pPr>
    </w:p>
    <w:p w14:paraId="1E565843">
      <w:pPr>
        <w:jc w:val="both"/>
        <w:rPr>
          <w:rFonts w:hint="default"/>
          <w:lang w:val="en-GB"/>
        </w:rPr>
      </w:pPr>
    </w:p>
    <w:p w14:paraId="0FB58F1C">
      <w:pPr>
        <w:jc w:val="both"/>
        <w:rPr>
          <w:rFonts w:hint="default"/>
          <w:lang w:val="en-GB"/>
        </w:rPr>
      </w:pPr>
    </w:p>
    <w:p w14:paraId="06AEC661">
      <w:pPr>
        <w:jc w:val="both"/>
        <w:rPr>
          <w:rFonts w:hint="default"/>
          <w:lang w:val="en-GB"/>
        </w:rPr>
      </w:pPr>
    </w:p>
    <w:p w14:paraId="37E9914F">
      <w:pPr>
        <w:jc w:val="both"/>
        <w:rPr>
          <w:rFonts w:hint="default"/>
          <w:lang w:val="en-GB"/>
        </w:rPr>
      </w:pPr>
    </w:p>
    <w:p w14:paraId="70F3ADA0">
      <w:pPr>
        <w:jc w:val="both"/>
        <w:rPr>
          <w:rFonts w:hint="default"/>
          <w:lang w:val="en-GB"/>
        </w:rPr>
      </w:pPr>
    </w:p>
    <w:p w14:paraId="2090C9D9">
      <w:pPr>
        <w:jc w:val="both"/>
        <w:rPr>
          <w:rFonts w:hint="default"/>
          <w:lang w:val="en-GB"/>
        </w:rPr>
      </w:pPr>
    </w:p>
    <w:p w14:paraId="17DF7E75">
      <w:pPr>
        <w:jc w:val="both"/>
        <w:rPr>
          <w:rFonts w:hint="default"/>
          <w:lang w:val="en-GB"/>
        </w:rPr>
      </w:pPr>
    </w:p>
    <w:p w14:paraId="5CA326D7">
      <w:pPr>
        <w:jc w:val="both"/>
        <w:rPr>
          <w:rFonts w:hint="default"/>
          <w:lang w:val="en-GB"/>
        </w:rPr>
      </w:pPr>
    </w:p>
    <w:p w14:paraId="02EEECE1">
      <w:pPr>
        <w:jc w:val="both"/>
        <w:rPr>
          <w:rFonts w:hint="default"/>
          <w:lang w:val="en-GB"/>
        </w:rPr>
      </w:pPr>
    </w:p>
    <w:p w14:paraId="676D181F">
      <w:pPr>
        <w:jc w:val="both"/>
        <w:rPr>
          <w:rFonts w:hint="default"/>
          <w:lang w:val="en-GB"/>
        </w:rPr>
      </w:pPr>
    </w:p>
    <w:p w14:paraId="3F9CDBA7">
      <w:pPr>
        <w:jc w:val="both"/>
        <w:rPr>
          <w:rFonts w:hint="default"/>
          <w:lang w:val="en-GB"/>
        </w:rPr>
      </w:pPr>
    </w:p>
    <w:p w14:paraId="7CAEDAE2">
      <w:pPr>
        <w:jc w:val="both"/>
        <w:rPr>
          <w:rFonts w:hint="default"/>
          <w:lang w:val="en-GB"/>
        </w:rPr>
      </w:pPr>
    </w:p>
    <w:p w14:paraId="4F1D1C7F">
      <w:pPr>
        <w:jc w:val="both"/>
        <w:rPr>
          <w:rFonts w:hint="default"/>
          <w:lang w:val="en-GB"/>
        </w:rPr>
      </w:pPr>
    </w:p>
    <w:p w14:paraId="524A9D97">
      <w:pPr>
        <w:pStyle w:val="2"/>
        <w:bidi w:val="0"/>
        <w:rPr>
          <w:rFonts w:hint="default"/>
          <w:sz w:val="24"/>
          <w:szCs w:val="24"/>
          <w:lang w:val="en-GB"/>
        </w:rPr>
      </w:pPr>
      <w:bookmarkStart w:id="7" w:name="_Toc19530"/>
      <w:r>
        <w:rPr>
          <w:rFonts w:hint="default"/>
          <w:sz w:val="24"/>
          <w:szCs w:val="24"/>
          <w:lang w:val="en-GB"/>
        </w:rPr>
        <w:t>Element 3: Marketing Mix (7Ps)</w:t>
      </w:r>
      <w:bookmarkEnd w:id="7"/>
    </w:p>
    <w:p w14:paraId="08499CEC">
      <w:pPr>
        <w:rPr>
          <w:rFonts w:hint="default"/>
          <w:sz w:val="24"/>
          <w:szCs w:val="24"/>
          <w:lang w:val="en-GB"/>
        </w:rPr>
      </w:pPr>
    </w:p>
    <w:p w14:paraId="4B7ACC62">
      <w:pPr>
        <w:jc w:val="both"/>
        <w:rPr>
          <w:rFonts w:hint="default"/>
          <w:sz w:val="24"/>
          <w:szCs w:val="24"/>
          <w:lang w:val="en-GB"/>
        </w:rPr>
      </w:pPr>
      <w:r>
        <w:rPr>
          <w:rFonts w:hint="default"/>
          <w:sz w:val="24"/>
          <w:szCs w:val="24"/>
          <w:lang w:val="en-GB"/>
        </w:rPr>
        <w:t>The extended marketing mix model, which consists of Product, Price, Place, Promotion, People, Process, and Physical Evidence, offers a complete framework for analyzing and adopting marketing strategies (Booms and Bitner, 1981). The Apple Vision Pro is no exception, and each aspect should be carefully considered so as to ensure consistency with the extension of Apple’s marketing strategy.</w:t>
      </w:r>
    </w:p>
    <w:p w14:paraId="215BA12F">
      <w:pPr>
        <w:jc w:val="both"/>
        <w:rPr>
          <w:rFonts w:hint="default"/>
          <w:sz w:val="24"/>
          <w:szCs w:val="24"/>
          <w:lang w:val="en-GB"/>
        </w:rPr>
      </w:pPr>
    </w:p>
    <w:p w14:paraId="63035AA6">
      <w:pPr>
        <w:jc w:val="both"/>
        <w:rPr>
          <w:rFonts w:hint="default"/>
          <w:sz w:val="24"/>
          <w:szCs w:val="24"/>
          <w:lang w:val="en-GB"/>
        </w:rPr>
      </w:pPr>
      <w:r>
        <w:rPr>
          <w:rFonts w:hint="default"/>
          <w:sz w:val="24"/>
          <w:szCs w:val="24"/>
          <w:lang w:val="en-GB"/>
        </w:rPr>
        <w:drawing>
          <wp:inline distT="0" distB="0" distL="114300" distR="114300">
            <wp:extent cx="5272405" cy="4186555"/>
            <wp:effectExtent l="0" t="0" r="0" b="0"/>
            <wp:docPr id="2" name="Picture 2" descr="7ps_compact_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7ps_compact_report"/>
                    <pic:cNvPicPr>
                      <a:picLocks noChangeAspect="1"/>
                    </pic:cNvPicPr>
                  </pic:nvPicPr>
                  <pic:blipFill>
                    <a:blip r:embed="rId8">
                      <a:extLst>
                        <a:ext uri="{96DAC541-7B7A-43D3-8B79-37D633B846F1}">
                          <asvg:svgBlip xmlns:asvg="http://schemas.microsoft.com/office/drawing/2016/SVG/main" r:embed="rId9"/>
                        </a:ext>
                      </a:extLst>
                    </a:blip>
                    <a:stretch>
                      <a:fillRect/>
                    </a:stretch>
                  </pic:blipFill>
                  <pic:spPr>
                    <a:xfrm>
                      <a:off x="0" y="0"/>
                      <a:ext cx="5272405" cy="4186555"/>
                    </a:xfrm>
                    <a:prstGeom prst="rect">
                      <a:avLst/>
                    </a:prstGeom>
                  </pic:spPr>
                </pic:pic>
              </a:graphicData>
            </a:graphic>
          </wp:inline>
        </w:drawing>
      </w:r>
    </w:p>
    <w:p w14:paraId="53D74800">
      <w:pPr>
        <w:jc w:val="both"/>
        <w:rPr>
          <w:rFonts w:hint="default"/>
          <w:sz w:val="24"/>
          <w:szCs w:val="24"/>
          <w:lang w:val="en-GB"/>
        </w:rPr>
      </w:pPr>
    </w:p>
    <w:p w14:paraId="34531F79">
      <w:pPr>
        <w:pStyle w:val="3"/>
        <w:bidi w:val="0"/>
        <w:rPr>
          <w:sz w:val="24"/>
          <w:szCs w:val="24"/>
        </w:rPr>
      </w:pPr>
      <w:bookmarkStart w:id="8" w:name="_Toc1406"/>
      <w:r>
        <w:rPr>
          <w:rFonts w:hint="default"/>
          <w:sz w:val="24"/>
          <w:szCs w:val="24"/>
          <w:lang w:val="en-GB"/>
        </w:rPr>
        <w:t xml:space="preserve">3.1 </w:t>
      </w:r>
      <w:r>
        <w:rPr>
          <w:sz w:val="24"/>
          <w:szCs w:val="24"/>
        </w:rPr>
        <w:t>Product</w:t>
      </w:r>
      <w:bookmarkEnd w:id="8"/>
    </w:p>
    <w:p w14:paraId="1D676179">
      <w:pPr>
        <w:jc w:val="both"/>
        <w:rPr>
          <w:rFonts w:hint="default"/>
          <w:lang w:val="en-GB"/>
        </w:rPr>
      </w:pPr>
      <w:r>
        <w:rPr>
          <w:rFonts w:hint="default"/>
          <w:lang w:val="en-GB"/>
        </w:rPr>
        <w:t>Vision Pro from Apple is a groundbreaking product innovation in Apple's range of products. As a spatial computer, the Vision Pro combines AR and VR technologies to create one mixed reality experience using two proprietary Apple chips M2 and R1 (Apple, 2024). The new operating system visionOS creates an innovative way of interacting with applications – it enables the use of a 3D interface where the interaction takes place in the real world, changing how people work with computers personally. Among the main product features are EyeSight that projects users' eyes on the outside display and helps maintain social presence and Optic ID that is an eye recognition-based system for authentication. Moreover, Vision Pro perfectly fits into Apple's ecosystem and supports such Apple products as iPhone, Mac, and AirPods, thus enhancing the benefit of previous Apple innovations (Kotler et al., 2024). In terms of product life cycle, Vision Pro falls under the introduction phase, implying high investment and low sales volume typical of revolutionary products (Armstrong et al., 2023).</w:t>
      </w:r>
    </w:p>
    <w:p w14:paraId="1B759F58">
      <w:pPr>
        <w:jc w:val="both"/>
        <w:rPr>
          <w:rFonts w:hint="default"/>
          <w:lang w:val="en-GB"/>
        </w:rPr>
      </w:pPr>
    </w:p>
    <w:p w14:paraId="609762EC">
      <w:pPr>
        <w:pStyle w:val="3"/>
        <w:bidi w:val="0"/>
        <w:rPr>
          <w:sz w:val="24"/>
          <w:szCs w:val="24"/>
        </w:rPr>
      </w:pPr>
      <w:bookmarkStart w:id="9" w:name="_Toc118"/>
      <w:r>
        <w:rPr>
          <w:rFonts w:hint="default"/>
          <w:sz w:val="24"/>
          <w:szCs w:val="24"/>
          <w:lang w:val="en-GB"/>
        </w:rPr>
        <w:t xml:space="preserve">3.2 </w:t>
      </w:r>
      <w:r>
        <w:rPr>
          <w:sz w:val="24"/>
          <w:szCs w:val="24"/>
        </w:rPr>
        <w:t>Price</w:t>
      </w:r>
      <w:bookmarkEnd w:id="9"/>
    </w:p>
    <w:p w14:paraId="13A158D4">
      <w:pPr>
        <w:jc w:val="both"/>
        <w:rPr>
          <w:rFonts w:hint="default"/>
          <w:lang w:val="en-GB"/>
        </w:rPr>
      </w:pPr>
      <w:r>
        <w:rPr>
          <w:rFonts w:hint="default"/>
          <w:lang w:val="en-GB"/>
        </w:rPr>
        <w:t>Apple adopts the premium pricing method with the basic version of the Vision Pro sold at a price point of $3,499 in America. This type of pricing involves an approach that centers on value, where the price is determined by the value offered to the customer rather than the cost involved (Nagle &amp; Müller, 2018). The premium position plays different roles in Apple's business, from promoting brand prestige to focusing on the most qualified customers and funding ongoing research and development activities. Most importantly, it aligns with Apple's past practice during its product introductions, especially with products like the original iPhone and Apple Watch, which have been sold at a high premium price before adjusting their prices as they matured (Keller, 2020). Apple Financial Services also provides financing and lease agreements for businesses interested in acquiring the Vision Pro (Apple, 2024).</w:t>
      </w:r>
    </w:p>
    <w:p w14:paraId="7E905768">
      <w:pPr>
        <w:jc w:val="both"/>
        <w:rPr>
          <w:rFonts w:hint="default"/>
          <w:lang w:val="en-GB"/>
        </w:rPr>
      </w:pPr>
    </w:p>
    <w:p w14:paraId="5ADB1CBD">
      <w:pPr>
        <w:pStyle w:val="3"/>
        <w:bidi w:val="0"/>
        <w:rPr>
          <w:sz w:val="24"/>
          <w:szCs w:val="24"/>
        </w:rPr>
      </w:pPr>
      <w:bookmarkStart w:id="10" w:name="_Toc16900"/>
      <w:r>
        <w:rPr>
          <w:rFonts w:hint="default"/>
          <w:sz w:val="24"/>
          <w:szCs w:val="24"/>
          <w:lang w:val="en-GB"/>
        </w:rPr>
        <w:t xml:space="preserve">3.3 </w:t>
      </w:r>
      <w:r>
        <w:rPr>
          <w:sz w:val="24"/>
          <w:szCs w:val="24"/>
        </w:rPr>
        <w:t>Place</w:t>
      </w:r>
      <w:bookmarkEnd w:id="10"/>
    </w:p>
    <w:p w14:paraId="2E46FAD5">
      <w:pPr>
        <w:jc w:val="both"/>
        <w:rPr>
          <w:rFonts w:hint="default"/>
          <w:lang w:val="en-GB"/>
        </w:rPr>
      </w:pPr>
      <w:r>
        <w:rPr>
          <w:rFonts w:hint="default"/>
          <w:lang w:val="en-GB"/>
        </w:rPr>
        <w:t>The distribution strategy adopted for the marketing of Apple Vision Pro takes cognizance of the high-end nature of the product as well as the requirement for an immersive customer purchase experience. The product is available through only authorized sales channel for Apple, which is through Apple Retail Stores, Apple Online Store, and Authorized Apple Resellers in selected countries. This distribution model has been adopted in order to retain control over customer experiences as well as brand exclusivity (Armstrong et al., 2023). Customers looking to purchase the product will get a chance to interact with the product within Apple Stores, where there are dedicated sections for demonstrating Vision Pro and where customers get personalized fittings of the product under the guidance of experts. This distribution strategy has worked well because customers get a firsthand experience about the high value associated with the product before making any purchases (Kotler et al., 2024). The product has been made available in selected international markets through gradual expansion of its distribution.</w:t>
      </w:r>
    </w:p>
    <w:p w14:paraId="10C99790">
      <w:pPr>
        <w:jc w:val="both"/>
        <w:rPr>
          <w:rFonts w:hint="default"/>
          <w:lang w:val="en-GB"/>
        </w:rPr>
      </w:pPr>
    </w:p>
    <w:p w14:paraId="2A3B07E5">
      <w:pPr>
        <w:pStyle w:val="3"/>
        <w:bidi w:val="0"/>
        <w:rPr>
          <w:sz w:val="24"/>
          <w:szCs w:val="24"/>
        </w:rPr>
      </w:pPr>
      <w:bookmarkStart w:id="11" w:name="_Toc13164"/>
      <w:r>
        <w:rPr>
          <w:rFonts w:hint="default"/>
          <w:sz w:val="24"/>
          <w:szCs w:val="24"/>
          <w:lang w:val="en-GB"/>
        </w:rPr>
        <w:t xml:space="preserve">3.4 </w:t>
      </w:r>
      <w:r>
        <w:rPr>
          <w:sz w:val="24"/>
          <w:szCs w:val="24"/>
        </w:rPr>
        <w:t>Promotion</w:t>
      </w:r>
      <w:bookmarkEnd w:id="11"/>
    </w:p>
    <w:p w14:paraId="6842022E">
      <w:pPr>
        <w:jc w:val="both"/>
        <w:rPr>
          <w:rFonts w:hint="default"/>
          <w:lang w:val="en-GB"/>
        </w:rPr>
      </w:pPr>
      <w:r>
        <w:rPr>
          <w:rFonts w:hint="default"/>
          <w:lang w:val="en-GB"/>
        </w:rPr>
        <w:t>The marketing approach adopted by Apple for promoting the Vision Pro involves combining content marketing, influence marketing, and targeted online advertisements. The keynote launch of the Vision Pro at WWDC 2023 resulted in unparalleled global media attention, with the launch acting as an effective global promotion event (Gartner, 2024). The company created a series of cinematic videos that demonstrated the use of the product in practical scenarios from different industries such as productivity, healthcare, and entertainment. They were disseminated through Apple's website, YouTube channel, and other social media accounts. One of the key aspects of the promotional approach taken by Apple is the absence of conventional mass marketing efforts. Instead, Apple focuses on product demonstrations and earned media. This is in line with the marketing philosophy of Apple that allows product quality to speak for itself (Keller, 2020). Developer engagement is another major aspect of the promotional process.</w:t>
      </w:r>
    </w:p>
    <w:p w14:paraId="0C5E5FCB">
      <w:pPr>
        <w:jc w:val="both"/>
        <w:rPr>
          <w:rFonts w:hint="default"/>
          <w:lang w:val="en-GB"/>
        </w:rPr>
      </w:pPr>
    </w:p>
    <w:p w14:paraId="5CEE7C72">
      <w:pPr>
        <w:pStyle w:val="3"/>
        <w:bidi w:val="0"/>
        <w:rPr>
          <w:sz w:val="24"/>
          <w:szCs w:val="24"/>
        </w:rPr>
      </w:pPr>
      <w:bookmarkStart w:id="12" w:name="_Toc5294"/>
      <w:r>
        <w:rPr>
          <w:rFonts w:hint="default"/>
          <w:sz w:val="24"/>
          <w:szCs w:val="24"/>
          <w:lang w:val="en-GB"/>
        </w:rPr>
        <w:t xml:space="preserve">3.5 </w:t>
      </w:r>
      <w:r>
        <w:rPr>
          <w:sz w:val="24"/>
          <w:szCs w:val="24"/>
        </w:rPr>
        <w:t>People</w:t>
      </w:r>
      <w:bookmarkEnd w:id="12"/>
    </w:p>
    <w:p w14:paraId="01DE8A8B">
      <w:pPr>
        <w:jc w:val="both"/>
        <w:rPr>
          <w:rFonts w:hint="default"/>
          <w:lang w:val="en-GB"/>
        </w:rPr>
      </w:pPr>
      <w:r>
        <w:rPr>
          <w:rFonts w:hint="default"/>
          <w:lang w:val="en-GB"/>
        </w:rPr>
        <w:t>When talking about services marketing, the concept of “People” pertains to those employees and representatives that deal with the customer and influence their impression regarding the company (Booms and Bitner, 1981). With regard to the new Apple Vision Pro, its promotion and distribution involves Apple Specialists, which is the name for the employees working in the company's stores and specifically trained for the task of demonstrating the device. The Apple Specialists will be playing a key part in explaining its benefits to the consumer, controlling their expectations, and encouraging their purchase decision. Apple pays close attention to training its employees in order to make them the perfect embodiment of the company values, including simplicity, creativity, and excellence (Armstrong et al., 2023). In a B2B environment, Apple employs its enterprise sales team dealing directly with the corporate clients.</w:t>
      </w:r>
    </w:p>
    <w:p w14:paraId="5A69FB99">
      <w:pPr>
        <w:jc w:val="both"/>
        <w:rPr>
          <w:rFonts w:hint="default"/>
          <w:lang w:val="en-GB"/>
        </w:rPr>
      </w:pPr>
    </w:p>
    <w:p w14:paraId="28E8009B">
      <w:pPr>
        <w:pStyle w:val="3"/>
        <w:bidi w:val="0"/>
        <w:rPr>
          <w:sz w:val="24"/>
          <w:szCs w:val="24"/>
        </w:rPr>
      </w:pPr>
      <w:bookmarkStart w:id="13" w:name="_Toc2411"/>
      <w:r>
        <w:rPr>
          <w:rFonts w:hint="default"/>
          <w:sz w:val="24"/>
          <w:szCs w:val="24"/>
          <w:lang w:val="en-GB"/>
        </w:rPr>
        <w:t xml:space="preserve">3.6 </w:t>
      </w:r>
      <w:r>
        <w:rPr>
          <w:sz w:val="24"/>
          <w:szCs w:val="24"/>
        </w:rPr>
        <w:t>Process</w:t>
      </w:r>
      <w:bookmarkEnd w:id="13"/>
    </w:p>
    <w:p w14:paraId="0F55AB9A">
      <w:pPr>
        <w:jc w:val="both"/>
        <w:rPr>
          <w:rFonts w:hint="default"/>
          <w:lang w:val="en-GB"/>
        </w:rPr>
      </w:pPr>
      <w:r>
        <w:rPr>
          <w:rFonts w:hint="default"/>
          <w:lang w:val="en-GB"/>
        </w:rPr>
        <w:t>Process refers to the systems and procedures by which the service is provided (Booms and Bitner, 1981). In the case of the Vision Pro, its purchasing procedure has been designed specifically to align with its premium nature. In the store, consumers arrange for a special appointment where they undergo a personal consultation to help them determine the right light seal and headband. They are also taken through the features of the vision pro in a thirty-minute guide session. These procedures minimize friction and improve purchase confidence while making the process different from those used by its competitors. The post-purchase procedure involves the availability of AppleCare+ for Vision Pro that ensures consumers receive all forms of support, from hardware to software.</w:t>
      </w:r>
    </w:p>
    <w:p w14:paraId="7AEC5EB8">
      <w:pPr>
        <w:jc w:val="both"/>
        <w:rPr>
          <w:rFonts w:hint="default"/>
          <w:lang w:val="en-GB"/>
        </w:rPr>
      </w:pPr>
    </w:p>
    <w:p w14:paraId="1C71289B">
      <w:pPr>
        <w:pStyle w:val="3"/>
        <w:bidi w:val="0"/>
        <w:rPr>
          <w:rFonts w:hint="default"/>
          <w:b/>
          <w:bCs/>
          <w:sz w:val="24"/>
          <w:szCs w:val="24"/>
          <w:lang w:val="en-GB"/>
        </w:rPr>
      </w:pPr>
      <w:bookmarkStart w:id="14" w:name="_Toc30426"/>
      <w:r>
        <w:rPr>
          <w:rFonts w:hint="default"/>
          <w:b/>
          <w:bCs/>
          <w:sz w:val="24"/>
          <w:szCs w:val="24"/>
          <w:lang w:val="en-GB"/>
        </w:rPr>
        <w:t>3.7 Physical Evidence</w:t>
      </w:r>
      <w:bookmarkEnd w:id="14"/>
    </w:p>
    <w:p w14:paraId="2909C381">
      <w:pPr>
        <w:jc w:val="both"/>
        <w:rPr>
          <w:rFonts w:hint="default"/>
          <w:lang w:val="en-GB"/>
        </w:rPr>
      </w:pPr>
      <w:r>
        <w:rPr>
          <w:rFonts w:hint="default"/>
          <w:lang w:val="en-GB"/>
        </w:rPr>
        <w:t>Physical evidence can be described as the physical cues which denote the level of quality of a service or product (Booms and Bitner, 1981). In regards to the Apple Vision Pro, the physical evidence comes into play through several ways. First, through the design of the product; through its design, which includes features such as an aluminium frame, laminated glass and also a woven textile headband. This creates a feeling that the product is well made. Second, in terms of retail spaces. In the stores, areas set aside for the Vision Pro products have special designs, lighting and also special arrangements of space. Third, there is the design of the packaging, which is always precise and emotional. Through these physical evidences, the position of the spatial computer is emphasized, thus creating pre-purchase and post-purchase impressions (Keller, 2020).</w:t>
      </w:r>
    </w:p>
    <w:p w14:paraId="316EC393">
      <w:pPr>
        <w:jc w:val="both"/>
        <w:rPr>
          <w:rFonts w:hint="default"/>
          <w:lang w:val="en-GB"/>
        </w:rPr>
      </w:pPr>
    </w:p>
    <w:p w14:paraId="1CB42197">
      <w:pPr>
        <w:jc w:val="both"/>
        <w:rPr>
          <w:rFonts w:hint="default"/>
          <w:lang w:val="en-GB"/>
        </w:rPr>
      </w:pPr>
    </w:p>
    <w:p w14:paraId="7A7449A8">
      <w:pPr>
        <w:jc w:val="both"/>
        <w:rPr>
          <w:rFonts w:hint="default"/>
          <w:lang w:val="en-GB"/>
        </w:rPr>
      </w:pPr>
    </w:p>
    <w:p w14:paraId="7AF99186">
      <w:pPr>
        <w:jc w:val="both"/>
        <w:rPr>
          <w:rFonts w:hint="default"/>
          <w:lang w:val="en-GB"/>
        </w:rPr>
      </w:pPr>
    </w:p>
    <w:p w14:paraId="0F3472EC">
      <w:pPr>
        <w:jc w:val="both"/>
        <w:rPr>
          <w:rFonts w:hint="default"/>
          <w:lang w:val="en-GB"/>
        </w:rPr>
      </w:pPr>
    </w:p>
    <w:p w14:paraId="15F99D3D">
      <w:pPr>
        <w:jc w:val="both"/>
        <w:rPr>
          <w:rFonts w:hint="default"/>
          <w:lang w:val="en-GB"/>
        </w:rPr>
      </w:pPr>
    </w:p>
    <w:p w14:paraId="08DE3CB7">
      <w:pPr>
        <w:jc w:val="both"/>
        <w:rPr>
          <w:rFonts w:hint="default"/>
          <w:lang w:val="en-GB"/>
        </w:rPr>
      </w:pPr>
    </w:p>
    <w:p w14:paraId="50407DE4">
      <w:pPr>
        <w:jc w:val="both"/>
        <w:rPr>
          <w:rFonts w:hint="default"/>
          <w:lang w:val="en-GB"/>
        </w:rPr>
      </w:pPr>
    </w:p>
    <w:p w14:paraId="250B4E13">
      <w:pPr>
        <w:jc w:val="both"/>
        <w:rPr>
          <w:rFonts w:hint="default"/>
          <w:lang w:val="en-GB"/>
        </w:rPr>
      </w:pPr>
    </w:p>
    <w:p w14:paraId="51803CBB">
      <w:pPr>
        <w:jc w:val="both"/>
        <w:rPr>
          <w:rFonts w:hint="default"/>
          <w:lang w:val="en-GB"/>
        </w:rPr>
      </w:pPr>
    </w:p>
    <w:p w14:paraId="3CA44BEA">
      <w:pPr>
        <w:jc w:val="both"/>
        <w:rPr>
          <w:rFonts w:hint="default"/>
          <w:lang w:val="en-GB"/>
        </w:rPr>
      </w:pPr>
    </w:p>
    <w:p w14:paraId="0C939C3C">
      <w:pPr>
        <w:jc w:val="both"/>
        <w:rPr>
          <w:rFonts w:hint="default"/>
          <w:lang w:val="en-GB"/>
        </w:rPr>
      </w:pPr>
    </w:p>
    <w:p w14:paraId="499F522A">
      <w:pPr>
        <w:jc w:val="both"/>
        <w:rPr>
          <w:rFonts w:hint="default"/>
          <w:lang w:val="en-GB"/>
        </w:rPr>
      </w:pPr>
    </w:p>
    <w:p w14:paraId="6B7E6A26">
      <w:pPr>
        <w:jc w:val="both"/>
        <w:rPr>
          <w:rFonts w:hint="default"/>
          <w:lang w:val="en-GB"/>
        </w:rPr>
      </w:pPr>
    </w:p>
    <w:p w14:paraId="50EB68E8">
      <w:pPr>
        <w:jc w:val="both"/>
        <w:rPr>
          <w:rFonts w:hint="default"/>
          <w:lang w:val="en-GB"/>
        </w:rPr>
      </w:pPr>
    </w:p>
    <w:p w14:paraId="0D8C1E5D">
      <w:pPr>
        <w:jc w:val="both"/>
        <w:rPr>
          <w:rFonts w:hint="default"/>
          <w:lang w:val="en-GB"/>
        </w:rPr>
      </w:pPr>
    </w:p>
    <w:p w14:paraId="0B21606F">
      <w:pPr>
        <w:jc w:val="both"/>
        <w:rPr>
          <w:rFonts w:hint="default"/>
          <w:lang w:val="en-GB"/>
        </w:rPr>
      </w:pPr>
    </w:p>
    <w:p w14:paraId="642D2519">
      <w:pPr>
        <w:jc w:val="both"/>
        <w:rPr>
          <w:rFonts w:hint="default"/>
          <w:lang w:val="en-GB"/>
        </w:rPr>
      </w:pPr>
    </w:p>
    <w:p w14:paraId="5FD18550">
      <w:pPr>
        <w:jc w:val="both"/>
        <w:rPr>
          <w:rFonts w:hint="default"/>
          <w:lang w:val="en-GB"/>
        </w:rPr>
      </w:pPr>
    </w:p>
    <w:p w14:paraId="53B82AF1">
      <w:pPr>
        <w:jc w:val="both"/>
        <w:rPr>
          <w:rFonts w:hint="default"/>
          <w:lang w:val="en-GB"/>
        </w:rPr>
      </w:pPr>
    </w:p>
    <w:p w14:paraId="79016695">
      <w:pPr>
        <w:jc w:val="both"/>
        <w:rPr>
          <w:rFonts w:hint="default"/>
          <w:lang w:val="en-GB"/>
        </w:rPr>
      </w:pPr>
    </w:p>
    <w:p w14:paraId="6697DFC2">
      <w:pPr>
        <w:jc w:val="both"/>
        <w:rPr>
          <w:rFonts w:hint="default"/>
          <w:lang w:val="en-GB"/>
        </w:rPr>
      </w:pPr>
    </w:p>
    <w:p w14:paraId="4C94F5F5">
      <w:pPr>
        <w:jc w:val="both"/>
        <w:rPr>
          <w:rFonts w:hint="default"/>
          <w:lang w:val="en-GB"/>
        </w:rPr>
      </w:pPr>
    </w:p>
    <w:p w14:paraId="78462471">
      <w:pPr>
        <w:jc w:val="both"/>
        <w:rPr>
          <w:rFonts w:hint="default"/>
          <w:lang w:val="en-GB"/>
        </w:rPr>
      </w:pPr>
    </w:p>
    <w:p w14:paraId="4157D1BC">
      <w:pPr>
        <w:jc w:val="both"/>
        <w:rPr>
          <w:rFonts w:hint="default"/>
          <w:lang w:val="en-GB"/>
        </w:rPr>
      </w:pPr>
    </w:p>
    <w:p w14:paraId="47E34855">
      <w:pPr>
        <w:jc w:val="both"/>
        <w:rPr>
          <w:rFonts w:hint="default"/>
          <w:lang w:val="en-GB"/>
        </w:rPr>
      </w:pPr>
    </w:p>
    <w:p w14:paraId="6DB5037E">
      <w:pPr>
        <w:jc w:val="both"/>
        <w:rPr>
          <w:rFonts w:hint="default"/>
          <w:lang w:val="en-GB"/>
        </w:rPr>
      </w:pPr>
    </w:p>
    <w:p w14:paraId="7CD870C5">
      <w:pPr>
        <w:jc w:val="both"/>
        <w:rPr>
          <w:rFonts w:hint="default"/>
          <w:lang w:val="en-GB"/>
        </w:rPr>
      </w:pPr>
    </w:p>
    <w:p w14:paraId="7081DFCF">
      <w:pPr>
        <w:jc w:val="both"/>
        <w:rPr>
          <w:rFonts w:hint="default"/>
          <w:lang w:val="en-GB"/>
        </w:rPr>
      </w:pPr>
    </w:p>
    <w:p w14:paraId="283A6043">
      <w:pPr>
        <w:jc w:val="both"/>
        <w:rPr>
          <w:rFonts w:hint="default"/>
          <w:lang w:val="en-GB"/>
        </w:rPr>
      </w:pPr>
    </w:p>
    <w:p w14:paraId="1F3459A7">
      <w:pPr>
        <w:jc w:val="both"/>
        <w:rPr>
          <w:rFonts w:hint="default"/>
          <w:lang w:val="en-GB"/>
        </w:rPr>
      </w:pPr>
    </w:p>
    <w:p w14:paraId="795E8D5B">
      <w:pPr>
        <w:jc w:val="both"/>
        <w:rPr>
          <w:rFonts w:hint="default"/>
          <w:lang w:val="en-GB"/>
        </w:rPr>
      </w:pPr>
    </w:p>
    <w:p w14:paraId="45E4D39A">
      <w:pPr>
        <w:jc w:val="both"/>
        <w:rPr>
          <w:rFonts w:hint="default"/>
          <w:lang w:val="en-GB"/>
        </w:rPr>
      </w:pPr>
    </w:p>
    <w:p w14:paraId="26F1DA15">
      <w:pPr>
        <w:jc w:val="both"/>
        <w:rPr>
          <w:rFonts w:hint="default"/>
          <w:lang w:val="en-GB"/>
        </w:rPr>
      </w:pPr>
    </w:p>
    <w:p w14:paraId="3DCD96FA">
      <w:pPr>
        <w:jc w:val="both"/>
        <w:rPr>
          <w:rFonts w:hint="default"/>
          <w:lang w:val="en-GB"/>
        </w:rPr>
      </w:pPr>
    </w:p>
    <w:p w14:paraId="01D3E90A">
      <w:pPr>
        <w:jc w:val="both"/>
        <w:rPr>
          <w:rFonts w:hint="default"/>
          <w:lang w:val="en-GB"/>
        </w:rPr>
      </w:pPr>
    </w:p>
    <w:p w14:paraId="08162594">
      <w:pPr>
        <w:jc w:val="both"/>
        <w:rPr>
          <w:rFonts w:hint="default"/>
          <w:lang w:val="en-GB"/>
        </w:rPr>
      </w:pPr>
    </w:p>
    <w:p w14:paraId="1972F690">
      <w:pPr>
        <w:jc w:val="both"/>
        <w:rPr>
          <w:rFonts w:hint="default"/>
          <w:lang w:val="en-GB"/>
        </w:rPr>
      </w:pPr>
    </w:p>
    <w:p w14:paraId="02A8A5A1">
      <w:pPr>
        <w:jc w:val="both"/>
        <w:rPr>
          <w:rFonts w:hint="default"/>
          <w:lang w:val="en-GB"/>
        </w:rPr>
      </w:pPr>
    </w:p>
    <w:p w14:paraId="4D5E1816">
      <w:pPr>
        <w:jc w:val="both"/>
        <w:rPr>
          <w:rFonts w:hint="default"/>
          <w:lang w:val="en-GB"/>
        </w:rPr>
      </w:pPr>
    </w:p>
    <w:p w14:paraId="0A1522A1">
      <w:pPr>
        <w:jc w:val="both"/>
        <w:rPr>
          <w:rFonts w:hint="default"/>
          <w:lang w:val="en-GB"/>
        </w:rPr>
      </w:pPr>
    </w:p>
    <w:p w14:paraId="44A903E3">
      <w:pPr>
        <w:jc w:val="both"/>
        <w:rPr>
          <w:rFonts w:hint="default"/>
          <w:lang w:val="en-GB"/>
        </w:rPr>
      </w:pPr>
    </w:p>
    <w:p w14:paraId="4A1E63F6">
      <w:pPr>
        <w:jc w:val="both"/>
        <w:rPr>
          <w:rFonts w:hint="default"/>
          <w:lang w:val="en-GB"/>
        </w:rPr>
      </w:pPr>
    </w:p>
    <w:p w14:paraId="0CC8AB0F">
      <w:pPr>
        <w:pStyle w:val="2"/>
        <w:jc w:val="left"/>
        <w:rPr>
          <w:sz w:val="24"/>
          <w:szCs w:val="24"/>
        </w:rPr>
      </w:pPr>
      <w:bookmarkStart w:id="15" w:name="_Toc19467"/>
      <w:r>
        <w:rPr>
          <w:sz w:val="24"/>
          <w:szCs w:val="24"/>
        </w:rPr>
        <w:t>Element 4: Reflection</w:t>
      </w:r>
      <w:bookmarkEnd w:id="15"/>
    </w:p>
    <w:p w14:paraId="03E4F42D">
      <w:pPr>
        <w:jc w:val="both"/>
        <w:rPr>
          <w:rFonts w:hint="default"/>
        </w:rPr>
      </w:pPr>
      <w:r>
        <w:rPr>
          <w:rFonts w:hint="default"/>
        </w:rPr>
        <w:t>Being involved in creating a portfolio for such an extension brand has provided me with extensive learning opportunities and significantly improved both my academic knowledge and practical marketing management skills. The development of a marketing plan for the Apple Vision Pro forced me to go beyond superficial understanding of marketing theories and apply them by analysing a substantial amount of literature and considering various frameworks, including STDP and 7Ps.</w:t>
      </w:r>
    </w:p>
    <w:p w14:paraId="2848BC9F">
      <w:pPr>
        <w:jc w:val="both"/>
        <w:rPr>
          <w:rFonts w:hint="default"/>
        </w:rPr>
      </w:pPr>
    </w:p>
    <w:p w14:paraId="1E69786E">
      <w:pPr>
        <w:jc w:val="both"/>
        <w:rPr>
          <w:rFonts w:hint="default"/>
        </w:rPr>
      </w:pPr>
      <w:r>
        <w:rPr>
          <w:rFonts w:hint="default"/>
        </w:rPr>
        <w:t>However, one of the key strengths that I managed to develop is synthesis of information coming from multiple sources, including academic papers, industry publications, and company data, to form a consistent and evidence-based strategic story. At first, it took me considerable time to learn how to switch from description to analysis. In particular, while working on the STDP analysis, I used to stick to describing actions implemented by Apple rather than analysing their significance. As the process of revising progressed, I learned to form a deeper argument, drawing upon Kotler et al. (2024) and Keller (2020).</w:t>
      </w:r>
    </w:p>
    <w:p w14:paraId="559B6BD0">
      <w:pPr>
        <w:jc w:val="both"/>
        <w:rPr>
          <w:rFonts w:hint="default"/>
        </w:rPr>
      </w:pPr>
    </w:p>
    <w:p w14:paraId="6C931848">
      <w:pPr>
        <w:jc w:val="both"/>
        <w:rPr>
          <w:rFonts w:hint="default"/>
        </w:rPr>
      </w:pPr>
      <w:r>
        <w:rPr>
          <w:rFonts w:hint="default"/>
        </w:rPr>
        <w:t>While the strategic analysis was an exercise in depth and thoroughness, the poster creation and presentation component offered its own unique difficulties. Summarizing a complex analysis into an easily digestible poster design was challenging due to the need to carefully select relevant information and effectively communicate with the target audience. In this case, I have learned how valuable the process of designing content for non-specialized audiences can be when trying to figure out what needs to be included and what is secondary. Presenting information orally requires the skill to adjust the level of detail on the fly based on the audience's interest and involvement – a skill that is very much applicable in professional marketing management.</w:t>
      </w:r>
    </w:p>
    <w:p w14:paraId="1D1F9471">
      <w:pPr>
        <w:jc w:val="both"/>
        <w:rPr>
          <w:rFonts w:hint="default"/>
        </w:rPr>
      </w:pPr>
    </w:p>
    <w:p w14:paraId="296CDF6A">
      <w:pPr>
        <w:jc w:val="both"/>
        <w:rPr>
          <w:rFonts w:hint="default"/>
        </w:rPr>
      </w:pPr>
      <w:r>
        <w:rPr>
          <w:rFonts w:hint="default"/>
        </w:rPr>
        <w:t>Regarding personal skills development, this assignment has helped me gain deeper insight into the complexities involved in brand extension. The example of the Apple Vision Pro demonstrated that brand extension involves not only capitalizing on the existing brand equity but also taking into account trends in the market environment and significant barriers to consumer adoption of innovations. At the same time, the decision should not contradict the core values of the company and its established identity.</w:t>
      </w:r>
    </w:p>
    <w:p w14:paraId="32CDE229">
      <w:pPr>
        <w:jc w:val="both"/>
        <w:rPr>
          <w:rFonts w:hint="default"/>
        </w:rPr>
      </w:pPr>
    </w:p>
    <w:p w14:paraId="58218342">
      <w:pPr>
        <w:jc w:val="both"/>
        <w:rPr>
          <w:rFonts w:hint="default"/>
        </w:rPr>
      </w:pPr>
      <w:r>
        <w:rPr>
          <w:rFonts w:hint="default"/>
        </w:rPr>
        <w:t>Going forward, there are some areas in which I can improve my skills. Firstly, I need to be able to use more primary research methods with regard to consumer behavior, in addition to the secondary data used for this analysis. Secondly, I will try to learn how to use various digital analytics instruments that are important when it comes to gaining instant insight into consumer preferences. All in all, working on this marketing portfolio has turned out to be an eye-opening experience that taught me how important it is to think critically and communicate efficiently in marketing management.</w:t>
      </w:r>
    </w:p>
    <w:p w14:paraId="1281BFC3">
      <w:pPr>
        <w:pStyle w:val="2"/>
        <w:numPr>
          <w:numId w:val="0"/>
        </w:numPr>
        <w:jc w:val="left"/>
      </w:pPr>
    </w:p>
    <w:p w14:paraId="5BC66615">
      <w:pPr>
        <w:jc w:val="both"/>
        <w:rPr>
          <w:rFonts w:hint="default"/>
        </w:rPr>
      </w:pPr>
      <w:r>
        <w:rPr>
          <w:rFonts w:hint="default"/>
        </w:rPr>
        <w:t>In summary, the current portfolio demonstrates that well-established concepts in marketing theory remain important and relevant in addressing brand-related issues in today’s technological world. Specifically, Aaker’s (1996) ideas on brand equity dimensions, including perceived quality, brand loyalty, brand associations, and brand awareness, have played a critical role in analyzing the Vision Pro's marketing strategy. Furthermore, Chaffey and Ellis-Chadwick (2022) have introduced valuable theoretical tools to examine the application of digital marketing strategies to extend brands effectively in the current competitive environment. Overall, both theories have enhanced my ability to conduct strategic brand management, and I believe this knowledge will enable me to be a successful marketing professional in the future.</w:t>
      </w:r>
    </w:p>
    <w:p w14:paraId="596FE1F6">
      <w:pPr>
        <w:jc w:val="both"/>
        <w:rPr>
          <w:rFonts w:hint="default"/>
        </w:rPr>
      </w:pPr>
    </w:p>
    <w:p w14:paraId="338E3C87">
      <w:pPr>
        <w:jc w:val="both"/>
        <w:rPr>
          <w:rFonts w:hint="default"/>
        </w:rPr>
      </w:pPr>
    </w:p>
    <w:p w14:paraId="0A71F735">
      <w:pPr>
        <w:jc w:val="both"/>
        <w:rPr>
          <w:rFonts w:hint="default"/>
        </w:rPr>
      </w:pPr>
    </w:p>
    <w:p w14:paraId="72CD9D30">
      <w:pPr>
        <w:jc w:val="both"/>
        <w:rPr>
          <w:rFonts w:hint="default"/>
        </w:rPr>
      </w:pPr>
    </w:p>
    <w:p w14:paraId="506DE42E">
      <w:pPr>
        <w:jc w:val="both"/>
        <w:rPr>
          <w:rFonts w:hint="default"/>
        </w:rPr>
      </w:pPr>
    </w:p>
    <w:p w14:paraId="738D7D20">
      <w:pPr>
        <w:jc w:val="both"/>
        <w:rPr>
          <w:rFonts w:hint="default"/>
        </w:rPr>
      </w:pPr>
    </w:p>
    <w:p w14:paraId="0DF76EE1">
      <w:pPr>
        <w:jc w:val="both"/>
        <w:rPr>
          <w:rFonts w:hint="default"/>
        </w:rPr>
      </w:pPr>
    </w:p>
    <w:p w14:paraId="58F060C2">
      <w:pPr>
        <w:jc w:val="both"/>
        <w:rPr>
          <w:rFonts w:hint="default"/>
        </w:rPr>
      </w:pPr>
    </w:p>
    <w:p w14:paraId="31233633">
      <w:pPr>
        <w:jc w:val="both"/>
        <w:rPr>
          <w:rFonts w:hint="default"/>
        </w:rPr>
      </w:pPr>
    </w:p>
    <w:p w14:paraId="6C5889A1">
      <w:pPr>
        <w:jc w:val="both"/>
        <w:rPr>
          <w:rFonts w:hint="default"/>
        </w:rPr>
      </w:pPr>
    </w:p>
    <w:p w14:paraId="5D2401D0">
      <w:pPr>
        <w:jc w:val="both"/>
        <w:rPr>
          <w:rFonts w:hint="default"/>
        </w:rPr>
      </w:pPr>
    </w:p>
    <w:p w14:paraId="679F4977">
      <w:pPr>
        <w:jc w:val="both"/>
        <w:rPr>
          <w:rFonts w:hint="default"/>
        </w:rPr>
      </w:pPr>
    </w:p>
    <w:p w14:paraId="2102CE3E">
      <w:pPr>
        <w:jc w:val="both"/>
        <w:rPr>
          <w:rFonts w:hint="default"/>
        </w:rPr>
      </w:pPr>
    </w:p>
    <w:p w14:paraId="4F396496">
      <w:pPr>
        <w:jc w:val="both"/>
        <w:rPr>
          <w:rFonts w:hint="default"/>
        </w:rPr>
      </w:pPr>
    </w:p>
    <w:p w14:paraId="50AED630">
      <w:pPr>
        <w:jc w:val="both"/>
        <w:rPr>
          <w:rFonts w:hint="default"/>
        </w:rPr>
      </w:pPr>
    </w:p>
    <w:p w14:paraId="520C3761">
      <w:pPr>
        <w:jc w:val="both"/>
        <w:rPr>
          <w:rFonts w:hint="default"/>
        </w:rPr>
      </w:pPr>
    </w:p>
    <w:p w14:paraId="79E36109">
      <w:pPr>
        <w:jc w:val="both"/>
        <w:rPr>
          <w:rFonts w:hint="default"/>
        </w:rPr>
      </w:pPr>
    </w:p>
    <w:p w14:paraId="0C775A85">
      <w:pPr>
        <w:jc w:val="both"/>
        <w:rPr>
          <w:rFonts w:hint="default"/>
        </w:rPr>
      </w:pPr>
    </w:p>
    <w:p w14:paraId="22B822E5">
      <w:pPr>
        <w:jc w:val="both"/>
        <w:rPr>
          <w:rFonts w:hint="default"/>
        </w:rPr>
      </w:pPr>
    </w:p>
    <w:p w14:paraId="6C884209">
      <w:pPr>
        <w:jc w:val="both"/>
        <w:rPr>
          <w:rFonts w:hint="default"/>
        </w:rPr>
      </w:pPr>
    </w:p>
    <w:p w14:paraId="4080DB5F">
      <w:pPr>
        <w:jc w:val="both"/>
        <w:rPr>
          <w:rFonts w:hint="default"/>
        </w:rPr>
      </w:pPr>
    </w:p>
    <w:p w14:paraId="0487DABF">
      <w:pPr>
        <w:jc w:val="both"/>
        <w:rPr>
          <w:rFonts w:hint="default"/>
        </w:rPr>
      </w:pPr>
    </w:p>
    <w:p w14:paraId="2A561070">
      <w:pPr>
        <w:jc w:val="both"/>
        <w:rPr>
          <w:rFonts w:hint="default"/>
        </w:rPr>
      </w:pPr>
    </w:p>
    <w:p w14:paraId="15CAC3E7">
      <w:pPr>
        <w:jc w:val="both"/>
        <w:rPr>
          <w:rFonts w:hint="default"/>
        </w:rPr>
      </w:pPr>
    </w:p>
    <w:p w14:paraId="547A7B53">
      <w:pPr>
        <w:jc w:val="both"/>
        <w:rPr>
          <w:rFonts w:hint="default"/>
        </w:rPr>
      </w:pPr>
    </w:p>
    <w:p w14:paraId="0B58202D">
      <w:pPr>
        <w:jc w:val="both"/>
        <w:rPr>
          <w:rFonts w:hint="default"/>
        </w:rPr>
      </w:pPr>
    </w:p>
    <w:p w14:paraId="568A4CBE">
      <w:pPr>
        <w:jc w:val="both"/>
        <w:rPr>
          <w:rFonts w:hint="default"/>
        </w:rPr>
      </w:pPr>
    </w:p>
    <w:p w14:paraId="53D2FB64">
      <w:pPr>
        <w:jc w:val="both"/>
        <w:rPr>
          <w:rFonts w:hint="default"/>
        </w:rPr>
      </w:pPr>
    </w:p>
    <w:p w14:paraId="4BA8740D">
      <w:pPr>
        <w:jc w:val="both"/>
        <w:rPr>
          <w:rFonts w:hint="default"/>
        </w:rPr>
      </w:pPr>
    </w:p>
    <w:p w14:paraId="4CCBE4BB">
      <w:pPr>
        <w:jc w:val="both"/>
        <w:rPr>
          <w:rFonts w:hint="default"/>
        </w:rPr>
      </w:pPr>
    </w:p>
    <w:p w14:paraId="564B6E8F">
      <w:pPr>
        <w:jc w:val="both"/>
        <w:rPr>
          <w:rFonts w:hint="default"/>
        </w:rPr>
      </w:pPr>
    </w:p>
    <w:p w14:paraId="008D90C4">
      <w:pPr>
        <w:jc w:val="both"/>
        <w:rPr>
          <w:rFonts w:hint="default"/>
        </w:rPr>
      </w:pPr>
    </w:p>
    <w:p w14:paraId="7BADA829">
      <w:pPr>
        <w:jc w:val="both"/>
        <w:rPr>
          <w:rFonts w:hint="default"/>
        </w:rPr>
      </w:pPr>
    </w:p>
    <w:p w14:paraId="5DE00D0B">
      <w:pPr>
        <w:pStyle w:val="2"/>
        <w:numPr>
          <w:numId w:val="0"/>
        </w:numPr>
        <w:bidi w:val="0"/>
        <w:rPr>
          <w:rFonts w:hint="default"/>
          <w:sz w:val="24"/>
          <w:szCs w:val="24"/>
          <w:lang w:val="en-GB"/>
        </w:rPr>
      </w:pPr>
      <w:bookmarkStart w:id="16" w:name="_Toc12969"/>
      <w:r>
        <w:rPr>
          <w:rFonts w:hint="default"/>
          <w:sz w:val="24"/>
          <w:szCs w:val="24"/>
          <w:lang w:val="en-GB"/>
        </w:rPr>
        <w:t>References</w:t>
      </w:r>
      <w:bookmarkEnd w:id="16"/>
    </w:p>
    <w:p w14:paraId="2B2ED54E">
      <w:pPr>
        <w:rPr>
          <w:rFonts w:hint="default"/>
          <w:sz w:val="24"/>
          <w:szCs w:val="24"/>
          <w:lang w:val="en-GB"/>
        </w:rPr>
      </w:pPr>
    </w:p>
    <w:p w14:paraId="333C73E6">
      <w:pPr>
        <w:spacing w:after="80" w:line="360" w:lineRule="exact"/>
        <w:ind w:left="720" w:hanging="720"/>
      </w:pPr>
      <w:r>
        <w:t>Apple (2024) Apple Vision Pro. Available at: https://www.apple.com/apple-vision-pro/ (Accessed: 20 April 2026).</w:t>
      </w:r>
    </w:p>
    <w:p w14:paraId="70A017C1">
      <w:pPr>
        <w:spacing w:after="80" w:line="360" w:lineRule="exact"/>
        <w:ind w:left="720" w:hanging="720"/>
      </w:pPr>
      <w:r>
        <w:t xml:space="preserve">Armstrong, G., Kotler, P., Harker, M. and Brennan, R. (2023) </w:t>
      </w:r>
      <w:r>
        <w:rPr>
          <w:i/>
          <w:iCs/>
        </w:rPr>
        <w:t>Marketing: An Introduction.</w:t>
      </w:r>
      <w:r>
        <w:t xml:space="preserve"> 14th edn. Harlow: Pearson Education.</w:t>
      </w:r>
    </w:p>
    <w:p w14:paraId="1CC491D0">
      <w:pPr>
        <w:spacing w:after="80" w:line="360" w:lineRule="exact"/>
        <w:ind w:left="720" w:hanging="720"/>
      </w:pPr>
      <w:r>
        <w:t>Aaker, D.A. (1996) Building Strong Brands. New York: Free Press.</w:t>
      </w:r>
    </w:p>
    <w:p w14:paraId="03E2B22F">
      <w:pPr>
        <w:spacing w:after="80" w:line="360" w:lineRule="exact"/>
        <w:ind w:left="720" w:hanging="720"/>
      </w:pPr>
      <w:r>
        <w:t xml:space="preserve">Booms, B.H. and Bitner, M.J. (1981) 'Marketing strategies and organisation structures for service firms', in Donnelly, J.H. and George, W.R. (eds.) </w:t>
      </w:r>
      <w:r>
        <w:rPr>
          <w:i/>
          <w:iCs/>
        </w:rPr>
        <w:t>Marketing of Services. Chicago: American Marketing Association</w:t>
      </w:r>
      <w:r>
        <w:t>, pp. 47–51.</w:t>
      </w:r>
    </w:p>
    <w:p w14:paraId="3348EE64">
      <w:pPr>
        <w:spacing w:after="80" w:line="360" w:lineRule="exact"/>
        <w:ind w:left="720" w:hanging="720"/>
      </w:pPr>
      <w:r>
        <w:t xml:space="preserve">Chaffey, D. and Ellis-Chadwick, F. (2022) </w:t>
      </w:r>
      <w:r>
        <w:rPr>
          <w:i/>
          <w:iCs/>
        </w:rPr>
        <w:t>Digital Marketing: Strategy, Implementation and Practice.</w:t>
      </w:r>
      <w:r>
        <w:t xml:space="preserve"> 8th edn. Harlow: Pearson Education.</w:t>
      </w:r>
    </w:p>
    <w:p w14:paraId="5BB4F7B7">
      <w:pPr>
        <w:spacing w:after="80" w:line="360" w:lineRule="exact"/>
        <w:ind w:left="720" w:hanging="720"/>
      </w:pPr>
      <w:r>
        <w:t>Gartner (2024) Hype Cycle for Augmented Reality and Virtual Reality. Stamford: Gartner Inc.</w:t>
      </w:r>
    </w:p>
    <w:p w14:paraId="1EDDC939">
      <w:pPr>
        <w:spacing w:after="80" w:line="360" w:lineRule="exact"/>
        <w:ind w:left="720" w:hanging="720"/>
      </w:pPr>
      <w:r>
        <w:t>IDC (2024) Worldwide Augmented and Virtual Reality Headset Market Forecast. Framingham: International Data Corporation.</w:t>
      </w:r>
    </w:p>
    <w:p w14:paraId="1D749549">
      <w:pPr>
        <w:spacing w:after="80" w:line="360" w:lineRule="exact"/>
        <w:ind w:left="720" w:hanging="720"/>
      </w:pPr>
      <w:r>
        <w:t>Keller, K.L. (2020) Strategic Brand Management: Building, Measuring, and Managing Brand Equity. 5th edn. Harlow: Pearson Education.</w:t>
      </w:r>
    </w:p>
    <w:p w14:paraId="580A0FF2">
      <w:pPr>
        <w:spacing w:after="80" w:line="360" w:lineRule="exact"/>
        <w:ind w:left="720" w:hanging="720"/>
      </w:pPr>
      <w:r>
        <w:t xml:space="preserve">Kotler, P., Armstrong, G., Opresnik, M.O. and Brodie, R.J. (2024) </w:t>
      </w:r>
      <w:r>
        <w:rPr>
          <w:i/>
          <w:iCs/>
        </w:rPr>
        <w:t>Principles of Marketing</w:t>
      </w:r>
      <w:r>
        <w:t>. 18th edn. Harlow: Pearson Education.</w:t>
      </w:r>
    </w:p>
    <w:p w14:paraId="4012FCEE">
      <w:pPr>
        <w:spacing w:after="80" w:line="360" w:lineRule="exact"/>
        <w:ind w:left="720" w:hanging="720"/>
      </w:pPr>
      <w:r>
        <w:t>McKinsey &amp; Company (2022) Technology Trends Outlook 2022. New York: McKinsey Global Institute.</w:t>
      </w:r>
    </w:p>
    <w:p w14:paraId="742E243C">
      <w:pPr>
        <w:spacing w:after="80" w:line="360" w:lineRule="exact"/>
        <w:ind w:left="720" w:hanging="720"/>
      </w:pPr>
      <w:r>
        <w:t>Nagle, T.T. and Müller, G. (2018) The Strategy and Tactics of Pricing: A Guide to Growing More Profitably. 6th edn. New York: Routledge.</w:t>
      </w:r>
    </w:p>
    <w:p w14:paraId="0FE4A0D6">
      <w:pPr>
        <w:spacing w:after="80" w:line="360" w:lineRule="exact"/>
        <w:ind w:left="720" w:hanging="720"/>
      </w:pPr>
      <w:r>
        <w:t>Porter, M.E. (1985) Competitive Advantage: Creating and Sustaining Superior Performance. New York: Free Press.</w:t>
      </w:r>
    </w:p>
    <w:p w14:paraId="36F50102">
      <w:pPr>
        <w:spacing w:after="80" w:line="360" w:lineRule="exact"/>
        <w:ind w:left="720" w:hanging="720"/>
      </w:pPr>
      <w:r>
        <w:t>ResearchGate (2024) Impact of Metaverse Technology on Consumer Behaviour. Available at: https://www.researchgate.net (Accessed: 20 April 2026).</w:t>
      </w:r>
    </w:p>
    <w:p w14:paraId="7B3C644A">
      <w:pPr>
        <w:spacing w:after="80" w:line="360" w:lineRule="exact"/>
        <w:ind w:left="720" w:hanging="720"/>
      </w:pPr>
      <w:r>
        <w:t>Ries, A. and Trout, J. (2001) Positioning: The Battle for Your Mind. New York: McGraw-Hill.</w:t>
      </w:r>
    </w:p>
    <w:p w14:paraId="7D99E8F0">
      <w:pPr>
        <w:spacing w:after="80" w:line="360" w:lineRule="exact"/>
        <w:ind w:left="720" w:hanging="720"/>
      </w:pPr>
      <w:r>
        <w:t>Statista (2024) Extended Reality (XR) Market – Statistics and Facts. Available at: https://www.statista.com (Accessed: 20 April 2026).</w:t>
      </w:r>
    </w:p>
    <w:p w14:paraId="3E4C74E1">
      <w:pPr>
        <w:rPr>
          <w:rFonts w:hint="default"/>
          <w:sz w:val="24"/>
          <w:szCs w:val="24"/>
          <w:lang w:val="en-GB"/>
        </w:rPr>
      </w:pPr>
    </w:p>
    <w:p w14:paraId="71172020">
      <w:pPr>
        <w:numPr>
          <w:numId w:val="0"/>
        </w:numPr>
        <w:jc w:val="both"/>
        <w:rPr>
          <w:rFonts w:hint="default"/>
          <w:lang w:val="en-GB"/>
        </w:rPr>
      </w:pPr>
    </w:p>
    <w:p w14:paraId="28433335">
      <w:pPr>
        <w:jc w:val="both"/>
        <w:rPr>
          <w:rFonts w:hint="default"/>
          <w:lang w:val="en-GB"/>
        </w:rPr>
      </w:pPr>
    </w:p>
    <w:p w14:paraId="5AB8C54A">
      <w:pPr>
        <w:rPr>
          <w:rFonts w:hint="default"/>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auto"/>
    <w:pitch w:val="default"/>
    <w:sig w:usb0="E4002EFF" w:usb1="C0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Body">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F73464"/>
    <w:rsid w:val="0E0E274D"/>
    <w:rsid w:val="0E7476AF"/>
    <w:rsid w:val="0EB23B98"/>
    <w:rsid w:val="15DD0268"/>
    <w:rsid w:val="1694677A"/>
    <w:rsid w:val="186C55AC"/>
    <w:rsid w:val="1A206975"/>
    <w:rsid w:val="1AF8344E"/>
    <w:rsid w:val="1C011A73"/>
    <w:rsid w:val="1C6F7740"/>
    <w:rsid w:val="1E18196E"/>
    <w:rsid w:val="20BF0C96"/>
    <w:rsid w:val="22E36150"/>
    <w:rsid w:val="251705B7"/>
    <w:rsid w:val="27CB5223"/>
    <w:rsid w:val="2AA56F7B"/>
    <w:rsid w:val="2BA25240"/>
    <w:rsid w:val="2D473D89"/>
    <w:rsid w:val="352C344D"/>
    <w:rsid w:val="366A124C"/>
    <w:rsid w:val="37302642"/>
    <w:rsid w:val="38040803"/>
    <w:rsid w:val="397228F1"/>
    <w:rsid w:val="3A3F45F4"/>
    <w:rsid w:val="3AC76F5A"/>
    <w:rsid w:val="3BCD02B3"/>
    <w:rsid w:val="3C37572C"/>
    <w:rsid w:val="3D76547B"/>
    <w:rsid w:val="419378A9"/>
    <w:rsid w:val="4DA621CD"/>
    <w:rsid w:val="4F360F61"/>
    <w:rsid w:val="51C93880"/>
    <w:rsid w:val="53E72F5C"/>
    <w:rsid w:val="54AE6A55"/>
    <w:rsid w:val="55805F3E"/>
    <w:rsid w:val="55E77D6B"/>
    <w:rsid w:val="5AD04698"/>
    <w:rsid w:val="5CB609AD"/>
    <w:rsid w:val="5E4F471A"/>
    <w:rsid w:val="61BF360C"/>
    <w:rsid w:val="627666FF"/>
    <w:rsid w:val="661C580F"/>
    <w:rsid w:val="6A8D27BF"/>
    <w:rsid w:val="6B3C7DA4"/>
    <w:rsid w:val="6C135683"/>
    <w:rsid w:val="6D6F3100"/>
    <w:rsid w:val="72295314"/>
    <w:rsid w:val="72587BCF"/>
    <w:rsid w:val="7B1226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qFormat/>
    <w:uiPriority w:val="9"/>
    <w:pPr>
      <w:keepNext/>
      <w:keepLines/>
      <w:spacing w:before="240" w:after="120"/>
      <w:outlineLvl w:val="0"/>
    </w:pPr>
    <w:rPr>
      <w:rFonts w:asciiTheme="majorHAnsi" w:hAnsiTheme="majorHAnsi" w:eastAsiaTheme="majorEastAsia" w:cstheme="majorBidi"/>
      <w:b/>
      <w:bCs/>
      <w:color w:val="000000"/>
      <w:sz w:val="32"/>
      <w:szCs w:val="28"/>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4">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6">
    <w:name w:val="toc 1"/>
    <w:basedOn w:val="1"/>
    <w:next w:val="1"/>
    <w:uiPriority w:val="0"/>
  </w:style>
  <w:style w:type="paragraph" w:styleId="7">
    <w:name w:val="toc 2"/>
    <w:basedOn w:val="1"/>
    <w:next w:val="1"/>
    <w:uiPriority w:val="0"/>
    <w:pPr>
      <w:ind w:left="420" w:left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6.svg"/><Relationship Id="rId8" Type="http://schemas.openxmlformats.org/officeDocument/2006/relationships/image" Target="media/image5.png"/><Relationship Id="rId7" Type="http://schemas.openxmlformats.org/officeDocument/2006/relationships/image" Target="media/image4.sv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21</Words>
  <Characters>132</Characters>
  <Lines>0</Lines>
  <Paragraphs>0</Paragraphs>
  <TotalTime>1</TotalTime>
  <ScaleCrop>false</ScaleCrop>
  <LinksUpToDate>false</LinksUpToDate>
  <CharactersWithSpaces>147</CharactersWithSpaces>
  <Application>WPS Office_12.1.0.25830_F1E327BC-269C-435d-A152-05C5408002CA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2026-04-23T15:17:00Z</dcterms:created>
  <dc:creator>dip</dc:creator>
  <cp:lastModifiedBy>WPS_1776713643</cp:lastModifiedBy>
  <dcterms:modified xsi:type="dcterms:W3CDTF">2026-04-27T10:36:53Z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1033-12.1.0.25830</vt:lpwstr>
  </property>
  <property fmtid="{D5CDD505-2E9C-101B-9397-08002B2CF9AE}" pid="3" name="KSOTemplateDocerSaveRecord">
    <vt:lpwstr>eyJoZGlkIjoiOWMzM2JmYjk2MWI4NTFkOTU3ZTExYzIxNTUzNjQ2ZjYiLCJ1c2VySWQiOiIzODQ4MjkxNzI4MDc1In0=</vt:lpwstr>
  </property>
  <property fmtid="{D5CDD505-2E9C-101B-9397-08002B2CF9AE}" pid="4" name="ICV">
    <vt:lpwstr>8A1B6999B777443DA54AF4DFF4CAC349_12</vt:lpwstr>
  </property>
</Properties>
</file>