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4AFA92" w14:textId="225B26AE" w:rsidR="00F93C41" w:rsidRPr="00BD57CD" w:rsidRDefault="00D67682">
      <w:pPr>
        <w:rPr>
          <w:u w:val="single"/>
        </w:rPr>
      </w:pPr>
      <w:r w:rsidRPr="00BD57CD">
        <w:rPr>
          <w:u w:val="single"/>
        </w:rPr>
        <w:t xml:space="preserve">To </w:t>
      </w:r>
      <w:r w:rsidR="00A8212F" w:rsidRPr="00BD57CD">
        <w:rPr>
          <w:u w:val="single"/>
        </w:rPr>
        <w:t>what extent do ‘revenant burials’ indicate a fear of the dead returning?</w:t>
      </w:r>
    </w:p>
    <w:p w14:paraId="1DE7AC37" w14:textId="105353CC" w:rsidR="00A8212F" w:rsidRDefault="00A8212F"/>
    <w:p w14:paraId="67C26B16" w14:textId="18104EED" w:rsidR="006212E7" w:rsidRDefault="006212E7">
      <w:r>
        <w:t>It is</w:t>
      </w:r>
      <w:r w:rsidR="00A104B6">
        <w:t xml:space="preserve"> </w:t>
      </w:r>
      <w:r w:rsidR="00ED49A0">
        <w:t>important</w:t>
      </w:r>
      <w:r>
        <w:t xml:space="preserve"> to begin by first establishing what a ‘revenant burial’ is and how it is being used in the context of this work. As defined by the Oxford English Dictionary, a revenant is </w:t>
      </w:r>
      <w:r w:rsidR="00D4654C">
        <w:t>‘a person who has returned, especially supposedly from the dead’</w:t>
      </w:r>
      <w:r w:rsidR="00D4654C">
        <w:rPr>
          <w:rStyle w:val="FootnoteReference"/>
        </w:rPr>
        <w:footnoteReference w:id="1"/>
      </w:r>
      <w:r w:rsidR="00D4654C">
        <w:t xml:space="preserve">. </w:t>
      </w:r>
      <w:r w:rsidR="00670FC9">
        <w:t xml:space="preserve">As such, burials that are deemed ‘revenant burials’ are those which include unusual features (from the norm of that period/society), that seem to serve the purpose of preventing revenants. These features include, but are not limited to, large stone placed on bodies, stakes and posthumous decapitation. It is hard to believe that these acts were done out of anything but fear. This is what this essay shall explore: how these ‘revenant burials’ indicate </w:t>
      </w:r>
      <w:r w:rsidR="003E04FD">
        <w:t xml:space="preserve">a </w:t>
      </w:r>
      <w:r w:rsidR="00670FC9">
        <w:t>fear of the dead returning.</w:t>
      </w:r>
    </w:p>
    <w:p w14:paraId="434EF7CD" w14:textId="77777777" w:rsidR="004E5629" w:rsidRDefault="004E5629"/>
    <w:p w14:paraId="28DCC9D2" w14:textId="30CB0498" w:rsidR="00670FC9" w:rsidRDefault="00A5286C">
      <w:r>
        <w:t xml:space="preserve">There are many reasons why people would fear the dead returning, there are also many reasons why specific people were feared to return. These can be explored by looking at the specific people who are believed to have been placed in ‘revenant burials’ and what they may have been like or have done to deserve such a burial. Anastasia </w:t>
      </w:r>
      <w:proofErr w:type="spellStart"/>
      <w:r>
        <w:t>Tsaliki</w:t>
      </w:r>
      <w:proofErr w:type="spellEnd"/>
      <w:r>
        <w:t xml:space="preserve">, in her work: </w:t>
      </w:r>
      <w:r w:rsidRPr="00A5286C">
        <w:rPr>
          <w:i/>
        </w:rPr>
        <w:t>Unusual Burials and Necrophobia: An Insight into the Burial Archaeology of Fear</w:t>
      </w:r>
      <w:r>
        <w:t>, looks at specific examples of deviant burials and how they present a fear of the dead rising. She also looks at the skeletal remains of the individuals</w:t>
      </w:r>
      <w:r w:rsidR="00202256">
        <w:t xml:space="preserve"> (spanning thousands of years)</w:t>
      </w:r>
      <w:r>
        <w:t xml:space="preserve"> to determine i</w:t>
      </w:r>
      <w:r w:rsidR="003E04FD">
        <w:t>f</w:t>
      </w:r>
      <w:r>
        <w:t xml:space="preserve"> their physicality can give us anymore of an insight into why they were buried in such a way</w:t>
      </w:r>
      <w:r>
        <w:rPr>
          <w:rStyle w:val="FootnoteReference"/>
        </w:rPr>
        <w:footnoteReference w:id="2"/>
      </w:r>
      <w:r>
        <w:t xml:space="preserve">. </w:t>
      </w:r>
      <w:r w:rsidR="000F5DE7">
        <w:t xml:space="preserve">When looking at the skeletal remains </w:t>
      </w:r>
      <w:proofErr w:type="spellStart"/>
      <w:r w:rsidR="000F5DE7">
        <w:t>Tsaliki</w:t>
      </w:r>
      <w:proofErr w:type="spellEnd"/>
      <w:r w:rsidR="000F5DE7">
        <w:t xml:space="preserve"> identifies that in most instances the individuals had physical deformities and had evidence of forced trauma</w:t>
      </w:r>
      <w:r w:rsidR="003E04FD">
        <w:t>. T</w:t>
      </w:r>
      <w:r w:rsidR="000F5DE7">
        <w:t xml:space="preserve">his is physical evidence that supports a </w:t>
      </w:r>
      <w:r w:rsidR="00202256">
        <w:t>long-standing</w:t>
      </w:r>
      <w:r w:rsidR="000F5DE7">
        <w:t xml:space="preserve"> theory that disabled people were often feared because of their unexplainable otherness</w:t>
      </w:r>
      <w:r w:rsidR="000F5DE7">
        <w:rPr>
          <w:rStyle w:val="FootnoteReference"/>
        </w:rPr>
        <w:footnoteReference w:id="3"/>
      </w:r>
      <w:r w:rsidR="000F5DE7">
        <w:t>.</w:t>
      </w:r>
      <w:r w:rsidR="00202256">
        <w:t xml:space="preserve"> </w:t>
      </w:r>
      <w:r w:rsidR="00032D8F">
        <w:t xml:space="preserve">In one instance an elderly man </w:t>
      </w:r>
      <w:r w:rsidR="00E463E0">
        <w:t xml:space="preserve">(dating </w:t>
      </w:r>
      <w:r w:rsidR="003E04FD">
        <w:t xml:space="preserve">from </w:t>
      </w:r>
      <w:r w:rsidR="00E463E0">
        <w:t xml:space="preserve">around the eighteenth-nineteenth centuries AD, from </w:t>
      </w:r>
      <w:r w:rsidR="003E04FD">
        <w:t xml:space="preserve">the island of </w:t>
      </w:r>
      <w:r w:rsidR="00E463E0">
        <w:t xml:space="preserve">Lesbos, Greece) </w:t>
      </w:r>
      <w:r w:rsidR="00032D8F">
        <w:t>shows signs of disfigurement suggestive of facial paralysis due to ‘neurological problems of the facial and trigeminal nerves’</w:t>
      </w:r>
      <w:r w:rsidR="003E04FD">
        <w:rPr>
          <w:rStyle w:val="FootnoteReference"/>
        </w:rPr>
        <w:footnoteReference w:id="4"/>
      </w:r>
      <w:r w:rsidR="00032D8F">
        <w:t>. The man in question</w:t>
      </w:r>
      <w:r w:rsidR="00E463E0">
        <w:t xml:space="preserve"> </w:t>
      </w:r>
      <w:r w:rsidR="00032D8F">
        <w:t>seems to have lived to a ripe age despite his disfigurement, not however without suffering injuries, but does appear to have been buried with metal spikes</w:t>
      </w:r>
      <w:r w:rsidR="003E04FD">
        <w:t>. T</w:t>
      </w:r>
      <w:r w:rsidR="00032D8F">
        <w:t xml:space="preserve">heir exact purpose is unclear, but what is clear is that they seem to be part of a </w:t>
      </w:r>
      <w:r w:rsidR="003E04FD">
        <w:t xml:space="preserve">practice of </w:t>
      </w:r>
      <w:r w:rsidR="00032D8F">
        <w:t xml:space="preserve">revenant </w:t>
      </w:r>
      <w:r w:rsidR="00E463E0">
        <w:t>prevention</w:t>
      </w:r>
      <w:r w:rsidR="004E5629">
        <w:rPr>
          <w:rStyle w:val="FootnoteReference"/>
        </w:rPr>
        <w:footnoteReference w:id="5"/>
      </w:r>
      <w:r w:rsidR="00E463E0">
        <w:t>.</w:t>
      </w:r>
      <w:r w:rsidR="004E5629">
        <w:t xml:space="preserve"> </w:t>
      </w:r>
    </w:p>
    <w:p w14:paraId="60F95BF7" w14:textId="39C149AC" w:rsidR="004E5629" w:rsidRDefault="004E5629">
      <w:r>
        <w:tab/>
      </w:r>
      <w:proofErr w:type="spellStart"/>
      <w:r>
        <w:t>Tsaliki</w:t>
      </w:r>
      <w:proofErr w:type="spellEnd"/>
      <w:r>
        <w:t xml:space="preserve"> also looks at some instances of people who have been buried in deviant ways not because of some physical deformity, but seemingly because of acts committed during their life. In one instance a woman from Attica, Greece (c. fourth century AD), had been cut in half and the bottom half placed level with her top half</w:t>
      </w:r>
      <w:r w:rsidR="003E04FD">
        <w:t>. T</w:t>
      </w:r>
      <w:r>
        <w:t xml:space="preserve">his appears to have </w:t>
      </w:r>
      <w:r w:rsidR="00605626">
        <w:t xml:space="preserve">deliberately </w:t>
      </w:r>
      <w:r>
        <w:t xml:space="preserve">been done posthumously but while there was still flesh on the bones, shown by the way in which the bones are laid. The oddest thing about the burial is the presence of </w:t>
      </w:r>
      <w:r w:rsidR="00605626">
        <w:t>bones fr</w:t>
      </w:r>
      <w:r w:rsidR="003E04FD">
        <w:t>o</w:t>
      </w:r>
      <w:r w:rsidR="00605626">
        <w:t>m a second individual who appears to have been a young male (of contemporary age with the female). The remains of the second individual are in no way complete and are placed between the two halves of the woman</w:t>
      </w:r>
      <w:r w:rsidR="00605626">
        <w:rPr>
          <w:rStyle w:val="FootnoteReference"/>
        </w:rPr>
        <w:footnoteReference w:id="6"/>
      </w:r>
      <w:r w:rsidR="00605626">
        <w:t xml:space="preserve">. The two bodies where bricked into an unused limekiln for unknown reasons, however this deviant act appears to suggest that there was fear of the pair returning. Although there is no physical evidence that explains why the couple where buried in such a way, cultural traditions of dismemberment as a punishment suggest why this burial is as it is. It very likely could be that the </w:t>
      </w:r>
      <w:r w:rsidR="00605626">
        <w:lastRenderedPageBreak/>
        <w:t>two were adulter</w:t>
      </w:r>
      <w:r w:rsidR="003E04FD">
        <w:t>ous</w:t>
      </w:r>
      <w:r w:rsidR="00605626">
        <w:t xml:space="preserve"> lovers of a sort, possibly even between a freeman and a slave, a relationship that </w:t>
      </w:r>
      <w:r w:rsidR="003E04FD">
        <w:t>is</w:t>
      </w:r>
      <w:r w:rsidR="00605626">
        <w:t xml:space="preserve"> documented as being an extreme offence in Roman and Constantine law</w:t>
      </w:r>
      <w:r w:rsidR="003D0041">
        <w:rPr>
          <w:rStyle w:val="FootnoteReference"/>
        </w:rPr>
        <w:footnoteReference w:id="7"/>
      </w:r>
      <w:r w:rsidR="00605626">
        <w:t>.</w:t>
      </w:r>
      <w:r w:rsidR="0034304A">
        <w:t xml:space="preserve"> Earlier in her work </w:t>
      </w:r>
      <w:proofErr w:type="spellStart"/>
      <w:r w:rsidR="0034304A">
        <w:t>Tsaliki</w:t>
      </w:r>
      <w:proofErr w:type="spellEnd"/>
      <w:r w:rsidR="0034304A">
        <w:t xml:space="preserve"> discusses how those killed for their crimes </w:t>
      </w:r>
      <w:r w:rsidR="00950667">
        <w:t>were feared to return to exact revenge upon their killers and this fear is what drives such ‘revenant burials’ as those that have been presented here</w:t>
      </w:r>
      <w:r w:rsidR="00A96040">
        <w:rPr>
          <w:rStyle w:val="FootnoteReference"/>
        </w:rPr>
        <w:footnoteReference w:id="8"/>
      </w:r>
      <w:r w:rsidR="00950667">
        <w:t xml:space="preserve">. </w:t>
      </w:r>
    </w:p>
    <w:p w14:paraId="3C82EE77" w14:textId="060330FD" w:rsidR="00A04DC8" w:rsidRDefault="00A04DC8"/>
    <w:p w14:paraId="4A6C2938" w14:textId="4D06D37D" w:rsidR="00950667" w:rsidRDefault="00A04DC8">
      <w:r>
        <w:t>Throughout the world and throughout time there has been a fear of the dead who have not received specific funerary rights. This is something which also come</w:t>
      </w:r>
      <w:r w:rsidR="005E4B76">
        <w:t>s</w:t>
      </w:r>
      <w:r>
        <w:t xml:space="preserve"> into play when looking at the fear of revenants. </w:t>
      </w:r>
      <w:r w:rsidR="004405DE">
        <w:t>Even in Ancient Greece there were specific funerary ri</w:t>
      </w:r>
      <w:r w:rsidR="00D8509D">
        <w:t>te</w:t>
      </w:r>
      <w:r w:rsidR="004405DE">
        <w:t>s that had to be carried out</w:t>
      </w:r>
      <w:r w:rsidR="00D8509D">
        <w:t>. F</w:t>
      </w:r>
      <w:r w:rsidR="004405DE">
        <w:t xml:space="preserve">ailure to do so resulted in the departed soul not being able to cross over and as such remaining in a state of limbo. This was such an important part of their culture and society that Sophocles wrote a play centred around one who had been denied a burial, called ‘Antigone’.  </w:t>
      </w:r>
      <w:r w:rsidR="00F72CDC">
        <w:t xml:space="preserve">In Sophocles’ play Antigone is denied the right to bury one brother who was infectiously killed by her other brother who was buried with full military honours. The story follows the angst of Antigone as she pleads with her uncle to be allowed to bury her brother, </w:t>
      </w:r>
      <w:r w:rsidR="00DE2321">
        <w:t>culminating</w:t>
      </w:r>
      <w:r w:rsidR="00F72CDC">
        <w:t xml:space="preserve"> in her own death for defying the decree</w:t>
      </w:r>
      <w:r w:rsidR="00DE2321">
        <w:rPr>
          <w:rStyle w:val="FootnoteReference"/>
        </w:rPr>
        <w:footnoteReference w:id="9"/>
      </w:r>
      <w:r w:rsidR="00F72CDC">
        <w:t xml:space="preserve">. This shows the </w:t>
      </w:r>
      <w:r w:rsidR="00DE2321">
        <w:t>extent</w:t>
      </w:r>
      <w:r w:rsidR="00F72CDC">
        <w:t xml:space="preserve"> to which some would go to </w:t>
      </w:r>
      <w:r w:rsidR="00DE2321">
        <w:t xml:space="preserve">follow the funerary rights of the time. The very fact that Antigone was willing to risk her own life to enact the ritual shows how important it was to the people of the time as well as highlighting what a horrific punishment it would have </w:t>
      </w:r>
      <w:proofErr w:type="gramStart"/>
      <w:r w:rsidR="00DE2321">
        <w:t>been seen as</w:t>
      </w:r>
      <w:proofErr w:type="gramEnd"/>
      <w:r w:rsidR="00DE2321">
        <w:t xml:space="preserve"> to be denied the funerary rituals. </w:t>
      </w:r>
      <w:r w:rsidR="00641781">
        <w:t>One of the main reasons this was so important was because of fear</w:t>
      </w:r>
      <w:r w:rsidR="00D8509D">
        <w:t>: f</w:t>
      </w:r>
      <w:r w:rsidR="00641781">
        <w:t xml:space="preserve">ear of the dead returning, or worse, their souls being </w:t>
      </w:r>
      <w:r w:rsidR="00160A26">
        <w:t xml:space="preserve">hijacked by evil forces before it had a chance to cross over. Evidence of this can be seen in the </w:t>
      </w:r>
      <w:proofErr w:type="gramStart"/>
      <w:r w:rsidR="00D8509D">
        <w:t>aforementioned</w:t>
      </w:r>
      <w:r w:rsidR="00160A26">
        <w:t xml:space="preserve"> Attica</w:t>
      </w:r>
      <w:proofErr w:type="gramEnd"/>
      <w:r w:rsidR="00160A26">
        <w:t xml:space="preserve"> burial of the woman and her suspected lover. </w:t>
      </w:r>
      <w:r w:rsidR="00574F36">
        <w:t>Even though</w:t>
      </w:r>
      <w:r w:rsidR="00160A26">
        <w:t xml:space="preserve"> the pair where clearly being punished there was still a coin found in the limekiln tomb, suspected to be payment for Charon the ferryman to the Underworld</w:t>
      </w:r>
      <w:r w:rsidR="00C72172">
        <w:rPr>
          <w:rStyle w:val="FootnoteReference"/>
        </w:rPr>
        <w:footnoteReference w:id="10"/>
      </w:r>
      <w:r w:rsidR="00160A26">
        <w:t xml:space="preserve">. This shows that the pair had been punished in life and in death it was now Hades’ job to deal with them, but whatever their fate it was not worth the risk to the living of them not making the crossing. </w:t>
      </w:r>
    </w:p>
    <w:p w14:paraId="6010C8D4" w14:textId="3CA7EA0F" w:rsidR="00467B61" w:rsidRDefault="006153E9">
      <w:r>
        <w:tab/>
        <w:t xml:space="preserve">This fear of the deceased not making the crossing to the other side can be traced throughout time, across countries and religions. </w:t>
      </w:r>
      <w:r w:rsidR="00AA2AFF">
        <w:t xml:space="preserve">In </w:t>
      </w:r>
      <w:r w:rsidR="007D5D14">
        <w:t xml:space="preserve">the Christian church it has long been a fear that babies that die before they have been baptised will not </w:t>
      </w:r>
      <w:r w:rsidR="00467B61">
        <w:t xml:space="preserve">reach heaven and that their souls may wander. There was a great fear that those who had an untimely death may leave behind restless spirits, very corruptible spirits as they are still young and impressionable. It is these spirits who can be blamed for hauntings and the such like that are documented throughout history. However scary these ghosts </w:t>
      </w:r>
      <w:proofErr w:type="gramStart"/>
      <w:r w:rsidR="00467B61">
        <w:t>may be</w:t>
      </w:r>
      <w:proofErr w:type="gramEnd"/>
      <w:r w:rsidR="00467B61">
        <w:t xml:space="preserve"> they don’t necessarily relate to our ‘revenant burials’ as they do not represent a physical return from the dead. </w:t>
      </w:r>
    </w:p>
    <w:p w14:paraId="6D0EC101" w14:textId="0931BDFF" w:rsidR="00467B61" w:rsidRDefault="003C33DF">
      <w:r>
        <w:t>The physical return of the dead we see are in</w:t>
      </w:r>
      <w:r w:rsidR="00467B61">
        <w:t xml:space="preserve"> vampires and other such vampiric creatures. These can be traced back throughout time. </w:t>
      </w:r>
      <w:proofErr w:type="spellStart"/>
      <w:r w:rsidR="00467B61">
        <w:t>Tsaliki</w:t>
      </w:r>
      <w:proofErr w:type="spellEnd"/>
      <w:r w:rsidR="00467B61">
        <w:t xml:space="preserve"> states that the fear of the dead and its substantial impact on burial practices can be traced back to the Neolithic period and has since spread worldwide</w:t>
      </w:r>
      <w:r w:rsidR="003E5A4D">
        <w:rPr>
          <w:rStyle w:val="FootnoteReference"/>
        </w:rPr>
        <w:footnoteReference w:id="11"/>
      </w:r>
      <w:r w:rsidR="00467B61">
        <w:t xml:space="preserve">. It is no surprise that nearly every culture in the world has a way of dealing with their dead in specific ways and a belief about what happens after life. </w:t>
      </w:r>
      <w:r w:rsidR="003E5A4D">
        <w:t xml:space="preserve">The unknown of what is ahead is one of the most feared things in humanity. </w:t>
      </w:r>
      <w:r w:rsidR="003266D7">
        <w:t xml:space="preserve">Several notable Classical writers have </w:t>
      </w:r>
      <w:r w:rsidR="00B15270">
        <w:t xml:space="preserve">written about revenants and the fear they incited. </w:t>
      </w:r>
      <w:proofErr w:type="spellStart"/>
      <w:r w:rsidR="00B15270">
        <w:t>Photius</w:t>
      </w:r>
      <w:proofErr w:type="spellEnd"/>
      <w:r w:rsidR="00B15270">
        <w:t xml:space="preserve"> wrote in the second century AD, about </w:t>
      </w:r>
      <w:proofErr w:type="spellStart"/>
      <w:r w:rsidR="00B15270">
        <w:t>Paapis</w:t>
      </w:r>
      <w:proofErr w:type="spellEnd"/>
      <w:r w:rsidR="00B15270">
        <w:t xml:space="preserve">, an evil Egyptian priest, who bewitched </w:t>
      </w:r>
      <w:proofErr w:type="spellStart"/>
      <w:r w:rsidR="00B15270">
        <w:t>Dercyllis</w:t>
      </w:r>
      <w:proofErr w:type="spellEnd"/>
      <w:r w:rsidR="00B15270">
        <w:t xml:space="preserve"> and </w:t>
      </w:r>
      <w:proofErr w:type="spellStart"/>
      <w:r w:rsidR="00B15270">
        <w:t>Mantinias</w:t>
      </w:r>
      <w:proofErr w:type="spellEnd"/>
      <w:r w:rsidR="00B15270">
        <w:t xml:space="preserve"> so that they where dead at night and then rose to walk among </w:t>
      </w:r>
      <w:r w:rsidR="00B15270">
        <w:lastRenderedPageBreak/>
        <w:t xml:space="preserve">the living during the day. Later in the second century, </w:t>
      </w:r>
      <w:proofErr w:type="spellStart"/>
      <w:r w:rsidR="00B15270">
        <w:t>Philostratus</w:t>
      </w:r>
      <w:proofErr w:type="spellEnd"/>
      <w:r w:rsidR="00B15270">
        <w:t xml:space="preserve"> wrote about the bride of Corinth, a vampiric creature in female form who devoured men’s flesh and drank their blood, haunting those she had yet to kill. At the same time </w:t>
      </w:r>
      <w:proofErr w:type="spellStart"/>
      <w:r w:rsidR="00B15270">
        <w:t>Phlegon</w:t>
      </w:r>
      <w:proofErr w:type="spellEnd"/>
      <w:r w:rsidR="00B15270">
        <w:t xml:space="preserve"> of </w:t>
      </w:r>
      <w:proofErr w:type="spellStart"/>
      <w:r w:rsidR="00B15270">
        <w:t>Tralles</w:t>
      </w:r>
      <w:proofErr w:type="spellEnd"/>
      <w:r w:rsidR="00B15270">
        <w:t xml:space="preserve"> was writing about a young girl called </w:t>
      </w:r>
      <w:proofErr w:type="spellStart"/>
      <w:r w:rsidR="00B15270">
        <w:t>Philinnion</w:t>
      </w:r>
      <w:proofErr w:type="spellEnd"/>
      <w:r w:rsidR="00B15270">
        <w:t xml:space="preserve">, who rose from her grave and seduced a young man named </w:t>
      </w:r>
      <w:proofErr w:type="spellStart"/>
      <w:r w:rsidR="00B15270">
        <w:t>Machates</w:t>
      </w:r>
      <w:proofErr w:type="spellEnd"/>
      <w:r w:rsidR="00B15270">
        <w:t xml:space="preserve">. He also wrote about </w:t>
      </w:r>
      <w:proofErr w:type="spellStart"/>
      <w:r w:rsidR="00B15270">
        <w:t>Polycrites</w:t>
      </w:r>
      <w:proofErr w:type="spellEnd"/>
      <w:r w:rsidR="00B15270">
        <w:t xml:space="preserve"> who died very suddenly, only to return from the grave to eat his own child</w:t>
      </w:r>
      <w:r w:rsidR="00B15270">
        <w:rPr>
          <w:rStyle w:val="FootnoteReference"/>
        </w:rPr>
        <w:footnoteReference w:id="12"/>
      </w:r>
      <w:r w:rsidR="00B15270">
        <w:t xml:space="preserve">. These are but a few of the accounts we have from antiquity, but they go to show that there was a </w:t>
      </w:r>
      <w:r w:rsidR="00A50687">
        <w:t xml:space="preserve">real </w:t>
      </w:r>
      <w:r w:rsidR="00B15270">
        <w:t>fear of revenants</w:t>
      </w:r>
      <w:r w:rsidR="00A50687">
        <w:t xml:space="preserve"> amongst the people</w:t>
      </w:r>
      <w:r w:rsidR="00B15270">
        <w:t xml:space="preserve">. </w:t>
      </w:r>
    </w:p>
    <w:p w14:paraId="60B30473" w14:textId="0398B8A5" w:rsidR="001F61F5" w:rsidRDefault="001F61F5">
      <w:r>
        <w:tab/>
        <w:t>The accounts we have all depict vampiric revenants which, although not the only form of revenant, does seem to be a very common type. However, the idea we may have of a vampire is very different to how they were seen in Ancient Greece</w:t>
      </w:r>
      <w:r w:rsidR="00133E5A">
        <w:t>. T</w:t>
      </w:r>
      <w:r>
        <w:t xml:space="preserve">he view we have is warped by the myths and legends of Slavonic vampires. The Ancient Greek vampire, or </w:t>
      </w:r>
      <w:proofErr w:type="spellStart"/>
      <w:r w:rsidRPr="00133E5A">
        <w:rPr>
          <w:i/>
        </w:rPr>
        <w:t>vrykolakas</w:t>
      </w:r>
      <w:proofErr w:type="spellEnd"/>
      <w:r>
        <w:t xml:space="preserve">, is supposedly very similar to that of traditional British vampires. They were less blood sucking monsters, but reanimated corpses </w:t>
      </w:r>
      <w:proofErr w:type="spellStart"/>
      <w:r>
        <w:t>puppeteered</w:t>
      </w:r>
      <w:proofErr w:type="spellEnd"/>
      <w:r>
        <w:t xml:space="preserve"> by demons who seek to harm the living</w:t>
      </w:r>
      <w:r>
        <w:rPr>
          <w:rStyle w:val="FootnoteReference"/>
        </w:rPr>
        <w:footnoteReference w:id="13"/>
      </w:r>
      <w:r>
        <w:t xml:space="preserve">.  </w:t>
      </w:r>
      <w:r w:rsidR="00133E5A">
        <w:t>Fear of t</w:t>
      </w:r>
      <w:r>
        <w:t xml:space="preserve">his, obviously </w:t>
      </w:r>
      <w:r w:rsidR="00133E5A">
        <w:t>un</w:t>
      </w:r>
      <w:r>
        <w:t xml:space="preserve">desired situation, drove people to take extra measures to prevent it from happening. </w:t>
      </w:r>
      <w:r w:rsidR="00133E5A">
        <w:t>Desperation is the only thing that could drive people to do such things, desperation stemmed from fear, but also from love</w:t>
      </w:r>
      <w:r>
        <w:t xml:space="preserve">. </w:t>
      </w:r>
    </w:p>
    <w:p w14:paraId="00020447" w14:textId="713F9C86" w:rsidR="003C33DF" w:rsidRDefault="003C33DF">
      <w:r>
        <w:tab/>
        <w:t xml:space="preserve">Icelandic history holds a perfect example of why such fear existed as it holds ‘real’ revenants in its past.  Iceland has the most </w:t>
      </w:r>
      <w:r w:rsidR="00133E5A">
        <w:t xml:space="preserve">extreme </w:t>
      </w:r>
      <w:r>
        <w:t>winters</w:t>
      </w:r>
      <w:r w:rsidR="0022604B">
        <w:t>, so it would</w:t>
      </w:r>
      <w:r w:rsidR="00133E5A">
        <w:t xml:space="preserve"> not </w:t>
      </w:r>
      <w:r w:rsidR="0022604B">
        <w:t>be uncommon that someone would go out and not return. However, medical conditions we understand today, such as hypothermia and frostbite, were</w:t>
      </w:r>
      <w:r w:rsidR="00133E5A">
        <w:t xml:space="preserve"> not</w:t>
      </w:r>
      <w:r w:rsidR="0022604B">
        <w:t xml:space="preserve"> understood properly less than two hundred years ago. What would happen is that people would discover frozen bodies and bring them into their houses until a doctor could come to collect the body. However, in bringing the body into the warm the individual would become reanimated as they thawed out. Unfortunately, hypothermia and frostbite would mean that they would</w:t>
      </w:r>
      <w:r w:rsidR="007748AA">
        <w:t xml:space="preserve"> not</w:t>
      </w:r>
      <w:r w:rsidR="0022604B">
        <w:t xml:space="preserve"> be able to move very succinctly or be able to speak properly. This would result in what we would consider the stereotypical groaning zombie we know today. The fear </w:t>
      </w:r>
      <w:r w:rsidR="00267293">
        <w:t>o</w:t>
      </w:r>
      <w:r w:rsidR="0022604B">
        <w:t>f the host would cause them to kill the frozen person thinking they had returned from the dead, when in fact they had never been dead to begin with. This is the perfect example of how the lack on medical knowledge in the past caused the fear of the ill or disease</w:t>
      </w:r>
      <w:r w:rsidR="00267293">
        <w:t>d</w:t>
      </w:r>
      <w:r w:rsidR="0022604B">
        <w:t xml:space="preserve">, such as the old man with a paralysed face looked at previously. Life as a disabled or diseased person would have been very hard during very superstitious periods in time and results in many of the ‘revenant graves’ we see today. </w:t>
      </w:r>
    </w:p>
    <w:p w14:paraId="5BCF6B15" w14:textId="77777777" w:rsidR="001F61F5" w:rsidRDefault="001F61F5"/>
    <w:p w14:paraId="2D48F46B" w14:textId="4566F1C2" w:rsidR="00B15270" w:rsidRDefault="00B15270">
      <w:r>
        <w:t>Despite the name ‘revenant graves’ do</w:t>
      </w:r>
      <w:r w:rsidR="00267293">
        <w:t xml:space="preserve"> not</w:t>
      </w:r>
      <w:r>
        <w:t xml:space="preserve"> actually denote graves of past revenants</w:t>
      </w:r>
      <w:r w:rsidR="00267293">
        <w:t>;</w:t>
      </w:r>
      <w:r>
        <w:t xml:space="preserve"> perhaps a more apt name would be revenant prevention graves. </w:t>
      </w:r>
      <w:r w:rsidR="001F61F5">
        <w:t>Following on from the fear we saw incited in the Ancients, we now turn to how the dead were prevented f</w:t>
      </w:r>
      <w:r w:rsidR="00267293">
        <w:t>ro</w:t>
      </w:r>
      <w:r w:rsidR="001F61F5">
        <w:t>m being brought back. Here, again we turn to the archaeological record to determine the ways in which societies and cultures prevented their loved ones from returning.</w:t>
      </w:r>
      <w:r w:rsidR="00A50687">
        <w:t xml:space="preserve"> One of the most common ‘revenant burials’ that is now taken to be a tradition, is to be buried 6 feet down. </w:t>
      </w:r>
      <w:r w:rsidR="00A52EE1">
        <w:t xml:space="preserve">This </w:t>
      </w:r>
      <w:r w:rsidR="00BD57CD">
        <w:t>‘</w:t>
      </w:r>
      <w:r w:rsidR="00A52EE1">
        <w:t>tradition</w:t>
      </w:r>
      <w:r w:rsidR="00BD57CD">
        <w:t>’</w:t>
      </w:r>
      <w:r w:rsidR="00A52EE1">
        <w:t xml:space="preserve"> </w:t>
      </w:r>
      <w:r w:rsidR="00BD57CD">
        <w:t xml:space="preserve">comes from regulations brought in during times of plague, when bodies had to be buried deeper to prevent contamination. In </w:t>
      </w:r>
      <w:proofErr w:type="gramStart"/>
      <w:r w:rsidR="00BD57CD">
        <w:t>actual fact</w:t>
      </w:r>
      <w:proofErr w:type="gramEnd"/>
      <w:r w:rsidR="00BD57CD">
        <w:t xml:space="preserve"> grave depths fluctuate throughout time ranging from 2 feet to 8 feet, </w:t>
      </w:r>
      <w:r w:rsidR="00267293">
        <w:t>the deeper</w:t>
      </w:r>
      <w:r w:rsidR="00BD57CD">
        <w:t xml:space="preserve"> graves </w:t>
      </w:r>
      <w:r w:rsidR="00267293">
        <w:t xml:space="preserve">often </w:t>
      </w:r>
      <w:r w:rsidR="00BD57CD">
        <w:t>coming at times of disease or, in our case, when there was a great fear of people returning (often also linked to diseases such as the plague)</w:t>
      </w:r>
      <w:r w:rsidR="00BD57CD">
        <w:rPr>
          <w:rStyle w:val="FootnoteReference"/>
        </w:rPr>
        <w:footnoteReference w:id="14"/>
      </w:r>
      <w:r w:rsidR="00BD57CD">
        <w:t xml:space="preserve">. </w:t>
      </w:r>
      <w:r w:rsidR="00E733C7">
        <w:t xml:space="preserve">The deeper the grave, the harder it would be for a revenant to dig its way out hopefully resulting in its demise. </w:t>
      </w:r>
    </w:p>
    <w:p w14:paraId="26536EEB" w14:textId="6F21298D" w:rsidR="00E733C7" w:rsidRDefault="00E733C7">
      <w:r>
        <w:lastRenderedPageBreak/>
        <w:tab/>
        <w:t xml:space="preserve">There is evidence for very specific ‘revenant graves’ and they clearly show great fear </w:t>
      </w:r>
      <w:r w:rsidR="00267293">
        <w:t xml:space="preserve">of the dead returning </w:t>
      </w:r>
      <w:r>
        <w:t>as it would have taken a lot of time and effort, as well as money, to be put in place. During the height of necrophobia bodies can be found to have been buried with stakes though them, to be covered in rocks, and in some cases to have a S</w:t>
      </w:r>
      <w:r w:rsidR="006048C6">
        <w:t>cythe</w:t>
      </w:r>
      <w:r>
        <w:t xml:space="preserve"> above their neck so in the case that a body was to rise, the head would be decapitated immediately</w:t>
      </w:r>
      <w:r>
        <w:rPr>
          <w:rStyle w:val="FootnoteReference"/>
        </w:rPr>
        <w:footnoteReference w:id="15"/>
      </w:r>
      <w:r w:rsidR="005B09CB">
        <w:rPr>
          <w:rStyle w:val="FootnoteReference"/>
        </w:rPr>
        <w:footnoteReference w:id="16"/>
      </w:r>
      <w:r>
        <w:t>.</w:t>
      </w:r>
    </w:p>
    <w:p w14:paraId="6ADEA88A" w14:textId="7AF4ACBE" w:rsidR="006048C6" w:rsidRDefault="006048C6"/>
    <w:p w14:paraId="1793E38C" w14:textId="52643BDD" w:rsidR="006048C6" w:rsidRDefault="00267293">
      <w:r>
        <w:t>In the end</w:t>
      </w:r>
      <w:r w:rsidR="006048C6">
        <w:t xml:space="preserve"> it cannot be denied that ‘revenant graves’ in themselves prove that there was a fear of the dead returning, nothing </w:t>
      </w:r>
      <w:r>
        <w:t xml:space="preserve">but the desperation this caused </w:t>
      </w:r>
      <w:r w:rsidR="006048C6">
        <w:t xml:space="preserve">could warrant such behaviour. The fact that there are so few specific examples shows that it was not simply a tradition, it was individuals singled out as they were feared to be at the biggest risk of returning. It was much better that the revenants be stopped before they have a chance to wreak havoc. Had they been allowed to rise from the dead it would have potentially been much harder to rid the world of them. </w:t>
      </w:r>
      <w:r>
        <w:t>Going back to the original question: to what extent do ‘revenant burials’ indicate a fear of the dead returning? Ultimately, it is to a very large extent that ‘revenant burials’ indicate a fear of the dead returning, however to a lesser but just as important extent, it was love. Out of love for their family members and for their fellow human beings, ‘revenant burials’ prevented people from directly having to kill the already deceased.</w:t>
      </w:r>
    </w:p>
    <w:p w14:paraId="4DCF0126" w14:textId="77777777" w:rsidR="00A04DC8" w:rsidRDefault="00A04DC8"/>
    <w:p w14:paraId="5E0DA2A6" w14:textId="77777777" w:rsidR="006212E7" w:rsidRDefault="006212E7"/>
    <w:p w14:paraId="5C8DF4A0" w14:textId="77777777" w:rsidR="006212E7" w:rsidRDefault="006212E7"/>
    <w:p w14:paraId="73B0CE12" w14:textId="77777777" w:rsidR="006212E7" w:rsidRDefault="006212E7"/>
    <w:p w14:paraId="54812F26" w14:textId="77777777" w:rsidR="006212E7" w:rsidRDefault="006212E7"/>
    <w:p w14:paraId="7C9386E0" w14:textId="77777777" w:rsidR="006212E7" w:rsidRDefault="006212E7"/>
    <w:p w14:paraId="18C31D9A" w14:textId="6F77702E" w:rsidR="006212E7" w:rsidRDefault="006212E7"/>
    <w:p w14:paraId="77DF1FC9" w14:textId="77777777" w:rsidR="00BD57CD" w:rsidRDefault="00BD57CD">
      <w:pPr>
        <w:rPr>
          <w:u w:val="single"/>
        </w:rPr>
      </w:pPr>
    </w:p>
    <w:p w14:paraId="24D0282D" w14:textId="77777777" w:rsidR="00F97439" w:rsidRDefault="00F97439">
      <w:pPr>
        <w:rPr>
          <w:u w:val="single"/>
        </w:rPr>
      </w:pPr>
    </w:p>
    <w:p w14:paraId="45A2CFA7" w14:textId="77777777" w:rsidR="00F97439" w:rsidRDefault="00F97439">
      <w:pPr>
        <w:rPr>
          <w:u w:val="single"/>
        </w:rPr>
      </w:pPr>
    </w:p>
    <w:p w14:paraId="6A22F8DE" w14:textId="77777777" w:rsidR="00F97439" w:rsidRDefault="00F97439">
      <w:pPr>
        <w:rPr>
          <w:u w:val="single"/>
        </w:rPr>
      </w:pPr>
    </w:p>
    <w:p w14:paraId="04F7A785" w14:textId="77777777" w:rsidR="00F97439" w:rsidRDefault="00F97439">
      <w:pPr>
        <w:rPr>
          <w:u w:val="single"/>
        </w:rPr>
      </w:pPr>
    </w:p>
    <w:p w14:paraId="263B1BCE" w14:textId="77777777" w:rsidR="00F97439" w:rsidRDefault="00F97439">
      <w:pPr>
        <w:rPr>
          <w:u w:val="single"/>
        </w:rPr>
      </w:pPr>
    </w:p>
    <w:p w14:paraId="402C1200" w14:textId="77777777" w:rsidR="00F97439" w:rsidRDefault="00F97439">
      <w:pPr>
        <w:rPr>
          <w:u w:val="single"/>
        </w:rPr>
      </w:pPr>
    </w:p>
    <w:p w14:paraId="2EB5FA84" w14:textId="77777777" w:rsidR="00F97439" w:rsidRDefault="00F97439">
      <w:pPr>
        <w:rPr>
          <w:u w:val="single"/>
        </w:rPr>
      </w:pPr>
    </w:p>
    <w:p w14:paraId="56BBAE52" w14:textId="77777777" w:rsidR="00F97439" w:rsidRDefault="00F97439">
      <w:pPr>
        <w:rPr>
          <w:u w:val="single"/>
        </w:rPr>
      </w:pPr>
    </w:p>
    <w:p w14:paraId="281994DF" w14:textId="77777777" w:rsidR="00F97439" w:rsidRDefault="00F97439">
      <w:pPr>
        <w:rPr>
          <w:u w:val="single"/>
        </w:rPr>
      </w:pPr>
    </w:p>
    <w:p w14:paraId="16670344" w14:textId="791B51AF" w:rsidR="00A31287" w:rsidRPr="00BD57CD" w:rsidRDefault="00A31287">
      <w:pPr>
        <w:rPr>
          <w:u w:val="single"/>
        </w:rPr>
      </w:pPr>
      <w:r w:rsidRPr="00BD57CD">
        <w:rPr>
          <w:u w:val="single"/>
        </w:rPr>
        <w:lastRenderedPageBreak/>
        <w:t xml:space="preserve">Bibliography </w:t>
      </w:r>
    </w:p>
    <w:p w14:paraId="6CC90909" w14:textId="7AEBDC60" w:rsidR="00F97439" w:rsidRDefault="00F97439" w:rsidP="00DE2321">
      <w:proofErr w:type="spellStart"/>
      <w:r>
        <w:t>Buko</w:t>
      </w:r>
      <w:proofErr w:type="spellEnd"/>
      <w:r>
        <w:t xml:space="preserve">, A. 2008. </w:t>
      </w:r>
      <w:r w:rsidRPr="00F97439">
        <w:rPr>
          <w:i/>
        </w:rPr>
        <w:t>The Archaeology of Early Medieval Poland: Discoveries, Hypotheses, Interpretations.</w:t>
      </w:r>
      <w:r w:rsidR="00BE639B">
        <w:rPr>
          <w:i/>
        </w:rPr>
        <w:tab/>
      </w:r>
      <w:bookmarkStart w:id="0" w:name="_GoBack"/>
      <w:bookmarkEnd w:id="0"/>
      <w:r>
        <w:t xml:space="preserve"> The Netherlands: Brill </w:t>
      </w:r>
    </w:p>
    <w:p w14:paraId="4FE17DC5" w14:textId="62F1AEBA" w:rsidR="00DE2321" w:rsidRDefault="00DE2321" w:rsidP="00DE2321">
      <w:r>
        <w:t xml:space="preserve">Oxford English Dictionary. </w:t>
      </w:r>
      <w:r>
        <w:rPr>
          <w:i/>
        </w:rPr>
        <w:t xml:space="preserve">Revenant. </w:t>
      </w:r>
      <w:hyperlink r:id="rId7" w:history="1">
        <w:r w:rsidRPr="00D4654C">
          <w:rPr>
            <w:rStyle w:val="Hyperlink"/>
          </w:rPr>
          <w:t>https://en.oxforddictionaries.com/definition/revenant</w:t>
        </w:r>
      </w:hyperlink>
      <w:r>
        <w:rPr>
          <w:i/>
        </w:rPr>
        <w:t xml:space="preserve">. </w:t>
      </w:r>
      <w:r w:rsidR="00BD57CD">
        <w:rPr>
          <w:i/>
        </w:rPr>
        <w:tab/>
      </w:r>
      <w:r>
        <w:t xml:space="preserve">Oxford University Press. Accessed 11:05 19/01/2018 </w:t>
      </w:r>
    </w:p>
    <w:p w14:paraId="3AA6B028" w14:textId="67FC6611" w:rsidR="00DE2321" w:rsidRPr="00D4654C" w:rsidRDefault="00DE2321" w:rsidP="00DE2321">
      <w:r>
        <w:t xml:space="preserve">Sophocles. ‘Antigone’ in </w:t>
      </w:r>
      <w:r w:rsidRPr="00DE2321">
        <w:rPr>
          <w:i/>
        </w:rPr>
        <w:t>The Theban Plays</w:t>
      </w:r>
      <w:r>
        <w:t xml:space="preserve">. translated by Sir George Young. 1999. [2006 </w:t>
      </w:r>
      <w:proofErr w:type="spellStart"/>
      <w:r>
        <w:t>edt</w:t>
      </w:r>
      <w:proofErr w:type="spellEnd"/>
      <w:r>
        <w:t xml:space="preserve">.] </w:t>
      </w:r>
      <w:r w:rsidR="00BD57CD">
        <w:tab/>
      </w:r>
      <w:r>
        <w:t xml:space="preserve">New York: Dover Publications. </w:t>
      </w:r>
      <w:r w:rsidRPr="00DE2321">
        <w:rPr>
          <w:b/>
        </w:rPr>
        <w:t>115-158</w:t>
      </w:r>
    </w:p>
    <w:p w14:paraId="592B3FE4" w14:textId="549611D3" w:rsidR="00A31287" w:rsidRDefault="00633BF5">
      <w:pPr>
        <w:rPr>
          <w:b/>
        </w:rPr>
      </w:pPr>
      <w:proofErr w:type="spellStart"/>
      <w:r>
        <w:t>Tsaliki</w:t>
      </w:r>
      <w:proofErr w:type="spellEnd"/>
      <w:r>
        <w:t>, A. 2008. ‘</w:t>
      </w:r>
      <w:r w:rsidRPr="00633BF5">
        <w:t>Unusual Burials and Necrophobia: An Insight into the Burial Archaeology of Fear</w:t>
      </w:r>
      <w:r>
        <w:t xml:space="preserve">’ </w:t>
      </w:r>
      <w:r w:rsidR="00BD57CD">
        <w:tab/>
      </w:r>
      <w:r>
        <w:t xml:space="preserve">in </w:t>
      </w:r>
      <w:r w:rsidR="006212E7" w:rsidRPr="006212E7">
        <w:rPr>
          <w:i/>
        </w:rPr>
        <w:t>Studies in Funerary Archa</w:t>
      </w:r>
      <w:r w:rsidR="006212E7">
        <w:rPr>
          <w:i/>
        </w:rPr>
        <w:t>e</w:t>
      </w:r>
      <w:r w:rsidR="006212E7" w:rsidRPr="006212E7">
        <w:rPr>
          <w:i/>
        </w:rPr>
        <w:t>ology: Volume 2 -</w:t>
      </w:r>
      <w:r w:rsidR="006212E7">
        <w:t xml:space="preserve"> </w:t>
      </w:r>
      <w:r w:rsidR="006212E7">
        <w:rPr>
          <w:i/>
        </w:rPr>
        <w:t>Deviant Burial in the Archaeological Record</w:t>
      </w:r>
      <w:r w:rsidR="00FC410B">
        <w:rPr>
          <w:i/>
        </w:rPr>
        <w:t>.</w:t>
      </w:r>
      <w:r w:rsidR="00BD57CD">
        <w:rPr>
          <w:i/>
        </w:rPr>
        <w:tab/>
      </w:r>
      <w:r w:rsidR="00FC410B">
        <w:rPr>
          <w:i/>
        </w:rPr>
        <w:t xml:space="preserve"> </w:t>
      </w:r>
      <w:r>
        <w:t>edited by E.M. Murphy.</w:t>
      </w:r>
      <w:r w:rsidR="00FC410B">
        <w:rPr>
          <w:i/>
        </w:rPr>
        <w:t xml:space="preserve"> </w:t>
      </w:r>
      <w:r w:rsidR="00FC410B">
        <w:t xml:space="preserve">2008. [2015 </w:t>
      </w:r>
      <w:proofErr w:type="spellStart"/>
      <w:r w:rsidR="00FC410B">
        <w:t>edt</w:t>
      </w:r>
      <w:proofErr w:type="spellEnd"/>
      <w:r w:rsidR="00FC410B">
        <w:t xml:space="preserve">.] </w:t>
      </w:r>
      <w:r>
        <w:t xml:space="preserve"> </w:t>
      </w:r>
      <w:r w:rsidR="006212E7">
        <w:t xml:space="preserve">Oxford: Oxbow </w:t>
      </w:r>
      <w:r w:rsidR="006212E7" w:rsidRPr="00633BF5">
        <w:t>Books</w:t>
      </w:r>
      <w:r w:rsidRPr="00633BF5">
        <w:t>.</w:t>
      </w:r>
      <w:r w:rsidRPr="00633BF5">
        <w:rPr>
          <w:b/>
        </w:rPr>
        <w:t xml:space="preserve"> 1-16</w:t>
      </w:r>
    </w:p>
    <w:p w14:paraId="183CB6CE" w14:textId="63A367AB" w:rsidR="00BD57CD" w:rsidRPr="00BD57CD" w:rsidRDefault="00BD57CD">
      <w:r w:rsidRPr="00BD57CD">
        <w:t xml:space="preserve">Wilson, F.P. 1963. </w:t>
      </w:r>
      <w:r w:rsidRPr="00BD57CD">
        <w:rPr>
          <w:i/>
        </w:rPr>
        <w:t>The Plague in Shakespeare’s London.</w:t>
      </w:r>
      <w:r>
        <w:t xml:space="preserve"> Oxford: Oxford University Press </w:t>
      </w:r>
      <w:r w:rsidRPr="00BD57CD">
        <w:t xml:space="preserve"> </w:t>
      </w:r>
    </w:p>
    <w:p w14:paraId="4F443C77" w14:textId="77777777" w:rsidR="00BD57CD" w:rsidRPr="00BD57CD" w:rsidRDefault="00BD57CD"/>
    <w:p w14:paraId="00C11ED8" w14:textId="77777777" w:rsidR="00DE2321" w:rsidRPr="00D4654C" w:rsidRDefault="00DE2321"/>
    <w:sectPr w:rsidR="00DE2321" w:rsidRPr="00D4654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01F6C1" w14:textId="77777777" w:rsidR="00D4654C" w:rsidRDefault="00D4654C" w:rsidP="00D4654C">
      <w:pPr>
        <w:spacing w:after="0" w:line="240" w:lineRule="auto"/>
      </w:pPr>
      <w:r>
        <w:separator/>
      </w:r>
    </w:p>
  </w:endnote>
  <w:endnote w:type="continuationSeparator" w:id="0">
    <w:p w14:paraId="2331100B" w14:textId="77777777" w:rsidR="00D4654C" w:rsidRDefault="00D4654C" w:rsidP="00D465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77C052" w14:textId="77777777" w:rsidR="00D4654C" w:rsidRDefault="00D4654C" w:rsidP="00D4654C">
      <w:pPr>
        <w:spacing w:after="0" w:line="240" w:lineRule="auto"/>
      </w:pPr>
      <w:r>
        <w:separator/>
      </w:r>
    </w:p>
  </w:footnote>
  <w:footnote w:type="continuationSeparator" w:id="0">
    <w:p w14:paraId="2C7C93A0" w14:textId="77777777" w:rsidR="00D4654C" w:rsidRDefault="00D4654C" w:rsidP="00D4654C">
      <w:pPr>
        <w:spacing w:after="0" w:line="240" w:lineRule="auto"/>
      </w:pPr>
      <w:r>
        <w:continuationSeparator/>
      </w:r>
    </w:p>
  </w:footnote>
  <w:footnote w:id="1">
    <w:p w14:paraId="76AC5016" w14:textId="161AC513" w:rsidR="00D4654C" w:rsidRDefault="00D4654C">
      <w:pPr>
        <w:pStyle w:val="FootnoteText"/>
      </w:pPr>
      <w:r>
        <w:rPr>
          <w:rStyle w:val="FootnoteReference"/>
        </w:rPr>
        <w:footnoteRef/>
      </w:r>
      <w:r>
        <w:t xml:space="preserve"> Oxford English Dictionary Online: </w:t>
      </w:r>
      <w:hyperlink r:id="rId1" w:history="1">
        <w:r w:rsidRPr="006955A6">
          <w:rPr>
            <w:rStyle w:val="Hyperlink"/>
          </w:rPr>
          <w:t>https://en.oxforddictionaries.com/definition/revenant</w:t>
        </w:r>
      </w:hyperlink>
      <w:r>
        <w:t xml:space="preserve"> </w:t>
      </w:r>
    </w:p>
  </w:footnote>
  <w:footnote w:id="2">
    <w:p w14:paraId="43EC6700" w14:textId="63CFF6B4" w:rsidR="00A5286C" w:rsidRDefault="00A5286C">
      <w:pPr>
        <w:pStyle w:val="FootnoteText"/>
      </w:pPr>
      <w:r>
        <w:rPr>
          <w:rStyle w:val="FootnoteReference"/>
        </w:rPr>
        <w:footnoteRef/>
      </w:r>
      <w:r>
        <w:t xml:space="preserve"> A. </w:t>
      </w:r>
      <w:proofErr w:type="spellStart"/>
      <w:r>
        <w:t>Tsaliki</w:t>
      </w:r>
      <w:proofErr w:type="spellEnd"/>
      <w:r>
        <w:t xml:space="preserve">. 2008: 1-14 </w:t>
      </w:r>
    </w:p>
  </w:footnote>
  <w:footnote w:id="3">
    <w:p w14:paraId="12CFFE78" w14:textId="3DD6B6DE" w:rsidR="000F5DE7" w:rsidRDefault="000F5DE7">
      <w:pPr>
        <w:pStyle w:val="FootnoteText"/>
      </w:pPr>
      <w:r>
        <w:rPr>
          <w:rStyle w:val="FootnoteReference"/>
        </w:rPr>
        <w:footnoteRef/>
      </w:r>
      <w:r>
        <w:t xml:space="preserve"> A. </w:t>
      </w:r>
      <w:proofErr w:type="spellStart"/>
      <w:r>
        <w:t>Tsaliki</w:t>
      </w:r>
      <w:proofErr w:type="spellEnd"/>
      <w:r>
        <w:t>. 2008: 8-14</w:t>
      </w:r>
    </w:p>
  </w:footnote>
  <w:footnote w:id="4">
    <w:p w14:paraId="58B9897D" w14:textId="42148ED6" w:rsidR="003E04FD" w:rsidRDefault="003E04FD">
      <w:pPr>
        <w:pStyle w:val="FootnoteText"/>
      </w:pPr>
      <w:r>
        <w:rPr>
          <w:rStyle w:val="FootnoteReference"/>
        </w:rPr>
        <w:footnoteRef/>
      </w:r>
      <w:r>
        <w:t xml:space="preserve"> </w:t>
      </w:r>
      <w:r>
        <w:t xml:space="preserve">A. </w:t>
      </w:r>
      <w:proofErr w:type="spellStart"/>
      <w:r>
        <w:t>Tsaliki</w:t>
      </w:r>
      <w:proofErr w:type="spellEnd"/>
      <w:r>
        <w:t xml:space="preserve">. 2008: </w:t>
      </w:r>
      <w:r>
        <w:t>13</w:t>
      </w:r>
    </w:p>
  </w:footnote>
  <w:footnote w:id="5">
    <w:p w14:paraId="20C31266" w14:textId="161F9BA7" w:rsidR="004E5629" w:rsidRDefault="004E5629">
      <w:pPr>
        <w:pStyle w:val="FootnoteText"/>
      </w:pPr>
      <w:r>
        <w:rPr>
          <w:rStyle w:val="FootnoteReference"/>
        </w:rPr>
        <w:footnoteRef/>
      </w:r>
      <w:r>
        <w:t xml:space="preserve"> A. </w:t>
      </w:r>
      <w:proofErr w:type="spellStart"/>
      <w:r>
        <w:t>Tsaliki</w:t>
      </w:r>
      <w:proofErr w:type="spellEnd"/>
      <w:r>
        <w:t>. 2008: 11, 13-14</w:t>
      </w:r>
    </w:p>
  </w:footnote>
  <w:footnote w:id="6">
    <w:p w14:paraId="549FC975" w14:textId="480FE884" w:rsidR="00605626" w:rsidRDefault="00605626">
      <w:pPr>
        <w:pStyle w:val="FootnoteText"/>
      </w:pPr>
      <w:r>
        <w:rPr>
          <w:rStyle w:val="FootnoteReference"/>
        </w:rPr>
        <w:footnoteRef/>
      </w:r>
      <w:r>
        <w:t xml:space="preserve"> A. </w:t>
      </w:r>
      <w:proofErr w:type="spellStart"/>
      <w:r>
        <w:t>Tsaliki</w:t>
      </w:r>
      <w:proofErr w:type="spellEnd"/>
      <w:r>
        <w:t>. 2008: 10-11</w:t>
      </w:r>
    </w:p>
  </w:footnote>
  <w:footnote w:id="7">
    <w:p w14:paraId="0CB01C1C" w14:textId="318ADBBB" w:rsidR="003D0041" w:rsidRDefault="003D0041">
      <w:pPr>
        <w:pStyle w:val="FootnoteText"/>
      </w:pPr>
      <w:r>
        <w:rPr>
          <w:rStyle w:val="FootnoteReference"/>
        </w:rPr>
        <w:footnoteRef/>
      </w:r>
      <w:r>
        <w:t xml:space="preserve"> A. </w:t>
      </w:r>
      <w:proofErr w:type="spellStart"/>
      <w:r>
        <w:t>Tsaliki</w:t>
      </w:r>
      <w:proofErr w:type="spellEnd"/>
      <w:r>
        <w:t>. 2008: 11</w:t>
      </w:r>
    </w:p>
  </w:footnote>
  <w:footnote w:id="8">
    <w:p w14:paraId="47341045" w14:textId="2ACAC107" w:rsidR="00A96040" w:rsidRDefault="00A96040">
      <w:pPr>
        <w:pStyle w:val="FootnoteText"/>
      </w:pPr>
      <w:r>
        <w:rPr>
          <w:rStyle w:val="FootnoteReference"/>
        </w:rPr>
        <w:footnoteRef/>
      </w:r>
      <w:r>
        <w:t xml:space="preserve"> </w:t>
      </w:r>
      <w:r>
        <w:t xml:space="preserve">A. </w:t>
      </w:r>
      <w:proofErr w:type="spellStart"/>
      <w:r>
        <w:t>Tsaliki</w:t>
      </w:r>
      <w:proofErr w:type="spellEnd"/>
      <w:r>
        <w:t xml:space="preserve">. 2008: </w:t>
      </w:r>
      <w:r>
        <w:t>4</w:t>
      </w:r>
    </w:p>
  </w:footnote>
  <w:footnote w:id="9">
    <w:p w14:paraId="79A63251" w14:textId="31F435CF" w:rsidR="00DE2321" w:rsidRDefault="00DE2321">
      <w:pPr>
        <w:pStyle w:val="FootnoteText"/>
      </w:pPr>
      <w:r>
        <w:rPr>
          <w:rStyle w:val="FootnoteReference"/>
        </w:rPr>
        <w:footnoteRef/>
      </w:r>
      <w:r>
        <w:t xml:space="preserve"> Soph. </w:t>
      </w:r>
      <w:r w:rsidRPr="00DE2321">
        <w:rPr>
          <w:i/>
        </w:rPr>
        <w:t>Ant</w:t>
      </w:r>
      <w:r>
        <w:t>.</w:t>
      </w:r>
    </w:p>
  </w:footnote>
  <w:footnote w:id="10">
    <w:p w14:paraId="74FA752B" w14:textId="70F36595" w:rsidR="00C72172" w:rsidRDefault="00C72172">
      <w:pPr>
        <w:pStyle w:val="FootnoteText"/>
      </w:pPr>
      <w:r>
        <w:rPr>
          <w:rStyle w:val="FootnoteReference"/>
        </w:rPr>
        <w:footnoteRef/>
      </w:r>
      <w:r>
        <w:t xml:space="preserve"> A. </w:t>
      </w:r>
      <w:proofErr w:type="spellStart"/>
      <w:r>
        <w:t>Tsaliki</w:t>
      </w:r>
      <w:proofErr w:type="spellEnd"/>
      <w:r>
        <w:t>. 2008: 11</w:t>
      </w:r>
    </w:p>
  </w:footnote>
  <w:footnote w:id="11">
    <w:p w14:paraId="3FE0991E" w14:textId="75545144" w:rsidR="003E5A4D" w:rsidRDefault="003E5A4D">
      <w:pPr>
        <w:pStyle w:val="FootnoteText"/>
      </w:pPr>
      <w:r>
        <w:rPr>
          <w:rStyle w:val="FootnoteReference"/>
        </w:rPr>
        <w:footnoteRef/>
      </w:r>
      <w:r>
        <w:t xml:space="preserve"> A. </w:t>
      </w:r>
      <w:proofErr w:type="spellStart"/>
      <w:r>
        <w:t>Tsaliki</w:t>
      </w:r>
      <w:proofErr w:type="spellEnd"/>
      <w:r>
        <w:t>. 2008: 3</w:t>
      </w:r>
    </w:p>
  </w:footnote>
  <w:footnote w:id="12">
    <w:p w14:paraId="18D16B39" w14:textId="40048463" w:rsidR="00B15270" w:rsidRDefault="00B15270">
      <w:pPr>
        <w:pStyle w:val="FootnoteText"/>
      </w:pPr>
      <w:r>
        <w:rPr>
          <w:rStyle w:val="FootnoteReference"/>
        </w:rPr>
        <w:footnoteRef/>
      </w:r>
      <w:r>
        <w:t xml:space="preserve"> A. </w:t>
      </w:r>
      <w:proofErr w:type="spellStart"/>
      <w:r>
        <w:t>Tsaliki</w:t>
      </w:r>
      <w:proofErr w:type="spellEnd"/>
      <w:r>
        <w:t>. 2008: 6</w:t>
      </w:r>
    </w:p>
  </w:footnote>
  <w:footnote w:id="13">
    <w:p w14:paraId="18D1B4F6" w14:textId="63630484" w:rsidR="001F61F5" w:rsidRDefault="001F61F5">
      <w:pPr>
        <w:pStyle w:val="FootnoteText"/>
      </w:pPr>
      <w:r>
        <w:rPr>
          <w:rStyle w:val="FootnoteReference"/>
        </w:rPr>
        <w:footnoteRef/>
      </w:r>
      <w:r>
        <w:t xml:space="preserve"> A. </w:t>
      </w:r>
      <w:proofErr w:type="spellStart"/>
      <w:r>
        <w:t>Tsaliki</w:t>
      </w:r>
      <w:proofErr w:type="spellEnd"/>
      <w:r>
        <w:t>. 2008: 7</w:t>
      </w:r>
    </w:p>
  </w:footnote>
  <w:footnote w:id="14">
    <w:p w14:paraId="6476E273" w14:textId="3801D7C9" w:rsidR="00BD57CD" w:rsidRDefault="00BD57CD">
      <w:pPr>
        <w:pStyle w:val="FootnoteText"/>
      </w:pPr>
      <w:r>
        <w:rPr>
          <w:rStyle w:val="FootnoteReference"/>
        </w:rPr>
        <w:footnoteRef/>
      </w:r>
      <w:r>
        <w:t xml:space="preserve"> F.P. Wilson. 1963: 45</w:t>
      </w:r>
    </w:p>
  </w:footnote>
  <w:footnote w:id="15">
    <w:p w14:paraId="6FE97F9A" w14:textId="77777777" w:rsidR="00E733C7" w:rsidRDefault="00E733C7" w:rsidP="00E733C7">
      <w:pPr>
        <w:pStyle w:val="FootnoteText"/>
      </w:pPr>
      <w:r>
        <w:rPr>
          <w:rStyle w:val="FootnoteReference"/>
        </w:rPr>
        <w:footnoteRef/>
      </w:r>
      <w:r>
        <w:t xml:space="preserve"> A. </w:t>
      </w:r>
      <w:proofErr w:type="spellStart"/>
      <w:r>
        <w:t>Tsaliki</w:t>
      </w:r>
      <w:proofErr w:type="spellEnd"/>
      <w:r>
        <w:t>. 2008: 3</w:t>
      </w:r>
    </w:p>
  </w:footnote>
  <w:footnote w:id="16">
    <w:p w14:paraId="6643F484" w14:textId="012E2943" w:rsidR="005B09CB" w:rsidRDefault="005B09CB">
      <w:pPr>
        <w:pStyle w:val="FootnoteText"/>
      </w:pPr>
      <w:r>
        <w:rPr>
          <w:rStyle w:val="FootnoteReference"/>
        </w:rPr>
        <w:footnoteRef/>
      </w:r>
      <w:r>
        <w:t xml:space="preserve"> </w:t>
      </w:r>
      <w:r w:rsidR="00F97439">
        <w:t xml:space="preserve">A. </w:t>
      </w:r>
      <w:proofErr w:type="spellStart"/>
      <w:r w:rsidR="00F97439">
        <w:t>Buko</w:t>
      </w:r>
      <w:proofErr w:type="spellEnd"/>
      <w:r w:rsidR="00F97439">
        <w:t>. 2008: 327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0B2F"/>
    <w:rsid w:val="00032D8F"/>
    <w:rsid w:val="000E514C"/>
    <w:rsid w:val="000F5DE7"/>
    <w:rsid w:val="00133E5A"/>
    <w:rsid w:val="00160A26"/>
    <w:rsid w:val="001F61F5"/>
    <w:rsid w:val="00202256"/>
    <w:rsid w:val="0022604B"/>
    <w:rsid w:val="00267293"/>
    <w:rsid w:val="003266D7"/>
    <w:rsid w:val="0034304A"/>
    <w:rsid w:val="003C33DF"/>
    <w:rsid w:val="003D0041"/>
    <w:rsid w:val="003E04FD"/>
    <w:rsid w:val="003E5A4D"/>
    <w:rsid w:val="00434E66"/>
    <w:rsid w:val="004405DE"/>
    <w:rsid w:val="00467B61"/>
    <w:rsid w:val="004E5629"/>
    <w:rsid w:val="00574F36"/>
    <w:rsid w:val="005B09CB"/>
    <w:rsid w:val="005E4B76"/>
    <w:rsid w:val="006048C6"/>
    <w:rsid w:val="00605626"/>
    <w:rsid w:val="006153E9"/>
    <w:rsid w:val="006212E7"/>
    <w:rsid w:val="00633BF5"/>
    <w:rsid w:val="00641781"/>
    <w:rsid w:val="00670FC9"/>
    <w:rsid w:val="007748AA"/>
    <w:rsid w:val="007D5D14"/>
    <w:rsid w:val="00900B2F"/>
    <w:rsid w:val="00950667"/>
    <w:rsid w:val="00A04DC8"/>
    <w:rsid w:val="00A104B6"/>
    <w:rsid w:val="00A31287"/>
    <w:rsid w:val="00A50687"/>
    <w:rsid w:val="00A5286C"/>
    <w:rsid w:val="00A52EE1"/>
    <w:rsid w:val="00A8212F"/>
    <w:rsid w:val="00A96040"/>
    <w:rsid w:val="00AA2AFF"/>
    <w:rsid w:val="00B15270"/>
    <w:rsid w:val="00BD57CD"/>
    <w:rsid w:val="00BE639B"/>
    <w:rsid w:val="00C72172"/>
    <w:rsid w:val="00D4654C"/>
    <w:rsid w:val="00D67682"/>
    <w:rsid w:val="00D8509D"/>
    <w:rsid w:val="00DE2321"/>
    <w:rsid w:val="00E463E0"/>
    <w:rsid w:val="00E733C7"/>
    <w:rsid w:val="00ED49A0"/>
    <w:rsid w:val="00F72CDC"/>
    <w:rsid w:val="00F93C41"/>
    <w:rsid w:val="00F97439"/>
    <w:rsid w:val="00FC4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23220D"/>
  <w15:chartTrackingRefBased/>
  <w15:docId w15:val="{4B5FDD10-419F-43D6-B278-DC7BD6E88F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4654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4654C"/>
    <w:rPr>
      <w:sz w:val="20"/>
      <w:szCs w:val="20"/>
    </w:rPr>
  </w:style>
  <w:style w:type="character" w:styleId="FootnoteReference">
    <w:name w:val="footnote reference"/>
    <w:basedOn w:val="DefaultParagraphFont"/>
    <w:uiPriority w:val="99"/>
    <w:semiHidden/>
    <w:unhideWhenUsed/>
    <w:rsid w:val="00D4654C"/>
    <w:rPr>
      <w:vertAlign w:val="superscript"/>
    </w:rPr>
  </w:style>
  <w:style w:type="character" w:styleId="Hyperlink">
    <w:name w:val="Hyperlink"/>
    <w:basedOn w:val="DefaultParagraphFont"/>
    <w:uiPriority w:val="99"/>
    <w:unhideWhenUsed/>
    <w:rsid w:val="00D4654C"/>
    <w:rPr>
      <w:color w:val="0563C1" w:themeColor="hyperlink"/>
      <w:u w:val="single"/>
    </w:rPr>
  </w:style>
  <w:style w:type="character" w:styleId="UnresolvedMention">
    <w:name w:val="Unresolved Mention"/>
    <w:basedOn w:val="DefaultParagraphFont"/>
    <w:uiPriority w:val="99"/>
    <w:semiHidden/>
    <w:unhideWhenUsed/>
    <w:rsid w:val="00D4654C"/>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1605020">
      <w:bodyDiv w:val="1"/>
      <w:marLeft w:val="0"/>
      <w:marRight w:val="0"/>
      <w:marTop w:val="0"/>
      <w:marBottom w:val="0"/>
      <w:divBdr>
        <w:top w:val="none" w:sz="0" w:space="0" w:color="auto"/>
        <w:left w:val="none" w:sz="0" w:space="0" w:color="auto"/>
        <w:bottom w:val="none" w:sz="0" w:space="0" w:color="auto"/>
        <w:right w:val="none" w:sz="0" w:space="0" w:color="auto"/>
      </w:divBdr>
    </w:div>
    <w:div w:id="16238062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en.oxforddictionaries.com/definition/revenant"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en.oxforddictionaries.com/definition/revena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2F0E80-5D2E-4E2C-9765-4A1737161D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407</TotalTime>
  <Pages>5</Pages>
  <Words>2001</Words>
  <Characters>11406</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Martha Warren</dc:creator>
  <cp:keywords/>
  <dc:description/>
  <cp:lastModifiedBy>Martha Warren</cp:lastModifiedBy>
  <cp:revision>30</cp:revision>
  <dcterms:created xsi:type="dcterms:W3CDTF">2018-01-19T08:58:00Z</dcterms:created>
  <dcterms:modified xsi:type="dcterms:W3CDTF">2018-01-19T16:41:00Z</dcterms:modified>
</cp:coreProperties>
</file>