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E11AF6" w14:textId="77777777" w:rsidR="00455E77" w:rsidRPr="00455E77" w:rsidRDefault="00455E77" w:rsidP="00455E77">
      <w:pPr>
        <w:spacing w:after="0" w:line="240" w:lineRule="auto"/>
        <w:rPr>
          <w:rFonts w:ascii="Arial" w:eastAsia="Calibri" w:hAnsi="Arial" w:cs="Arial"/>
          <w:sz w:val="36"/>
          <w:szCs w:val="36"/>
          <w:lang w:val="en-US" w:eastAsia="en-US"/>
        </w:rPr>
      </w:pPr>
      <w:r w:rsidRPr="00455E77">
        <w:rPr>
          <w:rFonts w:ascii="Arial" w:eastAsia="Calibri" w:hAnsi="Arial" w:cs="Arial"/>
          <w:sz w:val="36"/>
          <w:szCs w:val="36"/>
          <w:lang w:val="en-US" w:eastAsia="en-US"/>
        </w:rPr>
        <w:t>Qualification: CIPD Diploma in Applied Human Resources</w:t>
      </w:r>
    </w:p>
    <w:p w14:paraId="19D423BD" w14:textId="77777777" w:rsidR="00455E77" w:rsidRPr="00455E77" w:rsidRDefault="00455E77" w:rsidP="00455E77">
      <w:pPr>
        <w:spacing w:after="0" w:line="240" w:lineRule="auto"/>
        <w:rPr>
          <w:rFonts w:ascii="Arial" w:eastAsia="Calibri" w:hAnsi="Arial" w:cs="Arial"/>
          <w:sz w:val="36"/>
          <w:szCs w:val="36"/>
          <w:lang w:val="en-US" w:eastAsia="en-US"/>
        </w:rPr>
      </w:pPr>
    </w:p>
    <w:p w14:paraId="7A6BD15D" w14:textId="7DA2C43C" w:rsidR="00455E77" w:rsidRPr="00455E77" w:rsidRDefault="00455E77" w:rsidP="00455E77">
      <w:pPr>
        <w:spacing w:after="0" w:line="240" w:lineRule="auto"/>
        <w:rPr>
          <w:rFonts w:ascii="Arial" w:eastAsia="Calibri" w:hAnsi="Arial" w:cs="Arial"/>
          <w:sz w:val="36"/>
          <w:szCs w:val="36"/>
          <w:lang w:val="en-US" w:eastAsia="en-US"/>
        </w:rPr>
      </w:pPr>
      <w:r w:rsidRPr="00455E77">
        <w:rPr>
          <w:rFonts w:ascii="Arial" w:eastAsia="Calibri" w:hAnsi="Arial" w:cs="Arial"/>
          <w:sz w:val="36"/>
          <w:szCs w:val="36"/>
          <w:lang w:val="en-US" w:eastAsia="en-US"/>
        </w:rPr>
        <w:t xml:space="preserve">Module Name: </w:t>
      </w:r>
      <w:bookmarkStart w:id="0" w:name="_Hlk41823366"/>
      <w:r w:rsidR="00985D33">
        <w:rPr>
          <w:rFonts w:ascii="Arial" w:eastAsia="Calibri" w:hAnsi="Arial" w:cs="Arial"/>
          <w:sz w:val="36"/>
          <w:szCs w:val="36"/>
          <w:lang w:val="en-US" w:eastAsia="en-US"/>
        </w:rPr>
        <w:t>Understanding Employee Engagement</w:t>
      </w:r>
    </w:p>
    <w:p w14:paraId="154BD679" w14:textId="77777777" w:rsidR="00455E77" w:rsidRPr="00455E77" w:rsidRDefault="00455E77" w:rsidP="00455E77">
      <w:pPr>
        <w:spacing w:after="0" w:line="240" w:lineRule="auto"/>
        <w:rPr>
          <w:rFonts w:ascii="Arial" w:eastAsia="Calibri" w:hAnsi="Arial" w:cs="Arial"/>
          <w:sz w:val="36"/>
          <w:szCs w:val="36"/>
          <w:lang w:val="en-US" w:eastAsia="en-US"/>
        </w:rPr>
      </w:pPr>
    </w:p>
    <w:p w14:paraId="196F92D6" w14:textId="77777777" w:rsidR="00455E77" w:rsidRPr="00455E77" w:rsidRDefault="00455E77" w:rsidP="00455E77">
      <w:pPr>
        <w:spacing w:after="0" w:line="240" w:lineRule="auto"/>
        <w:rPr>
          <w:rFonts w:ascii="Arial" w:eastAsia="Calibri" w:hAnsi="Arial" w:cs="Arial"/>
          <w:sz w:val="36"/>
          <w:szCs w:val="36"/>
          <w:lang w:val="en-US" w:eastAsia="en-US"/>
        </w:rPr>
      </w:pPr>
    </w:p>
    <w:p w14:paraId="6860DC07" w14:textId="77777777" w:rsidR="00455E77" w:rsidRPr="00455E77" w:rsidRDefault="00455E77" w:rsidP="00455E77">
      <w:pPr>
        <w:spacing w:after="0" w:line="240" w:lineRule="auto"/>
        <w:rPr>
          <w:rFonts w:ascii="Arial" w:eastAsia="Calibri" w:hAnsi="Arial" w:cs="Arial"/>
          <w:sz w:val="32"/>
          <w:szCs w:val="32"/>
          <w:lang w:val="en-US" w:eastAsia="en-US"/>
        </w:rPr>
      </w:pPr>
    </w:p>
    <w:bookmarkEnd w:id="0"/>
    <w:p w14:paraId="66E5F2E6" w14:textId="77777777" w:rsidR="00455E77" w:rsidRPr="00455E77" w:rsidRDefault="00455E77" w:rsidP="00455E77">
      <w:pPr>
        <w:spacing w:after="0" w:line="240" w:lineRule="auto"/>
        <w:rPr>
          <w:rFonts w:ascii="Arial" w:eastAsia="Calibri" w:hAnsi="Arial" w:cs="Arial"/>
          <w:sz w:val="36"/>
          <w:szCs w:val="36"/>
          <w:lang w:val="en-US" w:eastAsia="en-US"/>
        </w:rPr>
      </w:pPr>
    </w:p>
    <w:p w14:paraId="7B2CDF83" w14:textId="0E3821EF" w:rsidR="00455E77" w:rsidRPr="00455E77" w:rsidRDefault="00455E77" w:rsidP="00455E77">
      <w:pPr>
        <w:spacing w:after="0" w:line="240" w:lineRule="auto"/>
        <w:rPr>
          <w:rFonts w:ascii="Arial" w:eastAsia="Calibri" w:hAnsi="Arial" w:cs="Arial"/>
          <w:sz w:val="36"/>
          <w:szCs w:val="36"/>
          <w:lang w:val="en-US" w:eastAsia="en-US"/>
        </w:rPr>
      </w:pPr>
      <w:r w:rsidRPr="00455E77">
        <w:rPr>
          <w:rFonts w:ascii="Arial" w:eastAsia="Calibri" w:hAnsi="Arial" w:cs="Arial"/>
          <w:sz w:val="36"/>
          <w:szCs w:val="36"/>
          <w:lang w:val="en-US" w:eastAsia="en-US"/>
        </w:rPr>
        <w:t xml:space="preserve">Word Count: </w:t>
      </w:r>
      <w:r>
        <w:rPr>
          <w:rFonts w:ascii="Arial" w:eastAsia="Calibri" w:hAnsi="Arial" w:cs="Arial"/>
          <w:sz w:val="36"/>
          <w:szCs w:val="36"/>
          <w:lang w:val="en-US" w:eastAsia="en-US"/>
        </w:rPr>
        <w:t>3198</w:t>
      </w:r>
    </w:p>
    <w:p w14:paraId="03879CDB" w14:textId="77777777" w:rsidR="00455E77" w:rsidRPr="00455E77" w:rsidRDefault="00455E77" w:rsidP="00455E77">
      <w:pPr>
        <w:spacing w:after="0" w:line="240" w:lineRule="auto"/>
        <w:rPr>
          <w:rFonts w:ascii="Arial" w:eastAsia="Calibri" w:hAnsi="Arial" w:cs="Arial"/>
          <w:sz w:val="36"/>
          <w:szCs w:val="36"/>
          <w:lang w:val="en-US" w:eastAsia="en-US"/>
        </w:rPr>
      </w:pPr>
      <w:r w:rsidRPr="00455E77">
        <w:rPr>
          <w:rFonts w:ascii="Arial" w:eastAsia="Calibri" w:hAnsi="Arial" w:cs="Arial"/>
          <w:sz w:val="36"/>
          <w:szCs w:val="36"/>
          <w:lang w:val="en-US" w:eastAsia="en-US"/>
        </w:rPr>
        <w:tab/>
      </w:r>
      <w:r w:rsidRPr="00455E77">
        <w:rPr>
          <w:rFonts w:ascii="Arial" w:eastAsia="Calibri" w:hAnsi="Arial" w:cs="Arial"/>
          <w:sz w:val="36"/>
          <w:szCs w:val="36"/>
          <w:lang w:val="en-US" w:eastAsia="en-US"/>
        </w:rPr>
        <w:tab/>
      </w:r>
      <w:r w:rsidRPr="00455E77">
        <w:rPr>
          <w:rFonts w:ascii="Arial" w:eastAsia="Calibri" w:hAnsi="Arial" w:cs="Arial"/>
          <w:sz w:val="36"/>
          <w:szCs w:val="36"/>
          <w:lang w:val="en-US" w:eastAsia="en-US"/>
        </w:rPr>
        <w:tab/>
      </w:r>
    </w:p>
    <w:p w14:paraId="04991F35" w14:textId="77777777" w:rsidR="00455E77" w:rsidRPr="00455E77" w:rsidRDefault="00455E77" w:rsidP="00455E77">
      <w:pPr>
        <w:spacing w:after="0" w:line="240" w:lineRule="auto"/>
        <w:rPr>
          <w:rFonts w:ascii="Arial" w:eastAsia="Calibri" w:hAnsi="Arial" w:cs="Arial"/>
          <w:sz w:val="36"/>
          <w:szCs w:val="36"/>
          <w:lang w:val="en-US" w:eastAsia="en-US"/>
        </w:rPr>
      </w:pPr>
    </w:p>
    <w:p w14:paraId="014ED6BA" w14:textId="77777777" w:rsidR="00455E77" w:rsidRPr="00455E77" w:rsidRDefault="00455E77" w:rsidP="00455E77">
      <w:pPr>
        <w:spacing w:after="0" w:line="240" w:lineRule="auto"/>
        <w:rPr>
          <w:rFonts w:ascii="Arial" w:eastAsia="Calibri" w:hAnsi="Arial" w:cs="Arial"/>
          <w:sz w:val="36"/>
          <w:szCs w:val="36"/>
          <w:lang w:val="en-US" w:eastAsia="en-US"/>
        </w:rPr>
      </w:pPr>
    </w:p>
    <w:p w14:paraId="48903FF6" w14:textId="77777777" w:rsidR="00455E77" w:rsidRPr="00455E77" w:rsidRDefault="00455E77" w:rsidP="00455E77">
      <w:pPr>
        <w:spacing w:after="0" w:line="240" w:lineRule="auto"/>
        <w:rPr>
          <w:rFonts w:ascii="Arial" w:eastAsia="Calibri" w:hAnsi="Arial" w:cs="Arial"/>
          <w:sz w:val="36"/>
          <w:szCs w:val="36"/>
          <w:lang w:val="en-US" w:eastAsia="en-US"/>
        </w:rPr>
      </w:pPr>
      <w:r w:rsidRPr="00455E77">
        <w:rPr>
          <w:rFonts w:ascii="Arial" w:eastAsia="Calibri" w:hAnsi="Arial" w:cs="Arial"/>
          <w:sz w:val="36"/>
          <w:szCs w:val="36"/>
          <w:lang w:val="en-US" w:eastAsia="en-US"/>
        </w:rPr>
        <w:tab/>
      </w:r>
      <w:r w:rsidRPr="00455E77">
        <w:rPr>
          <w:rFonts w:ascii="Arial" w:eastAsia="Calibri" w:hAnsi="Arial" w:cs="Arial"/>
          <w:sz w:val="36"/>
          <w:szCs w:val="36"/>
          <w:lang w:val="en-US" w:eastAsia="en-US"/>
        </w:rPr>
        <w:tab/>
      </w:r>
      <w:r w:rsidRPr="00455E77">
        <w:rPr>
          <w:rFonts w:ascii="Arial" w:eastAsia="Calibri" w:hAnsi="Arial" w:cs="Arial"/>
          <w:sz w:val="36"/>
          <w:szCs w:val="36"/>
          <w:lang w:val="en-US" w:eastAsia="en-US"/>
        </w:rPr>
        <w:tab/>
      </w:r>
    </w:p>
    <w:p w14:paraId="60F2A884" w14:textId="77777777" w:rsidR="00455E77" w:rsidRPr="00455E77" w:rsidRDefault="00455E77" w:rsidP="00455E77">
      <w:pPr>
        <w:spacing w:after="0" w:line="240" w:lineRule="auto"/>
        <w:rPr>
          <w:rFonts w:ascii="Arial" w:eastAsia="Calibri" w:hAnsi="Arial" w:cs="Arial"/>
          <w:sz w:val="36"/>
          <w:szCs w:val="36"/>
          <w:lang w:val="en-US" w:eastAsia="en-US"/>
        </w:rPr>
      </w:pPr>
    </w:p>
    <w:p w14:paraId="5837C7B0" w14:textId="77777777" w:rsidR="00455E77" w:rsidRPr="00455E77" w:rsidRDefault="00455E77" w:rsidP="00455E77">
      <w:pPr>
        <w:spacing w:after="0" w:line="240" w:lineRule="auto"/>
        <w:rPr>
          <w:rFonts w:ascii="Arial" w:eastAsia="Calibri" w:hAnsi="Arial" w:cs="Arial"/>
          <w:sz w:val="36"/>
          <w:szCs w:val="36"/>
          <w:lang w:val="en-US" w:eastAsia="en-US"/>
        </w:rPr>
      </w:pPr>
    </w:p>
    <w:p w14:paraId="6EF48ED0" w14:textId="77777777" w:rsidR="00455E77" w:rsidRPr="00455E77" w:rsidRDefault="00455E77" w:rsidP="00455E77">
      <w:pPr>
        <w:spacing w:after="0" w:line="240" w:lineRule="auto"/>
        <w:rPr>
          <w:rFonts w:ascii="Arial" w:eastAsia="Calibri" w:hAnsi="Arial" w:cs="Arial"/>
          <w:sz w:val="36"/>
          <w:szCs w:val="36"/>
          <w:lang w:val="en-US" w:eastAsia="en-US"/>
        </w:rPr>
      </w:pPr>
    </w:p>
    <w:p w14:paraId="3717C6A3" w14:textId="77777777" w:rsidR="00455E77" w:rsidRPr="00455E77" w:rsidRDefault="00455E77" w:rsidP="00455E77">
      <w:pPr>
        <w:spacing w:after="0" w:line="240" w:lineRule="auto"/>
        <w:rPr>
          <w:rFonts w:ascii="Arial" w:eastAsia="Calibri" w:hAnsi="Arial" w:cs="Arial"/>
          <w:sz w:val="36"/>
          <w:szCs w:val="36"/>
          <w:lang w:val="en-US" w:eastAsia="en-US"/>
        </w:rPr>
      </w:pPr>
      <w:r w:rsidRPr="00455E77">
        <w:rPr>
          <w:rFonts w:ascii="Arial" w:eastAsia="Calibri" w:hAnsi="Arial" w:cs="Arial"/>
          <w:sz w:val="36"/>
          <w:szCs w:val="36"/>
          <w:lang w:val="en-US" w:eastAsia="en-US"/>
        </w:rPr>
        <w:t>Student Name: Nicola Westcott</w:t>
      </w:r>
    </w:p>
    <w:p w14:paraId="262C2578" w14:textId="77777777" w:rsidR="00455E77" w:rsidRPr="00455E77" w:rsidRDefault="00455E77" w:rsidP="00455E77">
      <w:pPr>
        <w:spacing w:after="0" w:line="240" w:lineRule="auto"/>
        <w:rPr>
          <w:rFonts w:ascii="Arial" w:eastAsia="Calibri" w:hAnsi="Arial" w:cs="Arial"/>
          <w:sz w:val="36"/>
          <w:szCs w:val="36"/>
          <w:lang w:val="en-US" w:eastAsia="en-US"/>
        </w:rPr>
      </w:pPr>
      <w:r w:rsidRPr="00455E77">
        <w:rPr>
          <w:rFonts w:ascii="Arial" w:eastAsia="Calibri" w:hAnsi="Arial" w:cs="Arial"/>
          <w:sz w:val="36"/>
          <w:szCs w:val="36"/>
          <w:lang w:val="en-US" w:eastAsia="en-US"/>
        </w:rPr>
        <w:t>Student Number: 1909408</w:t>
      </w:r>
    </w:p>
    <w:p w14:paraId="06A646A9" w14:textId="77777777" w:rsidR="00455E77" w:rsidRPr="00455E77" w:rsidRDefault="00455E77" w:rsidP="00455E77">
      <w:pPr>
        <w:spacing w:after="0" w:line="240" w:lineRule="auto"/>
        <w:rPr>
          <w:rFonts w:ascii="Arial" w:eastAsia="Calibri" w:hAnsi="Arial" w:cs="Arial"/>
          <w:sz w:val="36"/>
          <w:szCs w:val="36"/>
          <w:lang w:val="en-US" w:eastAsia="en-US"/>
        </w:rPr>
      </w:pPr>
      <w:r w:rsidRPr="00455E77">
        <w:rPr>
          <w:rFonts w:ascii="Arial" w:eastAsia="Calibri" w:hAnsi="Arial" w:cs="Arial"/>
          <w:sz w:val="36"/>
          <w:szCs w:val="36"/>
          <w:lang w:val="en-US" w:eastAsia="en-US"/>
        </w:rPr>
        <w:t>CIPD Membership Number: 55478551</w:t>
      </w:r>
    </w:p>
    <w:p w14:paraId="33F1819C" w14:textId="77777777" w:rsidR="00455E77" w:rsidRPr="00455E77" w:rsidRDefault="00455E77" w:rsidP="00455E77">
      <w:pPr>
        <w:spacing w:after="0" w:line="240" w:lineRule="auto"/>
        <w:rPr>
          <w:rFonts w:ascii="Arial" w:eastAsia="Calibri" w:hAnsi="Arial" w:cs="Arial"/>
          <w:sz w:val="36"/>
          <w:szCs w:val="36"/>
          <w:lang w:val="en-US" w:eastAsia="en-US"/>
        </w:rPr>
      </w:pPr>
    </w:p>
    <w:p w14:paraId="53060AB3" w14:textId="77777777" w:rsidR="00455E77" w:rsidRPr="00455E77" w:rsidRDefault="00455E77" w:rsidP="00455E77">
      <w:pPr>
        <w:spacing w:after="0" w:line="240" w:lineRule="auto"/>
        <w:rPr>
          <w:rFonts w:ascii="Arial" w:eastAsia="Calibri" w:hAnsi="Arial" w:cs="Arial"/>
          <w:sz w:val="36"/>
          <w:szCs w:val="36"/>
          <w:lang w:val="en-US" w:eastAsia="en-US"/>
        </w:rPr>
      </w:pPr>
    </w:p>
    <w:p w14:paraId="29D54461" w14:textId="77777777" w:rsidR="00455E77" w:rsidRPr="00455E77" w:rsidRDefault="00455E77" w:rsidP="00455E77">
      <w:pPr>
        <w:spacing w:after="0" w:line="240" w:lineRule="auto"/>
        <w:rPr>
          <w:rFonts w:ascii="Arial" w:eastAsia="Calibri" w:hAnsi="Arial" w:cs="Arial"/>
          <w:sz w:val="36"/>
          <w:szCs w:val="36"/>
          <w:lang w:val="en-US" w:eastAsia="en-US"/>
        </w:rPr>
      </w:pPr>
      <w:r w:rsidRPr="00455E77">
        <w:rPr>
          <w:rFonts w:ascii="Arial" w:eastAsia="Calibri" w:hAnsi="Arial" w:cs="Arial"/>
          <w:sz w:val="36"/>
          <w:szCs w:val="36"/>
          <w:lang w:val="en-US" w:eastAsia="en-US"/>
        </w:rPr>
        <w:t>By signing below, I confirm that the work/evidence presented is my own, unaided work. I understand the regulations pertaining to candidate malpractice and the action that may be taken as a result.</w:t>
      </w:r>
    </w:p>
    <w:p w14:paraId="75ACFE6C" w14:textId="77777777" w:rsidR="00455E77" w:rsidRPr="00455E77" w:rsidRDefault="00455E77" w:rsidP="00455E77">
      <w:pPr>
        <w:spacing w:after="0" w:line="240" w:lineRule="auto"/>
        <w:rPr>
          <w:rFonts w:ascii="Arial" w:eastAsia="Calibri" w:hAnsi="Arial" w:cs="Arial"/>
          <w:sz w:val="36"/>
          <w:szCs w:val="36"/>
          <w:lang w:val="en-US" w:eastAsia="en-US"/>
        </w:rPr>
      </w:pPr>
    </w:p>
    <w:p w14:paraId="08A9767D" w14:textId="77777777" w:rsidR="00455E77" w:rsidRPr="00455E77" w:rsidRDefault="00455E77" w:rsidP="00455E77">
      <w:pPr>
        <w:spacing w:after="0" w:line="240" w:lineRule="auto"/>
        <w:rPr>
          <w:rFonts w:ascii="Arial" w:eastAsia="Calibri" w:hAnsi="Arial" w:cs="Arial"/>
          <w:sz w:val="36"/>
          <w:szCs w:val="36"/>
          <w:lang w:val="en-US" w:eastAsia="en-US"/>
        </w:rPr>
      </w:pPr>
      <w:r w:rsidRPr="00455E77">
        <w:rPr>
          <w:rFonts w:ascii="Arial" w:eastAsia="Calibri" w:hAnsi="Arial" w:cs="Arial"/>
          <w:sz w:val="36"/>
          <w:szCs w:val="36"/>
          <w:lang w:val="en-US" w:eastAsia="en-US"/>
        </w:rPr>
        <w:t>Signed: N Westcott</w:t>
      </w:r>
    </w:p>
    <w:p w14:paraId="6833599F" w14:textId="460EDA3A" w:rsidR="00455E77" w:rsidRPr="00455E77" w:rsidRDefault="00455E77" w:rsidP="00455E77">
      <w:pPr>
        <w:spacing w:after="0" w:line="240" w:lineRule="auto"/>
        <w:rPr>
          <w:rFonts w:ascii="Arial" w:eastAsia="Calibri" w:hAnsi="Arial" w:cs="Arial"/>
          <w:sz w:val="36"/>
          <w:szCs w:val="36"/>
          <w:lang w:val="en-US" w:eastAsia="en-US"/>
        </w:rPr>
      </w:pPr>
      <w:r w:rsidRPr="00455E77">
        <w:rPr>
          <w:rFonts w:ascii="Arial" w:eastAsia="Calibri" w:hAnsi="Arial" w:cs="Arial"/>
          <w:sz w:val="36"/>
          <w:szCs w:val="36"/>
          <w:lang w:val="en-US" w:eastAsia="en-US"/>
        </w:rPr>
        <w:t xml:space="preserve">Date: </w:t>
      </w:r>
      <w:r>
        <w:rPr>
          <w:rFonts w:ascii="Arial" w:eastAsia="Calibri" w:hAnsi="Arial" w:cs="Arial"/>
          <w:sz w:val="36"/>
          <w:szCs w:val="36"/>
          <w:lang w:val="en-US" w:eastAsia="en-US"/>
        </w:rPr>
        <w:t>16</w:t>
      </w:r>
      <w:r w:rsidRPr="00455E77">
        <w:rPr>
          <w:rFonts w:ascii="Arial" w:eastAsia="Calibri" w:hAnsi="Arial" w:cs="Arial"/>
          <w:sz w:val="36"/>
          <w:szCs w:val="36"/>
          <w:lang w:val="en-US" w:eastAsia="en-US"/>
        </w:rPr>
        <w:t>/</w:t>
      </w:r>
      <w:r>
        <w:rPr>
          <w:rFonts w:ascii="Arial" w:eastAsia="Calibri" w:hAnsi="Arial" w:cs="Arial"/>
          <w:sz w:val="36"/>
          <w:szCs w:val="36"/>
          <w:lang w:val="en-US" w:eastAsia="en-US"/>
        </w:rPr>
        <w:t>10</w:t>
      </w:r>
      <w:r w:rsidRPr="00455E77">
        <w:rPr>
          <w:rFonts w:ascii="Arial" w:eastAsia="Calibri" w:hAnsi="Arial" w:cs="Arial"/>
          <w:sz w:val="36"/>
          <w:szCs w:val="36"/>
          <w:lang w:val="en-US" w:eastAsia="en-US"/>
        </w:rPr>
        <w:t>/2020</w:t>
      </w:r>
    </w:p>
    <w:p w14:paraId="15021C27" w14:textId="77777777" w:rsidR="00455E77" w:rsidRPr="00455E77" w:rsidRDefault="00455E77" w:rsidP="00455E77">
      <w:pPr>
        <w:spacing w:after="160" w:line="259" w:lineRule="auto"/>
        <w:rPr>
          <w:rFonts w:eastAsiaTheme="minorHAnsi"/>
          <w:lang w:eastAsia="en-US"/>
        </w:rPr>
      </w:pPr>
    </w:p>
    <w:p w14:paraId="24EEACE8" w14:textId="77777777" w:rsidR="00455E77" w:rsidRDefault="00455E77" w:rsidP="00E61931">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611261" w14:textId="684F20C3" w:rsidR="00455E77" w:rsidRDefault="00455E77" w:rsidP="00E61931">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A8D97E" w14:textId="77777777" w:rsidR="00985D33" w:rsidRDefault="00985D33" w:rsidP="00E61931">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59DE16" w14:textId="736C14A6" w:rsidR="00E61931" w:rsidRPr="00B811C6" w:rsidRDefault="00E61931" w:rsidP="00E61931">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11C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Employee Engagement</w:t>
      </w:r>
    </w:p>
    <w:p w14:paraId="1B378078" w14:textId="270D8FFF" w:rsidR="00471E70" w:rsidRPr="003F7D44" w:rsidRDefault="003911AE" w:rsidP="00F75097">
      <w:pPr>
        <w:rPr>
          <w:rFonts w:ascii="Arial" w:hAnsi="Arial" w:cs="Arial"/>
          <w:shd w:val="clear" w:color="auto" w:fill="FFFFFF"/>
        </w:rPr>
      </w:pPr>
      <w:r w:rsidRPr="003F7D44">
        <w:rPr>
          <w:rFonts w:ascii="Arial" w:hAnsi="Arial" w:cs="Arial"/>
        </w:rPr>
        <w:t>Over the last decade the concept of employee engagement has become increasingly popular in management thinking, with the view that the employment relationship</w:t>
      </w:r>
      <w:r w:rsidR="00951B41" w:rsidRPr="003F7D44">
        <w:rPr>
          <w:rFonts w:ascii="Arial" w:hAnsi="Arial" w:cs="Arial"/>
        </w:rPr>
        <w:t>s</w:t>
      </w:r>
      <w:r w:rsidRPr="003F7D44">
        <w:rPr>
          <w:rFonts w:ascii="Arial" w:hAnsi="Arial" w:cs="Arial"/>
        </w:rPr>
        <w:t xml:space="preserve"> ha</w:t>
      </w:r>
      <w:r w:rsidR="00951B41" w:rsidRPr="003F7D44">
        <w:rPr>
          <w:rFonts w:ascii="Arial" w:hAnsi="Arial" w:cs="Arial"/>
        </w:rPr>
        <w:t>ve</w:t>
      </w:r>
      <w:r w:rsidRPr="003F7D44">
        <w:rPr>
          <w:rFonts w:ascii="Arial" w:hAnsi="Arial" w:cs="Arial"/>
        </w:rPr>
        <w:t xml:space="preserve"> mutual gains. </w:t>
      </w:r>
      <w:r w:rsidR="007502D1" w:rsidRPr="003F7D44">
        <w:rPr>
          <w:rFonts w:ascii="Arial" w:hAnsi="Arial" w:cs="Arial"/>
        </w:rPr>
        <w:t>‘</w:t>
      </w:r>
      <w:r w:rsidR="007502D1" w:rsidRPr="003F7D44">
        <w:rPr>
          <w:rFonts w:ascii="Arial" w:hAnsi="Arial" w:cs="Arial"/>
          <w:i/>
          <w:iCs/>
          <w:shd w:val="clear" w:color="auto" w:fill="FFFFFF"/>
        </w:rPr>
        <w:t xml:space="preserve">Employees who have good quality jobs and are managed well, will not only be happier, healthier and more fulfilled, but are also more likely to drive productivity, better products or services, and innovation’ </w:t>
      </w:r>
      <w:r w:rsidR="007502D1" w:rsidRPr="003F7D44">
        <w:rPr>
          <w:rFonts w:ascii="Arial" w:hAnsi="Arial" w:cs="Arial"/>
          <w:shd w:val="clear" w:color="auto" w:fill="FFFFFF"/>
        </w:rPr>
        <w:t>(CIPD, 2019).</w:t>
      </w:r>
    </w:p>
    <w:p w14:paraId="07ABC01F" w14:textId="66C04BEE" w:rsidR="00087831" w:rsidRPr="003F7D44" w:rsidRDefault="00061260" w:rsidP="00F75097">
      <w:pPr>
        <w:rPr>
          <w:rFonts w:ascii="Arial" w:hAnsi="Arial" w:cs="Arial"/>
          <w:shd w:val="clear" w:color="auto" w:fill="FFFFFF"/>
        </w:rPr>
      </w:pPr>
      <w:r w:rsidRPr="003F7D44">
        <w:rPr>
          <w:rFonts w:ascii="Arial" w:hAnsi="Arial" w:cs="Arial"/>
          <w:shd w:val="clear" w:color="auto" w:fill="FFFFFF"/>
        </w:rPr>
        <w:t xml:space="preserve">There </w:t>
      </w:r>
      <w:r w:rsidR="001D405A">
        <w:rPr>
          <w:rFonts w:ascii="Arial" w:hAnsi="Arial" w:cs="Arial"/>
          <w:shd w:val="clear" w:color="auto" w:fill="FFFFFF"/>
        </w:rPr>
        <w:t xml:space="preserve">are </w:t>
      </w:r>
      <w:r w:rsidRPr="003F7D44">
        <w:rPr>
          <w:rFonts w:ascii="Arial" w:hAnsi="Arial" w:cs="Arial"/>
          <w:shd w:val="clear" w:color="auto" w:fill="FFFFFF"/>
        </w:rPr>
        <w:t>many definitions of employee engagement, the Macleod review in 2009</w:t>
      </w:r>
      <w:r w:rsidR="00EA2676" w:rsidRPr="003F7D44">
        <w:rPr>
          <w:rFonts w:ascii="Arial" w:hAnsi="Arial" w:cs="Arial"/>
          <w:shd w:val="clear" w:color="auto" w:fill="FFFFFF"/>
        </w:rPr>
        <w:t xml:space="preserve"> </w:t>
      </w:r>
      <w:r w:rsidRPr="003F7D44">
        <w:rPr>
          <w:rFonts w:ascii="Arial" w:hAnsi="Arial" w:cs="Arial"/>
          <w:shd w:val="clear" w:color="auto" w:fill="FFFFFF"/>
        </w:rPr>
        <w:t>found over 50 definitions.</w:t>
      </w:r>
      <w:r w:rsidR="00200600" w:rsidRPr="003F7D44">
        <w:rPr>
          <w:rFonts w:ascii="Arial" w:hAnsi="Arial" w:cs="Arial"/>
          <w:shd w:val="clear" w:color="auto" w:fill="FFFFFF"/>
        </w:rPr>
        <w:t xml:space="preserve"> One of the earliest is from Kahn </w:t>
      </w:r>
      <w:r w:rsidR="00D31931" w:rsidRPr="003F7D44">
        <w:rPr>
          <w:rFonts w:ascii="Arial" w:hAnsi="Arial" w:cs="Arial"/>
          <w:shd w:val="clear" w:color="auto" w:fill="FFFFFF"/>
        </w:rPr>
        <w:t>(</w:t>
      </w:r>
      <w:r w:rsidR="00200600" w:rsidRPr="003F7D44">
        <w:rPr>
          <w:rFonts w:ascii="Arial" w:hAnsi="Arial" w:cs="Arial"/>
          <w:shd w:val="clear" w:color="auto" w:fill="FFFFFF"/>
        </w:rPr>
        <w:t>1990</w:t>
      </w:r>
      <w:r w:rsidR="00D31931" w:rsidRPr="003F7D44">
        <w:rPr>
          <w:rFonts w:ascii="Arial" w:hAnsi="Arial" w:cs="Arial"/>
          <w:shd w:val="clear" w:color="auto" w:fill="FFFFFF"/>
        </w:rPr>
        <w:t>)</w:t>
      </w:r>
      <w:r w:rsidR="00E553F5" w:rsidRPr="003F7D44">
        <w:rPr>
          <w:rFonts w:ascii="Arial" w:hAnsi="Arial" w:cs="Arial"/>
          <w:shd w:val="clear" w:color="auto" w:fill="FFFFFF"/>
        </w:rPr>
        <w:t xml:space="preserve"> who depicts a </w:t>
      </w:r>
      <w:r w:rsidR="00A87AE9" w:rsidRPr="003F7D44">
        <w:rPr>
          <w:rFonts w:ascii="Arial" w:hAnsi="Arial" w:cs="Arial"/>
          <w:shd w:val="clear" w:color="auto" w:fill="FFFFFF"/>
        </w:rPr>
        <w:t>three-dimensional</w:t>
      </w:r>
      <w:r w:rsidR="00E553F5" w:rsidRPr="003F7D44">
        <w:rPr>
          <w:rFonts w:ascii="Arial" w:hAnsi="Arial" w:cs="Arial"/>
          <w:shd w:val="clear" w:color="auto" w:fill="FFFFFF"/>
        </w:rPr>
        <w:t xml:space="preserve"> concept </w:t>
      </w:r>
      <w:r w:rsidR="00200600" w:rsidRPr="003F7D44">
        <w:rPr>
          <w:rFonts w:ascii="Arial" w:hAnsi="Arial" w:cs="Arial"/>
          <w:shd w:val="clear" w:color="auto" w:fill="FFFFFF"/>
        </w:rPr>
        <w:t>‘</w:t>
      </w:r>
      <w:r w:rsidR="00200600" w:rsidRPr="003F7D44">
        <w:rPr>
          <w:rFonts w:ascii="Arial" w:hAnsi="Arial" w:cs="Arial"/>
          <w:i/>
          <w:iCs/>
          <w:shd w:val="clear" w:color="auto" w:fill="FFFFFF"/>
        </w:rPr>
        <w:t>in engagement people employ and express themselves physically, cognitively and emotionally’</w:t>
      </w:r>
      <w:r w:rsidR="00D31931" w:rsidRPr="003F7D44">
        <w:rPr>
          <w:rFonts w:ascii="Arial" w:hAnsi="Arial" w:cs="Arial"/>
          <w:i/>
          <w:iCs/>
          <w:shd w:val="clear" w:color="auto" w:fill="FFFFFF"/>
        </w:rPr>
        <w:t xml:space="preserve"> </w:t>
      </w:r>
      <w:r w:rsidR="00D31931" w:rsidRPr="003F7D44">
        <w:rPr>
          <w:rFonts w:ascii="Arial" w:hAnsi="Arial" w:cs="Arial"/>
          <w:shd w:val="clear" w:color="auto" w:fill="FFFFFF"/>
        </w:rPr>
        <w:t>(Kahn</w:t>
      </w:r>
      <w:r w:rsidR="00CF1EB8" w:rsidRPr="003F7D44">
        <w:rPr>
          <w:rFonts w:ascii="Arial" w:hAnsi="Arial" w:cs="Arial"/>
          <w:shd w:val="clear" w:color="auto" w:fill="FFFFFF"/>
        </w:rPr>
        <w:t xml:space="preserve">, </w:t>
      </w:r>
      <w:r w:rsidR="00D31931" w:rsidRPr="003F7D44">
        <w:rPr>
          <w:rFonts w:ascii="Arial" w:hAnsi="Arial" w:cs="Arial"/>
          <w:shd w:val="clear" w:color="auto" w:fill="FFFFFF"/>
        </w:rPr>
        <w:t>1990</w:t>
      </w:r>
      <w:r w:rsidR="00CF1EB8" w:rsidRPr="003F7D44">
        <w:rPr>
          <w:rFonts w:ascii="Arial" w:hAnsi="Arial" w:cs="Arial"/>
          <w:shd w:val="clear" w:color="auto" w:fill="FFFFFF"/>
        </w:rPr>
        <w:t xml:space="preserve"> </w:t>
      </w:r>
      <w:r w:rsidR="00D31931" w:rsidRPr="003F7D44">
        <w:rPr>
          <w:rFonts w:ascii="Arial" w:hAnsi="Arial" w:cs="Arial"/>
          <w:shd w:val="clear" w:color="auto" w:fill="FFFFFF"/>
        </w:rPr>
        <w:t>p694).</w:t>
      </w:r>
      <w:r w:rsidR="00882ED4" w:rsidRPr="003F7D44">
        <w:rPr>
          <w:rFonts w:ascii="Arial" w:hAnsi="Arial" w:cs="Arial"/>
          <w:shd w:val="clear" w:color="auto" w:fill="FFFFFF"/>
        </w:rPr>
        <w:t xml:space="preserve"> </w:t>
      </w:r>
    </w:p>
    <w:p w14:paraId="14794F59" w14:textId="637517C3" w:rsidR="00087831" w:rsidRPr="003F7D44" w:rsidRDefault="00087831" w:rsidP="00087831">
      <w:pPr>
        <w:pStyle w:val="ListParagraph"/>
        <w:numPr>
          <w:ilvl w:val="0"/>
          <w:numId w:val="5"/>
        </w:numPr>
        <w:rPr>
          <w:rFonts w:ascii="Arial" w:hAnsi="Arial" w:cs="Arial"/>
          <w:shd w:val="clear" w:color="auto" w:fill="FFFFFF"/>
        </w:rPr>
      </w:pPr>
      <w:r w:rsidRPr="003F7D44">
        <w:rPr>
          <w:rFonts w:ascii="Arial" w:hAnsi="Arial" w:cs="Arial"/>
          <w:shd w:val="clear" w:color="auto" w:fill="FFFFFF"/>
        </w:rPr>
        <w:t>Physical – high levels of energy and mental resilience, invested effort in one’s work</w:t>
      </w:r>
    </w:p>
    <w:p w14:paraId="1E1D710E" w14:textId="56F9D429" w:rsidR="00087831" w:rsidRPr="003F7D44" w:rsidRDefault="00087831" w:rsidP="00087831">
      <w:pPr>
        <w:pStyle w:val="ListParagraph"/>
        <w:numPr>
          <w:ilvl w:val="0"/>
          <w:numId w:val="5"/>
        </w:numPr>
        <w:rPr>
          <w:rFonts w:ascii="Arial" w:hAnsi="Arial" w:cs="Arial"/>
          <w:shd w:val="clear" w:color="auto" w:fill="FFFFFF"/>
        </w:rPr>
      </w:pPr>
      <w:r w:rsidRPr="003F7D44">
        <w:rPr>
          <w:rFonts w:ascii="Arial" w:hAnsi="Arial" w:cs="Arial"/>
          <w:shd w:val="clear" w:color="auto" w:fill="FFFFFF"/>
        </w:rPr>
        <w:t>Cognitive – fully engrossed and happy in one’s work, difficulty to detach from work</w:t>
      </w:r>
    </w:p>
    <w:p w14:paraId="78BD33AC" w14:textId="3EC07271" w:rsidR="00087831" w:rsidRPr="003F7D44" w:rsidRDefault="00087831" w:rsidP="00F75097">
      <w:pPr>
        <w:pStyle w:val="ListParagraph"/>
        <w:numPr>
          <w:ilvl w:val="0"/>
          <w:numId w:val="5"/>
        </w:numPr>
        <w:rPr>
          <w:rFonts w:ascii="Arial" w:hAnsi="Arial" w:cs="Arial"/>
          <w:shd w:val="clear" w:color="auto" w:fill="FFFFFF"/>
        </w:rPr>
      </w:pPr>
      <w:r w:rsidRPr="003F7D44">
        <w:rPr>
          <w:rFonts w:ascii="Arial" w:hAnsi="Arial" w:cs="Arial"/>
          <w:shd w:val="clear" w:color="auto" w:fill="FFFFFF"/>
        </w:rPr>
        <w:t>Emotional – strong involvement in one’s work, enthusiasm, pride, inspiration</w:t>
      </w:r>
    </w:p>
    <w:p w14:paraId="2A54F26E" w14:textId="5904CB41" w:rsidR="00F41593" w:rsidRPr="003F7D44" w:rsidRDefault="00F41593" w:rsidP="00F41593">
      <w:pPr>
        <w:rPr>
          <w:rFonts w:ascii="Arial" w:hAnsi="Arial" w:cs="Arial"/>
          <w:shd w:val="clear" w:color="auto" w:fill="FFFFFF"/>
        </w:rPr>
      </w:pPr>
      <w:r w:rsidRPr="003F7D44">
        <w:rPr>
          <w:rFonts w:ascii="Arial" w:hAnsi="Arial" w:cs="Arial"/>
          <w:shd w:val="clear" w:color="auto" w:fill="FFFFFF"/>
        </w:rPr>
        <w:t>Research by CIPD (2012</w:t>
      </w:r>
      <w:r w:rsidR="00393701" w:rsidRPr="003F7D44">
        <w:rPr>
          <w:rFonts w:ascii="Arial" w:hAnsi="Arial" w:cs="Arial"/>
          <w:shd w:val="clear" w:color="auto" w:fill="FFFFFF"/>
        </w:rPr>
        <w:t xml:space="preserve"> p3</w:t>
      </w:r>
      <w:r w:rsidRPr="003F7D44">
        <w:rPr>
          <w:rFonts w:ascii="Arial" w:hAnsi="Arial" w:cs="Arial"/>
          <w:shd w:val="clear" w:color="auto" w:fill="FFFFFF"/>
        </w:rPr>
        <w:t>) suggest employees can engage on different levels:</w:t>
      </w:r>
    </w:p>
    <w:p w14:paraId="6C22FB22" w14:textId="2833FD3D" w:rsidR="00F41593" w:rsidRPr="003F7D44" w:rsidRDefault="00F41593" w:rsidP="008D77BA">
      <w:pPr>
        <w:pStyle w:val="ListParagraph"/>
        <w:numPr>
          <w:ilvl w:val="0"/>
          <w:numId w:val="6"/>
        </w:numPr>
        <w:rPr>
          <w:rFonts w:ascii="Arial" w:hAnsi="Arial" w:cs="Arial"/>
          <w:shd w:val="clear" w:color="auto" w:fill="FFFFFF"/>
        </w:rPr>
      </w:pPr>
      <w:r w:rsidRPr="003F7D44">
        <w:rPr>
          <w:rFonts w:ascii="Arial" w:hAnsi="Arial" w:cs="Arial"/>
          <w:shd w:val="clear" w:color="auto" w:fill="FFFFFF"/>
        </w:rPr>
        <w:t xml:space="preserve">Emotional engagement - </w:t>
      </w:r>
      <w:r w:rsidRPr="003F7D44">
        <w:rPr>
          <w:rFonts w:ascii="Arial" w:hAnsi="Arial" w:cs="Arial"/>
          <w:i/>
          <w:iCs/>
          <w:shd w:val="clear" w:color="auto" w:fill="FFFFFF"/>
        </w:rPr>
        <w:t>‘emotional attachment in one or more aspect of work</w:t>
      </w:r>
      <w:r w:rsidR="008D77BA" w:rsidRPr="003F7D44">
        <w:rPr>
          <w:rFonts w:ascii="Arial" w:hAnsi="Arial" w:cs="Arial"/>
          <w:i/>
          <w:iCs/>
          <w:shd w:val="clear" w:color="auto" w:fill="FFFFFF"/>
        </w:rPr>
        <w:t>’</w:t>
      </w:r>
    </w:p>
    <w:p w14:paraId="192B20C9" w14:textId="60736FBA" w:rsidR="00F41593" w:rsidRPr="003F7D44" w:rsidRDefault="008D77BA" w:rsidP="008D77BA">
      <w:pPr>
        <w:pStyle w:val="ListParagraph"/>
        <w:numPr>
          <w:ilvl w:val="0"/>
          <w:numId w:val="6"/>
        </w:numPr>
        <w:rPr>
          <w:rFonts w:ascii="Arial" w:hAnsi="Arial" w:cs="Arial"/>
          <w:shd w:val="clear" w:color="auto" w:fill="FFFFFF"/>
        </w:rPr>
      </w:pPr>
      <w:r w:rsidRPr="003F7D44">
        <w:rPr>
          <w:rFonts w:ascii="Arial" w:hAnsi="Arial" w:cs="Arial"/>
          <w:shd w:val="clear" w:color="auto" w:fill="FFFFFF"/>
        </w:rPr>
        <w:t>Transactional</w:t>
      </w:r>
      <w:r w:rsidR="00F41593" w:rsidRPr="003F7D44">
        <w:rPr>
          <w:rFonts w:ascii="Arial" w:hAnsi="Arial" w:cs="Arial"/>
          <w:shd w:val="clear" w:color="auto" w:fill="FFFFFF"/>
        </w:rPr>
        <w:t xml:space="preserve"> </w:t>
      </w:r>
      <w:r w:rsidRPr="003F7D44">
        <w:rPr>
          <w:rFonts w:ascii="Arial" w:hAnsi="Arial" w:cs="Arial"/>
          <w:shd w:val="clear" w:color="auto" w:fill="FFFFFF"/>
        </w:rPr>
        <w:t>engagement</w:t>
      </w:r>
      <w:r w:rsidR="00F41593" w:rsidRPr="003F7D44">
        <w:rPr>
          <w:rFonts w:ascii="Arial" w:hAnsi="Arial" w:cs="Arial"/>
          <w:shd w:val="clear" w:color="auto" w:fill="FFFFFF"/>
        </w:rPr>
        <w:t xml:space="preserve"> </w:t>
      </w:r>
      <w:r w:rsidRPr="003F7D44">
        <w:rPr>
          <w:rFonts w:ascii="Arial" w:hAnsi="Arial" w:cs="Arial"/>
          <w:shd w:val="clear" w:color="auto" w:fill="FFFFFF"/>
        </w:rPr>
        <w:t>–</w:t>
      </w:r>
      <w:r w:rsidR="00F41593" w:rsidRPr="003F7D44">
        <w:rPr>
          <w:rFonts w:ascii="Arial" w:hAnsi="Arial" w:cs="Arial"/>
          <w:shd w:val="clear" w:color="auto" w:fill="FFFFFF"/>
        </w:rPr>
        <w:t xml:space="preserve"> </w:t>
      </w:r>
      <w:r w:rsidRPr="003F7D44">
        <w:rPr>
          <w:rFonts w:ascii="Arial" w:hAnsi="Arial" w:cs="Arial"/>
          <w:i/>
          <w:iCs/>
          <w:shd w:val="clear" w:color="auto" w:fill="FFFFFF"/>
        </w:rPr>
        <w:t>‘happy to exhibit engagement behaviour but not committed to the job or organisation and willing to leave if better offer elsewhere’</w:t>
      </w:r>
    </w:p>
    <w:p w14:paraId="156EEFDA" w14:textId="3C7F4C60" w:rsidR="00061260" w:rsidRPr="003F7D44" w:rsidRDefault="00882ED4" w:rsidP="00F75097">
      <w:pPr>
        <w:rPr>
          <w:rFonts w:ascii="Arial" w:hAnsi="Arial" w:cs="Arial"/>
          <w:shd w:val="clear" w:color="auto" w:fill="FFFFFF"/>
        </w:rPr>
      </w:pPr>
      <w:r w:rsidRPr="003F7D44">
        <w:rPr>
          <w:rFonts w:ascii="Arial" w:hAnsi="Arial" w:cs="Arial"/>
          <w:shd w:val="clear" w:color="auto" w:fill="FFFFFF"/>
        </w:rPr>
        <w:t xml:space="preserve">Following interest in </w:t>
      </w:r>
      <w:r w:rsidR="0017063B" w:rsidRPr="003F7D44">
        <w:rPr>
          <w:rFonts w:ascii="Arial" w:hAnsi="Arial" w:cs="Arial"/>
          <w:shd w:val="clear" w:color="auto" w:fill="FFFFFF"/>
        </w:rPr>
        <w:t>engagement</w:t>
      </w:r>
      <w:r w:rsidRPr="003F7D44">
        <w:rPr>
          <w:rFonts w:ascii="Arial" w:hAnsi="Arial" w:cs="Arial"/>
          <w:shd w:val="clear" w:color="auto" w:fill="FFFFFF"/>
        </w:rPr>
        <w:t xml:space="preserve"> from the Macleod Report, the Engage for Success Task Force was established in 2011</w:t>
      </w:r>
      <w:r w:rsidR="00070F73" w:rsidRPr="003F7D44">
        <w:rPr>
          <w:rFonts w:ascii="Arial" w:hAnsi="Arial" w:cs="Arial"/>
          <w:shd w:val="clear" w:color="auto" w:fill="FFFFFF"/>
        </w:rPr>
        <w:t xml:space="preserve">. This dynamic and voluntary movement has a vision </w:t>
      </w:r>
      <w:r w:rsidR="00070F73" w:rsidRPr="003F7D44">
        <w:rPr>
          <w:rFonts w:ascii="Arial" w:hAnsi="Arial" w:cs="Arial"/>
          <w:i/>
          <w:iCs/>
          <w:shd w:val="clear" w:color="auto" w:fill="FFFFFF"/>
        </w:rPr>
        <w:t>‘promoting employee engagement as a better way to work that benefits individual employees, teams and whole organisations’</w:t>
      </w:r>
      <w:r w:rsidR="00070F73" w:rsidRPr="003F7D44">
        <w:rPr>
          <w:rFonts w:ascii="Arial" w:hAnsi="Arial" w:cs="Arial"/>
          <w:shd w:val="clear" w:color="auto" w:fill="FFFFFF"/>
        </w:rPr>
        <w:t xml:space="preserve"> </w:t>
      </w:r>
      <w:r w:rsidR="00496EAB" w:rsidRPr="003F7D44">
        <w:rPr>
          <w:rFonts w:ascii="Arial" w:hAnsi="Arial" w:cs="Arial"/>
          <w:shd w:val="clear" w:color="auto" w:fill="FFFFFF"/>
        </w:rPr>
        <w:t>(Engage for Success, 2020).</w:t>
      </w:r>
    </w:p>
    <w:p w14:paraId="7AA1D231" w14:textId="5178D759" w:rsidR="00AF6A6A" w:rsidRPr="003F7D44" w:rsidRDefault="00AF6A6A" w:rsidP="00F75097">
      <w:pPr>
        <w:rPr>
          <w:rFonts w:ascii="Arial" w:hAnsi="Arial" w:cs="Arial"/>
          <w:shd w:val="clear" w:color="auto" w:fill="FFFFFF"/>
        </w:rPr>
      </w:pPr>
      <w:r w:rsidRPr="003F7D44">
        <w:rPr>
          <w:rFonts w:ascii="Arial" w:hAnsi="Arial" w:cs="Arial"/>
          <w:shd w:val="clear" w:color="auto" w:fill="FFFFFF"/>
        </w:rPr>
        <w:t>A concept of employee engagement is organisational commitment which refers to an employee</w:t>
      </w:r>
      <w:r w:rsidR="00B329D2" w:rsidRPr="003F7D44">
        <w:rPr>
          <w:rFonts w:ascii="Arial" w:hAnsi="Arial" w:cs="Arial"/>
          <w:shd w:val="clear" w:color="auto" w:fill="FFFFFF"/>
        </w:rPr>
        <w:t>’</w:t>
      </w:r>
      <w:r w:rsidRPr="003F7D44">
        <w:rPr>
          <w:rFonts w:ascii="Arial" w:hAnsi="Arial" w:cs="Arial"/>
          <w:shd w:val="clear" w:color="auto" w:fill="FFFFFF"/>
        </w:rPr>
        <w:t>s psychological attachment to the organisation. Commitment can be contrasted to job satisfaction and organisational identification (Johns and Ellis, 2016).</w:t>
      </w:r>
    </w:p>
    <w:p w14:paraId="23EA5AFC" w14:textId="0E7A2D39" w:rsidR="00EC38E1" w:rsidRPr="003F7D44" w:rsidRDefault="00EC38E1" w:rsidP="00F75097">
      <w:pPr>
        <w:rPr>
          <w:rFonts w:ascii="Arial" w:hAnsi="Arial" w:cs="Arial"/>
          <w:shd w:val="clear" w:color="auto" w:fill="FFFFFF"/>
        </w:rPr>
      </w:pPr>
      <w:r w:rsidRPr="003F7D44">
        <w:rPr>
          <w:rFonts w:ascii="Arial" w:hAnsi="Arial" w:cs="Arial"/>
          <w:shd w:val="clear" w:color="auto" w:fill="FFFFFF"/>
        </w:rPr>
        <w:t>Commitment can be based on 3 mindsets:</w:t>
      </w:r>
    </w:p>
    <w:p w14:paraId="00259264" w14:textId="4F6ADEB4" w:rsidR="00EC38E1" w:rsidRPr="003F7D44" w:rsidRDefault="00EC38E1" w:rsidP="00BF5B65">
      <w:pPr>
        <w:pStyle w:val="ListParagraph"/>
        <w:numPr>
          <w:ilvl w:val="0"/>
          <w:numId w:val="7"/>
        </w:numPr>
        <w:rPr>
          <w:rFonts w:ascii="Arial" w:hAnsi="Arial" w:cs="Arial"/>
          <w:shd w:val="clear" w:color="auto" w:fill="FFFFFF"/>
        </w:rPr>
      </w:pPr>
      <w:r w:rsidRPr="003F7D44">
        <w:rPr>
          <w:rFonts w:ascii="Arial" w:hAnsi="Arial" w:cs="Arial"/>
          <w:shd w:val="clear" w:color="auto" w:fill="FFFFFF"/>
        </w:rPr>
        <w:t xml:space="preserve">Affective commitment </w:t>
      </w:r>
      <w:r w:rsidR="00FE50C6" w:rsidRPr="003F7D44">
        <w:rPr>
          <w:rFonts w:ascii="Arial" w:hAnsi="Arial" w:cs="Arial"/>
          <w:shd w:val="clear" w:color="auto" w:fill="FFFFFF"/>
        </w:rPr>
        <w:t>–</w:t>
      </w:r>
      <w:r w:rsidRPr="003F7D44">
        <w:rPr>
          <w:rFonts w:ascii="Arial" w:hAnsi="Arial" w:cs="Arial"/>
          <w:shd w:val="clear" w:color="auto" w:fill="FFFFFF"/>
        </w:rPr>
        <w:t xml:space="preserve"> </w:t>
      </w:r>
      <w:r w:rsidR="00FE50C6" w:rsidRPr="003F7D44">
        <w:rPr>
          <w:rFonts w:ascii="Arial" w:hAnsi="Arial" w:cs="Arial"/>
          <w:shd w:val="clear" w:color="auto" w:fill="FFFFFF"/>
        </w:rPr>
        <w:t xml:space="preserve">positive emotional </w:t>
      </w:r>
      <w:r w:rsidR="00D553CC">
        <w:rPr>
          <w:rFonts w:ascii="Arial" w:hAnsi="Arial" w:cs="Arial"/>
          <w:shd w:val="clear" w:color="auto" w:fill="FFFFFF"/>
        </w:rPr>
        <w:t xml:space="preserve">link </w:t>
      </w:r>
      <w:r w:rsidR="00FE50C6" w:rsidRPr="003F7D44">
        <w:rPr>
          <w:rFonts w:ascii="Arial" w:hAnsi="Arial" w:cs="Arial"/>
          <w:shd w:val="clear" w:color="auto" w:fill="FFFFFF"/>
        </w:rPr>
        <w:t>to the organisation, strongly identifies with organisational goals.</w:t>
      </w:r>
    </w:p>
    <w:p w14:paraId="08040B62" w14:textId="7F83EBE7" w:rsidR="002A6646" w:rsidRPr="003F7D44" w:rsidRDefault="002A6646" w:rsidP="00BF5B65">
      <w:pPr>
        <w:pStyle w:val="ListParagraph"/>
        <w:numPr>
          <w:ilvl w:val="0"/>
          <w:numId w:val="7"/>
        </w:numPr>
        <w:rPr>
          <w:rFonts w:ascii="Arial" w:hAnsi="Arial" w:cs="Arial"/>
          <w:shd w:val="clear" w:color="auto" w:fill="FFFFFF"/>
        </w:rPr>
      </w:pPr>
      <w:r w:rsidRPr="003F7D44">
        <w:rPr>
          <w:rFonts w:ascii="Arial" w:hAnsi="Arial" w:cs="Arial"/>
          <w:shd w:val="clear" w:color="auto" w:fill="FFFFFF"/>
        </w:rPr>
        <w:t xml:space="preserve">Continuance commitment – seen as a negative characteristic, individuals commit to the organisation </w:t>
      </w:r>
      <w:r w:rsidR="00217638" w:rsidRPr="003F7D44">
        <w:rPr>
          <w:rFonts w:ascii="Arial" w:hAnsi="Arial" w:cs="Arial"/>
          <w:shd w:val="clear" w:color="auto" w:fill="FFFFFF"/>
        </w:rPr>
        <w:t xml:space="preserve">is </w:t>
      </w:r>
      <w:r w:rsidRPr="003F7D44">
        <w:rPr>
          <w:rFonts w:ascii="Arial" w:hAnsi="Arial" w:cs="Arial"/>
          <w:shd w:val="clear" w:color="auto" w:fill="FFFFFF"/>
        </w:rPr>
        <w:t xml:space="preserve">due to the perceived loss of </w:t>
      </w:r>
      <w:r w:rsidR="00217638" w:rsidRPr="003F7D44">
        <w:rPr>
          <w:rFonts w:ascii="Arial" w:hAnsi="Arial" w:cs="Arial"/>
          <w:shd w:val="clear" w:color="auto" w:fill="FFFFFF"/>
        </w:rPr>
        <w:t>economic</w:t>
      </w:r>
      <w:r w:rsidRPr="003F7D44">
        <w:rPr>
          <w:rFonts w:ascii="Arial" w:hAnsi="Arial" w:cs="Arial"/>
          <w:shd w:val="clear" w:color="auto" w:fill="FFFFFF"/>
        </w:rPr>
        <w:t>, social and personal costs if they leave (e.g. pension rights, holidays</w:t>
      </w:r>
      <w:r w:rsidR="00217638" w:rsidRPr="003F7D44">
        <w:rPr>
          <w:rFonts w:ascii="Arial" w:hAnsi="Arial" w:cs="Arial"/>
          <w:shd w:val="clear" w:color="auto" w:fill="FFFFFF"/>
        </w:rPr>
        <w:t>, friendships, unemployment).</w:t>
      </w:r>
    </w:p>
    <w:p w14:paraId="02FDF9C1" w14:textId="0302D3C4" w:rsidR="00217638" w:rsidRPr="003F7D44" w:rsidRDefault="00217638" w:rsidP="00BF5B65">
      <w:pPr>
        <w:pStyle w:val="ListParagraph"/>
        <w:numPr>
          <w:ilvl w:val="0"/>
          <w:numId w:val="7"/>
        </w:numPr>
        <w:rPr>
          <w:rFonts w:ascii="Arial" w:hAnsi="Arial" w:cs="Arial"/>
          <w:shd w:val="clear" w:color="auto" w:fill="FFFFFF"/>
        </w:rPr>
      </w:pPr>
      <w:r w:rsidRPr="003F7D44">
        <w:rPr>
          <w:rFonts w:ascii="Arial" w:hAnsi="Arial" w:cs="Arial"/>
          <w:shd w:val="clear" w:color="auto" w:fill="FFFFFF"/>
        </w:rPr>
        <w:t xml:space="preserve">Normative commitment – employees remain with an organisation </w:t>
      </w:r>
      <w:r w:rsidR="003A5028" w:rsidRPr="003F7D44">
        <w:rPr>
          <w:rFonts w:ascii="Arial" w:hAnsi="Arial" w:cs="Arial"/>
          <w:shd w:val="clear" w:color="auto" w:fill="FFFFFF"/>
        </w:rPr>
        <w:t>out of obligation and indebtedness (the organisation has invested in the high cost of training</w:t>
      </w:r>
      <w:r w:rsidR="00BF5B65" w:rsidRPr="003F7D44">
        <w:rPr>
          <w:rFonts w:ascii="Arial" w:hAnsi="Arial" w:cs="Arial"/>
          <w:shd w:val="clear" w:color="auto" w:fill="FFFFFF"/>
        </w:rPr>
        <w:t>,</w:t>
      </w:r>
      <w:r w:rsidR="003A5028" w:rsidRPr="003F7D44">
        <w:rPr>
          <w:rFonts w:ascii="Arial" w:hAnsi="Arial" w:cs="Arial"/>
          <w:shd w:val="clear" w:color="auto" w:fill="FFFFFF"/>
        </w:rPr>
        <w:t xml:space="preserve"> </w:t>
      </w:r>
      <w:r w:rsidR="00BF5B65" w:rsidRPr="003F7D44">
        <w:rPr>
          <w:rFonts w:ascii="Arial" w:hAnsi="Arial" w:cs="Arial"/>
          <w:shd w:val="clear" w:color="auto" w:fill="FFFFFF"/>
        </w:rPr>
        <w:t xml:space="preserve">therefore </w:t>
      </w:r>
      <w:r w:rsidR="003A5028" w:rsidRPr="003F7D44">
        <w:rPr>
          <w:rFonts w:ascii="Arial" w:hAnsi="Arial" w:cs="Arial"/>
          <w:shd w:val="clear" w:color="auto" w:fill="FFFFFF"/>
        </w:rPr>
        <w:t>the employee remains as they feel as if they ought to)</w:t>
      </w:r>
      <w:r w:rsidR="004C2C1C" w:rsidRPr="003F7D44">
        <w:rPr>
          <w:rFonts w:ascii="Arial" w:hAnsi="Arial" w:cs="Arial"/>
          <w:shd w:val="clear" w:color="auto" w:fill="FFFFFF"/>
        </w:rPr>
        <w:t xml:space="preserve"> (Johns and Ellis, 2016).</w:t>
      </w:r>
    </w:p>
    <w:p w14:paraId="42A1976F" w14:textId="745DC301" w:rsidR="00061260" w:rsidRPr="003F7D44" w:rsidRDefault="0094462B" w:rsidP="00F75097">
      <w:pPr>
        <w:rPr>
          <w:rFonts w:ascii="Arial" w:hAnsi="Arial" w:cs="Arial"/>
          <w:shd w:val="clear" w:color="auto" w:fill="FFFFFF"/>
        </w:rPr>
      </w:pPr>
      <w:r w:rsidRPr="003F7D44">
        <w:rPr>
          <w:rFonts w:ascii="Arial" w:hAnsi="Arial" w:cs="Arial"/>
          <w:shd w:val="clear" w:color="auto" w:fill="FFFFFF"/>
        </w:rPr>
        <w:t>Research has shown that engaged workers are seen to have ‘</w:t>
      </w:r>
      <w:r w:rsidRPr="003F7D44">
        <w:rPr>
          <w:rFonts w:ascii="Arial" w:hAnsi="Arial" w:cs="Arial"/>
          <w:i/>
          <w:iCs/>
          <w:shd w:val="clear" w:color="auto" w:fill="FFFFFF"/>
        </w:rPr>
        <w:t>low levels of burnout and high levels o</w:t>
      </w:r>
      <w:r w:rsidR="00ED2435" w:rsidRPr="003F7D44">
        <w:rPr>
          <w:rFonts w:ascii="Arial" w:hAnsi="Arial" w:cs="Arial"/>
          <w:i/>
          <w:iCs/>
          <w:shd w:val="clear" w:color="auto" w:fill="FFFFFF"/>
        </w:rPr>
        <w:t>f</w:t>
      </w:r>
      <w:r w:rsidRPr="003F7D44">
        <w:rPr>
          <w:rFonts w:ascii="Arial" w:hAnsi="Arial" w:cs="Arial"/>
          <w:i/>
          <w:iCs/>
          <w:shd w:val="clear" w:color="auto" w:fill="FFFFFF"/>
        </w:rPr>
        <w:t xml:space="preserve"> extraversion’</w:t>
      </w:r>
      <w:r w:rsidRPr="003F7D44">
        <w:rPr>
          <w:rFonts w:ascii="Arial" w:hAnsi="Arial" w:cs="Arial"/>
          <w:shd w:val="clear" w:color="auto" w:fill="FFFFFF"/>
        </w:rPr>
        <w:t xml:space="preserve"> and </w:t>
      </w:r>
      <w:r w:rsidRPr="003F7D44">
        <w:rPr>
          <w:rFonts w:ascii="Arial" w:hAnsi="Arial" w:cs="Arial"/>
          <w:i/>
          <w:iCs/>
          <w:shd w:val="clear" w:color="auto" w:fill="FFFFFF"/>
        </w:rPr>
        <w:t>‘enjoy good mental and physical health’</w:t>
      </w:r>
      <w:r w:rsidRPr="003F7D44">
        <w:rPr>
          <w:rFonts w:ascii="Arial" w:hAnsi="Arial" w:cs="Arial"/>
          <w:shd w:val="clear" w:color="auto" w:fill="FFFFFF"/>
        </w:rPr>
        <w:t xml:space="preserve"> </w:t>
      </w:r>
      <w:bookmarkStart w:id="1" w:name="_Hlk52624461"/>
      <w:r w:rsidRPr="003F7D44">
        <w:rPr>
          <w:rFonts w:ascii="Arial" w:hAnsi="Arial" w:cs="Arial"/>
          <w:shd w:val="clear" w:color="auto" w:fill="FFFFFF"/>
        </w:rPr>
        <w:t>(Johns and Ellis, 2016</w:t>
      </w:r>
      <w:r w:rsidR="00A16D9E" w:rsidRPr="003F7D44">
        <w:rPr>
          <w:rFonts w:ascii="Arial" w:hAnsi="Arial" w:cs="Arial"/>
          <w:shd w:val="clear" w:color="auto" w:fill="FFFFFF"/>
        </w:rPr>
        <w:t xml:space="preserve"> p82</w:t>
      </w:r>
      <w:r w:rsidRPr="003F7D44">
        <w:rPr>
          <w:rFonts w:ascii="Arial" w:hAnsi="Arial" w:cs="Arial"/>
          <w:shd w:val="clear" w:color="auto" w:fill="FFFFFF"/>
        </w:rPr>
        <w:t>).</w:t>
      </w:r>
      <w:bookmarkEnd w:id="1"/>
    </w:p>
    <w:p w14:paraId="4C0EE5E3" w14:textId="322D1C87" w:rsidR="00C61EDF" w:rsidRDefault="008C0B44" w:rsidP="00F75097">
      <w:pPr>
        <w:rPr>
          <w:rFonts w:ascii="Arial" w:hAnsi="Arial" w:cs="Arial"/>
          <w:shd w:val="clear" w:color="auto" w:fill="FFFFFF"/>
        </w:rPr>
      </w:pPr>
      <w:r w:rsidRPr="003F7D44">
        <w:rPr>
          <w:rFonts w:ascii="Arial" w:hAnsi="Arial" w:cs="Arial"/>
          <w:shd w:val="clear" w:color="auto" w:fill="FFFFFF"/>
        </w:rPr>
        <w:t>Engagement and motivation have been high on organisational agendas over the last decade, e</w:t>
      </w:r>
      <w:r w:rsidR="00C61EDF" w:rsidRPr="003F7D44">
        <w:rPr>
          <w:rFonts w:ascii="Arial" w:hAnsi="Arial" w:cs="Arial"/>
          <w:shd w:val="clear" w:color="auto" w:fill="FFFFFF"/>
        </w:rPr>
        <w:t>mployer involvement</w:t>
      </w:r>
      <w:r w:rsidRPr="003F7D44">
        <w:rPr>
          <w:rFonts w:ascii="Arial" w:hAnsi="Arial" w:cs="Arial"/>
          <w:shd w:val="clear" w:color="auto" w:fill="FFFFFF"/>
        </w:rPr>
        <w:t xml:space="preserve"> in introducing and developing practices such as:</w:t>
      </w:r>
    </w:p>
    <w:p w14:paraId="07AC2AC8" w14:textId="47745293" w:rsidR="00CD1BA8" w:rsidRPr="003F7D44" w:rsidRDefault="00CD1BA8" w:rsidP="00F75097">
      <w:pPr>
        <w:rPr>
          <w:rFonts w:ascii="Arial" w:hAnsi="Arial" w:cs="Arial"/>
          <w:shd w:val="clear" w:color="auto" w:fill="FFFFFF"/>
        </w:rPr>
      </w:pPr>
      <w:r>
        <w:rPr>
          <w:rFonts w:ascii="Arial" w:hAnsi="Arial" w:cs="Arial"/>
          <w:noProof/>
          <w:shd w:val="clear" w:color="auto" w:fill="FFFFFF"/>
        </w:rPr>
        <w:lastRenderedPageBreak/>
        <w:drawing>
          <wp:inline distT="0" distB="0" distL="0" distR="0" wp14:anchorId="5490A459" wp14:editId="0E0380DF">
            <wp:extent cx="5120640" cy="2400300"/>
            <wp:effectExtent l="0" t="3810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B2E37A9" w14:textId="26C8B6AF" w:rsidR="00A16D9E" w:rsidRPr="003F7D44" w:rsidRDefault="008C0B44" w:rsidP="00F75097">
      <w:pPr>
        <w:rPr>
          <w:rFonts w:ascii="Arial" w:hAnsi="Arial" w:cs="Arial"/>
          <w:shd w:val="clear" w:color="auto" w:fill="FFFFFF"/>
        </w:rPr>
      </w:pPr>
      <w:r w:rsidRPr="003F7D44">
        <w:rPr>
          <w:rFonts w:ascii="Arial" w:hAnsi="Arial" w:cs="Arial"/>
          <w:shd w:val="clear" w:color="auto" w:fill="FFFFFF"/>
        </w:rPr>
        <w:t>Employers must understand the different drivers of engagement in each part of the organisation</w:t>
      </w:r>
      <w:r w:rsidR="00FE2CA8" w:rsidRPr="003F7D44">
        <w:rPr>
          <w:rFonts w:ascii="Arial" w:hAnsi="Arial" w:cs="Arial"/>
          <w:shd w:val="clear" w:color="auto" w:fill="FFFFFF"/>
        </w:rPr>
        <w:t xml:space="preserve">. </w:t>
      </w:r>
      <w:r w:rsidR="00EE1B79" w:rsidRPr="003F7D44">
        <w:rPr>
          <w:rFonts w:ascii="Arial" w:hAnsi="Arial" w:cs="Arial"/>
          <w:shd w:val="clear" w:color="auto" w:fill="FFFFFF"/>
        </w:rPr>
        <w:t>Although engagement is a</w:t>
      </w:r>
      <w:r w:rsidR="00A64E4E" w:rsidRPr="003F7D44">
        <w:rPr>
          <w:rFonts w:ascii="Arial" w:hAnsi="Arial" w:cs="Arial"/>
          <w:shd w:val="clear" w:color="auto" w:fill="FFFFFF"/>
        </w:rPr>
        <w:t>bout behaviour</w:t>
      </w:r>
      <w:r w:rsidR="00910F8F" w:rsidRPr="003F7D44">
        <w:rPr>
          <w:rFonts w:ascii="Arial" w:hAnsi="Arial" w:cs="Arial"/>
          <w:shd w:val="clear" w:color="auto" w:fill="FFFFFF"/>
        </w:rPr>
        <w:t>,</w:t>
      </w:r>
      <w:r w:rsidR="00A64E4E" w:rsidRPr="003F7D44">
        <w:rPr>
          <w:rFonts w:ascii="Arial" w:hAnsi="Arial" w:cs="Arial"/>
          <w:shd w:val="clear" w:color="auto" w:fill="FFFFFF"/>
        </w:rPr>
        <w:t xml:space="preserve"> more importantly it is about performance</w:t>
      </w:r>
      <w:r w:rsidR="00D553CC">
        <w:rPr>
          <w:rFonts w:ascii="Arial" w:hAnsi="Arial" w:cs="Arial"/>
          <w:shd w:val="clear" w:color="auto" w:fill="FFFFFF"/>
        </w:rPr>
        <w:t>/</w:t>
      </w:r>
      <w:r w:rsidR="00A64E4E" w:rsidRPr="003F7D44">
        <w:rPr>
          <w:rFonts w:ascii="Arial" w:hAnsi="Arial" w:cs="Arial"/>
          <w:shd w:val="clear" w:color="auto" w:fill="FFFFFF"/>
        </w:rPr>
        <w:t xml:space="preserve">results and outcomes. </w:t>
      </w:r>
      <w:r w:rsidR="00484EF7" w:rsidRPr="003F7D44">
        <w:rPr>
          <w:rFonts w:ascii="Arial" w:hAnsi="Arial" w:cs="Arial"/>
          <w:shd w:val="clear" w:color="auto" w:fill="FFFFFF"/>
        </w:rPr>
        <w:t>Harnessing discretionary effort rather than working within the confines of job descriptions can lead to improved organisational performance.</w:t>
      </w:r>
      <w:r w:rsidR="00A16D9E" w:rsidRPr="003F7D44">
        <w:rPr>
          <w:rFonts w:ascii="Arial" w:hAnsi="Arial" w:cs="Arial"/>
          <w:shd w:val="clear" w:color="auto" w:fill="FFFFFF"/>
        </w:rPr>
        <w:t xml:space="preserve"> </w:t>
      </w:r>
    </w:p>
    <w:p w14:paraId="1B74B8F8" w14:textId="0CBAA28A" w:rsidR="00061260" w:rsidRPr="003F7D44" w:rsidRDefault="00A16D9E" w:rsidP="00F75097">
      <w:pPr>
        <w:rPr>
          <w:rFonts w:ascii="Arial" w:hAnsi="Arial" w:cs="Arial"/>
          <w:shd w:val="clear" w:color="auto" w:fill="FFFFFF"/>
        </w:rPr>
      </w:pPr>
      <w:r w:rsidRPr="003F7D44">
        <w:rPr>
          <w:rFonts w:ascii="Arial" w:hAnsi="Arial" w:cs="Arial"/>
          <w:shd w:val="clear" w:color="auto" w:fill="FFFFFF"/>
        </w:rPr>
        <w:t xml:space="preserve">However, it should be noted that </w:t>
      </w:r>
      <w:r w:rsidRPr="003F7D44">
        <w:rPr>
          <w:rFonts w:ascii="Arial" w:hAnsi="Arial" w:cs="Arial"/>
          <w:i/>
          <w:iCs/>
          <w:shd w:val="clear" w:color="auto" w:fill="FFFFFF"/>
        </w:rPr>
        <w:t>job satisfaction and happiness do not in themselves create high performance</w:t>
      </w:r>
      <w:r w:rsidRPr="003F7D44">
        <w:rPr>
          <w:rFonts w:ascii="Arial" w:hAnsi="Arial" w:cs="Arial"/>
          <w:shd w:val="clear" w:color="auto" w:fill="FFFFFF"/>
        </w:rPr>
        <w:t xml:space="preserve"> and </w:t>
      </w:r>
      <w:r w:rsidR="0044443B" w:rsidRPr="003F7D44">
        <w:rPr>
          <w:rFonts w:ascii="Arial" w:hAnsi="Arial" w:cs="Arial"/>
          <w:shd w:val="clear" w:color="auto" w:fill="FFFFFF"/>
        </w:rPr>
        <w:t>‘</w:t>
      </w:r>
      <w:r w:rsidRPr="003F7D44">
        <w:rPr>
          <w:rFonts w:ascii="Arial" w:hAnsi="Arial" w:cs="Arial"/>
          <w:shd w:val="clear" w:color="auto" w:fill="FFFFFF"/>
        </w:rPr>
        <w:t>employee engagement does not automatically follow</w:t>
      </w:r>
      <w:r w:rsidR="0044443B" w:rsidRPr="003F7D44">
        <w:rPr>
          <w:rFonts w:ascii="Arial" w:hAnsi="Arial" w:cs="Arial"/>
          <w:shd w:val="clear" w:color="auto" w:fill="FFFFFF"/>
        </w:rPr>
        <w:t xml:space="preserve"> from feelings of</w:t>
      </w:r>
      <w:r w:rsidRPr="003F7D44">
        <w:rPr>
          <w:rFonts w:ascii="Arial" w:hAnsi="Arial" w:cs="Arial"/>
          <w:shd w:val="clear" w:color="auto" w:fill="FFFFFF"/>
        </w:rPr>
        <w:t xml:space="preserve"> job satisfaction and happiness</w:t>
      </w:r>
      <w:r w:rsidR="0044443B" w:rsidRPr="003F7D44">
        <w:rPr>
          <w:rFonts w:ascii="Arial" w:hAnsi="Arial" w:cs="Arial"/>
          <w:shd w:val="clear" w:color="auto" w:fill="FFFFFF"/>
        </w:rPr>
        <w:t>’ (Johns and Ellis, 2016 p82).</w:t>
      </w:r>
      <w:r w:rsidRPr="003F7D44">
        <w:rPr>
          <w:rFonts w:ascii="Arial" w:hAnsi="Arial" w:cs="Arial"/>
          <w:shd w:val="clear" w:color="auto" w:fill="FFFFFF"/>
        </w:rPr>
        <w:t xml:space="preserve"> An employee can be happy and satisfied in their role but</w:t>
      </w:r>
      <w:r w:rsidR="0044443B" w:rsidRPr="003F7D44">
        <w:rPr>
          <w:rFonts w:ascii="Arial" w:hAnsi="Arial" w:cs="Arial"/>
          <w:shd w:val="clear" w:color="auto" w:fill="FFFFFF"/>
        </w:rPr>
        <w:t xml:space="preserve"> may no</w:t>
      </w:r>
      <w:r w:rsidR="008B1E46" w:rsidRPr="003F7D44">
        <w:rPr>
          <w:rFonts w:ascii="Arial" w:hAnsi="Arial" w:cs="Arial"/>
          <w:shd w:val="clear" w:color="auto" w:fill="FFFFFF"/>
        </w:rPr>
        <w:t>t</w:t>
      </w:r>
      <w:r w:rsidR="0044443B" w:rsidRPr="003F7D44">
        <w:rPr>
          <w:rFonts w:ascii="Arial" w:hAnsi="Arial" w:cs="Arial"/>
          <w:shd w:val="clear" w:color="auto" w:fill="FFFFFF"/>
        </w:rPr>
        <w:t xml:space="preserve"> lead to high performance.</w:t>
      </w:r>
    </w:p>
    <w:p w14:paraId="64AA3DCC" w14:textId="6C58BB93" w:rsidR="00061260" w:rsidRPr="003F7D44" w:rsidRDefault="003A1F2D" w:rsidP="00F75097">
      <w:pPr>
        <w:rPr>
          <w:rFonts w:ascii="Arial" w:hAnsi="Arial" w:cs="Arial"/>
          <w:shd w:val="clear" w:color="auto" w:fill="FFFFFF"/>
        </w:rPr>
      </w:pPr>
      <w:r w:rsidRPr="003F7D44">
        <w:rPr>
          <w:rFonts w:ascii="Arial" w:hAnsi="Arial" w:cs="Arial"/>
          <w:shd w:val="clear" w:color="auto" w:fill="FFFFFF"/>
        </w:rPr>
        <w:t xml:space="preserve">Critics of employee engagement argue </w:t>
      </w:r>
      <w:r w:rsidRPr="003F7D44">
        <w:rPr>
          <w:rFonts w:ascii="Arial" w:hAnsi="Arial" w:cs="Arial"/>
          <w:i/>
          <w:iCs/>
          <w:shd w:val="clear" w:color="auto" w:fill="FFFFFF"/>
        </w:rPr>
        <w:t>from the point of view that management should be more evidence-based,</w:t>
      </w:r>
      <w:r w:rsidR="008B1E46" w:rsidRPr="003F7D44">
        <w:rPr>
          <w:rFonts w:ascii="Arial" w:hAnsi="Arial" w:cs="Arial"/>
          <w:i/>
          <w:iCs/>
          <w:shd w:val="clear" w:color="auto" w:fill="FFFFFF"/>
        </w:rPr>
        <w:t xml:space="preserve"> and</w:t>
      </w:r>
      <w:r w:rsidRPr="003F7D44">
        <w:rPr>
          <w:rFonts w:ascii="Arial" w:hAnsi="Arial" w:cs="Arial"/>
          <w:i/>
          <w:iCs/>
          <w:shd w:val="clear" w:color="auto" w:fill="FFFFFF"/>
        </w:rPr>
        <w:t xml:space="preserve"> challenges the field of employee engagement to be clearer on what it is and how it is distinct from related concepts and measurement</w:t>
      </w:r>
      <w:r w:rsidRPr="003F7D44">
        <w:rPr>
          <w:rFonts w:ascii="Arial" w:hAnsi="Arial" w:cs="Arial"/>
          <w:shd w:val="clear" w:color="auto" w:fill="FFFFFF"/>
        </w:rPr>
        <w:t xml:space="preserve">, </w:t>
      </w:r>
      <w:r w:rsidRPr="003F7D44">
        <w:rPr>
          <w:rFonts w:ascii="Arial" w:hAnsi="Arial" w:cs="Arial"/>
          <w:i/>
          <w:iCs/>
          <w:shd w:val="clear" w:color="auto" w:fill="FFFFFF"/>
        </w:rPr>
        <w:t xml:space="preserve">and that measurements of ‘employee engagement’ do not sufficiently stand up to scrutiny’ </w:t>
      </w:r>
      <w:r w:rsidRPr="003F7D44">
        <w:rPr>
          <w:rFonts w:ascii="Arial" w:hAnsi="Arial" w:cs="Arial"/>
          <w:shd w:val="clear" w:color="auto" w:fill="FFFFFF"/>
        </w:rPr>
        <w:t>(Briner, 2014).</w:t>
      </w:r>
    </w:p>
    <w:p w14:paraId="3C972639" w14:textId="2D01481A" w:rsidR="008A5B2A" w:rsidRPr="003F7D44" w:rsidRDefault="008A5B2A" w:rsidP="008A5B2A">
      <w:pPr>
        <w:rPr>
          <w:rFonts w:ascii="Arial" w:hAnsi="Arial" w:cs="Arial"/>
          <w:shd w:val="clear" w:color="auto" w:fill="FFFFFF"/>
        </w:rPr>
      </w:pPr>
      <w:r w:rsidRPr="003F7D44">
        <w:rPr>
          <w:rFonts w:ascii="Arial" w:hAnsi="Arial" w:cs="Arial"/>
          <w:shd w:val="clear" w:color="auto" w:fill="FFFFFF"/>
        </w:rPr>
        <w:t>Interestingly the CIPD have changed the name of employee engagement to employee experience in the specialist knowledge section of the Profession Map 2018.</w:t>
      </w:r>
    </w:p>
    <w:p w14:paraId="29A867A3" w14:textId="210628BC" w:rsidR="00061260" w:rsidRPr="003F7D44" w:rsidRDefault="008A5B2A" w:rsidP="008A5B2A">
      <w:pPr>
        <w:jc w:val="center"/>
        <w:rPr>
          <w:rFonts w:ascii="Arial" w:hAnsi="Arial" w:cs="Arial"/>
          <w:shd w:val="clear" w:color="auto" w:fill="FFFFFF"/>
        </w:rPr>
      </w:pPr>
      <w:r w:rsidRPr="003F7D44">
        <w:rPr>
          <w:rFonts w:ascii="Arial" w:hAnsi="Arial" w:cs="Arial"/>
          <w:noProof/>
        </w:rPr>
        <w:drawing>
          <wp:inline distT="0" distB="0" distL="0" distR="0" wp14:anchorId="04556F7F" wp14:editId="5CA2FB48">
            <wp:extent cx="4419600" cy="2610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40133" cy="2622955"/>
                    </a:xfrm>
                    <a:prstGeom prst="rect">
                      <a:avLst/>
                    </a:prstGeom>
                  </pic:spPr>
                </pic:pic>
              </a:graphicData>
            </a:graphic>
          </wp:inline>
        </w:drawing>
      </w:r>
    </w:p>
    <w:p w14:paraId="77B4F7F9" w14:textId="5DC04421" w:rsidR="005A0D8C" w:rsidRPr="003F7D44" w:rsidRDefault="005A0D8C" w:rsidP="00F75097">
      <w:pPr>
        <w:autoSpaceDE w:val="0"/>
        <w:autoSpaceDN w:val="0"/>
        <w:adjustRightInd w:val="0"/>
        <w:rPr>
          <w:rFonts w:ascii="Arial" w:hAnsi="Arial" w:cs="Arial"/>
        </w:rPr>
      </w:pPr>
      <w:r w:rsidRPr="003F7D44">
        <w:rPr>
          <w:rFonts w:ascii="Arial" w:hAnsi="Arial" w:cs="Arial"/>
        </w:rPr>
        <w:lastRenderedPageBreak/>
        <w:t xml:space="preserve">Organisations that have high levels of engagement tend to have </w:t>
      </w:r>
      <w:r w:rsidR="007A5F55" w:rsidRPr="003F7D44">
        <w:rPr>
          <w:rFonts w:ascii="Arial" w:hAnsi="Arial" w:cs="Arial"/>
        </w:rPr>
        <w:t xml:space="preserve">good HR procedures in place, </w:t>
      </w:r>
      <w:r w:rsidR="00A53634" w:rsidRPr="003F7D44">
        <w:rPr>
          <w:rFonts w:ascii="Arial" w:hAnsi="Arial" w:cs="Arial"/>
        </w:rPr>
        <w:t xml:space="preserve">good </w:t>
      </w:r>
      <w:r w:rsidR="007A5F55" w:rsidRPr="003F7D44">
        <w:rPr>
          <w:rFonts w:ascii="Arial" w:hAnsi="Arial" w:cs="Arial"/>
        </w:rPr>
        <w:t xml:space="preserve">leadership and a culture allows </w:t>
      </w:r>
      <w:r w:rsidR="00A53634" w:rsidRPr="003F7D44">
        <w:rPr>
          <w:rFonts w:ascii="Arial" w:hAnsi="Arial" w:cs="Arial"/>
        </w:rPr>
        <w:t xml:space="preserve">employees to </w:t>
      </w:r>
      <w:r w:rsidR="00115F6F" w:rsidRPr="003F7D44">
        <w:rPr>
          <w:rFonts w:ascii="Arial" w:hAnsi="Arial" w:cs="Arial"/>
        </w:rPr>
        <w:t xml:space="preserve">have a say </w:t>
      </w:r>
      <w:r w:rsidR="00A53634" w:rsidRPr="003F7D44">
        <w:rPr>
          <w:rFonts w:ascii="Arial" w:hAnsi="Arial" w:cs="Arial"/>
        </w:rPr>
        <w:t xml:space="preserve">in </w:t>
      </w:r>
      <w:r w:rsidR="00115F6F" w:rsidRPr="003F7D44">
        <w:rPr>
          <w:rFonts w:ascii="Arial" w:hAnsi="Arial" w:cs="Arial"/>
        </w:rPr>
        <w:t>organisational decisions.</w:t>
      </w:r>
    </w:p>
    <w:p w14:paraId="0026A2A3" w14:textId="4D082512" w:rsidR="00EE13C2" w:rsidRPr="003F7D44" w:rsidRDefault="00A53634" w:rsidP="00F75097">
      <w:pPr>
        <w:autoSpaceDE w:val="0"/>
        <w:autoSpaceDN w:val="0"/>
        <w:adjustRightInd w:val="0"/>
        <w:rPr>
          <w:rFonts w:ascii="Arial" w:hAnsi="Arial" w:cs="Arial"/>
        </w:rPr>
      </w:pPr>
      <w:r w:rsidRPr="003F7D44">
        <w:rPr>
          <w:rFonts w:ascii="Arial" w:hAnsi="Arial" w:cs="Arial"/>
        </w:rPr>
        <w:t xml:space="preserve">According to </w:t>
      </w:r>
      <w:r w:rsidR="00EE13C2" w:rsidRPr="003F7D44">
        <w:rPr>
          <w:rFonts w:ascii="Arial" w:hAnsi="Arial" w:cs="Arial"/>
        </w:rPr>
        <w:t>Purcell (2010)</w:t>
      </w:r>
      <w:r w:rsidR="004A688D">
        <w:rPr>
          <w:rFonts w:ascii="Arial" w:hAnsi="Arial" w:cs="Arial"/>
        </w:rPr>
        <w:t>,</w:t>
      </w:r>
      <w:r w:rsidR="00EE13C2" w:rsidRPr="003F7D44">
        <w:rPr>
          <w:rFonts w:ascii="Arial" w:hAnsi="Arial" w:cs="Arial"/>
        </w:rPr>
        <w:t xml:space="preserve"> </w:t>
      </w:r>
      <w:r w:rsidRPr="003F7D44">
        <w:rPr>
          <w:rFonts w:ascii="Arial" w:hAnsi="Arial" w:cs="Arial"/>
        </w:rPr>
        <w:t>the following</w:t>
      </w:r>
      <w:r w:rsidR="004A688D">
        <w:rPr>
          <w:rFonts w:ascii="Arial" w:hAnsi="Arial" w:cs="Arial"/>
        </w:rPr>
        <w:t xml:space="preserve"> practice/</w:t>
      </w:r>
      <w:r w:rsidR="00EE13C2" w:rsidRPr="003F7D44">
        <w:rPr>
          <w:rFonts w:ascii="Arial" w:hAnsi="Arial" w:cs="Arial"/>
        </w:rPr>
        <w:t>procedures</w:t>
      </w:r>
      <w:r w:rsidRPr="003F7D44">
        <w:rPr>
          <w:rFonts w:ascii="Arial" w:hAnsi="Arial" w:cs="Arial"/>
        </w:rPr>
        <w:t xml:space="preserve"> need to be in place:</w:t>
      </w:r>
    </w:p>
    <w:p w14:paraId="18C67301" w14:textId="2ED6F8B7" w:rsidR="00F853D2" w:rsidRPr="003F7D44" w:rsidRDefault="00F853D2" w:rsidP="00F853D2">
      <w:pPr>
        <w:pStyle w:val="ListParagraph"/>
        <w:numPr>
          <w:ilvl w:val="0"/>
          <w:numId w:val="9"/>
        </w:numPr>
        <w:autoSpaceDE w:val="0"/>
        <w:autoSpaceDN w:val="0"/>
        <w:adjustRightInd w:val="0"/>
        <w:rPr>
          <w:rFonts w:ascii="Arial" w:hAnsi="Arial" w:cs="Arial"/>
        </w:rPr>
      </w:pPr>
      <w:r w:rsidRPr="003F7D44">
        <w:rPr>
          <w:rFonts w:ascii="Arial" w:hAnsi="Arial" w:cs="Arial"/>
        </w:rPr>
        <w:t>Employee trust in management</w:t>
      </w:r>
    </w:p>
    <w:p w14:paraId="081050E9" w14:textId="0BC55608" w:rsidR="00F853D2" w:rsidRPr="003F7D44" w:rsidRDefault="00F853D2" w:rsidP="00F853D2">
      <w:pPr>
        <w:pStyle w:val="ListParagraph"/>
        <w:numPr>
          <w:ilvl w:val="0"/>
          <w:numId w:val="9"/>
        </w:numPr>
        <w:autoSpaceDE w:val="0"/>
        <w:autoSpaceDN w:val="0"/>
        <w:adjustRightInd w:val="0"/>
        <w:rPr>
          <w:rFonts w:ascii="Arial" w:hAnsi="Arial" w:cs="Arial"/>
        </w:rPr>
      </w:pPr>
      <w:r w:rsidRPr="003F7D44">
        <w:rPr>
          <w:rFonts w:ascii="Arial" w:hAnsi="Arial" w:cs="Arial"/>
        </w:rPr>
        <w:t>Satisfaction with work</w:t>
      </w:r>
    </w:p>
    <w:p w14:paraId="2C821998" w14:textId="054CFF1A" w:rsidR="00F853D2" w:rsidRPr="003F7D44" w:rsidRDefault="00F853D2" w:rsidP="00F853D2">
      <w:pPr>
        <w:pStyle w:val="ListParagraph"/>
        <w:numPr>
          <w:ilvl w:val="0"/>
          <w:numId w:val="9"/>
        </w:numPr>
        <w:autoSpaceDE w:val="0"/>
        <w:autoSpaceDN w:val="0"/>
        <w:adjustRightInd w:val="0"/>
        <w:rPr>
          <w:rFonts w:ascii="Arial" w:hAnsi="Arial" w:cs="Arial"/>
        </w:rPr>
      </w:pPr>
      <w:r w:rsidRPr="003F7D44">
        <w:rPr>
          <w:rFonts w:ascii="Arial" w:hAnsi="Arial" w:cs="Arial"/>
        </w:rPr>
        <w:t>Satisfaction with involvement in workplace decisions</w:t>
      </w:r>
    </w:p>
    <w:p w14:paraId="19D780DE" w14:textId="177D237B" w:rsidR="00F853D2" w:rsidRPr="003F7D44" w:rsidRDefault="00F853D2" w:rsidP="00F853D2">
      <w:pPr>
        <w:pStyle w:val="ListParagraph"/>
        <w:numPr>
          <w:ilvl w:val="0"/>
          <w:numId w:val="9"/>
        </w:numPr>
        <w:autoSpaceDE w:val="0"/>
        <w:autoSpaceDN w:val="0"/>
        <w:adjustRightInd w:val="0"/>
        <w:rPr>
          <w:rFonts w:ascii="Arial" w:hAnsi="Arial" w:cs="Arial"/>
        </w:rPr>
      </w:pPr>
      <w:r w:rsidRPr="003F7D44">
        <w:rPr>
          <w:rFonts w:ascii="Arial" w:hAnsi="Arial" w:cs="Arial"/>
        </w:rPr>
        <w:t>Quality of relationships between management and employees</w:t>
      </w:r>
    </w:p>
    <w:p w14:paraId="36C6F0C3" w14:textId="619FAF77" w:rsidR="00F853D2" w:rsidRPr="003F7D44" w:rsidRDefault="00F853D2" w:rsidP="00F853D2">
      <w:pPr>
        <w:pStyle w:val="ListParagraph"/>
        <w:numPr>
          <w:ilvl w:val="0"/>
          <w:numId w:val="9"/>
        </w:numPr>
        <w:autoSpaceDE w:val="0"/>
        <w:autoSpaceDN w:val="0"/>
        <w:adjustRightInd w:val="0"/>
        <w:rPr>
          <w:rFonts w:ascii="Arial" w:hAnsi="Arial" w:cs="Arial"/>
        </w:rPr>
      </w:pPr>
      <w:r w:rsidRPr="003F7D44">
        <w:rPr>
          <w:rFonts w:ascii="Arial" w:hAnsi="Arial" w:cs="Arial"/>
        </w:rPr>
        <w:t>Satisfaction with pay</w:t>
      </w:r>
    </w:p>
    <w:p w14:paraId="461B64FC" w14:textId="186FD4D5" w:rsidR="00F853D2" w:rsidRPr="003F7D44" w:rsidRDefault="00F853D2" w:rsidP="00F853D2">
      <w:pPr>
        <w:pStyle w:val="ListParagraph"/>
        <w:numPr>
          <w:ilvl w:val="0"/>
          <w:numId w:val="9"/>
        </w:numPr>
        <w:autoSpaceDE w:val="0"/>
        <w:autoSpaceDN w:val="0"/>
        <w:adjustRightInd w:val="0"/>
        <w:rPr>
          <w:rFonts w:ascii="Arial" w:hAnsi="Arial" w:cs="Arial"/>
        </w:rPr>
      </w:pPr>
      <w:r w:rsidRPr="003F7D44">
        <w:rPr>
          <w:rFonts w:ascii="Arial" w:hAnsi="Arial" w:cs="Arial"/>
        </w:rPr>
        <w:t>Job challenge</w:t>
      </w:r>
    </w:p>
    <w:p w14:paraId="5CA618CE" w14:textId="12F9CD6B" w:rsidR="009A1D19" w:rsidRPr="003F7D44" w:rsidRDefault="00F853D2" w:rsidP="009A1D19">
      <w:pPr>
        <w:pStyle w:val="ListParagraph"/>
        <w:numPr>
          <w:ilvl w:val="0"/>
          <w:numId w:val="9"/>
        </w:numPr>
        <w:autoSpaceDE w:val="0"/>
        <w:autoSpaceDN w:val="0"/>
        <w:adjustRightInd w:val="0"/>
        <w:rPr>
          <w:rFonts w:ascii="Arial" w:hAnsi="Arial" w:cs="Arial"/>
        </w:rPr>
      </w:pPr>
      <w:r w:rsidRPr="003F7D44">
        <w:rPr>
          <w:rFonts w:ascii="Arial" w:hAnsi="Arial" w:cs="Arial"/>
        </w:rPr>
        <w:t>Satisfaction with the sense of achievement from work</w:t>
      </w:r>
    </w:p>
    <w:p w14:paraId="74B17384" w14:textId="52F9B4DF" w:rsidR="00A53634" w:rsidRPr="003F7D44" w:rsidRDefault="00DA2DCB" w:rsidP="0017071B">
      <w:pPr>
        <w:spacing w:after="160" w:line="259" w:lineRule="auto"/>
        <w:rPr>
          <w:rFonts w:ascii="Arial" w:eastAsiaTheme="minorHAnsi" w:hAnsi="Arial" w:cs="Arial"/>
          <w:lang w:eastAsia="en-US"/>
        </w:rPr>
      </w:pPr>
      <w:r w:rsidRPr="003F7D44">
        <w:rPr>
          <w:rFonts w:ascii="Arial" w:hAnsi="Arial" w:cs="Arial"/>
        </w:rPr>
        <w:t>HR procedures should be constructed to encourage discretionary effort from employees</w:t>
      </w:r>
      <w:r w:rsidR="00187C1E" w:rsidRPr="003F7D44">
        <w:rPr>
          <w:rFonts w:ascii="Arial" w:hAnsi="Arial" w:cs="Arial"/>
        </w:rPr>
        <w:t xml:space="preserve">. </w:t>
      </w:r>
      <w:r w:rsidR="009A1D19" w:rsidRPr="003F7D44">
        <w:rPr>
          <w:rFonts w:ascii="Arial" w:eastAsiaTheme="minorHAnsi" w:hAnsi="Arial" w:cs="Arial"/>
          <w:lang w:eastAsia="en-US"/>
        </w:rPr>
        <w:t>HR can contribute in many ways by using their influence to effectively improve organisational performance.</w:t>
      </w:r>
    </w:p>
    <w:p w14:paraId="6A8B9244" w14:textId="2681CC9C" w:rsidR="00187C1E" w:rsidRPr="003F7D44" w:rsidRDefault="00187C1E" w:rsidP="00F75097">
      <w:pPr>
        <w:autoSpaceDE w:val="0"/>
        <w:autoSpaceDN w:val="0"/>
        <w:adjustRightInd w:val="0"/>
        <w:rPr>
          <w:rFonts w:ascii="Arial" w:hAnsi="Arial" w:cs="Arial"/>
        </w:rPr>
      </w:pPr>
      <w:r w:rsidRPr="003F7D44">
        <w:rPr>
          <w:rFonts w:ascii="Arial" w:hAnsi="Arial" w:cs="Arial"/>
        </w:rPr>
        <w:t>The Macleod report (2009)</w:t>
      </w:r>
      <w:r w:rsidR="00853176" w:rsidRPr="003F7D44">
        <w:rPr>
          <w:rFonts w:ascii="Arial" w:hAnsi="Arial" w:cs="Arial"/>
        </w:rPr>
        <w:t xml:space="preserve"> identified four enablers of engagement:</w:t>
      </w:r>
    </w:p>
    <w:p w14:paraId="6E39F062" w14:textId="2D3B34E0" w:rsidR="00853176" w:rsidRPr="003F7D44" w:rsidRDefault="00853176" w:rsidP="00EA57BF">
      <w:pPr>
        <w:pStyle w:val="ListParagraph"/>
        <w:numPr>
          <w:ilvl w:val="0"/>
          <w:numId w:val="10"/>
        </w:numPr>
        <w:autoSpaceDE w:val="0"/>
        <w:autoSpaceDN w:val="0"/>
        <w:adjustRightInd w:val="0"/>
        <w:rPr>
          <w:rFonts w:ascii="Arial" w:hAnsi="Arial" w:cs="Arial"/>
        </w:rPr>
      </w:pPr>
      <w:r w:rsidRPr="003F7D44">
        <w:rPr>
          <w:rFonts w:ascii="Arial" w:hAnsi="Arial" w:cs="Arial"/>
        </w:rPr>
        <w:t>Strategic narrative –</w:t>
      </w:r>
      <w:r w:rsidRPr="003F7D44">
        <w:rPr>
          <w:rFonts w:ascii="Arial" w:hAnsi="Arial" w:cs="Arial"/>
          <w:i/>
          <w:iCs/>
        </w:rPr>
        <w:t xml:space="preserve"> ‘strong transparent and explicit organisational culture giving employees a line of sight between their job and organisational vision and aims’ </w:t>
      </w:r>
      <w:r w:rsidRPr="003F7D44">
        <w:rPr>
          <w:rFonts w:ascii="Arial" w:hAnsi="Arial" w:cs="Arial"/>
        </w:rPr>
        <w:t>(Macleod and Clarke 2009, p31)</w:t>
      </w:r>
    </w:p>
    <w:p w14:paraId="6E23BF0F" w14:textId="173A9A45" w:rsidR="00853176" w:rsidRPr="003F7D44" w:rsidRDefault="00853176" w:rsidP="00EA57BF">
      <w:pPr>
        <w:pStyle w:val="ListParagraph"/>
        <w:numPr>
          <w:ilvl w:val="0"/>
          <w:numId w:val="10"/>
        </w:numPr>
        <w:autoSpaceDE w:val="0"/>
        <w:autoSpaceDN w:val="0"/>
        <w:adjustRightInd w:val="0"/>
        <w:rPr>
          <w:rFonts w:ascii="Arial" w:hAnsi="Arial" w:cs="Arial"/>
        </w:rPr>
      </w:pPr>
      <w:r w:rsidRPr="003F7D44">
        <w:rPr>
          <w:rFonts w:ascii="Arial" w:hAnsi="Arial" w:cs="Arial"/>
        </w:rPr>
        <w:t xml:space="preserve">Engaging managers – </w:t>
      </w:r>
      <w:r w:rsidRPr="003F7D44">
        <w:rPr>
          <w:rFonts w:ascii="Arial" w:hAnsi="Arial" w:cs="Arial"/>
          <w:i/>
          <w:iCs/>
        </w:rPr>
        <w:t xml:space="preserve">‘managers who ‘offer clarity, appreciation of employees effort and contribution, treat people as individuals and ensure they feel valued, equipped and supported in their job’ </w:t>
      </w:r>
      <w:r w:rsidRPr="003F7D44">
        <w:rPr>
          <w:rFonts w:ascii="Arial" w:hAnsi="Arial" w:cs="Arial"/>
        </w:rPr>
        <w:t>(</w:t>
      </w:r>
      <w:bookmarkStart w:id="2" w:name="_Hlk52703983"/>
      <w:r w:rsidRPr="003F7D44">
        <w:rPr>
          <w:rFonts w:ascii="Arial" w:hAnsi="Arial" w:cs="Arial"/>
        </w:rPr>
        <w:t>Macleod and Clarke 2009, p80)</w:t>
      </w:r>
      <w:bookmarkEnd w:id="2"/>
    </w:p>
    <w:p w14:paraId="42130B54" w14:textId="08144865" w:rsidR="00853176" w:rsidRPr="003F7D44" w:rsidRDefault="00853176" w:rsidP="00EA57BF">
      <w:pPr>
        <w:pStyle w:val="ListParagraph"/>
        <w:numPr>
          <w:ilvl w:val="0"/>
          <w:numId w:val="10"/>
        </w:numPr>
        <w:autoSpaceDE w:val="0"/>
        <w:autoSpaceDN w:val="0"/>
        <w:adjustRightInd w:val="0"/>
        <w:rPr>
          <w:rFonts w:ascii="Arial" w:hAnsi="Arial" w:cs="Arial"/>
        </w:rPr>
      </w:pPr>
      <w:r w:rsidRPr="003F7D44">
        <w:rPr>
          <w:rFonts w:ascii="Arial" w:hAnsi="Arial" w:cs="Arial"/>
        </w:rPr>
        <w:t xml:space="preserve">Employee voice </w:t>
      </w:r>
      <w:r w:rsidR="00805C6F" w:rsidRPr="003F7D44">
        <w:rPr>
          <w:rFonts w:ascii="Arial" w:hAnsi="Arial" w:cs="Arial"/>
        </w:rPr>
        <w:t>–</w:t>
      </w:r>
      <w:r w:rsidRPr="003F7D44">
        <w:rPr>
          <w:rFonts w:ascii="Arial" w:hAnsi="Arial" w:cs="Arial"/>
        </w:rPr>
        <w:t xml:space="preserve"> </w:t>
      </w:r>
      <w:r w:rsidR="00EA57BF" w:rsidRPr="003F7D44">
        <w:rPr>
          <w:rFonts w:ascii="Arial" w:hAnsi="Arial" w:cs="Arial"/>
        </w:rPr>
        <w:t>‘</w:t>
      </w:r>
      <w:r w:rsidR="00805C6F" w:rsidRPr="003F7D44">
        <w:rPr>
          <w:rFonts w:ascii="Arial" w:hAnsi="Arial" w:cs="Arial"/>
          <w:i/>
          <w:iCs/>
        </w:rPr>
        <w:t>employees views are sought, opinions listened to and count</w:t>
      </w:r>
      <w:r w:rsidR="00EA57BF" w:rsidRPr="003F7D44">
        <w:rPr>
          <w:rFonts w:ascii="Arial" w:hAnsi="Arial" w:cs="Arial"/>
          <w:i/>
          <w:iCs/>
        </w:rPr>
        <w:t>’</w:t>
      </w:r>
      <w:r w:rsidR="00805C6F" w:rsidRPr="003F7D44">
        <w:rPr>
          <w:rFonts w:ascii="Arial" w:hAnsi="Arial" w:cs="Arial"/>
        </w:rPr>
        <w:t xml:space="preserve"> (Macleod and Clarke 2009, p75)</w:t>
      </w:r>
    </w:p>
    <w:p w14:paraId="1DC1BB7B" w14:textId="25C777C2" w:rsidR="00853176" w:rsidRPr="003F7D44" w:rsidRDefault="00853176" w:rsidP="00EA57BF">
      <w:pPr>
        <w:pStyle w:val="ListParagraph"/>
        <w:numPr>
          <w:ilvl w:val="0"/>
          <w:numId w:val="10"/>
        </w:numPr>
        <w:autoSpaceDE w:val="0"/>
        <w:autoSpaceDN w:val="0"/>
        <w:adjustRightInd w:val="0"/>
        <w:rPr>
          <w:rFonts w:ascii="Arial" w:hAnsi="Arial" w:cs="Arial"/>
        </w:rPr>
      </w:pPr>
      <w:r w:rsidRPr="003F7D44">
        <w:rPr>
          <w:rFonts w:ascii="Arial" w:hAnsi="Arial" w:cs="Arial"/>
        </w:rPr>
        <w:t xml:space="preserve">Integrity </w:t>
      </w:r>
      <w:r w:rsidR="00805C6F" w:rsidRPr="003F7D44">
        <w:rPr>
          <w:rFonts w:ascii="Arial" w:hAnsi="Arial" w:cs="Arial"/>
        </w:rPr>
        <w:t>–</w:t>
      </w:r>
      <w:r w:rsidRPr="003F7D44">
        <w:rPr>
          <w:rFonts w:ascii="Arial" w:hAnsi="Arial" w:cs="Arial"/>
        </w:rPr>
        <w:t xml:space="preserve"> </w:t>
      </w:r>
      <w:r w:rsidR="00EA57BF" w:rsidRPr="003F7D44">
        <w:rPr>
          <w:rFonts w:ascii="Arial" w:hAnsi="Arial" w:cs="Arial"/>
          <w:i/>
          <w:iCs/>
        </w:rPr>
        <w:t>‘</w:t>
      </w:r>
      <w:r w:rsidR="00805C6F" w:rsidRPr="003F7D44">
        <w:rPr>
          <w:rFonts w:ascii="Arial" w:hAnsi="Arial" w:cs="Arial"/>
          <w:i/>
          <w:iCs/>
        </w:rPr>
        <w:t>a belief among empl</w:t>
      </w:r>
      <w:r w:rsidR="00EA57BF" w:rsidRPr="003F7D44">
        <w:rPr>
          <w:rFonts w:ascii="Arial" w:hAnsi="Arial" w:cs="Arial"/>
          <w:i/>
          <w:iCs/>
        </w:rPr>
        <w:t>o</w:t>
      </w:r>
      <w:r w:rsidR="00805C6F" w:rsidRPr="003F7D44">
        <w:rPr>
          <w:rFonts w:ascii="Arial" w:hAnsi="Arial" w:cs="Arial"/>
          <w:i/>
          <w:iCs/>
        </w:rPr>
        <w:t>yees that the organisation lives its values, behavioural norms are adhered to resulting in trust and integrity</w:t>
      </w:r>
      <w:r w:rsidR="00EA57BF" w:rsidRPr="003F7D44">
        <w:rPr>
          <w:rFonts w:ascii="Arial" w:hAnsi="Arial" w:cs="Arial"/>
          <w:i/>
          <w:iCs/>
        </w:rPr>
        <w:t>’</w:t>
      </w:r>
      <w:r w:rsidR="00805C6F" w:rsidRPr="003F7D44">
        <w:rPr>
          <w:rFonts w:ascii="Arial" w:hAnsi="Arial" w:cs="Arial"/>
        </w:rPr>
        <w:t xml:space="preserve"> (Macleod and Clarke 2009, p</w:t>
      </w:r>
      <w:r w:rsidR="008912AE" w:rsidRPr="003F7D44">
        <w:rPr>
          <w:rFonts w:ascii="Arial" w:hAnsi="Arial" w:cs="Arial"/>
        </w:rPr>
        <w:t>33</w:t>
      </w:r>
      <w:r w:rsidR="00805C6F" w:rsidRPr="003F7D44">
        <w:rPr>
          <w:rFonts w:ascii="Arial" w:hAnsi="Arial" w:cs="Arial"/>
        </w:rPr>
        <w:t>)</w:t>
      </w:r>
    </w:p>
    <w:p w14:paraId="4318ECB5" w14:textId="293F07DB" w:rsidR="00853176" w:rsidRPr="003F7D44" w:rsidRDefault="005E3E7E" w:rsidP="00F75097">
      <w:pPr>
        <w:autoSpaceDE w:val="0"/>
        <w:autoSpaceDN w:val="0"/>
        <w:adjustRightInd w:val="0"/>
        <w:rPr>
          <w:rFonts w:ascii="Arial" w:hAnsi="Arial" w:cs="Arial"/>
        </w:rPr>
      </w:pPr>
      <w:r w:rsidRPr="003F7D44">
        <w:rPr>
          <w:rFonts w:ascii="Arial" w:hAnsi="Arial" w:cs="Arial"/>
        </w:rPr>
        <w:t>These along with Purcell’s (2010) research show the role of managers in promoting engagement culture in organisations. Further research by Robinson and Hayday (2009) as part of the I</w:t>
      </w:r>
      <w:r w:rsidR="004A688D">
        <w:rPr>
          <w:rFonts w:ascii="Arial" w:hAnsi="Arial" w:cs="Arial"/>
        </w:rPr>
        <w:t xml:space="preserve">ES study </w:t>
      </w:r>
      <w:r w:rsidRPr="003F7D44">
        <w:rPr>
          <w:rFonts w:ascii="Arial" w:hAnsi="Arial" w:cs="Arial"/>
        </w:rPr>
        <w:t>also supported this. The project studied twenty</w:t>
      </w:r>
      <w:r w:rsidR="00E776C0" w:rsidRPr="003F7D44">
        <w:rPr>
          <w:rFonts w:ascii="Arial" w:hAnsi="Arial" w:cs="Arial"/>
        </w:rPr>
        <w:t>-</w:t>
      </w:r>
      <w:r w:rsidRPr="003F7D44">
        <w:rPr>
          <w:rFonts w:ascii="Arial" w:hAnsi="Arial" w:cs="Arial"/>
        </w:rPr>
        <w:t>five managers across a broad range of sectors who had little in common</w:t>
      </w:r>
      <w:r w:rsidR="00813D04">
        <w:rPr>
          <w:rFonts w:ascii="Arial" w:hAnsi="Arial" w:cs="Arial"/>
        </w:rPr>
        <w:t xml:space="preserve"> </w:t>
      </w:r>
      <w:r w:rsidR="00C82E17" w:rsidRPr="003F7D44">
        <w:rPr>
          <w:rFonts w:ascii="Arial" w:hAnsi="Arial" w:cs="Arial"/>
        </w:rPr>
        <w:t>but managed to engage their teams through similar behaviour. The project identified that they</w:t>
      </w:r>
      <w:r w:rsidR="00E776C0" w:rsidRPr="003F7D44">
        <w:rPr>
          <w:rFonts w:ascii="Arial" w:hAnsi="Arial" w:cs="Arial"/>
        </w:rPr>
        <w:t xml:space="preserve"> had clear</w:t>
      </w:r>
      <w:r w:rsidR="00C82E17" w:rsidRPr="003F7D44">
        <w:rPr>
          <w:rFonts w:ascii="Arial" w:hAnsi="Arial" w:cs="Arial"/>
        </w:rPr>
        <w:t xml:space="preserve"> communicat</w:t>
      </w:r>
      <w:r w:rsidR="00E776C0" w:rsidRPr="003F7D44">
        <w:rPr>
          <w:rFonts w:ascii="Arial" w:hAnsi="Arial" w:cs="Arial"/>
        </w:rPr>
        <w:t>ion,</w:t>
      </w:r>
      <w:r w:rsidR="00C82E17" w:rsidRPr="003F7D44">
        <w:rPr>
          <w:rFonts w:ascii="Arial" w:hAnsi="Arial" w:cs="Arial"/>
        </w:rPr>
        <w:t xml:space="preserve"> clear objectives, listened, involved the teams</w:t>
      </w:r>
      <w:r w:rsidR="00E776C0" w:rsidRPr="003F7D44">
        <w:rPr>
          <w:rFonts w:ascii="Arial" w:hAnsi="Arial" w:cs="Arial"/>
        </w:rPr>
        <w:t xml:space="preserve">, focussed on targets, active interest in others, good leadership skills, positive role models, acted with respect thus in turn were respected. </w:t>
      </w:r>
    </w:p>
    <w:p w14:paraId="371E3503" w14:textId="49C8C6AD" w:rsidR="00E776C0" w:rsidRPr="003F7D44" w:rsidRDefault="00E776C0" w:rsidP="00F75097">
      <w:pPr>
        <w:autoSpaceDE w:val="0"/>
        <w:autoSpaceDN w:val="0"/>
        <w:adjustRightInd w:val="0"/>
        <w:rPr>
          <w:rFonts w:ascii="Arial" w:hAnsi="Arial" w:cs="Arial"/>
        </w:rPr>
      </w:pPr>
      <w:r w:rsidRPr="003F7D44">
        <w:rPr>
          <w:rFonts w:ascii="Arial" w:hAnsi="Arial" w:cs="Arial"/>
        </w:rPr>
        <w:t>It</w:t>
      </w:r>
      <w:r w:rsidR="00C924D8">
        <w:rPr>
          <w:rFonts w:ascii="Arial" w:hAnsi="Arial" w:cs="Arial"/>
        </w:rPr>
        <w:t xml:space="preserve">’s </w:t>
      </w:r>
      <w:r w:rsidRPr="003F7D44">
        <w:rPr>
          <w:rFonts w:ascii="Arial" w:hAnsi="Arial" w:cs="Arial"/>
        </w:rPr>
        <w:t>apparent that these high-performing managers also had high-performing teams. The managers were also good with dealing with difficult issues such as poor performance or delivering bad news.</w:t>
      </w:r>
    </w:p>
    <w:p w14:paraId="03825F0A" w14:textId="4F994913" w:rsidR="00E776C0" w:rsidRPr="003F7D44" w:rsidRDefault="00E776C0" w:rsidP="00F75097">
      <w:pPr>
        <w:autoSpaceDE w:val="0"/>
        <w:autoSpaceDN w:val="0"/>
        <w:adjustRightInd w:val="0"/>
        <w:rPr>
          <w:rFonts w:ascii="Arial" w:hAnsi="Arial" w:cs="Arial"/>
        </w:rPr>
      </w:pPr>
      <w:r w:rsidRPr="003F7D44">
        <w:rPr>
          <w:rFonts w:ascii="Arial" w:hAnsi="Arial" w:cs="Arial"/>
        </w:rPr>
        <w:t>The IES study also identified the behaviour of managers who were disengaging. These managers displayed behaviours such as lack of empathy/trust, failed to listen</w:t>
      </w:r>
      <w:r w:rsidR="00131D38">
        <w:rPr>
          <w:rFonts w:ascii="Arial" w:hAnsi="Arial" w:cs="Arial"/>
        </w:rPr>
        <w:t>/</w:t>
      </w:r>
      <w:r w:rsidRPr="003F7D44">
        <w:rPr>
          <w:rFonts w:ascii="Arial" w:hAnsi="Arial" w:cs="Arial"/>
        </w:rPr>
        <w:t>communicate, did not motivate/inspire individuals, blamed others for mistakes, aggressive</w:t>
      </w:r>
      <w:r w:rsidR="005327D9">
        <w:rPr>
          <w:rFonts w:ascii="Arial" w:hAnsi="Arial" w:cs="Arial"/>
        </w:rPr>
        <w:t>/</w:t>
      </w:r>
      <w:r w:rsidR="00131D38" w:rsidRPr="003F7D44">
        <w:rPr>
          <w:rFonts w:ascii="Arial" w:hAnsi="Arial" w:cs="Arial"/>
        </w:rPr>
        <w:t>self-cen</w:t>
      </w:r>
      <w:r w:rsidR="00131D38">
        <w:rPr>
          <w:rFonts w:ascii="Arial" w:hAnsi="Arial" w:cs="Arial"/>
        </w:rPr>
        <w:t>tr</w:t>
      </w:r>
      <w:r w:rsidR="00131D38" w:rsidRPr="003F7D44">
        <w:rPr>
          <w:rFonts w:ascii="Arial" w:hAnsi="Arial" w:cs="Arial"/>
        </w:rPr>
        <w:t>ed</w:t>
      </w:r>
      <w:r w:rsidRPr="003F7D44">
        <w:rPr>
          <w:rFonts w:ascii="Arial" w:hAnsi="Arial" w:cs="Arial"/>
        </w:rPr>
        <w:t>, lack of personal awareness and did not deliver on promises.</w:t>
      </w:r>
    </w:p>
    <w:p w14:paraId="0F006B22" w14:textId="58DEF2C2" w:rsidR="009E68FC" w:rsidRPr="003F7D44" w:rsidRDefault="0025468B" w:rsidP="00F75097">
      <w:pPr>
        <w:autoSpaceDE w:val="0"/>
        <w:autoSpaceDN w:val="0"/>
        <w:adjustRightInd w:val="0"/>
        <w:rPr>
          <w:rFonts w:ascii="Arial" w:hAnsi="Arial" w:cs="Arial"/>
        </w:rPr>
      </w:pPr>
      <w:r w:rsidRPr="003F7D44">
        <w:rPr>
          <w:rFonts w:ascii="Arial" w:hAnsi="Arial" w:cs="Arial"/>
        </w:rPr>
        <w:lastRenderedPageBreak/>
        <w:t xml:space="preserve">High performing organisations such as Google align themselves to the four enablers. </w:t>
      </w:r>
      <w:r w:rsidR="006122E2" w:rsidRPr="003F7D44">
        <w:rPr>
          <w:rFonts w:ascii="Arial" w:hAnsi="Arial" w:cs="Arial"/>
        </w:rPr>
        <w:t>They have an organisational culture whereby t</w:t>
      </w:r>
      <w:r w:rsidRPr="003F7D44">
        <w:rPr>
          <w:rFonts w:ascii="Arial" w:hAnsi="Arial" w:cs="Arial"/>
        </w:rPr>
        <w:t xml:space="preserve">hey have removed all status symbols </w:t>
      </w:r>
      <w:r w:rsidR="00C542C4" w:rsidRPr="003F7D44">
        <w:rPr>
          <w:rFonts w:ascii="Arial" w:hAnsi="Arial" w:cs="Arial"/>
        </w:rPr>
        <w:t xml:space="preserve">such as no separate car parking/dining areas for senior managers who even wear </w:t>
      </w:r>
      <w:r w:rsidR="005327D9">
        <w:rPr>
          <w:rFonts w:ascii="Arial" w:hAnsi="Arial" w:cs="Arial"/>
        </w:rPr>
        <w:t>casual clothes</w:t>
      </w:r>
      <w:r w:rsidR="00C542C4" w:rsidRPr="003F7D44">
        <w:rPr>
          <w:rFonts w:ascii="Arial" w:hAnsi="Arial" w:cs="Arial"/>
        </w:rPr>
        <w:t>, therefore blending in with other employees</w:t>
      </w:r>
      <w:r w:rsidR="001B4D09" w:rsidRPr="003F7D44">
        <w:rPr>
          <w:rFonts w:ascii="Arial" w:hAnsi="Arial" w:cs="Arial"/>
        </w:rPr>
        <w:t xml:space="preserve"> (Bock, 2016)</w:t>
      </w:r>
      <w:r w:rsidR="00BD1185" w:rsidRPr="003F7D44">
        <w:rPr>
          <w:rFonts w:ascii="Arial" w:hAnsi="Arial" w:cs="Arial"/>
        </w:rPr>
        <w:t xml:space="preserve">, one of </w:t>
      </w:r>
      <w:r w:rsidR="001B4D09" w:rsidRPr="003F7D44">
        <w:rPr>
          <w:rFonts w:ascii="Arial" w:hAnsi="Arial" w:cs="Arial"/>
        </w:rPr>
        <w:t xml:space="preserve">Googles </w:t>
      </w:r>
      <w:r w:rsidR="00BD1185" w:rsidRPr="003F7D44">
        <w:rPr>
          <w:rFonts w:ascii="Arial" w:hAnsi="Arial" w:cs="Arial"/>
        </w:rPr>
        <w:t>values is that you can be serious without a suit.</w:t>
      </w:r>
      <w:r w:rsidR="00270F65" w:rsidRPr="003F7D44">
        <w:rPr>
          <w:rFonts w:ascii="Arial" w:hAnsi="Arial" w:cs="Arial"/>
        </w:rPr>
        <w:t xml:space="preserve"> </w:t>
      </w:r>
      <w:r w:rsidR="0020736C" w:rsidRPr="003F7D44">
        <w:rPr>
          <w:rFonts w:ascii="Arial" w:hAnsi="Arial" w:cs="Arial"/>
        </w:rPr>
        <w:t>A</w:t>
      </w:r>
      <w:r w:rsidR="00270F65" w:rsidRPr="003F7D44">
        <w:rPr>
          <w:rFonts w:ascii="Arial" w:hAnsi="Arial" w:cs="Arial"/>
        </w:rPr>
        <w:t xml:space="preserve">ll employees </w:t>
      </w:r>
      <w:r w:rsidR="0020736C" w:rsidRPr="003F7D44">
        <w:rPr>
          <w:rFonts w:ascii="Arial" w:hAnsi="Arial" w:cs="Arial"/>
        </w:rPr>
        <w:t xml:space="preserve">are encouraged </w:t>
      </w:r>
      <w:r w:rsidR="00270F65" w:rsidRPr="003F7D44">
        <w:rPr>
          <w:rFonts w:ascii="Arial" w:hAnsi="Arial" w:cs="Arial"/>
        </w:rPr>
        <w:t>to put forward suggestions.</w:t>
      </w:r>
      <w:r w:rsidR="00AF5AA9" w:rsidRPr="003F7D44">
        <w:rPr>
          <w:rFonts w:ascii="Arial" w:hAnsi="Arial" w:cs="Arial"/>
        </w:rPr>
        <w:t xml:space="preserve"> </w:t>
      </w:r>
      <w:r w:rsidR="0020736C" w:rsidRPr="003F7D44">
        <w:rPr>
          <w:rFonts w:ascii="Arial" w:hAnsi="Arial" w:cs="Arial"/>
        </w:rPr>
        <w:t>Google have such faith in their recruitment process that they allow all employees access to the same information from day one.</w:t>
      </w:r>
    </w:p>
    <w:p w14:paraId="7DEC0748" w14:textId="53910182" w:rsidR="0025468B" w:rsidRPr="003F7D44" w:rsidRDefault="00AF5AA9" w:rsidP="00F75097">
      <w:pPr>
        <w:autoSpaceDE w:val="0"/>
        <w:autoSpaceDN w:val="0"/>
        <w:adjustRightInd w:val="0"/>
        <w:rPr>
          <w:rFonts w:ascii="Arial" w:hAnsi="Arial" w:cs="Arial"/>
        </w:rPr>
      </w:pPr>
      <w:r w:rsidRPr="003F7D44">
        <w:rPr>
          <w:rFonts w:ascii="Arial" w:hAnsi="Arial" w:cs="Arial"/>
        </w:rPr>
        <w:t>Google removed internet support in China, re-routing it to Hong Kong to avoid censorship laws</w:t>
      </w:r>
      <w:r w:rsidR="000A3316">
        <w:rPr>
          <w:rFonts w:ascii="Arial" w:hAnsi="Arial" w:cs="Arial"/>
        </w:rPr>
        <w:t>,</w:t>
      </w:r>
      <w:r w:rsidRPr="003F7D44">
        <w:rPr>
          <w:rFonts w:ascii="Arial" w:hAnsi="Arial" w:cs="Arial"/>
        </w:rPr>
        <w:t xml:space="preserve"> because it was the right thing to do despite having a decrease in Chinese Google search</w:t>
      </w:r>
      <w:r w:rsidR="009E68FC" w:rsidRPr="003F7D44">
        <w:rPr>
          <w:rFonts w:ascii="Arial" w:hAnsi="Arial" w:cs="Arial"/>
        </w:rPr>
        <w:t>es</w:t>
      </w:r>
      <w:r w:rsidRPr="003F7D44">
        <w:rPr>
          <w:rFonts w:ascii="Arial" w:hAnsi="Arial" w:cs="Arial"/>
        </w:rPr>
        <w:t>. This showed that Google is an organisation that lives it values.</w:t>
      </w:r>
      <w:r w:rsidR="006B7074" w:rsidRPr="003F7D44">
        <w:rPr>
          <w:rFonts w:ascii="Arial" w:hAnsi="Arial" w:cs="Arial"/>
        </w:rPr>
        <w:t xml:space="preserve"> The opposite can be seen in organisations such as J.D. Wetherspoons</w:t>
      </w:r>
      <w:r w:rsidR="007C14FD" w:rsidRPr="003F7D44">
        <w:rPr>
          <w:rFonts w:ascii="Arial" w:hAnsi="Arial" w:cs="Arial"/>
        </w:rPr>
        <w:t>,</w:t>
      </w:r>
      <w:r w:rsidR="006B7074" w:rsidRPr="003F7D44">
        <w:rPr>
          <w:rFonts w:ascii="Arial" w:hAnsi="Arial" w:cs="Arial"/>
        </w:rPr>
        <w:t xml:space="preserve"> who </w:t>
      </w:r>
      <w:r w:rsidR="002B3DE6">
        <w:rPr>
          <w:rFonts w:ascii="Arial" w:hAnsi="Arial" w:cs="Arial"/>
        </w:rPr>
        <w:t xml:space="preserve">were one of the first to lay employees off </w:t>
      </w:r>
      <w:r w:rsidR="006B7074" w:rsidRPr="003F7D44">
        <w:rPr>
          <w:rFonts w:ascii="Arial" w:hAnsi="Arial" w:cs="Arial"/>
        </w:rPr>
        <w:t>at the start of the Coronavirus pandemic</w:t>
      </w:r>
      <w:r w:rsidR="000A3316">
        <w:rPr>
          <w:rFonts w:ascii="Arial" w:hAnsi="Arial" w:cs="Arial"/>
        </w:rPr>
        <w:t>,</w:t>
      </w:r>
      <w:r w:rsidR="007C14FD" w:rsidRPr="003F7D44">
        <w:rPr>
          <w:rFonts w:ascii="Arial" w:hAnsi="Arial" w:cs="Arial"/>
        </w:rPr>
        <w:t xml:space="preserve"> (The Guardian, 2020)</w:t>
      </w:r>
      <w:r w:rsidR="006B7074" w:rsidRPr="003F7D44">
        <w:rPr>
          <w:rFonts w:ascii="Arial" w:hAnsi="Arial" w:cs="Arial"/>
        </w:rPr>
        <w:t>, highlight</w:t>
      </w:r>
      <w:r w:rsidR="002B3DE6">
        <w:rPr>
          <w:rFonts w:ascii="Arial" w:hAnsi="Arial" w:cs="Arial"/>
        </w:rPr>
        <w:t>ing</w:t>
      </w:r>
      <w:r w:rsidR="006B7074" w:rsidRPr="003F7D44">
        <w:rPr>
          <w:rFonts w:ascii="Arial" w:hAnsi="Arial" w:cs="Arial"/>
        </w:rPr>
        <w:t xml:space="preserve"> how</w:t>
      </w:r>
      <w:r w:rsidR="005D39C9" w:rsidRPr="003F7D44">
        <w:rPr>
          <w:rFonts w:ascii="Arial" w:hAnsi="Arial" w:cs="Arial"/>
        </w:rPr>
        <w:t xml:space="preserve"> an organisation actually operates to how</w:t>
      </w:r>
      <w:r w:rsidR="006B7074" w:rsidRPr="003F7D44">
        <w:rPr>
          <w:rFonts w:ascii="Arial" w:hAnsi="Arial" w:cs="Arial"/>
        </w:rPr>
        <w:t xml:space="preserve"> they like to be perceive</w:t>
      </w:r>
      <w:r w:rsidR="005D39C9" w:rsidRPr="003F7D44">
        <w:rPr>
          <w:rFonts w:ascii="Arial" w:hAnsi="Arial" w:cs="Arial"/>
        </w:rPr>
        <w:t>d</w:t>
      </w:r>
      <w:r w:rsidR="006B7074" w:rsidRPr="003F7D44">
        <w:rPr>
          <w:rFonts w:ascii="Arial" w:hAnsi="Arial" w:cs="Arial"/>
        </w:rPr>
        <w:t>.</w:t>
      </w:r>
    </w:p>
    <w:p w14:paraId="13C5F021" w14:textId="77777777" w:rsidR="00E16117" w:rsidRPr="003F7D44" w:rsidRDefault="00E16117" w:rsidP="00E16117">
      <w:pPr>
        <w:autoSpaceDE w:val="0"/>
        <w:autoSpaceDN w:val="0"/>
        <w:adjustRightInd w:val="0"/>
        <w:rPr>
          <w:rFonts w:ascii="Arial" w:hAnsi="Arial" w:cs="Arial"/>
          <w:kern w:val="24"/>
        </w:rPr>
      </w:pPr>
      <w:r w:rsidRPr="003F7D44">
        <w:rPr>
          <w:rFonts w:ascii="Arial" w:hAnsi="Arial" w:cs="Arial"/>
        </w:rPr>
        <w:t>Macleod (2009, p6) states that ‘</w:t>
      </w:r>
      <w:r w:rsidRPr="003F7D44">
        <w:rPr>
          <w:rFonts w:ascii="Arial" w:hAnsi="Arial" w:cs="Arial"/>
          <w:i/>
          <w:iCs/>
        </w:rPr>
        <w:t>engagement can have a triple win: the individual at work, the enterprise or service, and the country as a whole’</w:t>
      </w:r>
      <w:r w:rsidRPr="003F7D44">
        <w:rPr>
          <w:rFonts w:ascii="Arial" w:hAnsi="Arial" w:cs="Arial"/>
          <w:kern w:val="24"/>
        </w:rPr>
        <w:t>.</w:t>
      </w:r>
    </w:p>
    <w:p w14:paraId="2B99E533" w14:textId="0D765950" w:rsidR="00E16117" w:rsidRPr="003F7D44" w:rsidRDefault="001904C3" w:rsidP="00E16117">
      <w:pPr>
        <w:autoSpaceDE w:val="0"/>
        <w:autoSpaceDN w:val="0"/>
        <w:adjustRightInd w:val="0"/>
        <w:rPr>
          <w:rFonts w:ascii="Arial" w:hAnsi="Arial" w:cs="Arial"/>
          <w:kern w:val="24"/>
        </w:rPr>
      </w:pPr>
      <w:r>
        <w:rPr>
          <w:rFonts w:ascii="Arial" w:hAnsi="Arial" w:cs="Arial"/>
          <w:kern w:val="24"/>
        </w:rPr>
        <w:t>S</w:t>
      </w:r>
      <w:r w:rsidR="00E16117" w:rsidRPr="003F7D44">
        <w:rPr>
          <w:rFonts w:ascii="Arial" w:hAnsi="Arial" w:cs="Arial"/>
          <w:kern w:val="24"/>
        </w:rPr>
        <w:t>tudies over the years have demonstrating the links between high engagement and high performance. One of the most significant research reports highlighting the positive impact of employee engagement is Towers and Perrin 2007/2008 Global Workforce study (2009). The study looked at 50 organisations over 12 months and found that those with high engagement had a 19% increase in income, whereas those with low engagement saw 32% decrease.</w:t>
      </w:r>
    </w:p>
    <w:p w14:paraId="49FAACBE" w14:textId="0023FDC4" w:rsidR="00E16117" w:rsidRPr="003F7D44" w:rsidRDefault="00E16117" w:rsidP="00E16117">
      <w:pPr>
        <w:autoSpaceDE w:val="0"/>
        <w:autoSpaceDN w:val="0"/>
        <w:adjustRightInd w:val="0"/>
        <w:rPr>
          <w:rFonts w:ascii="Arial" w:hAnsi="Arial" w:cs="Arial"/>
          <w:kern w:val="24"/>
        </w:rPr>
      </w:pPr>
      <w:r w:rsidRPr="003F7D44">
        <w:rPr>
          <w:rFonts w:ascii="Arial" w:hAnsi="Arial" w:cs="Arial"/>
        </w:rPr>
        <w:t xml:space="preserve">Studies such as Harter et al (2002) </w:t>
      </w:r>
      <w:bookmarkStart w:id="3" w:name="_Hlk47806484"/>
      <w:r w:rsidRPr="003F7D44">
        <w:rPr>
          <w:rFonts w:ascii="Arial" w:hAnsi="Arial" w:cs="Arial"/>
        </w:rPr>
        <w:t>and Purcell</w:t>
      </w:r>
      <w:r w:rsidRPr="003F7D44">
        <w:rPr>
          <w:rFonts w:ascii="Arial" w:hAnsi="Arial" w:cs="Arial"/>
          <w:kern w:val="24"/>
        </w:rPr>
        <w:t xml:space="preserve"> et al (2003)</w:t>
      </w:r>
      <w:bookmarkEnd w:id="3"/>
      <w:r w:rsidRPr="003F7D44">
        <w:rPr>
          <w:rFonts w:ascii="Arial" w:hAnsi="Arial" w:cs="Arial"/>
          <w:kern w:val="24"/>
        </w:rPr>
        <w:t>, found employees responded positively and improved individual work performance thus leading to improved organisational performance</w:t>
      </w:r>
      <w:r w:rsidR="00A07D96">
        <w:rPr>
          <w:rFonts w:ascii="Arial" w:hAnsi="Arial" w:cs="Arial"/>
          <w:kern w:val="24"/>
        </w:rPr>
        <w:t>,</w:t>
      </w:r>
      <w:r w:rsidRPr="003F7D44">
        <w:rPr>
          <w:rFonts w:ascii="Arial" w:hAnsi="Arial" w:cs="Arial"/>
          <w:kern w:val="24"/>
        </w:rPr>
        <w:t xml:space="preserve"> when good HR procedures were in place. Motivation and engagement meant employees are prepared to go over and above and are more likely to perform well in their roles. Both studies indicated the importance of good line management.</w:t>
      </w:r>
    </w:p>
    <w:p w14:paraId="30C1DF59" w14:textId="7A6CEDD2" w:rsidR="00E16117" w:rsidRPr="003F7D44" w:rsidRDefault="00E16117" w:rsidP="00E16117">
      <w:pPr>
        <w:autoSpaceDE w:val="0"/>
        <w:autoSpaceDN w:val="0"/>
        <w:adjustRightInd w:val="0"/>
        <w:rPr>
          <w:rFonts w:ascii="Arial" w:hAnsi="Arial" w:cs="Arial"/>
          <w:kern w:val="24"/>
        </w:rPr>
      </w:pPr>
      <w:r w:rsidRPr="003F7D44">
        <w:rPr>
          <w:rFonts w:ascii="Arial" w:hAnsi="Arial" w:cs="Arial"/>
          <w:kern w:val="24"/>
        </w:rPr>
        <w:t>Engaged employees typically experience more job satisfaction and increased well-being, and are more likely to act as advocates for the organisation leading to the organisation being promoted as an employer of choice</w:t>
      </w:r>
      <w:r w:rsidR="00A07D96">
        <w:rPr>
          <w:rFonts w:ascii="Arial" w:hAnsi="Arial" w:cs="Arial"/>
          <w:kern w:val="24"/>
        </w:rPr>
        <w:t>,</w:t>
      </w:r>
      <w:r w:rsidRPr="003F7D44">
        <w:rPr>
          <w:rFonts w:ascii="Arial" w:hAnsi="Arial" w:cs="Arial"/>
          <w:kern w:val="24"/>
        </w:rPr>
        <w:t xml:space="preserve"> thus having a positive effect on the employer brand (Johns and Clarke, 2016). </w:t>
      </w:r>
    </w:p>
    <w:p w14:paraId="18A22982" w14:textId="21FA43DB" w:rsidR="00E16117" w:rsidRPr="003F7D44" w:rsidRDefault="00E16117" w:rsidP="00E16117">
      <w:pPr>
        <w:autoSpaceDE w:val="0"/>
        <w:autoSpaceDN w:val="0"/>
        <w:adjustRightInd w:val="0"/>
        <w:rPr>
          <w:rFonts w:ascii="Arial" w:hAnsi="Arial" w:cs="Arial"/>
          <w:kern w:val="24"/>
        </w:rPr>
      </w:pPr>
      <w:r w:rsidRPr="003F7D44">
        <w:rPr>
          <w:rFonts w:ascii="Arial" w:hAnsi="Arial" w:cs="Arial"/>
          <w:kern w:val="24"/>
        </w:rPr>
        <w:t xml:space="preserve">According to CIPD (2017) </w:t>
      </w:r>
      <w:r w:rsidRPr="003F7D44">
        <w:rPr>
          <w:rFonts w:ascii="Arial" w:hAnsi="Arial" w:cs="Arial"/>
          <w:i/>
          <w:iCs/>
          <w:kern w:val="24"/>
        </w:rPr>
        <w:t>‘employers want engaged employees because as well as being happier, healthier and more fulfilled, they deliver improved business performance’</w:t>
      </w:r>
      <w:r w:rsidRPr="003F7D44">
        <w:rPr>
          <w:rFonts w:ascii="Arial" w:hAnsi="Arial" w:cs="Arial"/>
          <w:kern w:val="24"/>
        </w:rPr>
        <w:t xml:space="preserve">. The Gallup studies </w:t>
      </w:r>
      <w:r w:rsidR="00A40E38">
        <w:rPr>
          <w:rFonts w:ascii="Arial" w:hAnsi="Arial" w:cs="Arial"/>
          <w:kern w:val="24"/>
        </w:rPr>
        <w:t>h</w:t>
      </w:r>
      <w:r w:rsidRPr="003F7D44">
        <w:rPr>
          <w:rFonts w:ascii="Arial" w:hAnsi="Arial" w:cs="Arial"/>
          <w:kern w:val="24"/>
        </w:rPr>
        <w:t xml:space="preserve">ighlighted the benefits that can be gained when employee engagement and customer engagement are in tandem. Gallup showed that organisations that achieved both had significantly better profits than those that focussed on one or the other. </w:t>
      </w:r>
    </w:p>
    <w:p w14:paraId="201F2157" w14:textId="71B845E2" w:rsidR="00E16117" w:rsidRPr="003F7D44" w:rsidRDefault="00E16117" w:rsidP="00E16117">
      <w:pPr>
        <w:autoSpaceDE w:val="0"/>
        <w:autoSpaceDN w:val="0"/>
        <w:adjustRightInd w:val="0"/>
        <w:rPr>
          <w:rFonts w:ascii="Arial" w:hAnsi="Arial" w:cs="Arial"/>
          <w:kern w:val="24"/>
        </w:rPr>
      </w:pPr>
      <w:r w:rsidRPr="003F7D44">
        <w:rPr>
          <w:rFonts w:ascii="Arial" w:hAnsi="Arial" w:cs="Arial"/>
          <w:kern w:val="24"/>
        </w:rPr>
        <w:t xml:space="preserve">This was also noted in a study by Hutchinson and Purcell (2003) who observed four </w:t>
      </w:r>
      <w:r w:rsidR="00626279">
        <w:rPr>
          <w:rFonts w:ascii="Arial" w:hAnsi="Arial" w:cs="Arial"/>
          <w:kern w:val="24"/>
        </w:rPr>
        <w:t xml:space="preserve">UK </w:t>
      </w:r>
      <w:r w:rsidRPr="003F7D44">
        <w:rPr>
          <w:rFonts w:ascii="Arial" w:hAnsi="Arial" w:cs="Arial"/>
          <w:kern w:val="24"/>
        </w:rPr>
        <w:t>Tesco stores. One manager from a low scoring store changed the way of working from top-down and gave employees freedom to respond to customer needs, This resulted in changing rooms filling up, staff moved to the tills in readiness for the expected sales, which pleased the customers who did not have to wait long to purchase the items, thus making the employees happier as they were contributing to the customer satisfaction.</w:t>
      </w:r>
    </w:p>
    <w:p w14:paraId="00DE8247" w14:textId="0DF0CD98" w:rsidR="00102F59" w:rsidRDefault="00E16117" w:rsidP="00E16117">
      <w:pPr>
        <w:autoSpaceDE w:val="0"/>
        <w:autoSpaceDN w:val="0"/>
        <w:adjustRightInd w:val="0"/>
        <w:rPr>
          <w:rFonts w:ascii="Arial" w:hAnsi="Arial" w:cs="Arial"/>
          <w:kern w:val="24"/>
        </w:rPr>
      </w:pPr>
      <w:r w:rsidRPr="003F7D44">
        <w:rPr>
          <w:rFonts w:ascii="Arial" w:hAnsi="Arial" w:cs="Arial"/>
          <w:kern w:val="24"/>
        </w:rPr>
        <w:t>A study by Google of the Ni</w:t>
      </w:r>
      <w:r w:rsidR="00A2479F" w:rsidRPr="003F7D44">
        <w:rPr>
          <w:rFonts w:ascii="Arial" w:hAnsi="Arial" w:cs="Arial"/>
          <w:kern w:val="24"/>
        </w:rPr>
        <w:t>k</w:t>
      </w:r>
      <w:r w:rsidRPr="003F7D44">
        <w:rPr>
          <w:rFonts w:ascii="Arial" w:hAnsi="Arial" w:cs="Arial"/>
          <w:kern w:val="24"/>
        </w:rPr>
        <w:t>e organisation of two of its plants in Mexico:</w:t>
      </w:r>
    </w:p>
    <w:p w14:paraId="595B3612" w14:textId="3BC3DAA1" w:rsidR="00102F59" w:rsidRPr="003F7D44" w:rsidRDefault="006D45E4" w:rsidP="00E16117">
      <w:pPr>
        <w:autoSpaceDE w:val="0"/>
        <w:autoSpaceDN w:val="0"/>
        <w:adjustRightInd w:val="0"/>
        <w:rPr>
          <w:rFonts w:ascii="Arial" w:hAnsi="Arial" w:cs="Arial"/>
          <w:kern w:val="24"/>
        </w:rPr>
      </w:pPr>
      <w:r>
        <w:rPr>
          <w:rFonts w:ascii="Arial" w:hAnsi="Arial" w:cs="Arial"/>
          <w:noProof/>
          <w:kern w:val="24"/>
        </w:rPr>
        <w:lastRenderedPageBreak/>
        <w:drawing>
          <wp:inline distT="0" distB="0" distL="0" distR="0" wp14:anchorId="4455AB3D" wp14:editId="2B8CBE58">
            <wp:extent cx="5486400" cy="906780"/>
            <wp:effectExtent l="0" t="0" r="19050" b="2667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179EDCF" w14:textId="77777777" w:rsidR="00E16117" w:rsidRPr="003F7D44" w:rsidRDefault="00E16117" w:rsidP="00E16117">
      <w:pPr>
        <w:autoSpaceDE w:val="0"/>
        <w:autoSpaceDN w:val="0"/>
        <w:adjustRightInd w:val="0"/>
        <w:rPr>
          <w:rFonts w:ascii="Arial" w:hAnsi="Arial" w:cs="Arial"/>
        </w:rPr>
      </w:pPr>
      <w:r w:rsidRPr="003F7D44">
        <w:rPr>
          <w:rFonts w:ascii="Arial" w:hAnsi="Arial" w:cs="Arial"/>
        </w:rPr>
        <w:t>This links to the John Whitmore (2020) predictions of a shift from command and control leadership style to a more distributed leadership style.</w:t>
      </w:r>
    </w:p>
    <w:p w14:paraId="7DA4F39D" w14:textId="77777777" w:rsidR="00E16117" w:rsidRPr="003F7D44" w:rsidRDefault="00E16117" w:rsidP="00E16117">
      <w:pPr>
        <w:autoSpaceDE w:val="0"/>
        <w:autoSpaceDN w:val="0"/>
        <w:adjustRightInd w:val="0"/>
        <w:rPr>
          <w:rFonts w:ascii="Arial" w:hAnsi="Arial" w:cs="Arial"/>
        </w:rPr>
      </w:pPr>
      <w:r w:rsidRPr="003F7D44">
        <w:rPr>
          <w:rFonts w:ascii="Arial" w:hAnsi="Arial" w:cs="Arial"/>
        </w:rPr>
        <w:t xml:space="preserve">The evidence appears conclusive, that having </w:t>
      </w:r>
      <w:r w:rsidRPr="003F7D44">
        <w:rPr>
          <w:rFonts w:ascii="Arial" w:eastAsiaTheme="minorHAnsi" w:hAnsi="Arial" w:cs="Arial"/>
          <w:lang w:eastAsia="en-US"/>
        </w:rPr>
        <w:t xml:space="preserve">HR objectives linking directly with organisational strategy can have a positive effect on an organisations’ overall effectiveness. Having good HR practices and promoting employee behaviour is key to facilitating improved business performance. Organisations approach to strategy formation vary depending on the type of organisation they operate in, the culture, management style. </w:t>
      </w:r>
    </w:p>
    <w:p w14:paraId="3C22D0EF" w14:textId="77777777" w:rsidR="00E16117" w:rsidRPr="003F7D44" w:rsidRDefault="00E16117" w:rsidP="00E16117">
      <w:pPr>
        <w:spacing w:after="160" w:line="259" w:lineRule="auto"/>
        <w:rPr>
          <w:rFonts w:ascii="Arial" w:eastAsiaTheme="minorHAnsi" w:hAnsi="Arial" w:cs="Arial"/>
          <w:lang w:eastAsia="en-US"/>
        </w:rPr>
      </w:pPr>
      <w:r w:rsidRPr="003F7D44">
        <w:rPr>
          <w:rFonts w:ascii="Arial" w:eastAsiaTheme="minorHAnsi" w:hAnsi="Arial" w:cs="Arial"/>
          <w:lang w:eastAsia="en-US"/>
        </w:rPr>
        <w:t>Effective HR strategies need an ‘external fit’ and be vertically aligned with business strategies. Vertical integration refers to the links between both strategies and external contexts. Additionally, there is a requirement for an ‘internal fit’ between HR strategies. This horizontal integration means HR policies and practices need to be consistent and compatible. Greater vertical-horizontal integration leads to more effective HR strategy.</w:t>
      </w:r>
    </w:p>
    <w:p w14:paraId="1EB64741" w14:textId="377C0F04" w:rsidR="00E16117" w:rsidRPr="003F7D44" w:rsidRDefault="00E16117" w:rsidP="00E16117">
      <w:pPr>
        <w:spacing w:after="160" w:line="259" w:lineRule="auto"/>
        <w:rPr>
          <w:rFonts w:ascii="Arial" w:eastAsiaTheme="minorHAnsi" w:hAnsi="Arial" w:cs="Arial"/>
          <w:lang w:eastAsia="en-US"/>
        </w:rPr>
      </w:pPr>
      <w:r w:rsidRPr="003F7D44">
        <w:rPr>
          <w:rFonts w:ascii="Arial" w:eastAsiaTheme="minorHAnsi" w:hAnsi="Arial" w:cs="Arial"/>
          <w:lang w:eastAsia="en-US"/>
        </w:rPr>
        <w:t>However, it should be noted that there are other factors both internal and external that could contribute to organisational effectiveness (Johns and Ellis, 2016).</w:t>
      </w:r>
    </w:p>
    <w:p w14:paraId="525617A5" w14:textId="0D62FE30" w:rsidR="00E16117" w:rsidRPr="003F7D44" w:rsidRDefault="00E16117" w:rsidP="00522343">
      <w:pPr>
        <w:autoSpaceDE w:val="0"/>
        <w:autoSpaceDN w:val="0"/>
        <w:adjustRightInd w:val="0"/>
        <w:rPr>
          <w:rFonts w:ascii="Arial" w:hAnsi="Arial" w:cs="Arial"/>
        </w:rPr>
      </w:pPr>
      <w:r w:rsidRPr="003F7D44">
        <w:rPr>
          <w:rFonts w:ascii="Arial" w:hAnsi="Arial" w:cs="Arial"/>
          <w:lang w:val="en"/>
        </w:rPr>
        <w:t>The studies may ‘</w:t>
      </w:r>
      <w:r w:rsidRPr="003F7D44">
        <w:rPr>
          <w:rFonts w:ascii="Arial" w:hAnsi="Arial" w:cs="Arial"/>
          <w:i/>
          <w:iCs/>
          <w:lang w:val="en"/>
        </w:rPr>
        <w:t xml:space="preserve">reflect that employee engagement contributes to performance, but it could equally be the other way round – people feel more engaged if they work in successful teams or organisations’ </w:t>
      </w:r>
      <w:r w:rsidRPr="003F7D44">
        <w:rPr>
          <w:rFonts w:ascii="Arial" w:hAnsi="Arial" w:cs="Arial"/>
          <w:lang w:val="en"/>
        </w:rPr>
        <w:t>(CIPD, 2019).</w:t>
      </w:r>
    </w:p>
    <w:p w14:paraId="43AF4CFC" w14:textId="77777777" w:rsidR="00E16117" w:rsidRPr="003F7D44" w:rsidRDefault="00E16117" w:rsidP="00E16117">
      <w:pPr>
        <w:spacing w:after="150" w:line="330" w:lineRule="atLeast"/>
        <w:rPr>
          <w:rFonts w:ascii="Arial" w:eastAsia="Times New Roman" w:hAnsi="Arial" w:cs="Arial"/>
        </w:rPr>
      </w:pPr>
      <w:r w:rsidRPr="003F7D44">
        <w:rPr>
          <w:rFonts w:ascii="Arial" w:eastAsia="Times New Roman" w:hAnsi="Arial" w:cs="Arial"/>
        </w:rPr>
        <w:t>Engagement levels can have an impact on several stakeholders such as:</w:t>
      </w:r>
    </w:p>
    <w:p w14:paraId="37293EA2" w14:textId="1253EF63" w:rsidR="00E16117" w:rsidRPr="003F7D44" w:rsidRDefault="00E16117" w:rsidP="00E16117">
      <w:pPr>
        <w:spacing w:after="150" w:line="330" w:lineRule="atLeast"/>
        <w:rPr>
          <w:rFonts w:ascii="Arial" w:eastAsia="Times New Roman" w:hAnsi="Arial" w:cs="Arial"/>
        </w:rPr>
      </w:pPr>
      <w:r w:rsidRPr="003F7D44">
        <w:rPr>
          <w:rFonts w:ascii="Arial" w:eastAsia="Times New Roman" w:hAnsi="Arial" w:cs="Arial"/>
        </w:rPr>
        <w:t>Line managers play an important role in employee engagement, by creating a respectful and trusting relationship with their teams, communicating organisational values and expectations for the day-to-day business of the company. Line managers are usually accountable for engagement levels</w:t>
      </w:r>
      <w:r w:rsidR="001E258D">
        <w:rPr>
          <w:rFonts w:ascii="Arial" w:eastAsia="Times New Roman" w:hAnsi="Arial" w:cs="Arial"/>
        </w:rPr>
        <w:t>,</w:t>
      </w:r>
      <w:r w:rsidRPr="003F7D44">
        <w:rPr>
          <w:rFonts w:ascii="Arial" w:eastAsia="Times New Roman" w:hAnsi="Arial" w:cs="Arial"/>
        </w:rPr>
        <w:t xml:space="preserve"> therefore need to be trained appropriately for their expanded roles. Having an engaged team will ensure the manager fulfils their role in people management but also meets any targets</w:t>
      </w:r>
      <w:r w:rsidR="00862B69">
        <w:rPr>
          <w:rFonts w:ascii="Arial" w:eastAsia="Times New Roman" w:hAnsi="Arial" w:cs="Arial"/>
        </w:rPr>
        <w:t>/</w:t>
      </w:r>
      <w:r w:rsidRPr="003F7D44">
        <w:rPr>
          <w:rFonts w:ascii="Arial" w:eastAsia="Times New Roman" w:hAnsi="Arial" w:cs="Arial"/>
        </w:rPr>
        <w:t>organisational objectives.</w:t>
      </w:r>
    </w:p>
    <w:p w14:paraId="7A5F1C5E" w14:textId="77777777" w:rsidR="009434F3" w:rsidRDefault="00E16117" w:rsidP="001B00CC">
      <w:pPr>
        <w:autoSpaceDE w:val="0"/>
        <w:autoSpaceDN w:val="0"/>
        <w:adjustRightInd w:val="0"/>
        <w:rPr>
          <w:rFonts w:ascii="Arial" w:hAnsi="Arial" w:cs="Arial"/>
        </w:rPr>
      </w:pPr>
      <w:r w:rsidRPr="003F7D44">
        <w:rPr>
          <w:rFonts w:ascii="Arial" w:hAnsi="Arial" w:cs="Arial"/>
        </w:rPr>
        <w:t>Employees and society now have an increasing say in how organisations operate due to the widespread use of social media. Sites such as Glassdoor allow current and former employees to review organisations</w:t>
      </w:r>
      <w:r w:rsidR="0082512C">
        <w:rPr>
          <w:rFonts w:ascii="Arial" w:hAnsi="Arial" w:cs="Arial"/>
        </w:rPr>
        <w:t>,</w:t>
      </w:r>
      <w:r w:rsidRPr="003F7D44">
        <w:rPr>
          <w:rFonts w:ascii="Arial" w:hAnsi="Arial" w:cs="Arial"/>
        </w:rPr>
        <w:t xml:space="preserve"> mean companies must ensure they engage their employees successfully in order to avoid their organisation and brand being damaged.</w:t>
      </w:r>
    </w:p>
    <w:p w14:paraId="225736FD" w14:textId="506E5EC5" w:rsidR="009D4ABC" w:rsidRPr="003F7D44" w:rsidRDefault="00E16117" w:rsidP="001B00CC">
      <w:pPr>
        <w:autoSpaceDE w:val="0"/>
        <w:autoSpaceDN w:val="0"/>
        <w:adjustRightInd w:val="0"/>
        <w:rPr>
          <w:rFonts w:ascii="Arial" w:hAnsi="Arial" w:cs="Arial"/>
        </w:rPr>
      </w:pPr>
      <w:r w:rsidRPr="003F7D44">
        <w:rPr>
          <w:rFonts w:ascii="Arial" w:hAnsi="Arial" w:cs="Arial"/>
        </w:rPr>
        <w:t xml:space="preserve">In recent years social activism is increasing and brought legislative changes with the introduction of Living Wage, </w:t>
      </w:r>
      <w:r w:rsidRPr="003F7D44">
        <w:rPr>
          <w:rFonts w:ascii="Arial" w:hAnsi="Arial" w:cs="Arial"/>
          <w:spacing w:val="2"/>
          <w:shd w:val="clear" w:color="auto" w:fill="FFFFFF"/>
        </w:rPr>
        <w:t>the movement began in East London, br</w:t>
      </w:r>
      <w:r w:rsidR="002B10B6">
        <w:rPr>
          <w:rFonts w:ascii="Arial" w:hAnsi="Arial" w:cs="Arial"/>
          <w:spacing w:val="2"/>
          <w:shd w:val="clear" w:color="auto" w:fill="FFFFFF"/>
        </w:rPr>
        <w:t>inging</w:t>
      </w:r>
      <w:r w:rsidRPr="003F7D44">
        <w:rPr>
          <w:rFonts w:ascii="Arial" w:hAnsi="Arial" w:cs="Arial"/>
          <w:spacing w:val="2"/>
          <w:shd w:val="clear" w:color="auto" w:fill="FFFFFF"/>
        </w:rPr>
        <w:t xml:space="preserve"> together churches</w:t>
      </w:r>
      <w:r w:rsidR="0082512C">
        <w:rPr>
          <w:rFonts w:ascii="Arial" w:hAnsi="Arial" w:cs="Arial"/>
          <w:spacing w:val="2"/>
          <w:shd w:val="clear" w:color="auto" w:fill="FFFFFF"/>
        </w:rPr>
        <w:t>/</w:t>
      </w:r>
      <w:r w:rsidRPr="003F7D44">
        <w:rPr>
          <w:rFonts w:ascii="Arial" w:hAnsi="Arial" w:cs="Arial"/>
          <w:spacing w:val="2"/>
          <w:shd w:val="clear" w:color="auto" w:fill="FFFFFF"/>
        </w:rPr>
        <w:t>mosques</w:t>
      </w:r>
      <w:r w:rsidR="0082512C">
        <w:rPr>
          <w:rFonts w:ascii="Arial" w:hAnsi="Arial" w:cs="Arial"/>
          <w:spacing w:val="2"/>
          <w:shd w:val="clear" w:color="auto" w:fill="FFFFFF"/>
        </w:rPr>
        <w:t>/</w:t>
      </w:r>
      <w:r w:rsidRPr="003F7D44">
        <w:rPr>
          <w:rFonts w:ascii="Arial" w:hAnsi="Arial" w:cs="Arial"/>
          <w:spacing w:val="2"/>
          <w:shd w:val="clear" w:color="auto" w:fill="FFFFFF"/>
        </w:rPr>
        <w:t>schools and other local institutions to talk about the issues affecting their communities, such as low pay. Employees benefited by now being paid an appropriate rate for the work they undertake.</w:t>
      </w:r>
    </w:p>
    <w:p w14:paraId="0EB15A3F" w14:textId="465E1797" w:rsidR="00C03D78" w:rsidRDefault="00B94986" w:rsidP="003C26B0">
      <w:pPr>
        <w:pStyle w:val="NormalWeb"/>
        <w:spacing w:before="0" w:beforeAutospacing="0" w:after="0" w:afterAutospacing="0"/>
        <w:rPr>
          <w:rFonts w:ascii="Arial" w:hAnsi="Arial" w:cs="Arial"/>
          <w:sz w:val="22"/>
          <w:szCs w:val="22"/>
        </w:rPr>
      </w:pPr>
      <w:r w:rsidRPr="003F7D44">
        <w:rPr>
          <w:rFonts w:ascii="Arial" w:hAnsi="Arial" w:cs="Arial"/>
          <w:sz w:val="22"/>
          <w:szCs w:val="22"/>
        </w:rPr>
        <w:t>There are many different sources o</w:t>
      </w:r>
      <w:r w:rsidR="009D4ABC" w:rsidRPr="003F7D44">
        <w:rPr>
          <w:rFonts w:ascii="Arial" w:hAnsi="Arial" w:cs="Arial"/>
          <w:sz w:val="22"/>
          <w:szCs w:val="22"/>
        </w:rPr>
        <w:t>f employe</w:t>
      </w:r>
      <w:r w:rsidRPr="003F7D44">
        <w:rPr>
          <w:rFonts w:ascii="Arial" w:hAnsi="Arial" w:cs="Arial"/>
          <w:sz w:val="22"/>
          <w:szCs w:val="22"/>
        </w:rPr>
        <w:t xml:space="preserve">e engagement data, such </w:t>
      </w:r>
      <w:r w:rsidR="00500DDD" w:rsidRPr="003F7D44">
        <w:rPr>
          <w:rFonts w:ascii="Arial" w:hAnsi="Arial" w:cs="Arial"/>
          <w:sz w:val="22"/>
          <w:szCs w:val="22"/>
        </w:rPr>
        <w:t xml:space="preserve">ONS </w:t>
      </w:r>
      <w:r w:rsidRPr="003F7D44">
        <w:rPr>
          <w:rFonts w:ascii="Arial" w:hAnsi="Arial" w:cs="Arial"/>
          <w:sz w:val="22"/>
          <w:szCs w:val="22"/>
        </w:rPr>
        <w:t xml:space="preserve">workforce </w:t>
      </w:r>
      <w:r w:rsidR="00500DDD" w:rsidRPr="003F7D44">
        <w:rPr>
          <w:rFonts w:ascii="Arial" w:hAnsi="Arial" w:cs="Arial"/>
          <w:sz w:val="22"/>
          <w:szCs w:val="22"/>
        </w:rPr>
        <w:t xml:space="preserve">quarterly </w:t>
      </w:r>
      <w:r w:rsidRPr="003F7D44">
        <w:rPr>
          <w:rFonts w:ascii="Arial" w:hAnsi="Arial" w:cs="Arial"/>
          <w:sz w:val="22"/>
          <w:szCs w:val="22"/>
        </w:rPr>
        <w:t xml:space="preserve">and annual </w:t>
      </w:r>
      <w:r w:rsidR="00500DDD" w:rsidRPr="003F7D44">
        <w:rPr>
          <w:rFonts w:ascii="Arial" w:hAnsi="Arial" w:cs="Arial"/>
          <w:sz w:val="22"/>
          <w:szCs w:val="22"/>
        </w:rPr>
        <w:t>survey</w:t>
      </w:r>
      <w:r w:rsidRPr="003F7D44">
        <w:rPr>
          <w:rFonts w:ascii="Arial" w:hAnsi="Arial" w:cs="Arial"/>
          <w:sz w:val="22"/>
          <w:szCs w:val="22"/>
        </w:rPr>
        <w:t>s, IES studies, CIPD studies</w:t>
      </w:r>
      <w:r w:rsidR="009D4ABC" w:rsidRPr="003F7D44">
        <w:rPr>
          <w:rFonts w:ascii="Arial" w:hAnsi="Arial" w:cs="Arial"/>
          <w:sz w:val="22"/>
          <w:szCs w:val="22"/>
        </w:rPr>
        <w:t>, Good Work Plan</w:t>
      </w:r>
      <w:r w:rsidRPr="003F7D44">
        <w:rPr>
          <w:rFonts w:ascii="Arial" w:hAnsi="Arial" w:cs="Arial"/>
          <w:sz w:val="22"/>
          <w:szCs w:val="22"/>
        </w:rPr>
        <w:t>. These concentrate on national data and can be used to compare sector specific data</w:t>
      </w:r>
      <w:r w:rsidR="009D4ABC" w:rsidRPr="003F7D44">
        <w:rPr>
          <w:rFonts w:ascii="Arial" w:hAnsi="Arial" w:cs="Arial"/>
          <w:sz w:val="22"/>
          <w:szCs w:val="22"/>
        </w:rPr>
        <w:t xml:space="preserve"> and the </w:t>
      </w:r>
      <w:r w:rsidR="009D4ABC" w:rsidRPr="003F7D44">
        <w:rPr>
          <w:rFonts w:ascii="Arial" w:hAnsi="Arial" w:cs="Arial"/>
          <w:sz w:val="22"/>
          <w:szCs w:val="22"/>
        </w:rPr>
        <w:lastRenderedPageBreak/>
        <w:t>results have even seen legislative changes being brought in</w:t>
      </w:r>
      <w:r w:rsidRPr="003F7D44">
        <w:rPr>
          <w:rFonts w:ascii="Arial" w:hAnsi="Arial" w:cs="Arial"/>
          <w:sz w:val="22"/>
          <w:szCs w:val="22"/>
        </w:rPr>
        <w:t xml:space="preserve">. Organisational data is available through turnover rates, absence statistics, annual staff surveys, </w:t>
      </w:r>
      <w:r w:rsidR="00B37ACD" w:rsidRPr="003F7D44">
        <w:rPr>
          <w:rFonts w:ascii="Arial" w:hAnsi="Arial" w:cs="Arial"/>
          <w:sz w:val="22"/>
          <w:szCs w:val="22"/>
        </w:rPr>
        <w:t>organisational performance.</w:t>
      </w:r>
    </w:p>
    <w:p w14:paraId="22BBE655" w14:textId="77777777" w:rsidR="003C26B0" w:rsidRPr="003C26B0" w:rsidRDefault="003C26B0" w:rsidP="003C26B0">
      <w:pPr>
        <w:pStyle w:val="NormalWeb"/>
        <w:spacing w:before="0" w:beforeAutospacing="0" w:after="0" w:afterAutospacing="0"/>
        <w:rPr>
          <w:rFonts w:ascii="Arial" w:hAnsi="Arial" w:cs="Arial"/>
          <w:sz w:val="22"/>
          <w:szCs w:val="22"/>
        </w:rPr>
      </w:pPr>
    </w:p>
    <w:p w14:paraId="64F61607" w14:textId="6469CBF2" w:rsidR="00F570C7" w:rsidRPr="003F7D44" w:rsidRDefault="00F570C7" w:rsidP="00F570C7">
      <w:pPr>
        <w:autoSpaceDE w:val="0"/>
        <w:autoSpaceDN w:val="0"/>
        <w:adjustRightInd w:val="0"/>
        <w:rPr>
          <w:rFonts w:ascii="Arial" w:hAnsi="Arial" w:cs="Arial"/>
        </w:rPr>
      </w:pPr>
      <w:r w:rsidRPr="003F7D44">
        <w:rPr>
          <w:rFonts w:ascii="Arial" w:hAnsi="Arial" w:cs="Arial"/>
        </w:rPr>
        <w:t>Research form the CIPD Employee Outlook Survey indicates employee engagement is stable at around 35-39% reporting that they are engaged’. In order to establish a national benchmark that employers could measure against, the CIPD in 2009 commissioned Kingston University and Ipsos/MORI to undertake a national survey of employee engagement amongst the UK workforce. Research found ‘</w:t>
      </w:r>
      <w:r w:rsidRPr="003F7D44">
        <w:rPr>
          <w:rFonts w:ascii="Arial" w:hAnsi="Arial" w:cs="Arial"/>
          <w:i/>
          <w:iCs/>
        </w:rPr>
        <w:t xml:space="preserve">there is a significant gap between levels of engagement among UK employees and those that would produce optimum performance’ </w:t>
      </w:r>
      <w:r w:rsidRPr="003F7D44">
        <w:rPr>
          <w:rFonts w:ascii="Arial" w:hAnsi="Arial" w:cs="Arial"/>
        </w:rPr>
        <w:t xml:space="preserve">(CIPD, 2009). </w:t>
      </w:r>
    </w:p>
    <w:p w14:paraId="4FB7E5A8" w14:textId="6EC1789E" w:rsidR="00F570C7" w:rsidRDefault="00F570C7" w:rsidP="00F570C7">
      <w:pPr>
        <w:autoSpaceDE w:val="0"/>
        <w:autoSpaceDN w:val="0"/>
        <w:adjustRightInd w:val="0"/>
        <w:rPr>
          <w:rFonts w:ascii="Arial" w:hAnsi="Arial" w:cs="Arial"/>
        </w:rPr>
      </w:pPr>
      <w:r w:rsidRPr="003F7D44">
        <w:rPr>
          <w:rFonts w:ascii="Arial" w:hAnsi="Arial" w:cs="Arial"/>
        </w:rPr>
        <w:t>Results from the report found a third of employees were engaged in their work and could be broken down into three dimensions:</w:t>
      </w:r>
    </w:p>
    <w:p w14:paraId="382C1564" w14:textId="66BB422C" w:rsidR="00425C44" w:rsidRPr="003F7D44" w:rsidRDefault="00425C44" w:rsidP="00F570C7">
      <w:pPr>
        <w:autoSpaceDE w:val="0"/>
        <w:autoSpaceDN w:val="0"/>
        <w:adjustRightInd w:val="0"/>
        <w:rPr>
          <w:rFonts w:ascii="Arial" w:hAnsi="Arial" w:cs="Arial"/>
        </w:rPr>
      </w:pPr>
      <w:r>
        <w:rPr>
          <w:rFonts w:ascii="Arial" w:hAnsi="Arial" w:cs="Arial"/>
          <w:noProof/>
        </w:rPr>
        <w:drawing>
          <wp:inline distT="0" distB="0" distL="0" distR="0" wp14:anchorId="38E673EB" wp14:editId="4F976E6E">
            <wp:extent cx="6126480" cy="1211580"/>
            <wp:effectExtent l="0" t="0" r="7620" b="762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10477DFB" w14:textId="77777777" w:rsidR="00F570C7" w:rsidRPr="003F7D44" w:rsidRDefault="00F570C7" w:rsidP="00F570C7">
      <w:pPr>
        <w:autoSpaceDE w:val="0"/>
        <w:autoSpaceDN w:val="0"/>
        <w:adjustRightInd w:val="0"/>
        <w:rPr>
          <w:rFonts w:ascii="Arial" w:hAnsi="Arial" w:cs="Arial"/>
        </w:rPr>
      </w:pPr>
      <w:r w:rsidRPr="003F7D44">
        <w:rPr>
          <w:rFonts w:ascii="Arial" w:hAnsi="Arial" w:cs="Arial"/>
        </w:rPr>
        <w:t>Other results reflected that:</w:t>
      </w:r>
    </w:p>
    <w:p w14:paraId="21B8CD25" w14:textId="77777777" w:rsidR="00F570C7" w:rsidRPr="003F7D44" w:rsidRDefault="00F570C7" w:rsidP="00F570C7">
      <w:pPr>
        <w:pStyle w:val="ListParagraph"/>
        <w:numPr>
          <w:ilvl w:val="0"/>
          <w:numId w:val="15"/>
        </w:numPr>
        <w:autoSpaceDE w:val="0"/>
        <w:autoSpaceDN w:val="0"/>
        <w:adjustRightInd w:val="0"/>
        <w:rPr>
          <w:rFonts w:ascii="Arial" w:hAnsi="Arial" w:cs="Arial"/>
        </w:rPr>
      </w:pPr>
      <w:r w:rsidRPr="003F7D44">
        <w:rPr>
          <w:rFonts w:ascii="Arial" w:hAnsi="Arial" w:cs="Arial"/>
        </w:rPr>
        <w:t>A higher % of woman than men were engaged with their work</w:t>
      </w:r>
    </w:p>
    <w:p w14:paraId="49A2B871" w14:textId="77777777" w:rsidR="00F570C7" w:rsidRPr="003F7D44" w:rsidRDefault="00F570C7" w:rsidP="00F570C7">
      <w:pPr>
        <w:pStyle w:val="ListParagraph"/>
        <w:numPr>
          <w:ilvl w:val="0"/>
          <w:numId w:val="15"/>
        </w:numPr>
        <w:autoSpaceDE w:val="0"/>
        <w:autoSpaceDN w:val="0"/>
        <w:adjustRightInd w:val="0"/>
        <w:rPr>
          <w:rFonts w:ascii="Arial" w:hAnsi="Arial" w:cs="Arial"/>
        </w:rPr>
      </w:pPr>
      <w:r w:rsidRPr="003F7D44">
        <w:rPr>
          <w:rFonts w:ascii="Arial" w:hAnsi="Arial" w:cs="Arial"/>
        </w:rPr>
        <w:t>Approx. 25% of under 35’s felt engaged compared to 40% of over 35’s</w:t>
      </w:r>
    </w:p>
    <w:p w14:paraId="028AA324" w14:textId="77777777" w:rsidR="00F570C7" w:rsidRPr="003F7D44" w:rsidRDefault="00F570C7" w:rsidP="00F570C7">
      <w:pPr>
        <w:pStyle w:val="ListParagraph"/>
        <w:numPr>
          <w:ilvl w:val="0"/>
          <w:numId w:val="15"/>
        </w:numPr>
        <w:autoSpaceDE w:val="0"/>
        <w:autoSpaceDN w:val="0"/>
        <w:adjustRightInd w:val="0"/>
        <w:rPr>
          <w:rFonts w:ascii="Arial" w:hAnsi="Arial" w:cs="Arial"/>
        </w:rPr>
      </w:pPr>
      <w:r w:rsidRPr="003F7D44">
        <w:rPr>
          <w:rFonts w:ascii="Arial" w:hAnsi="Arial" w:cs="Arial"/>
        </w:rPr>
        <w:t>Approx. 50% of managers were engaged compared to 30% of non-managers</w:t>
      </w:r>
    </w:p>
    <w:p w14:paraId="1BA1589F" w14:textId="77777777" w:rsidR="00F570C7" w:rsidRPr="003F7D44" w:rsidRDefault="00F570C7" w:rsidP="00F570C7">
      <w:pPr>
        <w:pStyle w:val="ListParagraph"/>
        <w:numPr>
          <w:ilvl w:val="0"/>
          <w:numId w:val="15"/>
        </w:numPr>
        <w:autoSpaceDE w:val="0"/>
        <w:autoSpaceDN w:val="0"/>
        <w:adjustRightInd w:val="0"/>
        <w:rPr>
          <w:rFonts w:ascii="Arial" w:hAnsi="Arial" w:cs="Arial"/>
        </w:rPr>
      </w:pPr>
      <w:r w:rsidRPr="003F7D44">
        <w:rPr>
          <w:rFonts w:ascii="Arial" w:hAnsi="Arial" w:cs="Arial"/>
        </w:rPr>
        <w:t>Those on flexible contracts were more emotionally engaged</w:t>
      </w:r>
    </w:p>
    <w:p w14:paraId="17D19C9D" w14:textId="77777777" w:rsidR="00F570C7" w:rsidRPr="003F7D44" w:rsidRDefault="00F570C7" w:rsidP="00F570C7">
      <w:pPr>
        <w:pStyle w:val="ListParagraph"/>
        <w:numPr>
          <w:ilvl w:val="0"/>
          <w:numId w:val="15"/>
        </w:numPr>
        <w:autoSpaceDE w:val="0"/>
        <w:autoSpaceDN w:val="0"/>
        <w:adjustRightInd w:val="0"/>
        <w:rPr>
          <w:rFonts w:ascii="Arial" w:hAnsi="Arial" w:cs="Arial"/>
        </w:rPr>
      </w:pPr>
      <w:r w:rsidRPr="003F7D44">
        <w:rPr>
          <w:rFonts w:ascii="Arial" w:hAnsi="Arial" w:cs="Arial"/>
        </w:rPr>
        <w:t xml:space="preserve">Public sector employees had less trust/confidence in their senior managers and felt they did not have a clear vision </w:t>
      </w:r>
    </w:p>
    <w:p w14:paraId="5F71FD23" w14:textId="6902E70A" w:rsidR="00F570C7" w:rsidRDefault="00F570C7" w:rsidP="00F570C7">
      <w:pPr>
        <w:autoSpaceDE w:val="0"/>
        <w:autoSpaceDN w:val="0"/>
        <w:adjustRightInd w:val="0"/>
        <w:rPr>
          <w:rFonts w:ascii="Arial" w:hAnsi="Arial" w:cs="Arial"/>
        </w:rPr>
      </w:pPr>
      <w:r w:rsidRPr="003F7D44">
        <w:rPr>
          <w:rFonts w:ascii="Arial" w:hAnsi="Arial" w:cs="Arial"/>
        </w:rPr>
        <w:t>Another report by Marcus Buckingham (2001) used the Gallup Q12 index, found that 80% of UK employees were not engaged. The results found three categories of employees:</w:t>
      </w:r>
    </w:p>
    <w:p w14:paraId="163DC8E7" w14:textId="5047FDA7" w:rsidR="00BC3D7B" w:rsidRPr="003F7D44" w:rsidRDefault="00BC3D7B" w:rsidP="00F570C7">
      <w:pPr>
        <w:autoSpaceDE w:val="0"/>
        <w:autoSpaceDN w:val="0"/>
        <w:adjustRightInd w:val="0"/>
        <w:rPr>
          <w:rFonts w:ascii="Arial" w:hAnsi="Arial" w:cs="Arial"/>
        </w:rPr>
      </w:pPr>
      <w:r>
        <w:rPr>
          <w:rFonts w:ascii="Arial" w:hAnsi="Arial" w:cs="Arial"/>
          <w:noProof/>
        </w:rPr>
        <w:drawing>
          <wp:inline distT="0" distB="0" distL="0" distR="0" wp14:anchorId="74DABD37" wp14:editId="60F84236">
            <wp:extent cx="6438900" cy="1668780"/>
            <wp:effectExtent l="0" t="0" r="0" b="762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0BAE463D" w14:textId="24381904" w:rsidR="00F570C7" w:rsidRPr="003F7D44" w:rsidRDefault="00F570C7" w:rsidP="00F570C7">
      <w:pPr>
        <w:autoSpaceDE w:val="0"/>
        <w:autoSpaceDN w:val="0"/>
        <w:adjustRightInd w:val="0"/>
        <w:rPr>
          <w:rFonts w:ascii="Arial" w:hAnsi="Arial" w:cs="Arial"/>
        </w:rPr>
      </w:pPr>
      <w:r w:rsidRPr="003F7D44">
        <w:rPr>
          <w:rFonts w:ascii="Arial" w:hAnsi="Arial" w:cs="Arial"/>
        </w:rPr>
        <w:t>Gallup also investigate</w:t>
      </w:r>
      <w:r w:rsidR="008A54D4">
        <w:rPr>
          <w:rFonts w:ascii="Arial" w:hAnsi="Arial" w:cs="Arial"/>
        </w:rPr>
        <w:t>d</w:t>
      </w:r>
      <w:r w:rsidRPr="003F7D44">
        <w:rPr>
          <w:rFonts w:ascii="Arial" w:hAnsi="Arial" w:cs="Arial"/>
        </w:rPr>
        <w:t xml:space="preserve"> absence/attendance figures in these groups and found that those in the engaged group missed on average 4.67 days a year, whereas those in the disengaged group missed 10.68 days on average. The employee turnover was lower in the engaged group compared to the disengaged group.</w:t>
      </w:r>
    </w:p>
    <w:p w14:paraId="37C93DC5" w14:textId="33AB68C8" w:rsidR="00F570C7" w:rsidRPr="003F7D44" w:rsidRDefault="00F570C7" w:rsidP="00F570C7">
      <w:pPr>
        <w:autoSpaceDE w:val="0"/>
        <w:autoSpaceDN w:val="0"/>
        <w:adjustRightInd w:val="0"/>
        <w:rPr>
          <w:rFonts w:ascii="Arial" w:hAnsi="Arial" w:cs="Arial"/>
        </w:rPr>
      </w:pPr>
      <w:r w:rsidRPr="003F7D44">
        <w:rPr>
          <w:rFonts w:ascii="Arial" w:hAnsi="Arial" w:cs="Arial"/>
        </w:rPr>
        <w:lastRenderedPageBreak/>
        <w:t>Findings also showed that the longer an employee was with an organisation the less engaged they became, which ‘</w:t>
      </w:r>
      <w:r w:rsidRPr="003F7D44">
        <w:rPr>
          <w:rFonts w:ascii="Arial" w:hAnsi="Arial" w:cs="Arial"/>
          <w:i/>
          <w:iCs/>
        </w:rPr>
        <w:t>contradicts the human capital advantage model that human capital is an asset that appreciates over time’</w:t>
      </w:r>
      <w:r w:rsidRPr="003F7D44">
        <w:rPr>
          <w:rFonts w:ascii="Arial" w:hAnsi="Arial" w:cs="Arial"/>
        </w:rPr>
        <w:t xml:space="preserve"> (Johns and Ellis, 2016), due to the knowledge</w:t>
      </w:r>
      <w:r w:rsidR="002D6735">
        <w:rPr>
          <w:rFonts w:ascii="Arial" w:hAnsi="Arial" w:cs="Arial"/>
        </w:rPr>
        <w:t>/</w:t>
      </w:r>
      <w:r w:rsidRPr="003F7D44">
        <w:rPr>
          <w:rFonts w:ascii="Arial" w:hAnsi="Arial" w:cs="Arial"/>
        </w:rPr>
        <w:t xml:space="preserve">experience that is gained over time. </w:t>
      </w:r>
      <w:r w:rsidR="002D6735">
        <w:rPr>
          <w:rFonts w:ascii="Arial" w:hAnsi="Arial" w:cs="Arial"/>
        </w:rPr>
        <w:t xml:space="preserve">Longer serving </w:t>
      </w:r>
      <w:r w:rsidRPr="003F7D44">
        <w:rPr>
          <w:rFonts w:ascii="Arial" w:hAnsi="Arial" w:cs="Arial"/>
        </w:rPr>
        <w:t>employees may have fewer challenges</w:t>
      </w:r>
      <w:r w:rsidR="002D6735">
        <w:rPr>
          <w:rFonts w:ascii="Arial" w:hAnsi="Arial" w:cs="Arial"/>
        </w:rPr>
        <w:t>/</w:t>
      </w:r>
      <w:r w:rsidRPr="003F7D44">
        <w:rPr>
          <w:rFonts w:ascii="Arial" w:hAnsi="Arial" w:cs="Arial"/>
        </w:rPr>
        <w:t>opportunities for learning, lives maybe more routine and engagement levels decrease.</w:t>
      </w:r>
    </w:p>
    <w:p w14:paraId="3E537D77" w14:textId="2C2A5555" w:rsidR="00F570C7" w:rsidRDefault="00F570C7" w:rsidP="00F570C7">
      <w:pPr>
        <w:autoSpaceDE w:val="0"/>
        <w:autoSpaceDN w:val="0"/>
        <w:adjustRightInd w:val="0"/>
        <w:rPr>
          <w:rFonts w:ascii="Arial" w:hAnsi="Arial" w:cs="Arial"/>
        </w:rPr>
      </w:pPr>
      <w:r w:rsidRPr="003F7D44">
        <w:rPr>
          <w:rFonts w:ascii="Arial" w:hAnsi="Arial" w:cs="Arial"/>
        </w:rPr>
        <w:t>The results indicate that engagement levels of UK employees are low, this could be explained by how the data is collected</w:t>
      </w:r>
      <w:r w:rsidR="002D6735">
        <w:rPr>
          <w:rFonts w:ascii="Arial" w:hAnsi="Arial" w:cs="Arial"/>
        </w:rPr>
        <w:t>/</w:t>
      </w:r>
      <w:r w:rsidRPr="003F7D44">
        <w:rPr>
          <w:rFonts w:ascii="Arial" w:hAnsi="Arial" w:cs="Arial"/>
        </w:rPr>
        <w:t>analysed. The main way of collecting the data is through engagement surveys, however, Purcell (2010) states there are three limitations with engagement surveys:</w:t>
      </w:r>
    </w:p>
    <w:p w14:paraId="6F185B18" w14:textId="7DA3621B" w:rsidR="00F338D6" w:rsidRPr="003F7D44" w:rsidRDefault="00F338D6" w:rsidP="00F570C7">
      <w:pPr>
        <w:autoSpaceDE w:val="0"/>
        <w:autoSpaceDN w:val="0"/>
        <w:adjustRightInd w:val="0"/>
        <w:rPr>
          <w:rFonts w:ascii="Arial" w:hAnsi="Arial" w:cs="Arial"/>
        </w:rPr>
      </w:pPr>
      <w:r>
        <w:rPr>
          <w:rFonts w:ascii="Arial" w:hAnsi="Arial" w:cs="Arial"/>
          <w:noProof/>
        </w:rPr>
        <w:drawing>
          <wp:inline distT="0" distB="0" distL="0" distR="0" wp14:anchorId="7FF7A4BC" wp14:editId="34175D3A">
            <wp:extent cx="5486400" cy="172212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4B91E314" w14:textId="77777777" w:rsidR="00C80213" w:rsidRDefault="00F570C7" w:rsidP="00F570C7">
      <w:pPr>
        <w:autoSpaceDE w:val="0"/>
        <w:autoSpaceDN w:val="0"/>
        <w:adjustRightInd w:val="0"/>
        <w:rPr>
          <w:rFonts w:ascii="Arial" w:hAnsi="Arial" w:cs="Arial"/>
        </w:rPr>
      </w:pPr>
      <w:r w:rsidRPr="003F7D44">
        <w:rPr>
          <w:rFonts w:ascii="Arial" w:hAnsi="Arial" w:cs="Arial"/>
        </w:rPr>
        <w:t xml:space="preserve">Although they may provide useful insights, it must be noted that not all those that partook may have been honest with their answers. According to Macleod and Clarke (2009) </w:t>
      </w:r>
      <w:r w:rsidRPr="003F7D44">
        <w:rPr>
          <w:rFonts w:ascii="Arial" w:hAnsi="Arial" w:cs="Arial"/>
          <w:i/>
          <w:iCs/>
        </w:rPr>
        <w:t>‘simply doing a survey and publishing the results is not the same as an engagement strategy’</w:t>
      </w:r>
      <w:r w:rsidRPr="003F7D44">
        <w:rPr>
          <w:rFonts w:ascii="Arial" w:hAnsi="Arial" w:cs="Arial"/>
        </w:rPr>
        <w:t xml:space="preserve">. </w:t>
      </w:r>
    </w:p>
    <w:p w14:paraId="57ADAFBB" w14:textId="477E1900" w:rsidR="00F570C7" w:rsidRPr="003F7D44" w:rsidRDefault="00F570C7" w:rsidP="00F570C7">
      <w:pPr>
        <w:autoSpaceDE w:val="0"/>
        <w:autoSpaceDN w:val="0"/>
        <w:adjustRightInd w:val="0"/>
        <w:rPr>
          <w:rFonts w:ascii="Arial" w:hAnsi="Arial" w:cs="Arial"/>
        </w:rPr>
      </w:pPr>
      <w:r w:rsidRPr="003F7D44">
        <w:rPr>
          <w:rFonts w:ascii="Arial" w:hAnsi="Arial" w:cs="Arial"/>
        </w:rPr>
        <w:t xml:space="preserve">Cattermole (2014, p31) </w:t>
      </w:r>
      <w:r w:rsidRPr="003F7D44">
        <w:rPr>
          <w:rFonts w:ascii="Arial" w:hAnsi="Arial" w:cs="Arial"/>
          <w:i/>
          <w:iCs/>
        </w:rPr>
        <w:t xml:space="preserve">‘argue that organisations place too much emphasis on external benchmarking, rather than using the tools to meet their specific business needs’. </w:t>
      </w:r>
      <w:r w:rsidRPr="003F7D44">
        <w:rPr>
          <w:rFonts w:ascii="Arial" w:hAnsi="Arial" w:cs="Arial"/>
        </w:rPr>
        <w:t>Cattermole (2014) sees these surveys as transactional rather than transformational and suggests that these need to be used in conjunction with other indicators such as turnover, absence rates, profitability, thus in turn overcoming Purcell (2010) limitations.</w:t>
      </w:r>
    </w:p>
    <w:p w14:paraId="3D3B74F2" w14:textId="761E12B4" w:rsidR="00F570C7" w:rsidRPr="003F7D44" w:rsidRDefault="00F570C7" w:rsidP="00F570C7">
      <w:pPr>
        <w:autoSpaceDE w:val="0"/>
        <w:autoSpaceDN w:val="0"/>
        <w:adjustRightInd w:val="0"/>
        <w:rPr>
          <w:rFonts w:ascii="Arial" w:hAnsi="Arial" w:cs="Arial"/>
        </w:rPr>
      </w:pPr>
      <w:r w:rsidRPr="003F7D44">
        <w:rPr>
          <w:rFonts w:ascii="Arial" w:hAnsi="Arial" w:cs="Arial"/>
        </w:rPr>
        <w:t>Silverman (2014) suggests a move away from traditional surveys and that social media can be used to increase knowledge of employee engagement levels, w</w:t>
      </w:r>
      <w:r w:rsidR="00A40B1C">
        <w:rPr>
          <w:rFonts w:ascii="Arial" w:hAnsi="Arial" w:cs="Arial"/>
        </w:rPr>
        <w:t xml:space="preserve">ith </w:t>
      </w:r>
      <w:r w:rsidRPr="003F7D44">
        <w:rPr>
          <w:rFonts w:ascii="Arial" w:hAnsi="Arial" w:cs="Arial"/>
        </w:rPr>
        <w:t>a more open and conversational manner.</w:t>
      </w:r>
    </w:p>
    <w:p w14:paraId="2D0243DA" w14:textId="77777777" w:rsidR="00F570C7" w:rsidRPr="003F7D44" w:rsidRDefault="00F570C7" w:rsidP="00F570C7">
      <w:pPr>
        <w:autoSpaceDE w:val="0"/>
        <w:autoSpaceDN w:val="0"/>
        <w:adjustRightInd w:val="0"/>
        <w:rPr>
          <w:rFonts w:ascii="Arial" w:hAnsi="Arial" w:cs="Arial"/>
        </w:rPr>
      </w:pPr>
      <w:r w:rsidRPr="003F7D44">
        <w:rPr>
          <w:rFonts w:ascii="Arial" w:hAnsi="Arial" w:cs="Arial"/>
        </w:rPr>
        <w:t>Research has evidenced that engagement can lead to detrimental implications for employees, linked to the following:</w:t>
      </w:r>
    </w:p>
    <w:p w14:paraId="4AF1D72A" w14:textId="77777777" w:rsidR="00F570C7" w:rsidRPr="003F7D44" w:rsidRDefault="00F570C7" w:rsidP="00F570C7">
      <w:pPr>
        <w:pStyle w:val="ListParagraph"/>
        <w:numPr>
          <w:ilvl w:val="0"/>
          <w:numId w:val="18"/>
        </w:numPr>
        <w:autoSpaceDE w:val="0"/>
        <w:autoSpaceDN w:val="0"/>
        <w:adjustRightInd w:val="0"/>
        <w:rPr>
          <w:rFonts w:ascii="Arial" w:hAnsi="Arial" w:cs="Arial"/>
        </w:rPr>
      </w:pPr>
      <w:r w:rsidRPr="003F7D44">
        <w:rPr>
          <w:rFonts w:ascii="Arial" w:hAnsi="Arial" w:cs="Arial"/>
        </w:rPr>
        <w:t xml:space="preserve">Burnout – according to Welbourne (2011, p97) engagement has a dark-side associated with </w:t>
      </w:r>
      <w:r w:rsidRPr="003F7D44">
        <w:rPr>
          <w:rFonts w:ascii="Arial" w:hAnsi="Arial" w:cs="Arial"/>
          <w:i/>
          <w:iCs/>
        </w:rPr>
        <w:t xml:space="preserve">‘burnout, health problems and disengagement’. </w:t>
      </w:r>
      <w:r w:rsidRPr="003F7D44">
        <w:rPr>
          <w:rFonts w:ascii="Arial" w:hAnsi="Arial" w:cs="Arial"/>
        </w:rPr>
        <w:t>Google introduced an experiment to assist employees in their Dublin office called ‘Dublin goes dark’ whereby all employees had to go home by 6pm.</w:t>
      </w:r>
    </w:p>
    <w:p w14:paraId="3AD83F59" w14:textId="4041C8A4" w:rsidR="00F570C7" w:rsidRPr="003F7D44" w:rsidRDefault="00F570C7" w:rsidP="00F570C7">
      <w:pPr>
        <w:pStyle w:val="ListParagraph"/>
        <w:numPr>
          <w:ilvl w:val="0"/>
          <w:numId w:val="18"/>
        </w:numPr>
        <w:autoSpaceDE w:val="0"/>
        <w:autoSpaceDN w:val="0"/>
        <w:adjustRightInd w:val="0"/>
        <w:rPr>
          <w:rFonts w:ascii="Arial" w:hAnsi="Arial" w:cs="Arial"/>
        </w:rPr>
      </w:pPr>
      <w:r w:rsidRPr="003F7D44">
        <w:rPr>
          <w:rFonts w:ascii="Arial" w:hAnsi="Arial" w:cs="Arial"/>
        </w:rPr>
        <w:t>Work intensification – Rees et al (2013) state that employers are exploiting employee’s discretionary effort, things such as unpaid overtime becoming the norm</w:t>
      </w:r>
    </w:p>
    <w:p w14:paraId="1503120D" w14:textId="7244C330" w:rsidR="00F570C7" w:rsidRPr="003F7D44" w:rsidRDefault="00F570C7" w:rsidP="00F570C7">
      <w:pPr>
        <w:pStyle w:val="ListParagraph"/>
        <w:numPr>
          <w:ilvl w:val="0"/>
          <w:numId w:val="18"/>
        </w:numPr>
        <w:autoSpaceDE w:val="0"/>
        <w:autoSpaceDN w:val="0"/>
        <w:adjustRightInd w:val="0"/>
        <w:rPr>
          <w:rFonts w:ascii="Arial" w:hAnsi="Arial" w:cs="Arial"/>
        </w:rPr>
      </w:pPr>
      <w:r w:rsidRPr="003F7D44">
        <w:rPr>
          <w:rFonts w:ascii="Arial" w:hAnsi="Arial" w:cs="Arial"/>
        </w:rPr>
        <w:t>Lack of work-life balance – according to Halbesleben (2011),</w:t>
      </w:r>
      <w:r w:rsidR="007E3B12">
        <w:rPr>
          <w:rFonts w:ascii="Arial" w:hAnsi="Arial" w:cs="Arial"/>
        </w:rPr>
        <w:t xml:space="preserve"> </w:t>
      </w:r>
      <w:r w:rsidRPr="003F7D44">
        <w:rPr>
          <w:rFonts w:ascii="Arial" w:hAnsi="Arial" w:cs="Arial"/>
        </w:rPr>
        <w:t>not all employees are able/willing to exhibit discretionary effort</w:t>
      </w:r>
      <w:r w:rsidR="007E3B12">
        <w:rPr>
          <w:rFonts w:ascii="Arial" w:hAnsi="Arial" w:cs="Arial"/>
        </w:rPr>
        <w:t xml:space="preserve"> due to other commitments</w:t>
      </w:r>
      <w:r w:rsidRPr="003F7D44">
        <w:rPr>
          <w:rFonts w:ascii="Arial" w:hAnsi="Arial" w:cs="Arial"/>
        </w:rPr>
        <w:t>. Employees who remote work find this especially difficult</w:t>
      </w:r>
      <w:r w:rsidR="007E3B12">
        <w:rPr>
          <w:rFonts w:ascii="Arial" w:hAnsi="Arial" w:cs="Arial"/>
        </w:rPr>
        <w:t xml:space="preserve">, </w:t>
      </w:r>
      <w:r w:rsidRPr="003F7D44">
        <w:rPr>
          <w:rFonts w:ascii="Arial" w:hAnsi="Arial" w:cs="Arial"/>
        </w:rPr>
        <w:t xml:space="preserve">seen more recently due to the Coronavirus </w:t>
      </w:r>
      <w:r w:rsidRPr="003F7D44">
        <w:rPr>
          <w:rFonts w:ascii="Arial" w:hAnsi="Arial" w:cs="Arial"/>
        </w:rPr>
        <w:lastRenderedPageBreak/>
        <w:t>pandemic whereby many are now home working, and no longer have the physical disconnect from the office.</w:t>
      </w:r>
    </w:p>
    <w:p w14:paraId="4E017C21" w14:textId="56A485A2" w:rsidR="00F570C7" w:rsidRPr="000A2FB7" w:rsidRDefault="00B13A82" w:rsidP="000A2FB7">
      <w:pPr>
        <w:autoSpaceDE w:val="0"/>
        <w:autoSpaceDN w:val="0"/>
        <w:adjustRightInd w:val="0"/>
        <w:rPr>
          <w:rFonts w:ascii="Arial" w:hAnsi="Arial" w:cs="Arial"/>
        </w:rPr>
      </w:pPr>
      <w:r>
        <w:rPr>
          <w:rFonts w:ascii="Arial" w:hAnsi="Arial" w:cs="Arial"/>
        </w:rPr>
        <w:t>A</w:t>
      </w:r>
      <w:r w:rsidR="00F570C7" w:rsidRPr="003F7D44">
        <w:rPr>
          <w:rFonts w:ascii="Arial" w:hAnsi="Arial" w:cs="Arial"/>
        </w:rPr>
        <w:t>n article by Deloitte (2013) ‘</w:t>
      </w:r>
      <w:r w:rsidR="00F570C7" w:rsidRPr="003F7D44">
        <w:rPr>
          <w:rFonts w:ascii="Arial" w:hAnsi="Arial" w:cs="Arial"/>
          <w:i/>
          <w:iCs/>
        </w:rPr>
        <w:t>when people worked for you, they came to your building in the morning and left at the end of the day, you saw/interacted with them, now with the increase in technology, globalisation workforces can be anywhere in the world’</w:t>
      </w:r>
    </w:p>
    <w:p w14:paraId="2D728DF3" w14:textId="77777777" w:rsidR="00F570C7" w:rsidRPr="003F7D44" w:rsidRDefault="00F570C7" w:rsidP="00F570C7">
      <w:pPr>
        <w:autoSpaceDE w:val="0"/>
        <w:autoSpaceDN w:val="0"/>
        <w:adjustRightInd w:val="0"/>
        <w:rPr>
          <w:rFonts w:ascii="Arial" w:hAnsi="Arial" w:cs="Arial"/>
        </w:rPr>
      </w:pPr>
      <w:r w:rsidRPr="003F7D44">
        <w:rPr>
          <w:rFonts w:ascii="Arial" w:hAnsi="Arial" w:cs="Arial"/>
        </w:rPr>
        <w:t>According to Guest (2015) to increase engagement levels a strategy consisting of the following is vital:</w:t>
      </w:r>
    </w:p>
    <w:p w14:paraId="1EBC7DDE" w14:textId="77777777" w:rsidR="00F570C7" w:rsidRPr="003F7D44" w:rsidRDefault="00F570C7" w:rsidP="00F570C7">
      <w:pPr>
        <w:pStyle w:val="ListParagraph"/>
        <w:numPr>
          <w:ilvl w:val="0"/>
          <w:numId w:val="19"/>
        </w:numPr>
        <w:autoSpaceDE w:val="0"/>
        <w:autoSpaceDN w:val="0"/>
        <w:adjustRightInd w:val="0"/>
        <w:rPr>
          <w:rFonts w:ascii="Arial" w:hAnsi="Arial" w:cs="Arial"/>
        </w:rPr>
      </w:pPr>
      <w:r w:rsidRPr="003F7D44">
        <w:rPr>
          <w:rFonts w:ascii="Arial" w:hAnsi="Arial" w:cs="Arial"/>
        </w:rPr>
        <w:t>Implementing engagement by managers/leaders promoting/communicating engagement values</w:t>
      </w:r>
    </w:p>
    <w:p w14:paraId="40357847" w14:textId="77777777" w:rsidR="00F570C7" w:rsidRPr="003F7D44" w:rsidRDefault="00F570C7" w:rsidP="00F570C7">
      <w:pPr>
        <w:pStyle w:val="ListParagraph"/>
        <w:numPr>
          <w:ilvl w:val="0"/>
          <w:numId w:val="19"/>
        </w:numPr>
        <w:autoSpaceDE w:val="0"/>
        <w:autoSpaceDN w:val="0"/>
        <w:adjustRightInd w:val="0"/>
        <w:rPr>
          <w:rFonts w:ascii="Arial" w:hAnsi="Arial" w:cs="Arial"/>
        </w:rPr>
      </w:pPr>
      <w:r w:rsidRPr="003F7D44">
        <w:rPr>
          <w:rFonts w:ascii="Arial" w:hAnsi="Arial" w:cs="Arial"/>
        </w:rPr>
        <w:t>Create/reinforce a climate of engagement by treating employees with fairness/trust</w:t>
      </w:r>
    </w:p>
    <w:p w14:paraId="5E541255" w14:textId="77777777" w:rsidR="00F570C7" w:rsidRPr="003F7D44" w:rsidRDefault="00F570C7" w:rsidP="00F570C7">
      <w:pPr>
        <w:pStyle w:val="ListParagraph"/>
        <w:numPr>
          <w:ilvl w:val="0"/>
          <w:numId w:val="19"/>
        </w:numPr>
        <w:autoSpaceDE w:val="0"/>
        <w:autoSpaceDN w:val="0"/>
        <w:adjustRightInd w:val="0"/>
        <w:rPr>
          <w:rFonts w:ascii="Arial" w:hAnsi="Arial" w:cs="Arial"/>
        </w:rPr>
      </w:pPr>
      <w:r w:rsidRPr="003F7D44">
        <w:rPr>
          <w:rFonts w:ascii="Arial" w:hAnsi="Arial" w:cs="Arial"/>
        </w:rPr>
        <w:t>Promote recruitment of employees who welcome engaging jobs, provide training/development and job autonomy</w:t>
      </w:r>
    </w:p>
    <w:p w14:paraId="4705A403" w14:textId="419961FE" w:rsidR="00F570C7" w:rsidRDefault="00F570C7" w:rsidP="00B83F29">
      <w:pPr>
        <w:pStyle w:val="ListParagraph"/>
        <w:numPr>
          <w:ilvl w:val="0"/>
          <w:numId w:val="19"/>
        </w:numPr>
        <w:autoSpaceDE w:val="0"/>
        <w:autoSpaceDN w:val="0"/>
        <w:adjustRightInd w:val="0"/>
        <w:rPr>
          <w:rFonts w:ascii="Arial" w:hAnsi="Arial" w:cs="Arial"/>
        </w:rPr>
      </w:pPr>
      <w:r w:rsidRPr="003F7D44">
        <w:rPr>
          <w:rFonts w:ascii="Arial" w:hAnsi="Arial" w:cs="Arial"/>
        </w:rPr>
        <w:t>Monitor progress through feedback</w:t>
      </w:r>
      <w:r w:rsidR="00F246CA">
        <w:rPr>
          <w:rFonts w:ascii="Arial" w:hAnsi="Arial" w:cs="Arial"/>
        </w:rPr>
        <w:t>/</w:t>
      </w:r>
      <w:r w:rsidRPr="003F7D44">
        <w:rPr>
          <w:rFonts w:ascii="Arial" w:hAnsi="Arial" w:cs="Arial"/>
        </w:rPr>
        <w:t>surveys and action planning</w:t>
      </w:r>
    </w:p>
    <w:p w14:paraId="32CF2150" w14:textId="0445C550" w:rsidR="00D24AAB" w:rsidRPr="003F7D44" w:rsidRDefault="00D24AAB" w:rsidP="000C1C5C">
      <w:pPr>
        <w:spacing w:after="0" w:line="240" w:lineRule="auto"/>
        <w:contextualSpacing/>
        <w:rPr>
          <w:rFonts w:ascii="Arial" w:hAnsi="Arial" w:cs="Arial"/>
          <w:kern w:val="24"/>
        </w:rPr>
      </w:pPr>
      <w:r w:rsidRPr="003F7D44">
        <w:rPr>
          <w:rFonts w:ascii="Arial" w:hAnsi="Arial" w:cs="Arial"/>
          <w:kern w:val="24"/>
        </w:rPr>
        <w:t>A</w:t>
      </w:r>
      <w:r w:rsidR="00854BB3" w:rsidRPr="003F7D44">
        <w:rPr>
          <w:rFonts w:ascii="Arial" w:hAnsi="Arial" w:cs="Arial"/>
          <w:kern w:val="24"/>
        </w:rPr>
        <w:t xml:space="preserve"> more recent</w:t>
      </w:r>
      <w:r w:rsidRPr="003F7D44">
        <w:rPr>
          <w:rFonts w:ascii="Arial" w:hAnsi="Arial" w:cs="Arial"/>
          <w:kern w:val="24"/>
        </w:rPr>
        <w:t xml:space="preserve"> </w:t>
      </w:r>
      <w:r w:rsidR="000C1C5C" w:rsidRPr="003F7D44">
        <w:rPr>
          <w:rFonts w:ascii="Arial" w:hAnsi="Arial" w:cs="Arial"/>
          <w:kern w:val="24"/>
        </w:rPr>
        <w:t>employee</w:t>
      </w:r>
      <w:r w:rsidRPr="003F7D44">
        <w:rPr>
          <w:rFonts w:ascii="Arial" w:hAnsi="Arial" w:cs="Arial"/>
          <w:kern w:val="24"/>
        </w:rPr>
        <w:t xml:space="preserve"> </w:t>
      </w:r>
      <w:r w:rsidR="000C1C5C" w:rsidRPr="003F7D44">
        <w:rPr>
          <w:rFonts w:ascii="Arial" w:hAnsi="Arial" w:cs="Arial"/>
          <w:kern w:val="24"/>
        </w:rPr>
        <w:t>job quality</w:t>
      </w:r>
      <w:r w:rsidRPr="003F7D44">
        <w:rPr>
          <w:rFonts w:ascii="Arial" w:hAnsi="Arial" w:cs="Arial"/>
          <w:kern w:val="24"/>
        </w:rPr>
        <w:t xml:space="preserve"> survey</w:t>
      </w:r>
      <w:r w:rsidR="000C1C5C" w:rsidRPr="003F7D44">
        <w:rPr>
          <w:rFonts w:ascii="Arial" w:hAnsi="Arial" w:cs="Arial"/>
          <w:kern w:val="24"/>
        </w:rPr>
        <w:t>, </w:t>
      </w:r>
      <w:hyperlink r:id="rId33" w:history="1">
        <w:r w:rsidR="000C1C5C" w:rsidRPr="003F7D44">
          <w:rPr>
            <w:rFonts w:ascii="Arial" w:hAnsi="Arial" w:cs="Arial"/>
            <w:kern w:val="24"/>
          </w:rPr>
          <w:t>UK Working Lives</w:t>
        </w:r>
      </w:hyperlink>
      <w:r w:rsidRPr="003F7D44">
        <w:rPr>
          <w:rFonts w:ascii="Arial" w:hAnsi="Arial" w:cs="Arial"/>
          <w:kern w:val="24"/>
        </w:rPr>
        <w:t xml:space="preserve"> (</w:t>
      </w:r>
      <w:r w:rsidR="000C1C5C" w:rsidRPr="003F7D44">
        <w:rPr>
          <w:rFonts w:ascii="Arial" w:hAnsi="Arial" w:cs="Arial"/>
          <w:kern w:val="24"/>
        </w:rPr>
        <w:t>2018</w:t>
      </w:r>
      <w:r w:rsidRPr="003F7D44">
        <w:rPr>
          <w:rFonts w:ascii="Arial" w:hAnsi="Arial" w:cs="Arial"/>
          <w:kern w:val="24"/>
        </w:rPr>
        <w:t>)</w:t>
      </w:r>
      <w:r w:rsidR="000C1C5C" w:rsidRPr="003F7D44">
        <w:rPr>
          <w:rFonts w:ascii="Arial" w:hAnsi="Arial" w:cs="Arial"/>
          <w:kern w:val="24"/>
        </w:rPr>
        <w:t xml:space="preserve">, </w:t>
      </w:r>
      <w:r w:rsidRPr="003F7D44">
        <w:rPr>
          <w:rFonts w:ascii="Arial" w:hAnsi="Arial" w:cs="Arial"/>
          <w:kern w:val="24"/>
        </w:rPr>
        <w:t>showed approx.</w:t>
      </w:r>
      <w:r w:rsidR="00A52168" w:rsidRPr="003F7D44">
        <w:rPr>
          <w:rFonts w:ascii="Arial" w:hAnsi="Arial" w:cs="Arial"/>
          <w:kern w:val="24"/>
        </w:rPr>
        <w:t xml:space="preserve"> </w:t>
      </w:r>
      <w:r w:rsidR="000C1C5C" w:rsidRPr="003F7D44">
        <w:rPr>
          <w:rFonts w:ascii="Arial" w:hAnsi="Arial" w:cs="Arial"/>
          <w:kern w:val="24"/>
        </w:rPr>
        <w:t>two-thirds of workers are satisfied with their jobs (18% ‘very satisfied’ and 46% ‘satisfied’), while</w:t>
      </w:r>
      <w:r w:rsidRPr="003F7D44">
        <w:rPr>
          <w:rFonts w:ascii="Arial" w:hAnsi="Arial" w:cs="Arial"/>
          <w:kern w:val="24"/>
        </w:rPr>
        <w:t xml:space="preserve"> </w:t>
      </w:r>
      <w:r w:rsidR="000C1C5C" w:rsidRPr="003F7D44">
        <w:rPr>
          <w:rFonts w:ascii="Arial" w:hAnsi="Arial" w:cs="Arial"/>
          <w:kern w:val="24"/>
        </w:rPr>
        <w:t xml:space="preserve">18% were dissatisfied. </w:t>
      </w:r>
      <w:r w:rsidRPr="003F7D44">
        <w:rPr>
          <w:rFonts w:ascii="Arial" w:hAnsi="Arial" w:cs="Arial"/>
          <w:kern w:val="24"/>
        </w:rPr>
        <w:t>Looking at other surveys it reflects</w:t>
      </w:r>
      <w:r w:rsidR="000C1C5C" w:rsidRPr="003F7D44">
        <w:rPr>
          <w:rFonts w:ascii="Arial" w:hAnsi="Arial" w:cs="Arial"/>
          <w:kern w:val="24"/>
        </w:rPr>
        <w:t xml:space="preserve"> UK job satisfaction</w:t>
      </w:r>
      <w:r w:rsidRPr="003F7D44">
        <w:rPr>
          <w:rFonts w:ascii="Arial" w:hAnsi="Arial" w:cs="Arial"/>
          <w:kern w:val="24"/>
        </w:rPr>
        <w:t xml:space="preserve"> has</w:t>
      </w:r>
      <w:r w:rsidR="000C1C5C" w:rsidRPr="003F7D44">
        <w:rPr>
          <w:rFonts w:ascii="Arial" w:hAnsi="Arial" w:cs="Arial"/>
          <w:kern w:val="24"/>
        </w:rPr>
        <w:t xml:space="preserve"> fluctuated over the </w:t>
      </w:r>
      <w:r w:rsidRPr="003F7D44">
        <w:rPr>
          <w:rFonts w:ascii="Arial" w:hAnsi="Arial" w:cs="Arial"/>
          <w:kern w:val="24"/>
        </w:rPr>
        <w:t>last</w:t>
      </w:r>
      <w:r w:rsidR="000C1C5C" w:rsidRPr="003F7D44">
        <w:rPr>
          <w:rFonts w:ascii="Arial" w:hAnsi="Arial" w:cs="Arial"/>
          <w:kern w:val="24"/>
        </w:rPr>
        <w:t xml:space="preserve"> decade, dropping in 2010</w:t>
      </w:r>
      <w:r w:rsidR="002D3404">
        <w:rPr>
          <w:rFonts w:ascii="Arial" w:hAnsi="Arial" w:cs="Arial"/>
          <w:kern w:val="24"/>
        </w:rPr>
        <w:t>/</w:t>
      </w:r>
      <w:r w:rsidR="000C1C5C" w:rsidRPr="003F7D44">
        <w:rPr>
          <w:rFonts w:ascii="Arial" w:hAnsi="Arial" w:cs="Arial"/>
          <w:kern w:val="24"/>
        </w:rPr>
        <w:t>2011 to a low of just over half, but the</w:t>
      </w:r>
      <w:r w:rsidRPr="003F7D44">
        <w:rPr>
          <w:rFonts w:ascii="Arial" w:hAnsi="Arial" w:cs="Arial"/>
          <w:kern w:val="24"/>
        </w:rPr>
        <w:t>n</w:t>
      </w:r>
      <w:r w:rsidR="000C1C5C" w:rsidRPr="003F7D44">
        <w:rPr>
          <w:rFonts w:ascii="Arial" w:hAnsi="Arial" w:cs="Arial"/>
          <w:kern w:val="24"/>
        </w:rPr>
        <w:t xml:space="preserve"> remained stable. </w:t>
      </w:r>
    </w:p>
    <w:p w14:paraId="17A28787" w14:textId="77777777" w:rsidR="00E24E6B" w:rsidRPr="003F7D44" w:rsidRDefault="00E24E6B" w:rsidP="000C1C5C">
      <w:pPr>
        <w:spacing w:after="0" w:line="240" w:lineRule="auto"/>
        <w:contextualSpacing/>
        <w:rPr>
          <w:rFonts w:ascii="Arial" w:hAnsi="Arial" w:cs="Arial"/>
          <w:kern w:val="24"/>
        </w:rPr>
      </w:pPr>
    </w:p>
    <w:p w14:paraId="7878BF71" w14:textId="0E0A672E" w:rsidR="000C1C5C" w:rsidRPr="003F7D44" w:rsidRDefault="00E24E6B" w:rsidP="000C1C5C">
      <w:pPr>
        <w:spacing w:after="0" w:line="240" w:lineRule="auto"/>
        <w:contextualSpacing/>
        <w:rPr>
          <w:rFonts w:ascii="Arial" w:eastAsia="Times New Roman" w:hAnsi="Arial" w:cs="Arial"/>
        </w:rPr>
      </w:pPr>
      <w:r w:rsidRPr="003F7D44">
        <w:rPr>
          <w:rFonts w:ascii="Arial" w:hAnsi="Arial" w:cs="Arial"/>
          <w:kern w:val="24"/>
        </w:rPr>
        <w:t xml:space="preserve">One fifth did say they were likely to </w:t>
      </w:r>
      <w:r w:rsidR="000C1C5C" w:rsidRPr="003F7D44">
        <w:rPr>
          <w:rFonts w:ascii="Arial" w:hAnsi="Arial" w:cs="Arial"/>
          <w:kern w:val="24"/>
        </w:rPr>
        <w:t>quit their job in the next year.</w:t>
      </w:r>
      <w:r w:rsidRPr="003F7D44">
        <w:rPr>
          <w:rFonts w:ascii="Arial" w:eastAsia="Times New Roman" w:hAnsi="Arial" w:cs="Arial"/>
        </w:rPr>
        <w:t xml:space="preserve"> </w:t>
      </w:r>
      <w:r w:rsidRPr="003F7D44">
        <w:rPr>
          <w:rFonts w:ascii="Arial" w:hAnsi="Arial" w:cs="Arial"/>
          <w:kern w:val="24"/>
        </w:rPr>
        <w:t>However, on a more positive note just over 50%</w:t>
      </w:r>
      <w:r w:rsidR="000C1C5C" w:rsidRPr="003F7D44">
        <w:rPr>
          <w:rFonts w:ascii="Arial" w:hAnsi="Arial" w:cs="Arial"/>
          <w:kern w:val="24"/>
        </w:rPr>
        <w:t xml:space="preserve"> of workers ‘always’ or ‘often’ feel enthusiastic about their jobs and a similar proportion say they are willing to work harder than necessary to help their employer or clients</w:t>
      </w:r>
      <w:r w:rsidRPr="003F7D44">
        <w:rPr>
          <w:rFonts w:ascii="Arial" w:hAnsi="Arial" w:cs="Arial"/>
          <w:kern w:val="24"/>
        </w:rPr>
        <w:t>’</w:t>
      </w:r>
      <w:r w:rsidR="000C1C5C" w:rsidRPr="003F7D44">
        <w:rPr>
          <w:rFonts w:ascii="Arial" w:hAnsi="Arial" w:cs="Arial"/>
          <w:kern w:val="24"/>
        </w:rPr>
        <w:t>.</w:t>
      </w:r>
    </w:p>
    <w:p w14:paraId="1C71C88F" w14:textId="77777777" w:rsidR="00D24AAB" w:rsidRPr="003F7D44" w:rsidRDefault="00D24AAB" w:rsidP="000C1C5C">
      <w:pPr>
        <w:spacing w:after="0" w:line="240" w:lineRule="auto"/>
        <w:contextualSpacing/>
        <w:rPr>
          <w:rFonts w:ascii="Arial" w:eastAsia="Times New Roman" w:hAnsi="Arial" w:cs="Arial"/>
        </w:rPr>
      </w:pPr>
    </w:p>
    <w:p w14:paraId="0E0A3F6D" w14:textId="18F4BFB4" w:rsidR="000C1C5C" w:rsidRPr="003F7D44" w:rsidRDefault="00A52168" w:rsidP="000C1C5C">
      <w:pPr>
        <w:autoSpaceDE w:val="0"/>
        <w:autoSpaceDN w:val="0"/>
        <w:adjustRightInd w:val="0"/>
        <w:rPr>
          <w:rFonts w:ascii="Arial" w:hAnsi="Arial" w:cs="Arial"/>
          <w:kern w:val="24"/>
        </w:rPr>
      </w:pPr>
      <w:r w:rsidRPr="003F7D44">
        <w:rPr>
          <w:rFonts w:ascii="Arial" w:hAnsi="Arial" w:cs="Arial"/>
          <w:kern w:val="24"/>
        </w:rPr>
        <w:t>There was</w:t>
      </w:r>
      <w:r w:rsidR="000C1C5C" w:rsidRPr="003F7D44">
        <w:rPr>
          <w:rFonts w:ascii="Arial" w:hAnsi="Arial" w:cs="Arial"/>
          <w:kern w:val="24"/>
        </w:rPr>
        <w:t xml:space="preserve"> no difference in enthusiasm f</w:t>
      </w:r>
      <w:r w:rsidRPr="003F7D44">
        <w:rPr>
          <w:rFonts w:ascii="Arial" w:hAnsi="Arial" w:cs="Arial"/>
          <w:kern w:val="24"/>
        </w:rPr>
        <w:t>or</w:t>
      </w:r>
      <w:r w:rsidR="000C1C5C" w:rsidRPr="003F7D44">
        <w:rPr>
          <w:rFonts w:ascii="Arial" w:hAnsi="Arial" w:cs="Arial"/>
          <w:kern w:val="24"/>
        </w:rPr>
        <w:t xml:space="preserve"> jobs between men and women, but </w:t>
      </w:r>
      <w:r w:rsidRPr="003F7D44">
        <w:rPr>
          <w:rFonts w:ascii="Arial" w:hAnsi="Arial" w:cs="Arial"/>
          <w:kern w:val="24"/>
        </w:rPr>
        <w:t xml:space="preserve">there was </w:t>
      </w:r>
      <w:r w:rsidR="000C1C5C" w:rsidRPr="003F7D44">
        <w:rPr>
          <w:rFonts w:ascii="Arial" w:hAnsi="Arial" w:cs="Arial"/>
          <w:kern w:val="24"/>
        </w:rPr>
        <w:t xml:space="preserve">greater enthusiasm among senior managers and the highest paid, workers with postgraduate levels of qualifications and voluntary sector workers. </w:t>
      </w:r>
      <w:r w:rsidRPr="003F7D44">
        <w:rPr>
          <w:rFonts w:ascii="Arial" w:hAnsi="Arial" w:cs="Arial"/>
          <w:kern w:val="24"/>
        </w:rPr>
        <w:t>D</w:t>
      </w:r>
      <w:r w:rsidR="000C1C5C" w:rsidRPr="003F7D44">
        <w:rPr>
          <w:rFonts w:ascii="Arial" w:hAnsi="Arial" w:cs="Arial"/>
          <w:kern w:val="24"/>
        </w:rPr>
        <w:t xml:space="preserve">iscretionary effort </w:t>
      </w:r>
      <w:r w:rsidRPr="003F7D44">
        <w:rPr>
          <w:rFonts w:ascii="Arial" w:hAnsi="Arial" w:cs="Arial"/>
          <w:kern w:val="24"/>
        </w:rPr>
        <w:t>was</w:t>
      </w:r>
      <w:r w:rsidR="000C1C5C" w:rsidRPr="003F7D44">
        <w:rPr>
          <w:rFonts w:ascii="Arial" w:hAnsi="Arial" w:cs="Arial"/>
          <w:kern w:val="24"/>
        </w:rPr>
        <w:t xml:space="preserve"> greatest among managerial and professional employees,</w:t>
      </w:r>
      <w:r w:rsidRPr="003F7D44">
        <w:rPr>
          <w:rFonts w:ascii="Arial" w:hAnsi="Arial" w:cs="Arial"/>
          <w:kern w:val="24"/>
        </w:rPr>
        <w:t xml:space="preserve"> and</w:t>
      </w:r>
      <w:r w:rsidR="000C1C5C" w:rsidRPr="003F7D44">
        <w:rPr>
          <w:rFonts w:ascii="Arial" w:hAnsi="Arial" w:cs="Arial"/>
          <w:kern w:val="24"/>
        </w:rPr>
        <w:t xml:space="preserve"> lower among junior administrative roles and lowest in manual and casual work. Across broad sectors, voluntary sector workers report putting in most effort</w:t>
      </w:r>
      <w:r w:rsidRPr="003F7D44">
        <w:rPr>
          <w:rFonts w:ascii="Arial" w:hAnsi="Arial" w:cs="Arial"/>
          <w:kern w:val="24"/>
        </w:rPr>
        <w:t>.</w:t>
      </w:r>
    </w:p>
    <w:p w14:paraId="006B217B" w14:textId="7FE1F710" w:rsidR="00B83F29" w:rsidRPr="003F7D44" w:rsidRDefault="00B83F29" w:rsidP="000C1C5C">
      <w:pPr>
        <w:autoSpaceDE w:val="0"/>
        <w:autoSpaceDN w:val="0"/>
        <w:adjustRightInd w:val="0"/>
        <w:rPr>
          <w:rFonts w:ascii="Arial" w:hAnsi="Arial" w:cs="Arial"/>
        </w:rPr>
      </w:pPr>
      <w:r w:rsidRPr="003F7D44">
        <w:rPr>
          <w:rFonts w:ascii="Arial" w:hAnsi="Arial" w:cs="Arial"/>
        </w:rPr>
        <w:t xml:space="preserve">Research over the last decade which identified unequal pay between men and woman within organisations has led to the Gender Pay Gap being introduced in 2018 and has sought to identify and resolve this inequality. </w:t>
      </w:r>
    </w:p>
    <w:p w14:paraId="670E2B63" w14:textId="77970AE5" w:rsidR="00B37ACD" w:rsidRPr="003F7D44" w:rsidRDefault="00A210D8" w:rsidP="00B37ACD">
      <w:pPr>
        <w:pStyle w:val="selectionshareable"/>
        <w:spacing w:before="0" w:beforeAutospacing="0"/>
        <w:rPr>
          <w:rFonts w:ascii="Arial" w:hAnsi="Arial" w:cs="Arial"/>
          <w:sz w:val="22"/>
          <w:szCs w:val="22"/>
        </w:rPr>
      </w:pPr>
      <w:r w:rsidRPr="003F7D44">
        <w:rPr>
          <w:rFonts w:ascii="Arial" w:hAnsi="Arial" w:cs="Arial"/>
          <w:sz w:val="22"/>
          <w:szCs w:val="22"/>
        </w:rPr>
        <w:t>Organisations nee</w:t>
      </w:r>
      <w:r w:rsidR="00CA03BE">
        <w:rPr>
          <w:rFonts w:ascii="Arial" w:hAnsi="Arial" w:cs="Arial"/>
          <w:sz w:val="22"/>
          <w:szCs w:val="22"/>
        </w:rPr>
        <w:t xml:space="preserve">d to </w:t>
      </w:r>
      <w:r w:rsidR="00B37ACD" w:rsidRPr="003F7D44">
        <w:rPr>
          <w:rFonts w:ascii="Arial" w:hAnsi="Arial" w:cs="Arial"/>
          <w:sz w:val="22"/>
          <w:szCs w:val="22"/>
        </w:rPr>
        <w:t xml:space="preserve">develop </w:t>
      </w:r>
      <w:r w:rsidR="00CA03BE">
        <w:rPr>
          <w:rFonts w:ascii="Arial" w:hAnsi="Arial" w:cs="Arial"/>
          <w:sz w:val="22"/>
          <w:szCs w:val="22"/>
        </w:rPr>
        <w:t xml:space="preserve">engagement </w:t>
      </w:r>
      <w:r w:rsidR="00B37ACD" w:rsidRPr="003F7D44">
        <w:rPr>
          <w:rFonts w:ascii="Arial" w:hAnsi="Arial" w:cs="Arial"/>
          <w:sz w:val="22"/>
          <w:szCs w:val="22"/>
        </w:rPr>
        <w:t xml:space="preserve">to suit the demographic of the workforce. </w:t>
      </w:r>
      <w:r w:rsidR="007B4E3B">
        <w:rPr>
          <w:rFonts w:ascii="Arial" w:hAnsi="Arial" w:cs="Arial"/>
          <w:sz w:val="22"/>
          <w:szCs w:val="22"/>
        </w:rPr>
        <w:t xml:space="preserve">Currently </w:t>
      </w:r>
      <w:r w:rsidR="00B37ACD" w:rsidRPr="003F7D44">
        <w:rPr>
          <w:rFonts w:ascii="Arial" w:hAnsi="Arial" w:cs="Arial"/>
          <w:sz w:val="22"/>
          <w:szCs w:val="22"/>
        </w:rPr>
        <w:t>workforces consist of ‘baby boomers’, a generation used to organisational hierarchies,</w:t>
      </w:r>
      <w:r w:rsidR="00B23826" w:rsidRPr="003F7D44">
        <w:rPr>
          <w:rFonts w:ascii="Arial" w:hAnsi="Arial" w:cs="Arial"/>
          <w:sz w:val="22"/>
          <w:szCs w:val="22"/>
        </w:rPr>
        <w:t xml:space="preserve"> </w:t>
      </w:r>
      <w:r w:rsidR="00B37ACD" w:rsidRPr="003F7D44">
        <w:rPr>
          <w:rFonts w:ascii="Arial" w:hAnsi="Arial" w:cs="Arial"/>
          <w:sz w:val="22"/>
          <w:szCs w:val="22"/>
        </w:rPr>
        <w:t>working on their own</w:t>
      </w:r>
      <w:r w:rsidR="007B4E3B">
        <w:rPr>
          <w:rFonts w:ascii="Arial" w:hAnsi="Arial" w:cs="Arial"/>
          <w:sz w:val="22"/>
          <w:szCs w:val="22"/>
        </w:rPr>
        <w:t xml:space="preserve">, </w:t>
      </w:r>
      <w:r w:rsidR="00B37ACD" w:rsidRPr="003F7D44">
        <w:rPr>
          <w:rFonts w:ascii="Arial" w:hAnsi="Arial" w:cs="Arial"/>
          <w:sz w:val="22"/>
          <w:szCs w:val="22"/>
        </w:rPr>
        <w:t xml:space="preserve">willing to work long hours. As this generation gradually retires, generation X </w:t>
      </w:r>
      <w:r w:rsidR="00B267C7" w:rsidRPr="003F7D44">
        <w:rPr>
          <w:rFonts w:ascii="Arial" w:hAnsi="Arial" w:cs="Arial"/>
          <w:sz w:val="22"/>
          <w:szCs w:val="22"/>
        </w:rPr>
        <w:t xml:space="preserve">have a different approach, preferring to work in teams, </w:t>
      </w:r>
      <w:r w:rsidR="00B37ACD" w:rsidRPr="003F7D44">
        <w:rPr>
          <w:rFonts w:ascii="Arial" w:hAnsi="Arial" w:cs="Arial"/>
          <w:sz w:val="22"/>
          <w:szCs w:val="22"/>
        </w:rPr>
        <w:t>are well educated, skilled in technology, self-confident, able to multi-task</w:t>
      </w:r>
      <w:r w:rsidR="00B267C7" w:rsidRPr="003F7D44">
        <w:rPr>
          <w:rFonts w:ascii="Arial" w:hAnsi="Arial" w:cs="Arial"/>
          <w:sz w:val="22"/>
          <w:szCs w:val="22"/>
        </w:rPr>
        <w:t>.</w:t>
      </w:r>
    </w:p>
    <w:p w14:paraId="5358B0B4" w14:textId="740ECA7D" w:rsidR="009D4ABC" w:rsidRPr="003F7D44" w:rsidRDefault="009D4ABC" w:rsidP="009D4ABC">
      <w:pPr>
        <w:autoSpaceDE w:val="0"/>
        <w:autoSpaceDN w:val="0"/>
        <w:adjustRightInd w:val="0"/>
        <w:rPr>
          <w:rFonts w:ascii="Arial" w:hAnsi="Arial" w:cs="Arial"/>
        </w:rPr>
      </w:pPr>
      <w:r w:rsidRPr="003F7D44">
        <w:rPr>
          <w:rFonts w:ascii="Arial" w:hAnsi="Arial" w:cs="Arial"/>
        </w:rPr>
        <w:t>Jenkins and Delbridge (2013 p</w:t>
      </w:r>
      <w:r w:rsidR="005149EF">
        <w:rPr>
          <w:rFonts w:ascii="Arial" w:hAnsi="Arial" w:cs="Arial"/>
        </w:rPr>
        <w:t>.</w:t>
      </w:r>
      <w:r w:rsidRPr="003F7D44">
        <w:rPr>
          <w:rFonts w:ascii="Arial" w:hAnsi="Arial" w:cs="Arial"/>
        </w:rPr>
        <w:t>2671) mention engagement is influenced by</w:t>
      </w:r>
      <w:r w:rsidRPr="003F7D44">
        <w:rPr>
          <w:rFonts w:ascii="Arial" w:hAnsi="Arial" w:cs="Arial"/>
          <w:i/>
          <w:iCs/>
        </w:rPr>
        <w:t xml:space="preserve"> ‘the wider economy and particular industry sector, market conditions, ownership and governance arrangements as well as organisational size and structure’</w:t>
      </w:r>
      <w:r w:rsidRPr="003F7D44">
        <w:rPr>
          <w:rFonts w:ascii="Arial" w:hAnsi="Arial" w:cs="Arial"/>
        </w:rPr>
        <w:t>.</w:t>
      </w:r>
    </w:p>
    <w:p w14:paraId="0C7FB9CB" w14:textId="3568F836" w:rsidR="009D4ABC" w:rsidRPr="003F7D44" w:rsidRDefault="009D4ABC" w:rsidP="009D4ABC">
      <w:pPr>
        <w:autoSpaceDE w:val="0"/>
        <w:autoSpaceDN w:val="0"/>
        <w:adjustRightInd w:val="0"/>
        <w:rPr>
          <w:rFonts w:ascii="Arial" w:hAnsi="Arial" w:cs="Arial"/>
        </w:rPr>
      </w:pPr>
      <w:r w:rsidRPr="003F7D44">
        <w:rPr>
          <w:rFonts w:ascii="Arial" w:hAnsi="Arial" w:cs="Arial"/>
        </w:rPr>
        <w:t xml:space="preserve">Private sector organisations are under pressure to reduced costs, increase efficiency </w:t>
      </w:r>
      <w:r w:rsidR="00482F07">
        <w:rPr>
          <w:rFonts w:ascii="Arial" w:hAnsi="Arial" w:cs="Arial"/>
        </w:rPr>
        <w:t>whilst</w:t>
      </w:r>
      <w:r w:rsidRPr="003F7D44">
        <w:rPr>
          <w:rFonts w:ascii="Arial" w:hAnsi="Arial" w:cs="Arial"/>
        </w:rPr>
        <w:t xml:space="preserve"> operat</w:t>
      </w:r>
      <w:r w:rsidR="00482F07">
        <w:rPr>
          <w:rFonts w:ascii="Arial" w:hAnsi="Arial" w:cs="Arial"/>
        </w:rPr>
        <w:t>ing</w:t>
      </w:r>
      <w:r w:rsidRPr="003F7D44">
        <w:rPr>
          <w:rFonts w:ascii="Arial" w:hAnsi="Arial" w:cs="Arial"/>
        </w:rPr>
        <w:t xml:space="preserve"> in a highly competitive market, whereas public sector is under pressure to reduce costs and increase efficiency since the Government’s Comprehensive Spending Review in </w:t>
      </w:r>
      <w:r w:rsidRPr="003F7D44">
        <w:rPr>
          <w:rFonts w:ascii="Arial" w:hAnsi="Arial" w:cs="Arial"/>
        </w:rPr>
        <w:lastRenderedPageBreak/>
        <w:t xml:space="preserve">2010. </w:t>
      </w:r>
      <w:r w:rsidR="00E15A8A">
        <w:rPr>
          <w:rFonts w:ascii="Arial" w:hAnsi="Arial" w:cs="Arial"/>
        </w:rPr>
        <w:t>Pay/recruitment freezes have</w:t>
      </w:r>
      <w:r w:rsidRPr="003F7D44">
        <w:rPr>
          <w:rFonts w:ascii="Arial" w:hAnsi="Arial" w:cs="Arial"/>
        </w:rPr>
        <w:t xml:space="preserve"> </w:t>
      </w:r>
      <w:r w:rsidR="00991258">
        <w:rPr>
          <w:rFonts w:ascii="Arial" w:hAnsi="Arial" w:cs="Arial"/>
        </w:rPr>
        <w:t xml:space="preserve">created </w:t>
      </w:r>
      <w:r w:rsidRPr="003F7D44">
        <w:rPr>
          <w:rFonts w:ascii="Arial" w:hAnsi="Arial" w:cs="Arial"/>
        </w:rPr>
        <w:t>barrier</w:t>
      </w:r>
      <w:r w:rsidR="00991258">
        <w:rPr>
          <w:rFonts w:ascii="Arial" w:hAnsi="Arial" w:cs="Arial"/>
        </w:rPr>
        <w:t>s</w:t>
      </w:r>
      <w:r w:rsidRPr="003F7D44">
        <w:rPr>
          <w:rFonts w:ascii="Arial" w:hAnsi="Arial" w:cs="Arial"/>
        </w:rPr>
        <w:t xml:space="preserve"> to employees being prepared to exhibit discretionary behaviour and put a spotlight on the need to analyse data from the context of the organisation.</w:t>
      </w:r>
    </w:p>
    <w:p w14:paraId="6D15862A" w14:textId="43736749" w:rsidR="006758E5" w:rsidRPr="003F7D44" w:rsidRDefault="009D4ABC" w:rsidP="001B00CC">
      <w:pPr>
        <w:spacing w:after="150" w:line="330" w:lineRule="atLeast"/>
        <w:rPr>
          <w:rFonts w:ascii="Arial" w:eastAsia="Times New Roman" w:hAnsi="Arial" w:cs="Arial"/>
        </w:rPr>
      </w:pPr>
      <w:r w:rsidRPr="003F7D44">
        <w:rPr>
          <w:rFonts w:ascii="Arial" w:eastAsia="Times New Roman" w:hAnsi="Arial" w:cs="Arial"/>
        </w:rPr>
        <w:t>Factors that drive employee engagement not only vary from country to country but also by industry sector or within companies. Global organisations need to be aware of what engages their workforce in different global locations. Recently factors to consider are the implications of Brexit, Coronavirus and subsequent lockdowns which have had a devasting effects on the economy leading to a global recession.</w:t>
      </w:r>
    </w:p>
    <w:p w14:paraId="79F52BEF" w14:textId="67453CE4" w:rsidR="001B00CC" w:rsidRPr="003F7D44" w:rsidRDefault="00184775" w:rsidP="0079489C">
      <w:pPr>
        <w:pStyle w:val="NormalWeb"/>
        <w:spacing w:before="154" w:beforeAutospacing="0" w:after="0" w:afterAutospacing="0"/>
        <w:rPr>
          <w:rFonts w:ascii="Arial" w:hAnsi="Arial" w:cs="Arial"/>
          <w:sz w:val="22"/>
          <w:szCs w:val="22"/>
        </w:rPr>
      </w:pPr>
      <w:r w:rsidRPr="003F7D44">
        <w:rPr>
          <w:rFonts w:ascii="Arial" w:hAnsi="Arial" w:cs="Arial"/>
          <w:sz w:val="22"/>
          <w:szCs w:val="22"/>
        </w:rPr>
        <w:t>The future of engagement is not straightforward,</w:t>
      </w:r>
      <w:r w:rsidR="001B00CC" w:rsidRPr="003F7D44">
        <w:rPr>
          <w:rFonts w:ascii="Arial" w:hAnsi="Arial" w:cs="Arial"/>
          <w:sz w:val="22"/>
          <w:szCs w:val="22"/>
        </w:rPr>
        <w:t xml:space="preserve"> ‘</w:t>
      </w:r>
      <w:r w:rsidR="001B00CC" w:rsidRPr="003F7D44">
        <w:rPr>
          <w:rFonts w:ascii="Arial" w:hAnsi="Arial" w:cs="Arial"/>
          <w:i/>
          <w:iCs/>
          <w:sz w:val="22"/>
          <w:szCs w:val="22"/>
        </w:rPr>
        <w:t>for many people, work is not just about money, but being motivated by such things as the working environment, the people within it, the product or service delivered and even the brand’</w:t>
      </w:r>
      <w:r w:rsidR="001B00CC" w:rsidRPr="003F7D44">
        <w:rPr>
          <w:rFonts w:ascii="Arial" w:hAnsi="Arial" w:cs="Arial"/>
          <w:sz w:val="22"/>
          <w:szCs w:val="22"/>
        </w:rPr>
        <w:t xml:space="preserve"> (IES, 2014). HR in the public sector </w:t>
      </w:r>
      <w:r w:rsidR="00556D37" w:rsidRPr="003F7D44">
        <w:rPr>
          <w:rFonts w:ascii="Arial" w:hAnsi="Arial" w:cs="Arial"/>
          <w:sz w:val="22"/>
          <w:szCs w:val="22"/>
        </w:rPr>
        <w:t>will</w:t>
      </w:r>
      <w:r w:rsidR="001B00CC" w:rsidRPr="003F7D44">
        <w:rPr>
          <w:rFonts w:ascii="Arial" w:hAnsi="Arial" w:cs="Arial"/>
          <w:sz w:val="22"/>
          <w:szCs w:val="22"/>
        </w:rPr>
        <w:t xml:space="preserve"> need to ‘</w:t>
      </w:r>
      <w:r w:rsidR="001B00CC" w:rsidRPr="003F7D44">
        <w:rPr>
          <w:rFonts w:ascii="Arial" w:hAnsi="Arial" w:cs="Arial"/>
          <w:i/>
          <w:iCs/>
          <w:sz w:val="22"/>
          <w:szCs w:val="22"/>
        </w:rPr>
        <w:t>put itself in the spotlight to develop community led employment solutions, a new community led employment infrastructure and transition away from organisationally engineered workforce models</w:t>
      </w:r>
      <w:r w:rsidR="001B00CC" w:rsidRPr="003F7D44">
        <w:rPr>
          <w:rFonts w:ascii="Arial" w:hAnsi="Arial" w:cs="Arial"/>
          <w:sz w:val="22"/>
          <w:szCs w:val="22"/>
        </w:rPr>
        <w:t xml:space="preserve">’ (IES, 2014). </w:t>
      </w:r>
    </w:p>
    <w:p w14:paraId="641AA7EA" w14:textId="77777777" w:rsidR="001726E4" w:rsidRPr="003F7D44" w:rsidRDefault="001726E4" w:rsidP="001330EF">
      <w:pPr>
        <w:autoSpaceDE w:val="0"/>
        <w:autoSpaceDN w:val="0"/>
        <w:adjustRightInd w:val="0"/>
        <w:spacing w:after="0"/>
        <w:rPr>
          <w:rFonts w:ascii="Arial" w:hAnsi="Arial" w:cs="Arial"/>
        </w:rPr>
      </w:pPr>
    </w:p>
    <w:p w14:paraId="71A3A044" w14:textId="18788F35" w:rsidR="00184775" w:rsidRPr="003F7D44" w:rsidRDefault="001726E4" w:rsidP="001330EF">
      <w:pPr>
        <w:autoSpaceDE w:val="0"/>
        <w:autoSpaceDN w:val="0"/>
        <w:adjustRightInd w:val="0"/>
        <w:spacing w:after="0"/>
        <w:rPr>
          <w:rFonts w:ascii="Arial" w:hAnsi="Arial" w:cs="Arial"/>
        </w:rPr>
      </w:pPr>
      <w:r w:rsidRPr="003F7D44">
        <w:rPr>
          <w:rFonts w:ascii="Arial" w:hAnsi="Arial" w:cs="Arial"/>
        </w:rPr>
        <w:t>T</w:t>
      </w:r>
      <w:r w:rsidR="006330E2" w:rsidRPr="003F7D44">
        <w:rPr>
          <w:rFonts w:ascii="Arial" w:hAnsi="Arial" w:cs="Arial"/>
        </w:rPr>
        <w:t xml:space="preserve">he following </w:t>
      </w:r>
      <w:r w:rsidR="00500DDD" w:rsidRPr="003F7D44">
        <w:rPr>
          <w:rFonts w:ascii="Arial" w:hAnsi="Arial" w:cs="Arial"/>
        </w:rPr>
        <w:t xml:space="preserve">key </w:t>
      </w:r>
      <w:r w:rsidR="006330E2" w:rsidRPr="003F7D44">
        <w:rPr>
          <w:rFonts w:ascii="Arial" w:hAnsi="Arial" w:cs="Arial"/>
        </w:rPr>
        <w:t xml:space="preserve">elements </w:t>
      </w:r>
      <w:r w:rsidR="00EF2043" w:rsidRPr="003F7D44">
        <w:rPr>
          <w:rFonts w:ascii="Arial" w:hAnsi="Arial" w:cs="Arial"/>
        </w:rPr>
        <w:t>are</w:t>
      </w:r>
      <w:r w:rsidR="00C67355" w:rsidRPr="003F7D44">
        <w:rPr>
          <w:rFonts w:ascii="Arial" w:hAnsi="Arial" w:cs="Arial"/>
        </w:rPr>
        <w:t xml:space="preserve"> </w:t>
      </w:r>
      <w:r w:rsidR="00500DDD" w:rsidRPr="003F7D44">
        <w:rPr>
          <w:rFonts w:ascii="Arial" w:hAnsi="Arial" w:cs="Arial"/>
        </w:rPr>
        <w:t xml:space="preserve">needed to </w:t>
      </w:r>
      <w:r w:rsidR="006330E2" w:rsidRPr="003F7D44">
        <w:rPr>
          <w:rFonts w:ascii="Arial" w:hAnsi="Arial" w:cs="Arial"/>
        </w:rPr>
        <w:t>continually develo</w:t>
      </w:r>
      <w:r w:rsidR="00500DDD" w:rsidRPr="003F7D44">
        <w:rPr>
          <w:rFonts w:ascii="Arial" w:hAnsi="Arial" w:cs="Arial"/>
        </w:rPr>
        <w:t>p</w:t>
      </w:r>
      <w:r w:rsidR="006330E2" w:rsidRPr="003F7D44">
        <w:rPr>
          <w:rFonts w:ascii="Arial" w:hAnsi="Arial" w:cs="Arial"/>
        </w:rPr>
        <w:t xml:space="preserve"> and benefit from engagement</w:t>
      </w:r>
      <w:r w:rsidR="006D3D95" w:rsidRPr="003F7D44">
        <w:rPr>
          <w:rFonts w:ascii="Arial" w:hAnsi="Arial" w:cs="Arial"/>
        </w:rPr>
        <w:t xml:space="preserve"> (Johns and Ellis, 2016)</w:t>
      </w:r>
      <w:r w:rsidR="006330E2" w:rsidRPr="003F7D44">
        <w:rPr>
          <w:rFonts w:ascii="Arial" w:hAnsi="Arial" w:cs="Arial"/>
        </w:rPr>
        <w:t>:</w:t>
      </w:r>
    </w:p>
    <w:p w14:paraId="5A4DAE99" w14:textId="4A4B2B7F" w:rsidR="006330E2" w:rsidRPr="003F7D44" w:rsidRDefault="006330E2" w:rsidP="006D3D95">
      <w:pPr>
        <w:pStyle w:val="ListParagraph"/>
        <w:numPr>
          <w:ilvl w:val="0"/>
          <w:numId w:val="29"/>
        </w:numPr>
        <w:autoSpaceDE w:val="0"/>
        <w:autoSpaceDN w:val="0"/>
        <w:adjustRightInd w:val="0"/>
        <w:rPr>
          <w:rFonts w:ascii="Arial" w:hAnsi="Arial" w:cs="Arial"/>
        </w:rPr>
      </w:pPr>
      <w:r w:rsidRPr="003F7D44">
        <w:rPr>
          <w:rFonts w:ascii="Arial" w:hAnsi="Arial" w:cs="Arial"/>
        </w:rPr>
        <w:t xml:space="preserve">A big idea – transformational vison </w:t>
      </w:r>
      <w:r w:rsidR="00F31FE0">
        <w:rPr>
          <w:rFonts w:ascii="Arial" w:hAnsi="Arial" w:cs="Arial"/>
        </w:rPr>
        <w:t xml:space="preserve">that is </w:t>
      </w:r>
      <w:r w:rsidRPr="003F7D44">
        <w:rPr>
          <w:rFonts w:ascii="Arial" w:hAnsi="Arial" w:cs="Arial"/>
        </w:rPr>
        <w:t>ethical</w:t>
      </w:r>
      <w:r w:rsidR="00F31FE0">
        <w:rPr>
          <w:rFonts w:ascii="Arial" w:hAnsi="Arial" w:cs="Arial"/>
        </w:rPr>
        <w:t>/</w:t>
      </w:r>
      <w:r w:rsidRPr="003F7D44">
        <w:rPr>
          <w:rFonts w:ascii="Arial" w:hAnsi="Arial" w:cs="Arial"/>
        </w:rPr>
        <w:t xml:space="preserve">ambitious </w:t>
      </w:r>
    </w:p>
    <w:p w14:paraId="043847CC" w14:textId="037211A3" w:rsidR="006330E2" w:rsidRPr="003F7D44" w:rsidRDefault="006330E2" w:rsidP="006D3D95">
      <w:pPr>
        <w:pStyle w:val="ListParagraph"/>
        <w:numPr>
          <w:ilvl w:val="0"/>
          <w:numId w:val="29"/>
        </w:numPr>
        <w:autoSpaceDE w:val="0"/>
        <w:autoSpaceDN w:val="0"/>
        <w:adjustRightInd w:val="0"/>
        <w:rPr>
          <w:rFonts w:ascii="Arial" w:hAnsi="Arial" w:cs="Arial"/>
        </w:rPr>
      </w:pPr>
      <w:r w:rsidRPr="003F7D44">
        <w:rPr>
          <w:rFonts w:ascii="Arial" w:hAnsi="Arial" w:cs="Arial"/>
        </w:rPr>
        <w:t>Role modelling that is coherent</w:t>
      </w:r>
      <w:r w:rsidR="00F31FE0">
        <w:rPr>
          <w:rFonts w:ascii="Arial" w:hAnsi="Arial" w:cs="Arial"/>
        </w:rPr>
        <w:t>/</w:t>
      </w:r>
      <w:r w:rsidRPr="003F7D44">
        <w:rPr>
          <w:rFonts w:ascii="Arial" w:hAnsi="Arial" w:cs="Arial"/>
        </w:rPr>
        <w:t>consistent</w:t>
      </w:r>
    </w:p>
    <w:p w14:paraId="0683253F" w14:textId="42CB927A" w:rsidR="006330E2" w:rsidRPr="003F7D44" w:rsidRDefault="006330E2" w:rsidP="006D3D95">
      <w:pPr>
        <w:pStyle w:val="ListParagraph"/>
        <w:numPr>
          <w:ilvl w:val="0"/>
          <w:numId w:val="29"/>
        </w:numPr>
        <w:autoSpaceDE w:val="0"/>
        <w:autoSpaceDN w:val="0"/>
        <w:adjustRightInd w:val="0"/>
        <w:rPr>
          <w:rFonts w:ascii="Arial" w:hAnsi="Arial" w:cs="Arial"/>
        </w:rPr>
      </w:pPr>
      <w:r w:rsidRPr="003F7D44">
        <w:rPr>
          <w:rFonts w:ascii="Arial" w:hAnsi="Arial" w:cs="Arial"/>
        </w:rPr>
        <w:t>Good management – managers lead/encourage and continually develop teams</w:t>
      </w:r>
    </w:p>
    <w:p w14:paraId="40FED2E8" w14:textId="5F11E94D" w:rsidR="002E42E8" w:rsidRPr="003F7D44" w:rsidRDefault="002E42E8" w:rsidP="006D3D95">
      <w:pPr>
        <w:pStyle w:val="ListParagraph"/>
        <w:numPr>
          <w:ilvl w:val="0"/>
          <w:numId w:val="29"/>
        </w:numPr>
        <w:autoSpaceDE w:val="0"/>
        <w:autoSpaceDN w:val="0"/>
        <w:adjustRightInd w:val="0"/>
        <w:rPr>
          <w:rFonts w:ascii="Arial" w:hAnsi="Arial" w:cs="Arial"/>
        </w:rPr>
      </w:pPr>
      <w:r w:rsidRPr="003F7D44">
        <w:rPr>
          <w:rFonts w:ascii="Arial" w:hAnsi="Arial" w:cs="Arial"/>
        </w:rPr>
        <w:t xml:space="preserve">Two-way communications </w:t>
      </w:r>
      <w:r w:rsidR="00541DEC" w:rsidRPr="003F7D44">
        <w:rPr>
          <w:rFonts w:ascii="Arial" w:hAnsi="Arial" w:cs="Arial"/>
        </w:rPr>
        <w:t>–</w:t>
      </w:r>
      <w:r w:rsidRPr="003F7D44">
        <w:rPr>
          <w:rFonts w:ascii="Arial" w:hAnsi="Arial" w:cs="Arial"/>
        </w:rPr>
        <w:t xml:space="preserve"> </w:t>
      </w:r>
      <w:r w:rsidR="00541DEC" w:rsidRPr="003F7D44">
        <w:rPr>
          <w:rFonts w:ascii="Arial" w:hAnsi="Arial" w:cs="Arial"/>
        </w:rPr>
        <w:t>keep employees informe</w:t>
      </w:r>
      <w:r w:rsidR="00DD7325">
        <w:rPr>
          <w:rFonts w:ascii="Arial" w:hAnsi="Arial" w:cs="Arial"/>
        </w:rPr>
        <w:t>d/</w:t>
      </w:r>
      <w:r w:rsidR="00541DEC" w:rsidRPr="003F7D44">
        <w:rPr>
          <w:rFonts w:ascii="Arial" w:hAnsi="Arial" w:cs="Arial"/>
        </w:rPr>
        <w:t>encourage employee voice</w:t>
      </w:r>
    </w:p>
    <w:p w14:paraId="62E950F0" w14:textId="7711BB71" w:rsidR="00541DEC" w:rsidRPr="003F7D44" w:rsidRDefault="006D3D95" w:rsidP="006D3D95">
      <w:pPr>
        <w:pStyle w:val="ListParagraph"/>
        <w:numPr>
          <w:ilvl w:val="0"/>
          <w:numId w:val="29"/>
        </w:numPr>
        <w:autoSpaceDE w:val="0"/>
        <w:autoSpaceDN w:val="0"/>
        <w:adjustRightInd w:val="0"/>
        <w:rPr>
          <w:rFonts w:ascii="Arial" w:hAnsi="Arial" w:cs="Arial"/>
        </w:rPr>
      </w:pPr>
      <w:r w:rsidRPr="003F7D44">
        <w:rPr>
          <w:rFonts w:ascii="Arial" w:hAnsi="Arial" w:cs="Arial"/>
        </w:rPr>
        <w:t>Collaboration</w:t>
      </w:r>
      <w:r w:rsidR="00541DEC" w:rsidRPr="003F7D44">
        <w:rPr>
          <w:rFonts w:ascii="Arial" w:hAnsi="Arial" w:cs="Arial"/>
        </w:rPr>
        <w:t xml:space="preserve"> – between people/departments</w:t>
      </w:r>
    </w:p>
    <w:p w14:paraId="55E25E2B" w14:textId="468E074A" w:rsidR="00541DEC" w:rsidRPr="003F7D44" w:rsidRDefault="00541DEC" w:rsidP="006D3D95">
      <w:pPr>
        <w:pStyle w:val="ListParagraph"/>
        <w:numPr>
          <w:ilvl w:val="0"/>
          <w:numId w:val="29"/>
        </w:numPr>
        <w:autoSpaceDE w:val="0"/>
        <w:autoSpaceDN w:val="0"/>
        <w:adjustRightInd w:val="0"/>
        <w:rPr>
          <w:rFonts w:ascii="Arial" w:hAnsi="Arial" w:cs="Arial"/>
        </w:rPr>
      </w:pPr>
      <w:r w:rsidRPr="003F7D44">
        <w:rPr>
          <w:rFonts w:ascii="Arial" w:hAnsi="Arial" w:cs="Arial"/>
        </w:rPr>
        <w:t>Customer focus – customers are vital to the success of a company</w:t>
      </w:r>
    </w:p>
    <w:p w14:paraId="20810BB0" w14:textId="3AACB440" w:rsidR="00541DEC" w:rsidRPr="003F7D44" w:rsidRDefault="00541DEC" w:rsidP="006D3D95">
      <w:pPr>
        <w:pStyle w:val="ListParagraph"/>
        <w:numPr>
          <w:ilvl w:val="0"/>
          <w:numId w:val="29"/>
        </w:numPr>
        <w:autoSpaceDE w:val="0"/>
        <w:autoSpaceDN w:val="0"/>
        <w:adjustRightInd w:val="0"/>
        <w:rPr>
          <w:rFonts w:ascii="Arial" w:hAnsi="Arial" w:cs="Arial"/>
        </w:rPr>
      </w:pPr>
      <w:r w:rsidRPr="003F7D44">
        <w:rPr>
          <w:rFonts w:ascii="Arial" w:hAnsi="Arial" w:cs="Arial"/>
        </w:rPr>
        <w:t>Employee well-being</w:t>
      </w:r>
    </w:p>
    <w:p w14:paraId="32394F77" w14:textId="52F08F41" w:rsidR="00541DEC" w:rsidRPr="003F7D44" w:rsidRDefault="00541DEC" w:rsidP="006D3D95">
      <w:pPr>
        <w:pStyle w:val="ListParagraph"/>
        <w:numPr>
          <w:ilvl w:val="0"/>
          <w:numId w:val="29"/>
        </w:numPr>
        <w:autoSpaceDE w:val="0"/>
        <w:autoSpaceDN w:val="0"/>
        <w:adjustRightInd w:val="0"/>
        <w:rPr>
          <w:rFonts w:ascii="Arial" w:hAnsi="Arial" w:cs="Arial"/>
        </w:rPr>
      </w:pPr>
      <w:r w:rsidRPr="003F7D44">
        <w:rPr>
          <w:rFonts w:ascii="Arial" w:hAnsi="Arial" w:cs="Arial"/>
        </w:rPr>
        <w:t xml:space="preserve">Strong emphasis on performance </w:t>
      </w:r>
    </w:p>
    <w:p w14:paraId="71B4A580" w14:textId="77812494" w:rsidR="00541DEC" w:rsidRPr="003F7D44" w:rsidRDefault="00541DEC" w:rsidP="006D3D95">
      <w:pPr>
        <w:pStyle w:val="ListParagraph"/>
        <w:numPr>
          <w:ilvl w:val="0"/>
          <w:numId w:val="29"/>
        </w:numPr>
        <w:autoSpaceDE w:val="0"/>
        <w:autoSpaceDN w:val="0"/>
        <w:adjustRightInd w:val="0"/>
        <w:rPr>
          <w:rFonts w:ascii="Arial" w:hAnsi="Arial" w:cs="Arial"/>
        </w:rPr>
      </w:pPr>
      <w:r w:rsidRPr="003F7D44">
        <w:rPr>
          <w:rFonts w:ascii="Arial" w:hAnsi="Arial" w:cs="Arial"/>
        </w:rPr>
        <w:t>Acknowledge the whole workforce</w:t>
      </w:r>
    </w:p>
    <w:p w14:paraId="2D8919D3" w14:textId="77777777" w:rsidR="001726E4" w:rsidRPr="003F7D44" w:rsidRDefault="00541DEC" w:rsidP="001726E4">
      <w:pPr>
        <w:pStyle w:val="ListParagraph"/>
        <w:numPr>
          <w:ilvl w:val="0"/>
          <w:numId w:val="29"/>
        </w:numPr>
        <w:autoSpaceDE w:val="0"/>
        <w:autoSpaceDN w:val="0"/>
        <w:adjustRightInd w:val="0"/>
        <w:rPr>
          <w:rFonts w:ascii="Arial" w:hAnsi="Arial" w:cs="Arial"/>
        </w:rPr>
      </w:pPr>
      <w:r w:rsidRPr="003F7D44">
        <w:rPr>
          <w:rFonts w:ascii="Arial" w:hAnsi="Arial" w:cs="Arial"/>
        </w:rPr>
        <w:t>Clear, accessible HR procedures and practice</w:t>
      </w:r>
    </w:p>
    <w:p w14:paraId="55F2BD42" w14:textId="038BF3D8" w:rsidR="001726E4" w:rsidRPr="003F7D44" w:rsidRDefault="001726E4" w:rsidP="001726E4">
      <w:pPr>
        <w:autoSpaceDE w:val="0"/>
        <w:autoSpaceDN w:val="0"/>
        <w:adjustRightInd w:val="0"/>
        <w:rPr>
          <w:rFonts w:ascii="Arial" w:hAnsi="Arial" w:cs="Arial"/>
        </w:rPr>
      </w:pPr>
      <w:r w:rsidRPr="003F7D44">
        <w:rPr>
          <w:rFonts w:ascii="Arial" w:hAnsi="Arial" w:cs="Arial"/>
        </w:rPr>
        <w:t xml:space="preserve">The RSA Blueprint for Good Work </w:t>
      </w:r>
      <w:r w:rsidR="008931CC" w:rsidRPr="003F7D44">
        <w:rPr>
          <w:rFonts w:ascii="Arial" w:hAnsi="Arial" w:cs="Arial"/>
        </w:rPr>
        <w:t xml:space="preserve">(2020) </w:t>
      </w:r>
      <w:r w:rsidRPr="003F7D44">
        <w:rPr>
          <w:rFonts w:ascii="Arial" w:hAnsi="Arial" w:cs="Arial"/>
        </w:rPr>
        <w:t>state 5 principles that should be enjoyed by all:</w:t>
      </w:r>
    </w:p>
    <w:p w14:paraId="5C536DC8" w14:textId="3F801C5B" w:rsidR="001726E4" w:rsidRPr="001726E4" w:rsidRDefault="001726E4" w:rsidP="001726E4">
      <w:pPr>
        <w:numPr>
          <w:ilvl w:val="0"/>
          <w:numId w:val="33"/>
        </w:numPr>
        <w:spacing w:after="100" w:afterAutospacing="1" w:line="240" w:lineRule="auto"/>
        <w:rPr>
          <w:rFonts w:ascii="Arial" w:eastAsia="Times New Roman" w:hAnsi="Arial" w:cs="Arial"/>
        </w:rPr>
      </w:pPr>
      <w:r w:rsidRPr="001726E4">
        <w:rPr>
          <w:rFonts w:ascii="Arial" w:eastAsia="Times New Roman" w:hAnsi="Arial" w:cs="Arial"/>
        </w:rPr>
        <w:t xml:space="preserve">Security – work that provides enough economic security </w:t>
      </w:r>
    </w:p>
    <w:p w14:paraId="07A78593" w14:textId="5E13C488" w:rsidR="001726E4" w:rsidRPr="001726E4" w:rsidRDefault="001726E4" w:rsidP="001726E4">
      <w:pPr>
        <w:numPr>
          <w:ilvl w:val="0"/>
          <w:numId w:val="33"/>
        </w:numPr>
        <w:spacing w:after="100" w:afterAutospacing="1" w:line="240" w:lineRule="auto"/>
        <w:rPr>
          <w:rFonts w:ascii="Arial" w:eastAsia="Times New Roman" w:hAnsi="Arial" w:cs="Arial"/>
        </w:rPr>
      </w:pPr>
      <w:r w:rsidRPr="001726E4">
        <w:rPr>
          <w:rFonts w:ascii="Arial" w:eastAsia="Times New Roman" w:hAnsi="Arial" w:cs="Arial"/>
        </w:rPr>
        <w:t>Wellbeing – work that does not harm their wellbeing</w:t>
      </w:r>
    </w:p>
    <w:p w14:paraId="40BC0BCE" w14:textId="2FBA070E" w:rsidR="001726E4" w:rsidRPr="001726E4" w:rsidRDefault="001726E4" w:rsidP="001726E4">
      <w:pPr>
        <w:numPr>
          <w:ilvl w:val="0"/>
          <w:numId w:val="33"/>
        </w:numPr>
        <w:spacing w:after="100" w:afterAutospacing="1" w:line="240" w:lineRule="auto"/>
        <w:rPr>
          <w:rFonts w:ascii="Arial" w:eastAsia="Times New Roman" w:hAnsi="Arial" w:cs="Arial"/>
        </w:rPr>
      </w:pPr>
      <w:r w:rsidRPr="001726E4">
        <w:rPr>
          <w:rFonts w:ascii="Arial" w:eastAsia="Times New Roman" w:hAnsi="Arial" w:cs="Arial"/>
        </w:rPr>
        <w:t>Growth – work that grows and develops their capabilities</w:t>
      </w:r>
    </w:p>
    <w:p w14:paraId="091DA88B" w14:textId="5656C254" w:rsidR="001726E4" w:rsidRPr="001726E4" w:rsidRDefault="001726E4" w:rsidP="001726E4">
      <w:pPr>
        <w:numPr>
          <w:ilvl w:val="0"/>
          <w:numId w:val="33"/>
        </w:numPr>
        <w:spacing w:after="100" w:afterAutospacing="1" w:line="240" w:lineRule="auto"/>
        <w:rPr>
          <w:rFonts w:ascii="Arial" w:eastAsia="Times New Roman" w:hAnsi="Arial" w:cs="Arial"/>
        </w:rPr>
      </w:pPr>
      <w:r w:rsidRPr="001726E4">
        <w:rPr>
          <w:rFonts w:ascii="Arial" w:eastAsia="Times New Roman" w:hAnsi="Arial" w:cs="Arial"/>
        </w:rPr>
        <w:t>Freedom – work that provides the freedom to pursue a larger life</w:t>
      </w:r>
    </w:p>
    <w:p w14:paraId="51D793A4" w14:textId="7200E9F6" w:rsidR="001726E4" w:rsidRPr="001726E4" w:rsidRDefault="001726E4" w:rsidP="001726E4">
      <w:pPr>
        <w:numPr>
          <w:ilvl w:val="0"/>
          <w:numId w:val="33"/>
        </w:numPr>
        <w:spacing w:after="100" w:afterAutospacing="1" w:line="240" w:lineRule="auto"/>
        <w:rPr>
          <w:rFonts w:ascii="Arial" w:eastAsia="Times New Roman" w:hAnsi="Arial" w:cs="Arial"/>
        </w:rPr>
      </w:pPr>
      <w:r w:rsidRPr="001726E4">
        <w:rPr>
          <w:rFonts w:ascii="Arial" w:eastAsia="Times New Roman" w:hAnsi="Arial" w:cs="Arial"/>
        </w:rPr>
        <w:t>Subjective nurture – work that nurtures their subjective working identity</w:t>
      </w:r>
    </w:p>
    <w:p w14:paraId="295BBC47" w14:textId="3B4D3287" w:rsidR="008A659D" w:rsidRPr="003F7D44" w:rsidRDefault="001726E4" w:rsidP="00522343">
      <w:pPr>
        <w:autoSpaceDE w:val="0"/>
        <w:autoSpaceDN w:val="0"/>
        <w:adjustRightInd w:val="0"/>
        <w:rPr>
          <w:rFonts w:ascii="Arial" w:hAnsi="Arial" w:cs="Arial"/>
        </w:rPr>
      </w:pPr>
      <w:r w:rsidRPr="003F7D44">
        <w:rPr>
          <w:rFonts w:ascii="Arial" w:hAnsi="Arial" w:cs="Arial"/>
        </w:rPr>
        <w:t>Economic uncertainty especially with Covid 19</w:t>
      </w:r>
      <w:r w:rsidR="00C04640">
        <w:rPr>
          <w:rFonts w:ascii="Arial" w:hAnsi="Arial" w:cs="Arial"/>
        </w:rPr>
        <w:t>,</w:t>
      </w:r>
      <w:r w:rsidRPr="003F7D44">
        <w:rPr>
          <w:rFonts w:ascii="Arial" w:hAnsi="Arial" w:cs="Arial"/>
        </w:rPr>
        <w:t xml:space="preserve"> has led to high unemployment and fears as to what </w:t>
      </w:r>
      <w:r w:rsidR="002C7C40" w:rsidRPr="003F7D44">
        <w:rPr>
          <w:rFonts w:ascii="Arial" w:hAnsi="Arial" w:cs="Arial"/>
        </w:rPr>
        <w:t xml:space="preserve">the </w:t>
      </w:r>
      <w:r w:rsidRPr="003F7D44">
        <w:rPr>
          <w:rFonts w:ascii="Arial" w:hAnsi="Arial" w:cs="Arial"/>
        </w:rPr>
        <w:t>future</w:t>
      </w:r>
      <w:r w:rsidR="002C7C40" w:rsidRPr="003F7D44">
        <w:rPr>
          <w:rFonts w:ascii="Arial" w:hAnsi="Arial" w:cs="Arial"/>
        </w:rPr>
        <w:t xml:space="preserve"> may</w:t>
      </w:r>
      <w:r w:rsidRPr="003F7D44">
        <w:rPr>
          <w:rFonts w:ascii="Arial" w:hAnsi="Arial" w:cs="Arial"/>
        </w:rPr>
        <w:t xml:space="preserve"> hold. Uncertainty of trade deals with Brexit will also have a huge impact</w:t>
      </w:r>
      <w:r w:rsidR="002C7C40" w:rsidRPr="003F7D44">
        <w:rPr>
          <w:rFonts w:ascii="Arial" w:hAnsi="Arial" w:cs="Arial"/>
        </w:rPr>
        <w:t xml:space="preserve"> and b</w:t>
      </w:r>
      <w:r w:rsidRPr="003F7D44">
        <w:rPr>
          <w:rFonts w:ascii="Arial" w:hAnsi="Arial" w:cs="Arial"/>
        </w:rPr>
        <w:t>usiness analysists are trying to predict what the future wi</w:t>
      </w:r>
      <w:r w:rsidR="00B83FC8" w:rsidRPr="003F7D44">
        <w:rPr>
          <w:rFonts w:ascii="Arial" w:hAnsi="Arial" w:cs="Arial"/>
        </w:rPr>
        <w:t>ll bring</w:t>
      </w:r>
      <w:r w:rsidRPr="003F7D44">
        <w:rPr>
          <w:rFonts w:ascii="Arial" w:hAnsi="Arial" w:cs="Arial"/>
        </w:rPr>
        <w:t>. Many organisations will need to evolve not only their organisations</w:t>
      </w:r>
      <w:r w:rsidR="00C04640">
        <w:rPr>
          <w:rFonts w:ascii="Arial" w:hAnsi="Arial" w:cs="Arial"/>
        </w:rPr>
        <w:t>,</w:t>
      </w:r>
      <w:r w:rsidRPr="003F7D44">
        <w:rPr>
          <w:rFonts w:ascii="Arial" w:hAnsi="Arial" w:cs="Arial"/>
        </w:rPr>
        <w:t xml:space="preserve"> but also the ingredients of employee engagement</w:t>
      </w:r>
      <w:r w:rsidR="00B83FC8" w:rsidRPr="003F7D44">
        <w:rPr>
          <w:rFonts w:ascii="Arial" w:hAnsi="Arial" w:cs="Arial"/>
        </w:rPr>
        <w:t xml:space="preserve"> in order to survive in the uncertain future</w:t>
      </w:r>
      <w:r w:rsidRPr="003F7D44">
        <w:rPr>
          <w:rFonts w:ascii="Arial" w:hAnsi="Arial" w:cs="Arial"/>
        </w:rPr>
        <w:t xml:space="preserve">. </w:t>
      </w:r>
    </w:p>
    <w:p w14:paraId="634AFD56" w14:textId="77777777" w:rsidR="008A659D" w:rsidRPr="003F7D44" w:rsidRDefault="008A659D" w:rsidP="00522343">
      <w:pPr>
        <w:autoSpaceDE w:val="0"/>
        <w:autoSpaceDN w:val="0"/>
        <w:adjustRightInd w:val="0"/>
        <w:rPr>
          <w:rFonts w:ascii="Arial" w:hAnsi="Arial" w:cs="Arial"/>
        </w:rPr>
      </w:pPr>
    </w:p>
    <w:p w14:paraId="5D82A9E2" w14:textId="77777777" w:rsidR="008A659D" w:rsidRPr="003F7D44" w:rsidRDefault="008A659D" w:rsidP="00522343">
      <w:pPr>
        <w:autoSpaceDE w:val="0"/>
        <w:autoSpaceDN w:val="0"/>
        <w:adjustRightInd w:val="0"/>
        <w:rPr>
          <w:rFonts w:ascii="Arial" w:hAnsi="Arial" w:cs="Arial"/>
        </w:rPr>
      </w:pPr>
    </w:p>
    <w:p w14:paraId="58DC773D" w14:textId="77777777" w:rsidR="004569A6" w:rsidRDefault="004569A6" w:rsidP="00522343">
      <w:pPr>
        <w:autoSpaceDE w:val="0"/>
        <w:autoSpaceDN w:val="0"/>
        <w:adjustRightInd w:val="0"/>
        <w:rPr>
          <w:rFonts w:ascii="Arial" w:hAnsi="Arial" w:cs="Arial"/>
        </w:rPr>
      </w:pPr>
    </w:p>
    <w:p w14:paraId="01949338" w14:textId="252A0A5E" w:rsidR="007A436E" w:rsidRPr="003F7D44" w:rsidRDefault="007A436E" w:rsidP="00522343">
      <w:pPr>
        <w:autoSpaceDE w:val="0"/>
        <w:autoSpaceDN w:val="0"/>
        <w:adjustRightInd w:val="0"/>
        <w:rPr>
          <w:rFonts w:ascii="Arial" w:hAnsi="Arial" w:cs="Arial"/>
        </w:rPr>
      </w:pPr>
      <w:bookmarkStart w:id="4" w:name="_GoBack"/>
      <w:bookmarkEnd w:id="4"/>
      <w:r w:rsidRPr="003F7D44">
        <w:rPr>
          <w:rFonts w:ascii="Arial" w:hAnsi="Arial" w:cs="Arial"/>
        </w:rPr>
        <w:lastRenderedPageBreak/>
        <w:t>References</w:t>
      </w:r>
    </w:p>
    <w:p w14:paraId="47D11A3B" w14:textId="426E85D8" w:rsidR="0025468B" w:rsidRPr="003F7D44" w:rsidRDefault="0025468B" w:rsidP="00522343">
      <w:pPr>
        <w:autoSpaceDE w:val="0"/>
        <w:autoSpaceDN w:val="0"/>
        <w:adjustRightInd w:val="0"/>
        <w:rPr>
          <w:rFonts w:ascii="Arial" w:hAnsi="Arial" w:cs="Arial"/>
          <w:shd w:val="clear" w:color="auto" w:fill="FFFFFF"/>
        </w:rPr>
      </w:pPr>
      <w:r w:rsidRPr="003F7D44">
        <w:rPr>
          <w:rFonts w:ascii="Arial" w:hAnsi="Arial" w:cs="Arial"/>
          <w:shd w:val="clear" w:color="auto" w:fill="FFFFFF"/>
        </w:rPr>
        <w:t>Bock, L. (2016) Work Rules!: Insights from Inside Google That Will Transform How You Live and Lead</w:t>
      </w:r>
    </w:p>
    <w:p w14:paraId="59CBDA9F" w14:textId="3D414638" w:rsidR="00E60DC3" w:rsidRPr="003F7D44" w:rsidRDefault="00E60DC3" w:rsidP="00522343">
      <w:pPr>
        <w:autoSpaceDE w:val="0"/>
        <w:autoSpaceDN w:val="0"/>
        <w:adjustRightInd w:val="0"/>
        <w:rPr>
          <w:rFonts w:ascii="Arial" w:hAnsi="Arial" w:cs="Arial"/>
        </w:rPr>
      </w:pPr>
      <w:r w:rsidRPr="003F7D44">
        <w:rPr>
          <w:rFonts w:ascii="Arial" w:hAnsi="Arial" w:cs="Arial"/>
        </w:rPr>
        <w:t xml:space="preserve">Briner, R. B. (2014) </w:t>
      </w:r>
      <w:r w:rsidRPr="003F7D44">
        <w:rPr>
          <w:rFonts w:ascii="Arial" w:hAnsi="Arial" w:cs="Arial"/>
          <w:i/>
          <w:iCs/>
        </w:rPr>
        <w:t>The Future of Engagement: Thought Piece Collection</w:t>
      </w:r>
      <w:r w:rsidRPr="003F7D44">
        <w:rPr>
          <w:rFonts w:ascii="Arial" w:hAnsi="Arial" w:cs="Arial"/>
        </w:rPr>
        <w:t xml:space="preserve">. Available at: </w:t>
      </w:r>
      <w:hyperlink r:id="rId34" w:history="1">
        <w:r w:rsidRPr="003F7D44">
          <w:rPr>
            <w:rStyle w:val="Hyperlink"/>
            <w:rFonts w:ascii="Arial" w:hAnsi="Arial" w:cs="Arial"/>
            <w:color w:val="auto"/>
            <w:u w:val="none"/>
          </w:rPr>
          <w:t>https://www.cipd.co.uk/Images/the-future-of-engagement_2014-thought-piece-employee-engagement-rob-briner_tcm18-10764.pdf</w:t>
        </w:r>
      </w:hyperlink>
      <w:r w:rsidRPr="003F7D44">
        <w:rPr>
          <w:rFonts w:ascii="Arial" w:hAnsi="Arial" w:cs="Arial"/>
        </w:rPr>
        <w:t xml:space="preserve"> (Accessed 03 Oct 2020).</w:t>
      </w:r>
    </w:p>
    <w:p w14:paraId="0C2FB9C9" w14:textId="129F5E63" w:rsidR="00661914" w:rsidRPr="003F7D44" w:rsidRDefault="00661914" w:rsidP="00522343">
      <w:pPr>
        <w:autoSpaceDE w:val="0"/>
        <w:autoSpaceDN w:val="0"/>
        <w:adjustRightInd w:val="0"/>
        <w:rPr>
          <w:rFonts w:ascii="Arial" w:hAnsi="Arial" w:cs="Arial"/>
        </w:rPr>
      </w:pPr>
      <w:r w:rsidRPr="003F7D44">
        <w:rPr>
          <w:rFonts w:ascii="Arial" w:hAnsi="Arial" w:cs="Arial"/>
        </w:rPr>
        <w:t xml:space="preserve">Buckingham, M. (2001) What a waste. </w:t>
      </w:r>
      <w:r w:rsidRPr="003F7D44">
        <w:rPr>
          <w:rFonts w:ascii="Arial" w:hAnsi="Arial" w:cs="Arial"/>
          <w:i/>
          <w:iCs/>
        </w:rPr>
        <w:t>People Management</w:t>
      </w:r>
      <w:r w:rsidRPr="003F7D44">
        <w:rPr>
          <w:rFonts w:ascii="Arial" w:hAnsi="Arial" w:cs="Arial"/>
        </w:rPr>
        <w:t>. 11 October. Pp19-22</w:t>
      </w:r>
    </w:p>
    <w:p w14:paraId="06F4C10D" w14:textId="6E0D66D9" w:rsidR="00661914" w:rsidRPr="003F7D44" w:rsidRDefault="00661914" w:rsidP="00522343">
      <w:pPr>
        <w:autoSpaceDE w:val="0"/>
        <w:autoSpaceDN w:val="0"/>
        <w:adjustRightInd w:val="0"/>
        <w:rPr>
          <w:rFonts w:ascii="Arial" w:hAnsi="Arial" w:cs="Arial"/>
        </w:rPr>
      </w:pPr>
      <w:r w:rsidRPr="003F7D44">
        <w:rPr>
          <w:rFonts w:ascii="Arial" w:hAnsi="Arial" w:cs="Arial"/>
        </w:rPr>
        <w:t xml:space="preserve">Cattermole, G. (2014) Key drivers and trends for employee engagement in 2014. HR Review, 17 January [Online] </w:t>
      </w:r>
      <w:hyperlink r:id="rId35" w:history="1">
        <w:r w:rsidRPr="003F7D44">
          <w:rPr>
            <w:rStyle w:val="Hyperlink"/>
            <w:rFonts w:ascii="Arial" w:hAnsi="Arial" w:cs="Arial"/>
            <w:color w:val="auto"/>
            <w:u w:val="none"/>
          </w:rPr>
          <w:t>www.hrreview.co.uk/blogs/blogs-hr-strategy-practice/gary-cattermole-key-drivers-and-trends-for-employee-engagment-in-2014/50203</w:t>
        </w:r>
      </w:hyperlink>
      <w:r w:rsidRPr="003F7D44">
        <w:rPr>
          <w:rFonts w:ascii="Arial" w:hAnsi="Arial" w:cs="Arial"/>
        </w:rPr>
        <w:t xml:space="preserve"> (Accessed 10 Oct 2020).</w:t>
      </w:r>
    </w:p>
    <w:p w14:paraId="5CF9502A" w14:textId="36636CC6" w:rsidR="004277DD" w:rsidRPr="003F7D44" w:rsidRDefault="004277DD" w:rsidP="00522343">
      <w:pPr>
        <w:autoSpaceDE w:val="0"/>
        <w:autoSpaceDN w:val="0"/>
        <w:adjustRightInd w:val="0"/>
        <w:rPr>
          <w:rFonts w:ascii="Arial" w:hAnsi="Arial" w:cs="Arial"/>
        </w:rPr>
      </w:pPr>
      <w:r w:rsidRPr="003F7D44">
        <w:rPr>
          <w:rFonts w:ascii="Arial" w:hAnsi="Arial" w:cs="Arial"/>
        </w:rPr>
        <w:t>CIPD (2012) Emotional or Transactional Engagement: Does it Matter? Research Onsight. [online]</w:t>
      </w:r>
      <w:r w:rsidR="001E3426" w:rsidRPr="003F7D44">
        <w:rPr>
          <w:rFonts w:ascii="Arial" w:hAnsi="Arial" w:cs="Arial"/>
        </w:rPr>
        <w:t xml:space="preserve"> Available at: </w:t>
      </w:r>
      <w:hyperlink r:id="rId36" w:history="1">
        <w:r w:rsidR="001E3426" w:rsidRPr="003F7D44">
          <w:rPr>
            <w:rStyle w:val="Hyperlink"/>
            <w:rFonts w:ascii="Arial" w:hAnsi="Arial" w:cs="Arial"/>
            <w:color w:val="auto"/>
            <w:u w:val="none"/>
          </w:rPr>
          <w:t>https://www.abb-conversations.com/wp-content/uploads/2013/02/Engagement1.pdf</w:t>
        </w:r>
      </w:hyperlink>
      <w:r w:rsidR="001E3426" w:rsidRPr="003F7D44">
        <w:rPr>
          <w:rFonts w:ascii="Arial" w:hAnsi="Arial" w:cs="Arial"/>
        </w:rPr>
        <w:t xml:space="preserve"> (Accessed 03 Oct 2020).</w:t>
      </w:r>
      <w:r w:rsidRPr="003F7D44">
        <w:rPr>
          <w:rFonts w:ascii="Arial" w:hAnsi="Arial" w:cs="Arial"/>
        </w:rPr>
        <w:t xml:space="preserve"> </w:t>
      </w:r>
    </w:p>
    <w:p w14:paraId="31CECE83" w14:textId="7AB48260" w:rsidR="001B0D83" w:rsidRPr="003F7D44" w:rsidRDefault="001B0D83" w:rsidP="00522343">
      <w:pPr>
        <w:autoSpaceDE w:val="0"/>
        <w:autoSpaceDN w:val="0"/>
        <w:adjustRightInd w:val="0"/>
        <w:rPr>
          <w:rFonts w:ascii="Arial" w:hAnsi="Arial" w:cs="Arial"/>
        </w:rPr>
      </w:pPr>
      <w:r w:rsidRPr="003F7D44">
        <w:rPr>
          <w:rFonts w:ascii="Arial" w:hAnsi="Arial" w:cs="Arial"/>
        </w:rPr>
        <w:t>CIPD (201</w:t>
      </w:r>
      <w:r w:rsidR="006D30A6" w:rsidRPr="003F7D44">
        <w:rPr>
          <w:rFonts w:ascii="Arial" w:hAnsi="Arial" w:cs="Arial"/>
        </w:rPr>
        <w:t>7</w:t>
      </w:r>
      <w:r w:rsidRPr="003F7D44">
        <w:rPr>
          <w:rFonts w:ascii="Arial" w:hAnsi="Arial" w:cs="Arial"/>
        </w:rPr>
        <w:t>) developing Managers to manage sustainable employee engagement, hea</w:t>
      </w:r>
      <w:r w:rsidR="00E20FB8" w:rsidRPr="003F7D44">
        <w:rPr>
          <w:rFonts w:ascii="Arial" w:hAnsi="Arial" w:cs="Arial"/>
        </w:rPr>
        <w:t>l</w:t>
      </w:r>
      <w:r w:rsidRPr="003F7D44">
        <w:rPr>
          <w:rFonts w:ascii="Arial" w:hAnsi="Arial" w:cs="Arial"/>
        </w:rPr>
        <w:t xml:space="preserve">th and well-being. Research Report [Online] Available at: </w:t>
      </w:r>
      <w:hyperlink r:id="rId37" w:history="1">
        <w:r w:rsidRPr="003F7D44">
          <w:rPr>
            <w:rStyle w:val="Hyperlink"/>
            <w:rFonts w:ascii="Arial" w:hAnsi="Arial" w:cs="Arial"/>
            <w:color w:val="auto"/>
            <w:u w:val="none"/>
          </w:rPr>
          <w:t>https://www.cipd.co.uk/knowledge/culture/well-being/developing-managers-report</w:t>
        </w:r>
      </w:hyperlink>
      <w:r w:rsidRPr="003F7D44">
        <w:rPr>
          <w:rFonts w:ascii="Arial" w:hAnsi="Arial" w:cs="Arial"/>
        </w:rPr>
        <w:t xml:space="preserve"> (Accessed 03 Oct 2020).</w:t>
      </w:r>
    </w:p>
    <w:p w14:paraId="01B73B12" w14:textId="3F729E63" w:rsidR="00CC7DB2" w:rsidRPr="003F7D44" w:rsidRDefault="00CC7DB2" w:rsidP="00522343">
      <w:pPr>
        <w:autoSpaceDE w:val="0"/>
        <w:autoSpaceDN w:val="0"/>
        <w:adjustRightInd w:val="0"/>
        <w:rPr>
          <w:rFonts w:ascii="Arial" w:hAnsi="Arial" w:cs="Arial"/>
        </w:rPr>
      </w:pPr>
      <w:r w:rsidRPr="003F7D44">
        <w:rPr>
          <w:rFonts w:ascii="Arial" w:hAnsi="Arial" w:cs="Arial"/>
        </w:rPr>
        <w:t xml:space="preserve">CIPD (2018) </w:t>
      </w:r>
      <w:r w:rsidRPr="003F7D44">
        <w:rPr>
          <w:rFonts w:ascii="Arial" w:hAnsi="Arial" w:cs="Arial"/>
          <w:i/>
          <w:iCs/>
        </w:rPr>
        <w:t>New Profession Map</w:t>
      </w:r>
      <w:r w:rsidRPr="003F7D44">
        <w:rPr>
          <w:rFonts w:ascii="Arial" w:hAnsi="Arial" w:cs="Arial"/>
        </w:rPr>
        <w:t xml:space="preserve"> Available at: </w:t>
      </w:r>
      <w:hyperlink r:id="rId38" w:history="1">
        <w:r w:rsidRPr="003F7D44">
          <w:rPr>
            <w:rStyle w:val="Hyperlink"/>
            <w:rFonts w:ascii="Arial" w:hAnsi="Arial" w:cs="Arial"/>
            <w:color w:val="auto"/>
            <w:u w:val="none"/>
          </w:rPr>
          <w:t>https://peopleprofession.cipd.org/profession-map</w:t>
        </w:r>
      </w:hyperlink>
      <w:r w:rsidRPr="003F7D44">
        <w:rPr>
          <w:rFonts w:ascii="Arial" w:hAnsi="Arial" w:cs="Arial"/>
        </w:rPr>
        <w:t xml:space="preserve"> (Accessed 03 Oct 2020).</w:t>
      </w:r>
    </w:p>
    <w:p w14:paraId="04E6F658" w14:textId="11D021B4" w:rsidR="007A436E" w:rsidRPr="003F7D44" w:rsidRDefault="007A436E" w:rsidP="00522343">
      <w:pPr>
        <w:autoSpaceDE w:val="0"/>
        <w:autoSpaceDN w:val="0"/>
        <w:adjustRightInd w:val="0"/>
        <w:rPr>
          <w:rFonts w:ascii="Arial" w:hAnsi="Arial" w:cs="Arial"/>
        </w:rPr>
      </w:pPr>
      <w:r w:rsidRPr="003F7D44">
        <w:rPr>
          <w:rFonts w:ascii="Arial" w:hAnsi="Arial" w:cs="Arial"/>
        </w:rPr>
        <w:t xml:space="preserve">CIPD (2019) </w:t>
      </w:r>
      <w:r w:rsidRPr="003F7D44">
        <w:rPr>
          <w:rFonts w:ascii="Arial" w:hAnsi="Arial" w:cs="Arial"/>
          <w:i/>
          <w:iCs/>
        </w:rPr>
        <w:t>Employee engagement and motivation</w:t>
      </w:r>
      <w:r w:rsidRPr="003F7D44">
        <w:rPr>
          <w:rFonts w:ascii="Arial" w:hAnsi="Arial" w:cs="Arial"/>
        </w:rPr>
        <w:t xml:space="preserve"> [Factsheet] 19 Dec 2019. Available at: </w:t>
      </w:r>
      <w:hyperlink r:id="rId39" w:history="1">
        <w:r w:rsidR="00070F73" w:rsidRPr="003F7D44">
          <w:rPr>
            <w:rStyle w:val="Hyperlink"/>
            <w:rFonts w:ascii="Arial" w:hAnsi="Arial" w:cs="Arial"/>
            <w:color w:val="auto"/>
            <w:u w:val="none"/>
          </w:rPr>
          <w:t>https://www.cipd.co.uk/knowledge/fundamentals/relations/engagement/factsheet. Accessed 03 Oct 2020</w:t>
        </w:r>
      </w:hyperlink>
      <w:r w:rsidRPr="003F7D44">
        <w:rPr>
          <w:rFonts w:ascii="Arial" w:hAnsi="Arial" w:cs="Arial"/>
        </w:rPr>
        <w:t>.</w:t>
      </w:r>
    </w:p>
    <w:p w14:paraId="78A9B986" w14:textId="4BA27A49" w:rsidR="00EC6861" w:rsidRPr="003F7D44" w:rsidRDefault="00EC6861" w:rsidP="00522343">
      <w:pPr>
        <w:autoSpaceDE w:val="0"/>
        <w:autoSpaceDN w:val="0"/>
        <w:adjustRightInd w:val="0"/>
        <w:rPr>
          <w:rFonts w:ascii="Arial" w:hAnsi="Arial" w:cs="Arial"/>
        </w:rPr>
      </w:pPr>
      <w:r w:rsidRPr="003F7D44">
        <w:rPr>
          <w:rFonts w:ascii="Arial" w:hAnsi="Arial" w:cs="Arial"/>
        </w:rPr>
        <w:t xml:space="preserve">CIPD (2020) </w:t>
      </w:r>
      <w:r w:rsidRPr="003F7D44">
        <w:rPr>
          <w:rFonts w:ascii="Arial" w:hAnsi="Arial" w:cs="Arial"/>
          <w:i/>
          <w:iCs/>
        </w:rPr>
        <w:t>Employee Experience.</w:t>
      </w:r>
      <w:r w:rsidRPr="003F7D44">
        <w:rPr>
          <w:rFonts w:ascii="Arial" w:hAnsi="Arial" w:cs="Arial"/>
        </w:rPr>
        <w:t xml:space="preserve"> Available at: </w:t>
      </w:r>
      <w:hyperlink r:id="rId40" w:history="1">
        <w:r w:rsidRPr="003F7D44">
          <w:rPr>
            <w:rStyle w:val="Hyperlink"/>
            <w:rFonts w:ascii="Arial" w:hAnsi="Arial" w:cs="Arial"/>
            <w:color w:val="auto"/>
            <w:u w:val="none"/>
          </w:rPr>
          <w:t>https://peopleprofession.cipd.org/profession-map/specialist-knowledge/employee-experience</w:t>
        </w:r>
      </w:hyperlink>
      <w:r w:rsidRPr="003F7D44">
        <w:rPr>
          <w:rFonts w:ascii="Arial" w:hAnsi="Arial" w:cs="Arial"/>
        </w:rPr>
        <w:t xml:space="preserve"> (Accessed 03 Oct 2020).</w:t>
      </w:r>
    </w:p>
    <w:p w14:paraId="5C5D1E5A" w14:textId="14AEA8B2" w:rsidR="00C208A9" w:rsidRPr="003F7D44" w:rsidRDefault="00C208A9" w:rsidP="00522343">
      <w:pPr>
        <w:autoSpaceDE w:val="0"/>
        <w:autoSpaceDN w:val="0"/>
        <w:adjustRightInd w:val="0"/>
        <w:rPr>
          <w:rFonts w:ascii="Arial" w:hAnsi="Arial" w:cs="Arial"/>
        </w:rPr>
      </w:pPr>
      <w:r w:rsidRPr="003F7D44">
        <w:rPr>
          <w:rFonts w:ascii="Arial" w:hAnsi="Arial" w:cs="Arial"/>
        </w:rPr>
        <w:t xml:space="preserve">Deloitte (2013) The Open Talent Economy [Article] Available at: </w:t>
      </w:r>
      <w:hyperlink r:id="rId41" w:history="1">
        <w:r w:rsidRPr="003F7D44">
          <w:rPr>
            <w:rStyle w:val="Hyperlink"/>
            <w:rFonts w:ascii="Arial" w:hAnsi="Arial" w:cs="Arial"/>
            <w:color w:val="auto"/>
            <w:u w:val="none"/>
          </w:rPr>
          <w:t>https://www2.deloitte.com/content/dam/Deloitte/global/Documents/HumanCapital/dttl-humancapital-trends6-open-talent-next-no-exp.pdf</w:t>
        </w:r>
      </w:hyperlink>
      <w:r w:rsidRPr="003F7D44">
        <w:rPr>
          <w:rFonts w:ascii="Arial" w:hAnsi="Arial" w:cs="Arial"/>
        </w:rPr>
        <w:t xml:space="preserve"> (Accessed 10 Oct 2020).</w:t>
      </w:r>
    </w:p>
    <w:p w14:paraId="59802C36" w14:textId="31790AC8" w:rsidR="007775F5" w:rsidRPr="003F7D44" w:rsidRDefault="00070F73" w:rsidP="00522343">
      <w:pPr>
        <w:autoSpaceDE w:val="0"/>
        <w:autoSpaceDN w:val="0"/>
        <w:adjustRightInd w:val="0"/>
        <w:rPr>
          <w:rFonts w:ascii="Arial" w:hAnsi="Arial" w:cs="Arial"/>
        </w:rPr>
      </w:pPr>
      <w:r w:rsidRPr="003F7D44">
        <w:rPr>
          <w:rFonts w:ascii="Arial" w:hAnsi="Arial" w:cs="Arial"/>
        </w:rPr>
        <w:t xml:space="preserve">Engage for Success (2020)  [website] Available at: </w:t>
      </w:r>
      <w:hyperlink r:id="rId42" w:history="1">
        <w:r w:rsidRPr="003F7D44">
          <w:rPr>
            <w:rStyle w:val="Hyperlink"/>
            <w:rFonts w:ascii="Arial" w:hAnsi="Arial" w:cs="Arial"/>
            <w:color w:val="auto"/>
            <w:u w:val="none"/>
          </w:rPr>
          <w:t>https://engageforsuccess.org/</w:t>
        </w:r>
      </w:hyperlink>
      <w:r w:rsidRPr="003F7D44">
        <w:rPr>
          <w:rFonts w:ascii="Arial" w:hAnsi="Arial" w:cs="Arial"/>
        </w:rPr>
        <w:t xml:space="preserve"> Accessed 03 Oct 2020.</w:t>
      </w:r>
    </w:p>
    <w:p w14:paraId="4AF9EC82" w14:textId="686025CA" w:rsidR="007775F5" w:rsidRPr="003F7D44" w:rsidRDefault="007775F5" w:rsidP="00522343">
      <w:pPr>
        <w:autoSpaceDE w:val="0"/>
        <w:autoSpaceDN w:val="0"/>
        <w:adjustRightInd w:val="0"/>
        <w:rPr>
          <w:rFonts w:ascii="Arial" w:hAnsi="Arial" w:cs="Arial"/>
        </w:rPr>
      </w:pPr>
      <w:r w:rsidRPr="003F7D44">
        <w:rPr>
          <w:rFonts w:ascii="Arial" w:hAnsi="Arial" w:cs="Arial"/>
        </w:rPr>
        <w:t xml:space="preserve">Guest, D. (2015) Presentation on </w:t>
      </w:r>
      <w:r w:rsidR="00905226" w:rsidRPr="003F7D44">
        <w:rPr>
          <w:rFonts w:ascii="Arial" w:hAnsi="Arial" w:cs="Arial"/>
        </w:rPr>
        <w:t>‘</w:t>
      </w:r>
      <w:r w:rsidRPr="003F7D44">
        <w:rPr>
          <w:rFonts w:ascii="Arial" w:hAnsi="Arial" w:cs="Arial"/>
          <w:i/>
          <w:iCs/>
        </w:rPr>
        <w:t>Employee Engagement: A Path to Organisational Success?’</w:t>
      </w:r>
      <w:r w:rsidR="00905226" w:rsidRPr="003F7D44">
        <w:rPr>
          <w:rFonts w:ascii="Arial" w:hAnsi="Arial" w:cs="Arial"/>
          <w:i/>
          <w:iCs/>
        </w:rPr>
        <w:t xml:space="preserve"> </w:t>
      </w:r>
      <w:r w:rsidR="00905226" w:rsidRPr="003F7D44">
        <w:rPr>
          <w:rFonts w:ascii="Arial" w:hAnsi="Arial" w:cs="Arial"/>
        </w:rPr>
        <w:t>made at the Lead, Engage, Perform expert meeting on public sector leadership</w:t>
      </w:r>
      <w:r w:rsidR="00392FD3" w:rsidRPr="003F7D44">
        <w:rPr>
          <w:rFonts w:ascii="Arial" w:hAnsi="Arial" w:cs="Arial"/>
        </w:rPr>
        <w:t>.</w:t>
      </w:r>
    </w:p>
    <w:p w14:paraId="4B96ABF2" w14:textId="4E5649EB" w:rsidR="00392FD3" w:rsidRPr="003F7D44" w:rsidRDefault="00392FD3" w:rsidP="00522343">
      <w:pPr>
        <w:autoSpaceDE w:val="0"/>
        <w:autoSpaceDN w:val="0"/>
        <w:adjustRightInd w:val="0"/>
        <w:rPr>
          <w:rFonts w:ascii="Arial" w:hAnsi="Arial" w:cs="Arial"/>
        </w:rPr>
      </w:pPr>
      <w:r w:rsidRPr="003F7D44">
        <w:rPr>
          <w:rFonts w:ascii="Arial" w:hAnsi="Arial" w:cs="Arial"/>
        </w:rPr>
        <w:t>Halbesleben, J.R.B. (2011) The consequences of engagement: The good, the bad and the ugly. European Journal of Work and Organisational Psychology. Vol 20, No 1. pp68-73.</w:t>
      </w:r>
    </w:p>
    <w:p w14:paraId="1E3B7008" w14:textId="3D8B6CE2" w:rsidR="009240A2" w:rsidRPr="003F7D44" w:rsidRDefault="009240A2" w:rsidP="009240A2">
      <w:pPr>
        <w:spacing w:after="0" w:line="240" w:lineRule="auto"/>
        <w:contextualSpacing/>
        <w:rPr>
          <w:rFonts w:ascii="Arial" w:hAnsi="Arial" w:cs="Arial"/>
          <w:kern w:val="24"/>
        </w:rPr>
      </w:pPr>
      <w:r w:rsidRPr="003F7D44">
        <w:rPr>
          <w:rFonts w:ascii="Arial" w:hAnsi="Arial" w:cs="Arial"/>
          <w:kern w:val="24"/>
        </w:rPr>
        <w:t xml:space="preserve">Harter, J.,Schmidt, F,L. and Hayes, T.L. (2002) Business-unit-level relationship between employee satisfaction, employee engagement and business outcomes:  a meta-analysis. </w:t>
      </w:r>
      <w:r w:rsidRPr="003F7D44">
        <w:rPr>
          <w:rFonts w:ascii="Arial" w:hAnsi="Arial" w:cs="Arial"/>
          <w:i/>
          <w:iCs/>
          <w:kern w:val="24"/>
        </w:rPr>
        <w:t xml:space="preserve">Journal of Applied Psychology. </w:t>
      </w:r>
      <w:r w:rsidRPr="003F7D44">
        <w:rPr>
          <w:rFonts w:ascii="Arial" w:hAnsi="Arial" w:cs="Arial"/>
          <w:kern w:val="24"/>
        </w:rPr>
        <w:t>Vol 87, No2. pp268-79.</w:t>
      </w:r>
    </w:p>
    <w:p w14:paraId="28DCDDEA" w14:textId="3C3A1C3F" w:rsidR="00172C6E" w:rsidRPr="003F7D44" w:rsidRDefault="00172C6E" w:rsidP="009240A2">
      <w:pPr>
        <w:spacing w:after="0" w:line="240" w:lineRule="auto"/>
        <w:contextualSpacing/>
        <w:rPr>
          <w:rFonts w:ascii="Arial" w:hAnsi="Arial" w:cs="Arial"/>
          <w:kern w:val="24"/>
        </w:rPr>
      </w:pPr>
    </w:p>
    <w:p w14:paraId="1C5A663E" w14:textId="039ABA17" w:rsidR="00172C6E" w:rsidRPr="003F7D44" w:rsidRDefault="00172C6E" w:rsidP="009240A2">
      <w:pPr>
        <w:spacing w:after="0" w:line="240" w:lineRule="auto"/>
        <w:contextualSpacing/>
        <w:rPr>
          <w:rFonts w:ascii="Arial" w:hAnsi="Arial" w:cs="Arial"/>
          <w:kern w:val="24"/>
        </w:rPr>
      </w:pPr>
      <w:r w:rsidRPr="003F7D44">
        <w:rPr>
          <w:rFonts w:ascii="Arial" w:hAnsi="Arial" w:cs="Arial"/>
          <w:kern w:val="24"/>
        </w:rPr>
        <w:t xml:space="preserve">Human Resource Management (2014) </w:t>
      </w:r>
      <w:r w:rsidRPr="003F7D44">
        <w:rPr>
          <w:rFonts w:ascii="Arial" w:hAnsi="Arial" w:cs="Arial"/>
          <w:i/>
          <w:iCs/>
          <w:spacing w:val="-2"/>
          <w:shd w:val="clear" w:color="auto" w:fill="FFFFFF"/>
        </w:rPr>
        <w:t>Google’s Scientific Approach to Work-Life Balance (and Much More)</w:t>
      </w:r>
      <w:r w:rsidRPr="003F7D44">
        <w:rPr>
          <w:rFonts w:ascii="Arial" w:hAnsi="Arial" w:cs="Arial"/>
          <w:spacing w:val="-2"/>
          <w:shd w:val="clear" w:color="auto" w:fill="FFFFFF"/>
        </w:rPr>
        <w:t xml:space="preserve"> 27 march 2014 [Article] Available at: </w:t>
      </w:r>
      <w:hyperlink r:id="rId43" w:history="1">
        <w:r w:rsidRPr="003F7D44">
          <w:rPr>
            <w:rStyle w:val="Hyperlink"/>
            <w:rFonts w:ascii="Arial" w:hAnsi="Arial" w:cs="Arial"/>
            <w:color w:val="auto"/>
            <w:kern w:val="24"/>
            <w:u w:val="none"/>
          </w:rPr>
          <w:t>https://hbr.org/2014/03/googles-scientific-approach-to-work-life-balance-and-much-more</w:t>
        </w:r>
      </w:hyperlink>
      <w:r w:rsidRPr="003F7D44">
        <w:rPr>
          <w:rFonts w:ascii="Arial" w:hAnsi="Arial" w:cs="Arial"/>
          <w:kern w:val="24"/>
        </w:rPr>
        <w:t xml:space="preserve"> (Accessed 10 Oct 2020).</w:t>
      </w:r>
    </w:p>
    <w:p w14:paraId="26DD9AE2" w14:textId="59DCF159" w:rsidR="009240A2" w:rsidRPr="003F7D44" w:rsidRDefault="009240A2" w:rsidP="009240A2">
      <w:pPr>
        <w:spacing w:after="0" w:line="240" w:lineRule="auto"/>
        <w:contextualSpacing/>
        <w:rPr>
          <w:rFonts w:ascii="Arial" w:hAnsi="Arial" w:cs="Arial"/>
          <w:kern w:val="24"/>
        </w:rPr>
      </w:pPr>
    </w:p>
    <w:p w14:paraId="0CE57F04" w14:textId="1A93ACF6" w:rsidR="00B415F0" w:rsidRPr="003F7D44" w:rsidRDefault="00B415F0" w:rsidP="00B415F0">
      <w:pPr>
        <w:spacing w:after="0" w:line="240" w:lineRule="auto"/>
        <w:rPr>
          <w:rFonts w:ascii="Arial" w:eastAsia="Calibri" w:hAnsi="Arial" w:cs="Arial"/>
          <w:lang w:val="en-US" w:eastAsia="en-US"/>
        </w:rPr>
      </w:pPr>
      <w:r w:rsidRPr="003F7D44">
        <w:rPr>
          <w:rFonts w:ascii="Arial" w:hAnsi="Arial" w:cs="Arial"/>
          <w:kern w:val="24"/>
        </w:rPr>
        <w:t xml:space="preserve">Hutchinson, S. and Purcell, J. (2003) Bringing policies to life: the vital role of front-line managers in people management. London: </w:t>
      </w:r>
      <w:r w:rsidRPr="003F7D44">
        <w:rPr>
          <w:rFonts w:ascii="Arial" w:eastAsia="Calibri" w:hAnsi="Arial" w:cs="Arial"/>
          <w:lang w:val="en-US" w:eastAsia="en-US"/>
        </w:rPr>
        <w:t>Chartered Institute of Personnel and Development.</w:t>
      </w:r>
    </w:p>
    <w:p w14:paraId="2E5F2280" w14:textId="12BB46C5" w:rsidR="00E559D8" w:rsidRPr="003F7D44" w:rsidRDefault="00E559D8" w:rsidP="00B415F0">
      <w:pPr>
        <w:spacing w:after="0" w:line="240" w:lineRule="auto"/>
        <w:rPr>
          <w:rFonts w:ascii="Arial" w:eastAsia="Calibri" w:hAnsi="Arial" w:cs="Arial"/>
          <w:lang w:val="en-US" w:eastAsia="en-US"/>
        </w:rPr>
      </w:pPr>
    </w:p>
    <w:p w14:paraId="40A921A9" w14:textId="0ED48A1C" w:rsidR="003410E6" w:rsidRPr="003F7D44" w:rsidRDefault="00E559D8" w:rsidP="00A77385">
      <w:pPr>
        <w:autoSpaceDE w:val="0"/>
        <w:autoSpaceDN w:val="0"/>
        <w:adjustRightInd w:val="0"/>
        <w:rPr>
          <w:rFonts w:ascii="Arial" w:hAnsi="Arial" w:cs="Arial"/>
        </w:rPr>
      </w:pPr>
      <w:r w:rsidRPr="003F7D44">
        <w:rPr>
          <w:rFonts w:ascii="Arial" w:hAnsi="Arial" w:cs="Arial"/>
        </w:rPr>
        <w:t xml:space="preserve">IES (2014) </w:t>
      </w:r>
      <w:r w:rsidRPr="003F7D44">
        <w:rPr>
          <w:rFonts w:ascii="Arial" w:hAnsi="Arial" w:cs="Arial"/>
          <w:i/>
          <w:iCs/>
        </w:rPr>
        <w:t>The Future of Engagement Thought Piece Collection</w:t>
      </w:r>
      <w:r w:rsidRPr="003F7D44">
        <w:rPr>
          <w:rFonts w:ascii="Arial" w:hAnsi="Arial" w:cs="Arial"/>
        </w:rPr>
        <w:t xml:space="preserve"> Available at: </w:t>
      </w:r>
      <w:hyperlink r:id="rId44" w:history="1">
        <w:r w:rsidRPr="003F7D44">
          <w:rPr>
            <w:rStyle w:val="Hyperlink"/>
            <w:rFonts w:ascii="Arial" w:hAnsi="Arial" w:cs="Arial"/>
            <w:color w:val="auto"/>
            <w:u w:val="none"/>
          </w:rPr>
          <w:t>https://www.cipd.co.uk/Images/the-future-of-engagement_2014-thought-piece-collection_tcm18-10758.pdf</w:t>
        </w:r>
      </w:hyperlink>
      <w:r w:rsidRPr="003F7D44">
        <w:rPr>
          <w:rFonts w:ascii="Arial" w:hAnsi="Arial" w:cs="Arial"/>
        </w:rPr>
        <w:t xml:space="preserve"> (Accessed 10 Oct 2020).</w:t>
      </w:r>
    </w:p>
    <w:p w14:paraId="5D9850A0" w14:textId="4287EF09" w:rsidR="00A73809" w:rsidRPr="003F7D44" w:rsidRDefault="00A73809" w:rsidP="009240A2">
      <w:pPr>
        <w:spacing w:after="0" w:line="240" w:lineRule="auto"/>
        <w:contextualSpacing/>
        <w:rPr>
          <w:rFonts w:ascii="Arial" w:hAnsi="Arial" w:cs="Arial"/>
          <w:kern w:val="24"/>
        </w:rPr>
      </w:pPr>
      <w:r w:rsidRPr="003F7D44">
        <w:rPr>
          <w:rFonts w:ascii="Arial" w:hAnsi="Arial" w:cs="Arial"/>
          <w:kern w:val="24"/>
        </w:rPr>
        <w:t xml:space="preserve">Jenkins, S. and Delbridge, R. (2013) Context matters: Examining soft and hard approaches to employee engagement in two workplaces. </w:t>
      </w:r>
      <w:r w:rsidRPr="003F7D44">
        <w:rPr>
          <w:rFonts w:ascii="Arial" w:hAnsi="Arial" w:cs="Arial"/>
          <w:i/>
          <w:iCs/>
          <w:kern w:val="24"/>
        </w:rPr>
        <w:t>International Journal of Human resource Management</w:t>
      </w:r>
      <w:r w:rsidRPr="003F7D44">
        <w:rPr>
          <w:rFonts w:ascii="Arial" w:hAnsi="Arial" w:cs="Arial"/>
          <w:kern w:val="24"/>
        </w:rPr>
        <w:t>. Vol 24, No 14. Pp2670-2691.</w:t>
      </w:r>
    </w:p>
    <w:p w14:paraId="2067A093" w14:textId="77777777" w:rsidR="00A73809" w:rsidRPr="003F7D44" w:rsidRDefault="00A73809" w:rsidP="009240A2">
      <w:pPr>
        <w:spacing w:after="0" w:line="240" w:lineRule="auto"/>
        <w:contextualSpacing/>
        <w:rPr>
          <w:rFonts w:ascii="Arial" w:hAnsi="Arial" w:cs="Arial"/>
          <w:kern w:val="24"/>
        </w:rPr>
      </w:pPr>
    </w:p>
    <w:p w14:paraId="42F0731E" w14:textId="4E00A098" w:rsidR="00271746" w:rsidRPr="003F7D44" w:rsidRDefault="00271746" w:rsidP="00271746">
      <w:pPr>
        <w:spacing w:after="0" w:line="240" w:lineRule="auto"/>
        <w:rPr>
          <w:rFonts w:ascii="Arial" w:eastAsia="Calibri" w:hAnsi="Arial" w:cs="Arial"/>
          <w:lang w:val="en-US" w:eastAsia="en-US"/>
        </w:rPr>
      </w:pPr>
      <w:r w:rsidRPr="003F7D44">
        <w:rPr>
          <w:rFonts w:ascii="Arial" w:eastAsia="Calibri" w:hAnsi="Arial" w:cs="Arial"/>
          <w:lang w:val="en-US" w:eastAsia="en-US"/>
        </w:rPr>
        <w:t xml:space="preserve">Johns, T. and Ellis, C. (2016) ‘Employee Engagement’, in Taylor, S. and Woodhams, C. (ed) </w:t>
      </w:r>
      <w:r w:rsidRPr="003F7D44">
        <w:rPr>
          <w:rFonts w:ascii="Arial" w:eastAsia="Calibri" w:hAnsi="Arial" w:cs="Arial"/>
          <w:i/>
          <w:iCs/>
          <w:lang w:val="en-US" w:eastAsia="en-US"/>
        </w:rPr>
        <w:t>Hu</w:t>
      </w:r>
      <w:r w:rsidRPr="003F7D44">
        <w:rPr>
          <w:rFonts w:ascii="Arial" w:eastAsia="Calibri" w:hAnsi="Arial" w:cs="Arial"/>
          <w:i/>
          <w:lang w:val="en-US" w:eastAsia="en-US"/>
        </w:rPr>
        <w:t xml:space="preserve">man Resource Management: People and Organisations. </w:t>
      </w:r>
      <w:r w:rsidRPr="003F7D44">
        <w:rPr>
          <w:rFonts w:ascii="Arial" w:eastAsia="Calibri" w:hAnsi="Arial" w:cs="Arial"/>
          <w:lang w:val="en-US" w:eastAsia="en-US"/>
        </w:rPr>
        <w:t>2</w:t>
      </w:r>
      <w:r w:rsidRPr="003F7D44">
        <w:rPr>
          <w:rFonts w:ascii="Arial" w:eastAsia="Calibri" w:hAnsi="Arial" w:cs="Arial"/>
          <w:vertAlign w:val="superscript"/>
          <w:lang w:val="en-US" w:eastAsia="en-US"/>
        </w:rPr>
        <w:t>nd</w:t>
      </w:r>
      <w:r w:rsidRPr="003F7D44">
        <w:rPr>
          <w:rFonts w:ascii="Arial" w:eastAsia="Calibri" w:hAnsi="Arial" w:cs="Arial"/>
          <w:lang w:val="en-US" w:eastAsia="en-US"/>
        </w:rPr>
        <w:t xml:space="preserve"> ed.</w:t>
      </w:r>
      <w:r w:rsidRPr="003F7D44">
        <w:rPr>
          <w:rFonts w:ascii="Arial" w:eastAsia="Calibri" w:hAnsi="Arial" w:cs="Arial"/>
          <w:i/>
          <w:lang w:val="en-US" w:eastAsia="en-US"/>
        </w:rPr>
        <w:t xml:space="preserve"> </w:t>
      </w:r>
      <w:r w:rsidRPr="003F7D44">
        <w:rPr>
          <w:rFonts w:ascii="Arial" w:eastAsia="Calibri" w:hAnsi="Arial" w:cs="Arial"/>
          <w:lang w:val="en-US" w:eastAsia="en-US"/>
        </w:rPr>
        <w:t>London: Chartered Institute of Personnel and Development.</w:t>
      </w:r>
    </w:p>
    <w:p w14:paraId="091DD8F7" w14:textId="77777777" w:rsidR="000642A1" w:rsidRPr="003F7D44" w:rsidRDefault="000642A1" w:rsidP="00271746">
      <w:pPr>
        <w:spacing w:after="0" w:line="240" w:lineRule="auto"/>
        <w:rPr>
          <w:rFonts w:ascii="Arial" w:eastAsia="Calibri" w:hAnsi="Arial" w:cs="Arial"/>
          <w:lang w:val="en-US" w:eastAsia="en-US"/>
        </w:rPr>
      </w:pPr>
    </w:p>
    <w:p w14:paraId="458BA904" w14:textId="77777777" w:rsidR="008B12EB" w:rsidRPr="003F7D44" w:rsidRDefault="008B12EB" w:rsidP="008B12EB">
      <w:pPr>
        <w:autoSpaceDE w:val="0"/>
        <w:autoSpaceDN w:val="0"/>
        <w:adjustRightInd w:val="0"/>
        <w:rPr>
          <w:rFonts w:ascii="Arial" w:hAnsi="Arial" w:cs="Arial"/>
        </w:rPr>
      </w:pPr>
      <w:r w:rsidRPr="003F7D44">
        <w:rPr>
          <w:rFonts w:ascii="Arial" w:hAnsi="Arial" w:cs="Arial"/>
        </w:rPr>
        <w:t xml:space="preserve">Kahn, W.A. (1990) </w:t>
      </w:r>
      <w:r w:rsidRPr="003F7D44">
        <w:rPr>
          <w:rFonts w:ascii="Arial" w:hAnsi="Arial" w:cs="Arial"/>
          <w:i/>
          <w:iCs/>
        </w:rPr>
        <w:t>The psychological conditions of personal engagement and disengagement at work</w:t>
      </w:r>
      <w:r w:rsidRPr="003F7D44">
        <w:rPr>
          <w:rFonts w:ascii="Arial" w:hAnsi="Arial" w:cs="Arial"/>
        </w:rPr>
        <w:t>. Academy of Management Journal. Vol 33. Pp692-724.</w:t>
      </w:r>
    </w:p>
    <w:p w14:paraId="531E948D" w14:textId="489ABCDA" w:rsidR="00070F73" w:rsidRPr="003F7D44" w:rsidRDefault="000A5E17" w:rsidP="00522343">
      <w:pPr>
        <w:autoSpaceDE w:val="0"/>
        <w:autoSpaceDN w:val="0"/>
        <w:adjustRightInd w:val="0"/>
        <w:rPr>
          <w:rFonts w:ascii="Arial" w:hAnsi="Arial" w:cs="Arial"/>
        </w:rPr>
      </w:pPr>
      <w:r w:rsidRPr="003F7D44">
        <w:rPr>
          <w:rFonts w:ascii="Arial" w:hAnsi="Arial" w:cs="Arial"/>
        </w:rPr>
        <w:t>Macleod, D. and Clarke, N. (2009) Engaging for success: enhancing performance through employee engagement. A report to government. London: Department for Business, innovation and Skills.</w:t>
      </w:r>
    </w:p>
    <w:p w14:paraId="002DB4BD" w14:textId="267C78A5" w:rsidR="003A0DC5" w:rsidRPr="003F7D44" w:rsidRDefault="003A0DC5" w:rsidP="00522343">
      <w:pPr>
        <w:autoSpaceDE w:val="0"/>
        <w:autoSpaceDN w:val="0"/>
        <w:adjustRightInd w:val="0"/>
        <w:rPr>
          <w:rFonts w:ascii="Arial" w:hAnsi="Arial" w:cs="Arial"/>
        </w:rPr>
      </w:pPr>
      <w:r w:rsidRPr="003F7D44">
        <w:rPr>
          <w:rFonts w:ascii="Arial" w:hAnsi="Arial" w:cs="Arial"/>
        </w:rPr>
        <w:t xml:space="preserve">Purcell, J. (2010) </w:t>
      </w:r>
      <w:r w:rsidRPr="003F7D44">
        <w:rPr>
          <w:rFonts w:ascii="Arial" w:hAnsi="Arial" w:cs="Arial"/>
          <w:i/>
          <w:iCs/>
        </w:rPr>
        <w:t>Building Employee Engagement</w:t>
      </w:r>
      <w:r w:rsidRPr="003F7D44">
        <w:rPr>
          <w:rFonts w:ascii="Arial" w:hAnsi="Arial" w:cs="Arial"/>
        </w:rPr>
        <w:t>, ACAS Policy Discussion Paper [Online]</w:t>
      </w:r>
      <w:r w:rsidR="00793FF4" w:rsidRPr="003F7D44">
        <w:rPr>
          <w:rFonts w:ascii="Arial" w:hAnsi="Arial" w:cs="Arial"/>
        </w:rPr>
        <w:t xml:space="preserve">. Available at: </w:t>
      </w:r>
      <w:hyperlink r:id="rId45" w:history="1">
        <w:r w:rsidR="00793FF4" w:rsidRPr="003F7D44">
          <w:rPr>
            <w:rStyle w:val="Hyperlink"/>
            <w:rFonts w:ascii="Arial" w:hAnsi="Arial" w:cs="Arial"/>
            <w:color w:val="auto"/>
            <w:u w:val="none"/>
          </w:rPr>
          <w:t>https://archive.acas.org.uk/media/2672/Building-employee-engagement/pdf/Building_employee_engagement-accessible-version-Jun-2012.pdf</w:t>
        </w:r>
      </w:hyperlink>
      <w:r w:rsidR="00793FF4" w:rsidRPr="003F7D44">
        <w:rPr>
          <w:rFonts w:ascii="Arial" w:hAnsi="Arial" w:cs="Arial"/>
        </w:rPr>
        <w:t xml:space="preserve"> (Accessed 03 Oct 2020).</w:t>
      </w:r>
    </w:p>
    <w:p w14:paraId="143F7077" w14:textId="615D2321" w:rsidR="00686E5B" w:rsidRPr="003F7D44" w:rsidRDefault="00686E5B" w:rsidP="00686E5B">
      <w:pPr>
        <w:spacing w:after="0" w:line="240" w:lineRule="auto"/>
        <w:contextualSpacing/>
        <w:rPr>
          <w:rFonts w:ascii="Arial" w:eastAsia="Calibri" w:hAnsi="Arial" w:cs="Arial"/>
          <w:lang w:val="en-US" w:eastAsia="en-US"/>
        </w:rPr>
      </w:pPr>
      <w:r w:rsidRPr="003F7D44">
        <w:rPr>
          <w:rFonts w:ascii="Arial" w:hAnsi="Arial" w:cs="Arial"/>
          <w:kern w:val="24"/>
        </w:rPr>
        <w:t xml:space="preserve">Purcell, J. Kinnie, N., Hitchinson,S., Rayton,B. and Swart, J. (2003) </w:t>
      </w:r>
      <w:r w:rsidRPr="003F7D44">
        <w:rPr>
          <w:rFonts w:ascii="Arial" w:hAnsi="Arial" w:cs="Arial"/>
          <w:i/>
          <w:iCs/>
          <w:kern w:val="24"/>
        </w:rPr>
        <w:t xml:space="preserve">Understanding the people and performance link: unlocking the black box. </w:t>
      </w:r>
      <w:r w:rsidRPr="003F7D44">
        <w:rPr>
          <w:rFonts w:ascii="Arial" w:hAnsi="Arial" w:cs="Arial"/>
          <w:kern w:val="24"/>
        </w:rPr>
        <w:t xml:space="preserve">London: </w:t>
      </w:r>
      <w:r w:rsidRPr="003F7D44">
        <w:rPr>
          <w:rFonts w:ascii="Arial" w:eastAsia="Calibri" w:hAnsi="Arial" w:cs="Arial"/>
          <w:lang w:val="en-US" w:eastAsia="en-US"/>
        </w:rPr>
        <w:t>Chartered Institute of Personnel and Development.</w:t>
      </w:r>
    </w:p>
    <w:p w14:paraId="4D199DBA" w14:textId="5792E6C1" w:rsidR="00E06A68" w:rsidRPr="003F7D44" w:rsidRDefault="00E06A68" w:rsidP="00686E5B">
      <w:pPr>
        <w:spacing w:after="0" w:line="240" w:lineRule="auto"/>
        <w:contextualSpacing/>
        <w:rPr>
          <w:rFonts w:ascii="Arial" w:eastAsia="Calibri" w:hAnsi="Arial" w:cs="Arial"/>
          <w:lang w:val="en-US" w:eastAsia="en-US"/>
        </w:rPr>
      </w:pPr>
    </w:p>
    <w:p w14:paraId="3E257BB9" w14:textId="04FB48DE" w:rsidR="00107766" w:rsidRPr="003F7D44" w:rsidRDefault="00107766" w:rsidP="00686E5B">
      <w:pPr>
        <w:spacing w:after="0" w:line="240" w:lineRule="auto"/>
        <w:contextualSpacing/>
        <w:rPr>
          <w:rFonts w:ascii="Arial" w:eastAsia="Calibri" w:hAnsi="Arial" w:cs="Arial"/>
          <w:lang w:val="en-US" w:eastAsia="en-US"/>
        </w:rPr>
      </w:pPr>
      <w:r w:rsidRPr="003F7D44">
        <w:rPr>
          <w:rFonts w:ascii="Arial" w:eastAsia="Calibri" w:hAnsi="Arial" w:cs="Arial"/>
          <w:lang w:val="en-US" w:eastAsia="en-US"/>
        </w:rPr>
        <w:t xml:space="preserve">Rees, C. Alfres, K. and Gatenby, M. (2013) Employee voice and engagement connections and consequences, </w:t>
      </w:r>
      <w:r w:rsidRPr="003F7D44">
        <w:rPr>
          <w:rFonts w:ascii="Arial" w:eastAsia="Calibri" w:hAnsi="Arial" w:cs="Arial"/>
          <w:i/>
          <w:iCs/>
          <w:lang w:val="en-US" w:eastAsia="en-US"/>
        </w:rPr>
        <w:t>International Journal of Human Resource Management</w:t>
      </w:r>
      <w:r w:rsidRPr="003F7D44">
        <w:rPr>
          <w:rFonts w:ascii="Arial" w:eastAsia="Calibri" w:hAnsi="Arial" w:cs="Arial"/>
          <w:lang w:val="en-US" w:eastAsia="en-US"/>
        </w:rPr>
        <w:t>. Vol 24, No 3. Pp2780-2798.</w:t>
      </w:r>
    </w:p>
    <w:p w14:paraId="37272957" w14:textId="7469CD63" w:rsidR="001726E4" w:rsidRPr="003F7D44" w:rsidRDefault="001726E4" w:rsidP="00686E5B">
      <w:pPr>
        <w:spacing w:after="0" w:line="240" w:lineRule="auto"/>
        <w:contextualSpacing/>
        <w:rPr>
          <w:rFonts w:ascii="Arial" w:eastAsia="Calibri" w:hAnsi="Arial" w:cs="Arial"/>
          <w:lang w:val="en-US" w:eastAsia="en-US"/>
        </w:rPr>
      </w:pPr>
    </w:p>
    <w:p w14:paraId="19F9468E" w14:textId="32F31B28" w:rsidR="001726E4" w:rsidRPr="003F7D44" w:rsidRDefault="001726E4" w:rsidP="00686E5B">
      <w:pPr>
        <w:spacing w:after="0" w:line="240" w:lineRule="auto"/>
        <w:contextualSpacing/>
        <w:rPr>
          <w:rFonts w:ascii="Arial" w:eastAsia="Calibri" w:hAnsi="Arial" w:cs="Arial"/>
          <w:lang w:val="en-US" w:eastAsia="en-US"/>
        </w:rPr>
      </w:pPr>
      <w:r w:rsidRPr="003F7D44">
        <w:rPr>
          <w:rFonts w:ascii="Arial" w:eastAsia="Calibri" w:hAnsi="Arial" w:cs="Arial"/>
          <w:lang w:val="en-US" w:eastAsia="en-US"/>
        </w:rPr>
        <w:t xml:space="preserve">RSA (2020) </w:t>
      </w:r>
      <w:r w:rsidR="000144E3" w:rsidRPr="003F7D44">
        <w:rPr>
          <w:rFonts w:ascii="Arial" w:eastAsia="Calibri" w:hAnsi="Arial" w:cs="Arial"/>
          <w:i/>
          <w:iCs/>
          <w:lang w:val="en-US" w:eastAsia="en-US"/>
        </w:rPr>
        <w:t>A blueprint for good work.</w:t>
      </w:r>
      <w:r w:rsidR="000144E3" w:rsidRPr="003F7D44">
        <w:rPr>
          <w:rFonts w:ascii="Arial" w:eastAsia="Calibri" w:hAnsi="Arial" w:cs="Arial"/>
          <w:lang w:val="en-US" w:eastAsia="en-US"/>
        </w:rPr>
        <w:t xml:space="preserve"> </w:t>
      </w:r>
      <w:r w:rsidRPr="003F7D44">
        <w:rPr>
          <w:rFonts w:ascii="Arial" w:eastAsia="Calibri" w:hAnsi="Arial" w:cs="Arial"/>
          <w:lang w:val="en-US" w:eastAsia="en-US"/>
        </w:rPr>
        <w:t>Available at:</w:t>
      </w:r>
      <w:r w:rsidRPr="003F7D44">
        <w:rPr>
          <w:rFonts w:ascii="Arial" w:hAnsi="Arial" w:cs="Arial"/>
        </w:rPr>
        <w:t xml:space="preserve"> </w:t>
      </w:r>
      <w:r w:rsidRPr="003F7D44">
        <w:rPr>
          <w:rFonts w:ascii="Arial" w:eastAsia="Calibri" w:hAnsi="Arial" w:cs="Arial"/>
          <w:lang w:val="en-US" w:eastAsia="en-US"/>
        </w:rPr>
        <w:t>https://www.thersa.org/reports/blueprint-good-work (Accessed 10 Oct 2020).</w:t>
      </w:r>
    </w:p>
    <w:p w14:paraId="3365A858" w14:textId="5DF81780" w:rsidR="00EB5C3E" w:rsidRPr="003F7D44" w:rsidRDefault="00EB5C3E" w:rsidP="00686E5B">
      <w:pPr>
        <w:spacing w:after="0" w:line="240" w:lineRule="auto"/>
        <w:contextualSpacing/>
        <w:rPr>
          <w:rFonts w:ascii="Arial" w:eastAsia="Calibri" w:hAnsi="Arial" w:cs="Arial"/>
          <w:lang w:val="en-US" w:eastAsia="en-US"/>
        </w:rPr>
      </w:pPr>
    </w:p>
    <w:p w14:paraId="5418CB17" w14:textId="77777777" w:rsidR="00EB5C3E" w:rsidRPr="003F7D44" w:rsidRDefault="00EB5C3E" w:rsidP="00EB5C3E">
      <w:pPr>
        <w:autoSpaceDE w:val="0"/>
        <w:autoSpaceDN w:val="0"/>
        <w:adjustRightInd w:val="0"/>
        <w:rPr>
          <w:rFonts w:ascii="Arial" w:hAnsi="Arial" w:cs="Arial"/>
        </w:rPr>
      </w:pPr>
      <w:r w:rsidRPr="003F7D44">
        <w:rPr>
          <w:rFonts w:ascii="Arial" w:hAnsi="Arial" w:cs="Arial"/>
        </w:rPr>
        <w:t xml:space="preserve">Robinson, D. and Hayday, S. (2009) </w:t>
      </w:r>
      <w:r w:rsidRPr="003F7D44">
        <w:rPr>
          <w:rFonts w:ascii="Arial" w:hAnsi="Arial" w:cs="Arial"/>
          <w:i/>
          <w:iCs/>
        </w:rPr>
        <w:t>The Engaging Manager</w:t>
      </w:r>
      <w:r w:rsidRPr="003F7D44">
        <w:rPr>
          <w:rFonts w:ascii="Arial" w:hAnsi="Arial" w:cs="Arial"/>
        </w:rPr>
        <w:t>. Brighton: Institute of Employment Studies.</w:t>
      </w:r>
    </w:p>
    <w:p w14:paraId="2979D2D7" w14:textId="66E01A13" w:rsidR="00017699" w:rsidRPr="003F7D44" w:rsidRDefault="00017699" w:rsidP="0079038C">
      <w:pPr>
        <w:spacing w:before="100" w:beforeAutospacing="1" w:after="100" w:afterAutospacing="1" w:line="240" w:lineRule="auto"/>
        <w:rPr>
          <w:rFonts w:ascii="Arial" w:eastAsia="Times New Roman" w:hAnsi="Arial" w:cs="Arial"/>
        </w:rPr>
      </w:pPr>
      <w:r w:rsidRPr="003F7D44">
        <w:rPr>
          <w:rFonts w:ascii="Arial" w:hAnsi="Arial" w:cs="Arial"/>
        </w:rPr>
        <w:t xml:space="preserve">SHRM </w:t>
      </w:r>
      <w:r w:rsidR="00392FD3" w:rsidRPr="003F7D44">
        <w:rPr>
          <w:rFonts w:ascii="Arial" w:hAnsi="Arial" w:cs="Arial"/>
        </w:rPr>
        <w:t xml:space="preserve">(no date) </w:t>
      </w:r>
      <w:r w:rsidRPr="003F7D44">
        <w:rPr>
          <w:rFonts w:ascii="Arial" w:hAnsi="Arial" w:cs="Arial"/>
        </w:rPr>
        <w:t xml:space="preserve">- </w:t>
      </w:r>
      <w:r w:rsidRPr="003F7D44">
        <w:rPr>
          <w:rFonts w:ascii="Arial" w:hAnsi="Arial" w:cs="Arial"/>
          <w:i/>
          <w:iCs/>
        </w:rPr>
        <w:t>Developing and Sustaining Employee Engagement.</w:t>
      </w:r>
      <w:r w:rsidRPr="003F7D44">
        <w:rPr>
          <w:rFonts w:ascii="Arial" w:eastAsia="Times New Roman" w:hAnsi="Arial" w:cs="Arial"/>
        </w:rPr>
        <w:t xml:space="preserve"> Available at: </w:t>
      </w:r>
      <w:hyperlink r:id="rId46" w:history="1">
        <w:r w:rsidRPr="003F7D44">
          <w:rPr>
            <w:rStyle w:val="Hyperlink"/>
            <w:rFonts w:ascii="Arial" w:eastAsia="Times New Roman" w:hAnsi="Arial" w:cs="Arial"/>
            <w:color w:val="auto"/>
            <w:u w:val="none"/>
          </w:rPr>
          <w:t>https://www.shrm.org/resourcesandtools/tools-and-samples/toolkits/pages/sustainingemployeeengagement</w:t>
        </w:r>
      </w:hyperlink>
      <w:r w:rsidRPr="003F7D44">
        <w:rPr>
          <w:rFonts w:ascii="Arial" w:eastAsia="Times New Roman" w:hAnsi="Arial" w:cs="Arial"/>
        </w:rPr>
        <w:t xml:space="preserve"> (Accessed 10 Oct 2020).</w:t>
      </w:r>
    </w:p>
    <w:p w14:paraId="176EBEAA" w14:textId="1B286AC9" w:rsidR="00E06A68" w:rsidRPr="003F7D44" w:rsidRDefault="00E06A68" w:rsidP="00686E5B">
      <w:pPr>
        <w:spacing w:after="0" w:line="240" w:lineRule="auto"/>
        <w:contextualSpacing/>
        <w:rPr>
          <w:rFonts w:ascii="Arial" w:eastAsia="Calibri" w:hAnsi="Arial" w:cs="Arial"/>
          <w:lang w:val="en-US" w:eastAsia="en-US"/>
        </w:rPr>
      </w:pPr>
      <w:r w:rsidRPr="003F7D44">
        <w:rPr>
          <w:rFonts w:ascii="Arial" w:eastAsia="Calibri" w:hAnsi="Arial" w:cs="Arial"/>
          <w:lang w:val="en-US" w:eastAsia="en-US"/>
        </w:rPr>
        <w:t xml:space="preserve">Silverman, D. (2014) </w:t>
      </w:r>
      <w:r w:rsidRPr="003F7D44">
        <w:rPr>
          <w:rFonts w:ascii="Arial" w:eastAsia="Calibri" w:hAnsi="Arial" w:cs="Arial"/>
          <w:i/>
          <w:iCs/>
          <w:lang w:val="en-US" w:eastAsia="en-US"/>
        </w:rPr>
        <w:t>The Future of Engagement</w:t>
      </w:r>
      <w:r w:rsidRPr="003F7D44">
        <w:rPr>
          <w:rFonts w:ascii="Arial" w:eastAsia="Calibri" w:hAnsi="Arial" w:cs="Arial"/>
          <w:lang w:val="en-US" w:eastAsia="en-US"/>
        </w:rPr>
        <w:t xml:space="preserve">. Research Report. CIPD [Online] </w:t>
      </w:r>
      <w:hyperlink r:id="rId47" w:history="1">
        <w:r w:rsidRPr="003F7D44">
          <w:rPr>
            <w:rStyle w:val="Hyperlink"/>
            <w:rFonts w:ascii="Arial" w:eastAsia="Calibri" w:hAnsi="Arial" w:cs="Arial"/>
            <w:color w:val="auto"/>
            <w:u w:val="none"/>
            <w:lang w:val="en-US" w:eastAsia="en-US"/>
          </w:rPr>
          <w:t>www.cipd.co.uk/hr-resources/research/future-engagement.aspx</w:t>
        </w:r>
      </w:hyperlink>
      <w:r w:rsidRPr="003F7D44">
        <w:rPr>
          <w:rFonts w:ascii="Arial" w:eastAsia="Calibri" w:hAnsi="Arial" w:cs="Arial"/>
          <w:lang w:val="en-US" w:eastAsia="en-US"/>
        </w:rPr>
        <w:t xml:space="preserve"> (</w:t>
      </w:r>
      <w:r w:rsidR="008145F3" w:rsidRPr="003F7D44">
        <w:rPr>
          <w:rFonts w:ascii="Arial" w:eastAsia="Calibri" w:hAnsi="Arial" w:cs="Arial"/>
          <w:lang w:val="en-US" w:eastAsia="en-US"/>
        </w:rPr>
        <w:t>A</w:t>
      </w:r>
      <w:r w:rsidRPr="003F7D44">
        <w:rPr>
          <w:rFonts w:ascii="Arial" w:eastAsia="Calibri" w:hAnsi="Arial" w:cs="Arial"/>
          <w:lang w:val="en-US" w:eastAsia="en-US"/>
        </w:rPr>
        <w:t>ccessed 10 Oct 2020).</w:t>
      </w:r>
    </w:p>
    <w:p w14:paraId="63EF2685" w14:textId="77777777" w:rsidR="0079038C" w:rsidRPr="003F7D44" w:rsidRDefault="0079038C" w:rsidP="00686E5B">
      <w:pPr>
        <w:spacing w:after="0" w:line="240" w:lineRule="auto"/>
        <w:contextualSpacing/>
        <w:rPr>
          <w:rFonts w:ascii="Arial" w:hAnsi="Arial" w:cs="Arial"/>
          <w:kern w:val="24"/>
        </w:rPr>
      </w:pPr>
    </w:p>
    <w:p w14:paraId="2255E1FF" w14:textId="169936B5" w:rsidR="00686E5B" w:rsidRPr="003F7D44" w:rsidRDefault="0079038C" w:rsidP="00A77385">
      <w:pPr>
        <w:autoSpaceDE w:val="0"/>
        <w:autoSpaceDN w:val="0"/>
        <w:adjustRightInd w:val="0"/>
        <w:rPr>
          <w:rFonts w:ascii="Arial" w:hAnsi="Arial" w:cs="Arial"/>
        </w:rPr>
      </w:pPr>
      <w:r w:rsidRPr="003F7D44">
        <w:rPr>
          <w:rFonts w:ascii="Arial" w:hAnsi="Arial" w:cs="Arial"/>
        </w:rPr>
        <w:t xml:space="preserve">The Guardian (2020). </w:t>
      </w:r>
      <w:r w:rsidRPr="003F7D44">
        <w:rPr>
          <w:rFonts w:ascii="Arial" w:hAnsi="Arial" w:cs="Arial"/>
          <w:i/>
          <w:iCs/>
          <w:shd w:val="clear" w:color="auto" w:fill="FFFFFF"/>
        </w:rPr>
        <w:t>JD Wetherspoon denies ‘abandoning’ staff in coronavirus crisis</w:t>
      </w:r>
      <w:r w:rsidRPr="003F7D44">
        <w:rPr>
          <w:rFonts w:ascii="Arial" w:hAnsi="Arial" w:cs="Arial"/>
          <w:shd w:val="clear" w:color="auto" w:fill="FFFFFF"/>
        </w:rPr>
        <w:t>[Article]</w:t>
      </w:r>
      <w:r w:rsidRPr="003F7D44">
        <w:rPr>
          <w:rFonts w:ascii="Arial" w:hAnsi="Arial" w:cs="Arial"/>
          <w:i/>
          <w:iCs/>
          <w:shd w:val="clear" w:color="auto" w:fill="FFFFFF"/>
        </w:rPr>
        <w:t xml:space="preserve"> </w:t>
      </w:r>
      <w:r w:rsidRPr="003F7D44">
        <w:rPr>
          <w:rFonts w:ascii="Arial" w:hAnsi="Arial" w:cs="Arial"/>
        </w:rPr>
        <w:t xml:space="preserve">Available at: </w:t>
      </w:r>
      <w:hyperlink r:id="rId48" w:history="1">
        <w:r w:rsidRPr="003F7D44">
          <w:rPr>
            <w:rStyle w:val="Hyperlink"/>
            <w:rFonts w:ascii="Arial" w:hAnsi="Arial" w:cs="Arial"/>
            <w:color w:val="auto"/>
            <w:u w:val="none"/>
          </w:rPr>
          <w:t>https://www.theguardian.com/business/2020/mar/24/wetherspoons-denies-abandoning-staff-in-coronavirus-crisis</w:t>
        </w:r>
      </w:hyperlink>
      <w:r w:rsidRPr="003F7D44">
        <w:rPr>
          <w:rFonts w:ascii="Arial" w:hAnsi="Arial" w:cs="Arial"/>
        </w:rPr>
        <w:t xml:space="preserve"> (Accessed 04 Oct 2020).</w:t>
      </w:r>
    </w:p>
    <w:p w14:paraId="21BDBA44" w14:textId="600A8202" w:rsidR="00A43AD2" w:rsidRPr="003F7D44" w:rsidRDefault="00A43AD2" w:rsidP="00522343">
      <w:pPr>
        <w:autoSpaceDE w:val="0"/>
        <w:autoSpaceDN w:val="0"/>
        <w:adjustRightInd w:val="0"/>
        <w:rPr>
          <w:rFonts w:ascii="Arial" w:hAnsi="Arial" w:cs="Arial"/>
        </w:rPr>
      </w:pPr>
      <w:r w:rsidRPr="003F7D44">
        <w:rPr>
          <w:rFonts w:ascii="Arial" w:hAnsi="Arial" w:cs="Arial"/>
        </w:rPr>
        <w:t xml:space="preserve">Towers Perrin (2009) </w:t>
      </w:r>
      <w:r w:rsidRPr="003F7D44">
        <w:rPr>
          <w:rFonts w:ascii="Arial" w:hAnsi="Arial" w:cs="Arial"/>
          <w:i/>
          <w:iCs/>
        </w:rPr>
        <w:t>Global Workforce study 2007/2008: closing the engagement ga</w:t>
      </w:r>
      <w:r w:rsidR="00CE4D88" w:rsidRPr="003F7D44">
        <w:rPr>
          <w:rFonts w:ascii="Arial" w:hAnsi="Arial" w:cs="Arial"/>
          <w:i/>
          <w:iCs/>
        </w:rPr>
        <w:t>p</w:t>
      </w:r>
      <w:r w:rsidRPr="003F7D44">
        <w:rPr>
          <w:rFonts w:ascii="Arial" w:hAnsi="Arial" w:cs="Arial"/>
          <w:i/>
          <w:iCs/>
        </w:rPr>
        <w:t xml:space="preserve"> – a ro</w:t>
      </w:r>
      <w:r w:rsidR="00CE4D88" w:rsidRPr="003F7D44">
        <w:rPr>
          <w:rFonts w:ascii="Arial" w:hAnsi="Arial" w:cs="Arial"/>
          <w:i/>
          <w:iCs/>
        </w:rPr>
        <w:t>a</w:t>
      </w:r>
      <w:r w:rsidRPr="003F7D44">
        <w:rPr>
          <w:rFonts w:ascii="Arial" w:hAnsi="Arial" w:cs="Arial"/>
          <w:i/>
          <w:iCs/>
        </w:rPr>
        <w:t>d map for driving superior business performance</w:t>
      </w:r>
      <w:r w:rsidRPr="003F7D44">
        <w:rPr>
          <w:rFonts w:ascii="Arial" w:hAnsi="Arial" w:cs="Arial"/>
        </w:rPr>
        <w:t>. London: Towers Watson.</w:t>
      </w:r>
    </w:p>
    <w:p w14:paraId="0E2A7F37" w14:textId="2EA2C723" w:rsidR="000B1125" w:rsidRPr="003F7D44" w:rsidRDefault="000B1125" w:rsidP="00522343">
      <w:pPr>
        <w:autoSpaceDE w:val="0"/>
        <w:autoSpaceDN w:val="0"/>
        <w:adjustRightInd w:val="0"/>
        <w:rPr>
          <w:rFonts w:ascii="Arial" w:hAnsi="Arial" w:cs="Arial"/>
        </w:rPr>
      </w:pPr>
      <w:r w:rsidRPr="003F7D44">
        <w:rPr>
          <w:rFonts w:ascii="Arial" w:hAnsi="Arial" w:cs="Arial"/>
        </w:rPr>
        <w:t xml:space="preserve">Welbourne, T.M., (2011) Engaged in what? So what? A role-based perspective for the future of employee engagement. In </w:t>
      </w:r>
      <w:r w:rsidRPr="003F7D44">
        <w:rPr>
          <w:rFonts w:ascii="Arial" w:hAnsi="Arial" w:cs="Arial"/>
          <w:i/>
          <w:iCs/>
        </w:rPr>
        <w:t>The Future of Employmen</w:t>
      </w:r>
      <w:r w:rsidRPr="003F7D44">
        <w:rPr>
          <w:rFonts w:ascii="Arial" w:hAnsi="Arial" w:cs="Arial"/>
        </w:rPr>
        <w:t>t Relations (pp. 85-100). Palgrave Macmillan UK.</w:t>
      </w:r>
    </w:p>
    <w:p w14:paraId="4445D69B" w14:textId="11F7E8F2" w:rsidR="00070F73" w:rsidRPr="003F7D44" w:rsidRDefault="00716809" w:rsidP="00522343">
      <w:pPr>
        <w:autoSpaceDE w:val="0"/>
        <w:autoSpaceDN w:val="0"/>
        <w:adjustRightInd w:val="0"/>
        <w:rPr>
          <w:rFonts w:ascii="Arial" w:hAnsi="Arial" w:cs="Arial"/>
        </w:rPr>
      </w:pPr>
      <w:r w:rsidRPr="003F7D44">
        <w:rPr>
          <w:rFonts w:ascii="Arial" w:hAnsi="Arial" w:cs="Arial"/>
        </w:rPr>
        <w:t xml:space="preserve">Whitmore, J. (2020) </w:t>
      </w:r>
      <w:r w:rsidR="00366661" w:rsidRPr="003F7D44">
        <w:rPr>
          <w:rFonts w:ascii="Arial" w:hAnsi="Arial" w:cs="Arial"/>
        </w:rPr>
        <w:t xml:space="preserve">Performance Consultants </w:t>
      </w:r>
      <w:r w:rsidRPr="003F7D44">
        <w:rPr>
          <w:rFonts w:ascii="Arial" w:hAnsi="Arial" w:cs="Arial"/>
        </w:rPr>
        <w:t xml:space="preserve">[Website] Available at: </w:t>
      </w:r>
      <w:hyperlink r:id="rId49" w:history="1">
        <w:r w:rsidRPr="003F7D44">
          <w:rPr>
            <w:rStyle w:val="Hyperlink"/>
            <w:rFonts w:ascii="Arial" w:hAnsi="Arial" w:cs="Arial"/>
            <w:color w:val="auto"/>
            <w:u w:val="none"/>
          </w:rPr>
          <w:t>https://www.performanceconsultants.com/sir-john-whitmore</w:t>
        </w:r>
      </w:hyperlink>
      <w:r w:rsidRPr="003F7D44">
        <w:rPr>
          <w:rFonts w:ascii="Arial" w:hAnsi="Arial" w:cs="Arial"/>
        </w:rPr>
        <w:t xml:space="preserve"> (Accessed 04 Oct 2020).</w:t>
      </w:r>
    </w:p>
    <w:p w14:paraId="071D615B" w14:textId="51A87E43" w:rsidR="00F606EE" w:rsidRPr="003F7D44" w:rsidRDefault="00F606EE" w:rsidP="00F75097">
      <w:pPr>
        <w:rPr>
          <w:rFonts w:ascii="Arial" w:hAnsi="Arial" w:cs="Arial"/>
        </w:rPr>
      </w:pPr>
    </w:p>
    <w:sectPr w:rsidR="00F606EE" w:rsidRPr="003F7D44">
      <w:headerReference w:type="even" r:id="rId50"/>
      <w:headerReference w:type="default" r:id="rId51"/>
      <w:footerReference w:type="even" r:id="rId52"/>
      <w:footerReference w:type="default" r:id="rId53"/>
      <w:headerReference w:type="first" r:id="rId54"/>
      <w:footerReference w:type="firs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9BDF6" w14:textId="77777777" w:rsidR="001F6080" w:rsidRDefault="001F6080" w:rsidP="00884462">
      <w:pPr>
        <w:spacing w:after="0" w:line="240" w:lineRule="auto"/>
      </w:pPr>
      <w:r>
        <w:separator/>
      </w:r>
    </w:p>
  </w:endnote>
  <w:endnote w:type="continuationSeparator" w:id="0">
    <w:p w14:paraId="13FB7EA9" w14:textId="77777777" w:rsidR="001F6080" w:rsidRDefault="001F6080" w:rsidP="00884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51903" w14:textId="77777777" w:rsidR="00884462" w:rsidRDefault="008844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5459677"/>
      <w:docPartObj>
        <w:docPartGallery w:val="Page Numbers (Bottom of Page)"/>
        <w:docPartUnique/>
      </w:docPartObj>
    </w:sdtPr>
    <w:sdtEndPr>
      <w:rPr>
        <w:noProof/>
      </w:rPr>
    </w:sdtEndPr>
    <w:sdtContent>
      <w:p w14:paraId="00DE4A5F" w14:textId="756BBF66" w:rsidR="00884462" w:rsidRDefault="008844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0D8AA7" w14:textId="77777777" w:rsidR="00884462" w:rsidRDefault="008844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9A43C" w14:textId="77777777" w:rsidR="00884462" w:rsidRDefault="00884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45E864" w14:textId="77777777" w:rsidR="001F6080" w:rsidRDefault="001F6080" w:rsidP="00884462">
      <w:pPr>
        <w:spacing w:after="0" w:line="240" w:lineRule="auto"/>
      </w:pPr>
      <w:r>
        <w:separator/>
      </w:r>
    </w:p>
  </w:footnote>
  <w:footnote w:type="continuationSeparator" w:id="0">
    <w:p w14:paraId="2CDC5E3B" w14:textId="77777777" w:rsidR="001F6080" w:rsidRDefault="001F6080" w:rsidP="008844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A83C7" w14:textId="77777777" w:rsidR="00884462" w:rsidRDefault="008844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61566" w14:textId="77777777" w:rsidR="00884462" w:rsidRDefault="008844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62801" w14:textId="77777777" w:rsidR="00884462" w:rsidRDefault="008844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44236"/>
    <w:multiLevelType w:val="multilevel"/>
    <w:tmpl w:val="9CF02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E24B2E"/>
    <w:multiLevelType w:val="hybridMultilevel"/>
    <w:tmpl w:val="CE3EC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E70D3"/>
    <w:multiLevelType w:val="hybridMultilevel"/>
    <w:tmpl w:val="18AC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34D4A"/>
    <w:multiLevelType w:val="multilevel"/>
    <w:tmpl w:val="9CD87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7F12D7"/>
    <w:multiLevelType w:val="hybridMultilevel"/>
    <w:tmpl w:val="E8165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923C9E"/>
    <w:multiLevelType w:val="hybridMultilevel"/>
    <w:tmpl w:val="701C5204"/>
    <w:lvl w:ilvl="0" w:tplc="D270BBFE">
      <w:start w:val="1"/>
      <w:numFmt w:val="bullet"/>
      <w:lvlText w:val="•"/>
      <w:lvlJc w:val="left"/>
      <w:pPr>
        <w:tabs>
          <w:tab w:val="num" w:pos="720"/>
        </w:tabs>
        <w:ind w:left="720" w:hanging="360"/>
      </w:pPr>
      <w:rPr>
        <w:rFonts w:ascii="Arial" w:hAnsi="Arial" w:hint="default"/>
      </w:rPr>
    </w:lvl>
    <w:lvl w:ilvl="1" w:tplc="B5D2B7FE" w:tentative="1">
      <w:start w:val="1"/>
      <w:numFmt w:val="bullet"/>
      <w:lvlText w:val="•"/>
      <w:lvlJc w:val="left"/>
      <w:pPr>
        <w:tabs>
          <w:tab w:val="num" w:pos="1440"/>
        </w:tabs>
        <w:ind w:left="1440" w:hanging="360"/>
      </w:pPr>
      <w:rPr>
        <w:rFonts w:ascii="Arial" w:hAnsi="Arial" w:hint="default"/>
      </w:rPr>
    </w:lvl>
    <w:lvl w:ilvl="2" w:tplc="22789F32" w:tentative="1">
      <w:start w:val="1"/>
      <w:numFmt w:val="bullet"/>
      <w:lvlText w:val="•"/>
      <w:lvlJc w:val="left"/>
      <w:pPr>
        <w:tabs>
          <w:tab w:val="num" w:pos="2160"/>
        </w:tabs>
        <w:ind w:left="2160" w:hanging="360"/>
      </w:pPr>
      <w:rPr>
        <w:rFonts w:ascii="Arial" w:hAnsi="Arial" w:hint="default"/>
      </w:rPr>
    </w:lvl>
    <w:lvl w:ilvl="3" w:tplc="A78C1114" w:tentative="1">
      <w:start w:val="1"/>
      <w:numFmt w:val="bullet"/>
      <w:lvlText w:val="•"/>
      <w:lvlJc w:val="left"/>
      <w:pPr>
        <w:tabs>
          <w:tab w:val="num" w:pos="2880"/>
        </w:tabs>
        <w:ind w:left="2880" w:hanging="360"/>
      </w:pPr>
      <w:rPr>
        <w:rFonts w:ascii="Arial" w:hAnsi="Arial" w:hint="default"/>
      </w:rPr>
    </w:lvl>
    <w:lvl w:ilvl="4" w:tplc="939A214A" w:tentative="1">
      <w:start w:val="1"/>
      <w:numFmt w:val="bullet"/>
      <w:lvlText w:val="•"/>
      <w:lvlJc w:val="left"/>
      <w:pPr>
        <w:tabs>
          <w:tab w:val="num" w:pos="3600"/>
        </w:tabs>
        <w:ind w:left="3600" w:hanging="360"/>
      </w:pPr>
      <w:rPr>
        <w:rFonts w:ascii="Arial" w:hAnsi="Arial" w:hint="default"/>
      </w:rPr>
    </w:lvl>
    <w:lvl w:ilvl="5" w:tplc="6F9AF4A4" w:tentative="1">
      <w:start w:val="1"/>
      <w:numFmt w:val="bullet"/>
      <w:lvlText w:val="•"/>
      <w:lvlJc w:val="left"/>
      <w:pPr>
        <w:tabs>
          <w:tab w:val="num" w:pos="4320"/>
        </w:tabs>
        <w:ind w:left="4320" w:hanging="360"/>
      </w:pPr>
      <w:rPr>
        <w:rFonts w:ascii="Arial" w:hAnsi="Arial" w:hint="default"/>
      </w:rPr>
    </w:lvl>
    <w:lvl w:ilvl="6" w:tplc="D53CDBC4" w:tentative="1">
      <w:start w:val="1"/>
      <w:numFmt w:val="bullet"/>
      <w:lvlText w:val="•"/>
      <w:lvlJc w:val="left"/>
      <w:pPr>
        <w:tabs>
          <w:tab w:val="num" w:pos="5040"/>
        </w:tabs>
        <w:ind w:left="5040" w:hanging="360"/>
      </w:pPr>
      <w:rPr>
        <w:rFonts w:ascii="Arial" w:hAnsi="Arial" w:hint="default"/>
      </w:rPr>
    </w:lvl>
    <w:lvl w:ilvl="7" w:tplc="76DEB8CC" w:tentative="1">
      <w:start w:val="1"/>
      <w:numFmt w:val="bullet"/>
      <w:lvlText w:val="•"/>
      <w:lvlJc w:val="left"/>
      <w:pPr>
        <w:tabs>
          <w:tab w:val="num" w:pos="5760"/>
        </w:tabs>
        <w:ind w:left="5760" w:hanging="360"/>
      </w:pPr>
      <w:rPr>
        <w:rFonts w:ascii="Arial" w:hAnsi="Arial" w:hint="default"/>
      </w:rPr>
    </w:lvl>
    <w:lvl w:ilvl="8" w:tplc="DA7436E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BE2EF5"/>
    <w:multiLevelType w:val="hybridMultilevel"/>
    <w:tmpl w:val="5D2CB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F46F5E"/>
    <w:multiLevelType w:val="hybridMultilevel"/>
    <w:tmpl w:val="828A6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4A39BD"/>
    <w:multiLevelType w:val="hybridMultilevel"/>
    <w:tmpl w:val="8F3EC6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4D36E74"/>
    <w:multiLevelType w:val="multilevel"/>
    <w:tmpl w:val="3D181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A97A10"/>
    <w:multiLevelType w:val="multilevel"/>
    <w:tmpl w:val="3B6AD93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1A1910"/>
    <w:multiLevelType w:val="hybridMultilevel"/>
    <w:tmpl w:val="4E580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F72BC0"/>
    <w:multiLevelType w:val="multilevel"/>
    <w:tmpl w:val="60900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0965B3"/>
    <w:multiLevelType w:val="hybridMultilevel"/>
    <w:tmpl w:val="8912F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66201A"/>
    <w:multiLevelType w:val="hybridMultilevel"/>
    <w:tmpl w:val="9466815C"/>
    <w:lvl w:ilvl="0" w:tplc="450C577E">
      <w:start w:val="1"/>
      <w:numFmt w:val="bullet"/>
      <w:lvlText w:val="•"/>
      <w:lvlJc w:val="left"/>
      <w:pPr>
        <w:tabs>
          <w:tab w:val="num" w:pos="720"/>
        </w:tabs>
        <w:ind w:left="720" w:hanging="360"/>
      </w:pPr>
      <w:rPr>
        <w:rFonts w:ascii="Arial" w:hAnsi="Arial" w:hint="default"/>
      </w:rPr>
    </w:lvl>
    <w:lvl w:ilvl="1" w:tplc="E222CEAC" w:tentative="1">
      <w:start w:val="1"/>
      <w:numFmt w:val="bullet"/>
      <w:lvlText w:val="•"/>
      <w:lvlJc w:val="left"/>
      <w:pPr>
        <w:tabs>
          <w:tab w:val="num" w:pos="1440"/>
        </w:tabs>
        <w:ind w:left="1440" w:hanging="360"/>
      </w:pPr>
      <w:rPr>
        <w:rFonts w:ascii="Arial" w:hAnsi="Arial" w:hint="default"/>
      </w:rPr>
    </w:lvl>
    <w:lvl w:ilvl="2" w:tplc="2A40201A" w:tentative="1">
      <w:start w:val="1"/>
      <w:numFmt w:val="bullet"/>
      <w:lvlText w:val="•"/>
      <w:lvlJc w:val="left"/>
      <w:pPr>
        <w:tabs>
          <w:tab w:val="num" w:pos="2160"/>
        </w:tabs>
        <w:ind w:left="2160" w:hanging="360"/>
      </w:pPr>
      <w:rPr>
        <w:rFonts w:ascii="Arial" w:hAnsi="Arial" w:hint="default"/>
      </w:rPr>
    </w:lvl>
    <w:lvl w:ilvl="3" w:tplc="FC2E06B4" w:tentative="1">
      <w:start w:val="1"/>
      <w:numFmt w:val="bullet"/>
      <w:lvlText w:val="•"/>
      <w:lvlJc w:val="left"/>
      <w:pPr>
        <w:tabs>
          <w:tab w:val="num" w:pos="2880"/>
        </w:tabs>
        <w:ind w:left="2880" w:hanging="360"/>
      </w:pPr>
      <w:rPr>
        <w:rFonts w:ascii="Arial" w:hAnsi="Arial" w:hint="default"/>
      </w:rPr>
    </w:lvl>
    <w:lvl w:ilvl="4" w:tplc="610EDC0E" w:tentative="1">
      <w:start w:val="1"/>
      <w:numFmt w:val="bullet"/>
      <w:lvlText w:val="•"/>
      <w:lvlJc w:val="left"/>
      <w:pPr>
        <w:tabs>
          <w:tab w:val="num" w:pos="3600"/>
        </w:tabs>
        <w:ind w:left="3600" w:hanging="360"/>
      </w:pPr>
      <w:rPr>
        <w:rFonts w:ascii="Arial" w:hAnsi="Arial" w:hint="default"/>
      </w:rPr>
    </w:lvl>
    <w:lvl w:ilvl="5" w:tplc="9C06FEB0" w:tentative="1">
      <w:start w:val="1"/>
      <w:numFmt w:val="bullet"/>
      <w:lvlText w:val="•"/>
      <w:lvlJc w:val="left"/>
      <w:pPr>
        <w:tabs>
          <w:tab w:val="num" w:pos="4320"/>
        </w:tabs>
        <w:ind w:left="4320" w:hanging="360"/>
      </w:pPr>
      <w:rPr>
        <w:rFonts w:ascii="Arial" w:hAnsi="Arial" w:hint="default"/>
      </w:rPr>
    </w:lvl>
    <w:lvl w:ilvl="6" w:tplc="6FE2C3B0" w:tentative="1">
      <w:start w:val="1"/>
      <w:numFmt w:val="bullet"/>
      <w:lvlText w:val="•"/>
      <w:lvlJc w:val="left"/>
      <w:pPr>
        <w:tabs>
          <w:tab w:val="num" w:pos="5040"/>
        </w:tabs>
        <w:ind w:left="5040" w:hanging="360"/>
      </w:pPr>
      <w:rPr>
        <w:rFonts w:ascii="Arial" w:hAnsi="Arial" w:hint="default"/>
      </w:rPr>
    </w:lvl>
    <w:lvl w:ilvl="7" w:tplc="C6F0A226" w:tentative="1">
      <w:start w:val="1"/>
      <w:numFmt w:val="bullet"/>
      <w:lvlText w:val="•"/>
      <w:lvlJc w:val="left"/>
      <w:pPr>
        <w:tabs>
          <w:tab w:val="num" w:pos="5760"/>
        </w:tabs>
        <w:ind w:left="5760" w:hanging="360"/>
      </w:pPr>
      <w:rPr>
        <w:rFonts w:ascii="Arial" w:hAnsi="Arial" w:hint="default"/>
      </w:rPr>
    </w:lvl>
    <w:lvl w:ilvl="8" w:tplc="F5C2C1A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A796FA5"/>
    <w:multiLevelType w:val="hybridMultilevel"/>
    <w:tmpl w:val="B9A6CB84"/>
    <w:lvl w:ilvl="0" w:tplc="01AEEF06">
      <w:start w:val="1"/>
      <w:numFmt w:val="bullet"/>
      <w:lvlText w:val="•"/>
      <w:lvlJc w:val="left"/>
      <w:pPr>
        <w:tabs>
          <w:tab w:val="num" w:pos="720"/>
        </w:tabs>
        <w:ind w:left="720" w:hanging="360"/>
      </w:pPr>
      <w:rPr>
        <w:rFonts w:ascii="Arial" w:hAnsi="Arial" w:hint="default"/>
      </w:rPr>
    </w:lvl>
    <w:lvl w:ilvl="1" w:tplc="4C0CF990" w:tentative="1">
      <w:start w:val="1"/>
      <w:numFmt w:val="bullet"/>
      <w:lvlText w:val="•"/>
      <w:lvlJc w:val="left"/>
      <w:pPr>
        <w:tabs>
          <w:tab w:val="num" w:pos="1440"/>
        </w:tabs>
        <w:ind w:left="1440" w:hanging="360"/>
      </w:pPr>
      <w:rPr>
        <w:rFonts w:ascii="Arial" w:hAnsi="Arial" w:hint="default"/>
      </w:rPr>
    </w:lvl>
    <w:lvl w:ilvl="2" w:tplc="A0767F94" w:tentative="1">
      <w:start w:val="1"/>
      <w:numFmt w:val="bullet"/>
      <w:lvlText w:val="•"/>
      <w:lvlJc w:val="left"/>
      <w:pPr>
        <w:tabs>
          <w:tab w:val="num" w:pos="2160"/>
        </w:tabs>
        <w:ind w:left="2160" w:hanging="360"/>
      </w:pPr>
      <w:rPr>
        <w:rFonts w:ascii="Arial" w:hAnsi="Arial" w:hint="default"/>
      </w:rPr>
    </w:lvl>
    <w:lvl w:ilvl="3" w:tplc="E0582C10" w:tentative="1">
      <w:start w:val="1"/>
      <w:numFmt w:val="bullet"/>
      <w:lvlText w:val="•"/>
      <w:lvlJc w:val="left"/>
      <w:pPr>
        <w:tabs>
          <w:tab w:val="num" w:pos="2880"/>
        </w:tabs>
        <w:ind w:left="2880" w:hanging="360"/>
      </w:pPr>
      <w:rPr>
        <w:rFonts w:ascii="Arial" w:hAnsi="Arial" w:hint="default"/>
      </w:rPr>
    </w:lvl>
    <w:lvl w:ilvl="4" w:tplc="C7685DEA" w:tentative="1">
      <w:start w:val="1"/>
      <w:numFmt w:val="bullet"/>
      <w:lvlText w:val="•"/>
      <w:lvlJc w:val="left"/>
      <w:pPr>
        <w:tabs>
          <w:tab w:val="num" w:pos="3600"/>
        </w:tabs>
        <w:ind w:left="3600" w:hanging="360"/>
      </w:pPr>
      <w:rPr>
        <w:rFonts w:ascii="Arial" w:hAnsi="Arial" w:hint="default"/>
      </w:rPr>
    </w:lvl>
    <w:lvl w:ilvl="5" w:tplc="31D2A036" w:tentative="1">
      <w:start w:val="1"/>
      <w:numFmt w:val="bullet"/>
      <w:lvlText w:val="•"/>
      <w:lvlJc w:val="left"/>
      <w:pPr>
        <w:tabs>
          <w:tab w:val="num" w:pos="4320"/>
        </w:tabs>
        <w:ind w:left="4320" w:hanging="360"/>
      </w:pPr>
      <w:rPr>
        <w:rFonts w:ascii="Arial" w:hAnsi="Arial" w:hint="default"/>
      </w:rPr>
    </w:lvl>
    <w:lvl w:ilvl="6" w:tplc="E996BC0A" w:tentative="1">
      <w:start w:val="1"/>
      <w:numFmt w:val="bullet"/>
      <w:lvlText w:val="•"/>
      <w:lvlJc w:val="left"/>
      <w:pPr>
        <w:tabs>
          <w:tab w:val="num" w:pos="5040"/>
        </w:tabs>
        <w:ind w:left="5040" w:hanging="360"/>
      </w:pPr>
      <w:rPr>
        <w:rFonts w:ascii="Arial" w:hAnsi="Arial" w:hint="default"/>
      </w:rPr>
    </w:lvl>
    <w:lvl w:ilvl="7" w:tplc="46F8175E" w:tentative="1">
      <w:start w:val="1"/>
      <w:numFmt w:val="bullet"/>
      <w:lvlText w:val="•"/>
      <w:lvlJc w:val="left"/>
      <w:pPr>
        <w:tabs>
          <w:tab w:val="num" w:pos="5760"/>
        </w:tabs>
        <w:ind w:left="5760" w:hanging="360"/>
      </w:pPr>
      <w:rPr>
        <w:rFonts w:ascii="Arial" w:hAnsi="Arial" w:hint="default"/>
      </w:rPr>
    </w:lvl>
    <w:lvl w:ilvl="8" w:tplc="B64E629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F7B13F1"/>
    <w:multiLevelType w:val="hybridMultilevel"/>
    <w:tmpl w:val="8D4C3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377D44"/>
    <w:multiLevelType w:val="hybridMultilevel"/>
    <w:tmpl w:val="E4B4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A44E33"/>
    <w:multiLevelType w:val="hybridMultilevel"/>
    <w:tmpl w:val="6250F64C"/>
    <w:lvl w:ilvl="0" w:tplc="771A7D6C">
      <w:start w:val="1"/>
      <w:numFmt w:val="bullet"/>
      <w:lvlText w:val="•"/>
      <w:lvlJc w:val="left"/>
      <w:pPr>
        <w:tabs>
          <w:tab w:val="num" w:pos="720"/>
        </w:tabs>
        <w:ind w:left="720" w:hanging="360"/>
      </w:pPr>
      <w:rPr>
        <w:rFonts w:ascii="Arial" w:hAnsi="Arial" w:hint="default"/>
      </w:rPr>
    </w:lvl>
    <w:lvl w:ilvl="1" w:tplc="14123F2A" w:tentative="1">
      <w:start w:val="1"/>
      <w:numFmt w:val="bullet"/>
      <w:lvlText w:val="•"/>
      <w:lvlJc w:val="left"/>
      <w:pPr>
        <w:tabs>
          <w:tab w:val="num" w:pos="1440"/>
        </w:tabs>
        <w:ind w:left="1440" w:hanging="360"/>
      </w:pPr>
      <w:rPr>
        <w:rFonts w:ascii="Arial" w:hAnsi="Arial" w:hint="default"/>
      </w:rPr>
    </w:lvl>
    <w:lvl w:ilvl="2" w:tplc="7E3422C8" w:tentative="1">
      <w:start w:val="1"/>
      <w:numFmt w:val="bullet"/>
      <w:lvlText w:val="•"/>
      <w:lvlJc w:val="left"/>
      <w:pPr>
        <w:tabs>
          <w:tab w:val="num" w:pos="2160"/>
        </w:tabs>
        <w:ind w:left="2160" w:hanging="360"/>
      </w:pPr>
      <w:rPr>
        <w:rFonts w:ascii="Arial" w:hAnsi="Arial" w:hint="default"/>
      </w:rPr>
    </w:lvl>
    <w:lvl w:ilvl="3" w:tplc="DBA4BAD2" w:tentative="1">
      <w:start w:val="1"/>
      <w:numFmt w:val="bullet"/>
      <w:lvlText w:val="•"/>
      <w:lvlJc w:val="left"/>
      <w:pPr>
        <w:tabs>
          <w:tab w:val="num" w:pos="2880"/>
        </w:tabs>
        <w:ind w:left="2880" w:hanging="360"/>
      </w:pPr>
      <w:rPr>
        <w:rFonts w:ascii="Arial" w:hAnsi="Arial" w:hint="default"/>
      </w:rPr>
    </w:lvl>
    <w:lvl w:ilvl="4" w:tplc="9C1EDB78" w:tentative="1">
      <w:start w:val="1"/>
      <w:numFmt w:val="bullet"/>
      <w:lvlText w:val="•"/>
      <w:lvlJc w:val="left"/>
      <w:pPr>
        <w:tabs>
          <w:tab w:val="num" w:pos="3600"/>
        </w:tabs>
        <w:ind w:left="3600" w:hanging="360"/>
      </w:pPr>
      <w:rPr>
        <w:rFonts w:ascii="Arial" w:hAnsi="Arial" w:hint="default"/>
      </w:rPr>
    </w:lvl>
    <w:lvl w:ilvl="5" w:tplc="2FB0D256" w:tentative="1">
      <w:start w:val="1"/>
      <w:numFmt w:val="bullet"/>
      <w:lvlText w:val="•"/>
      <w:lvlJc w:val="left"/>
      <w:pPr>
        <w:tabs>
          <w:tab w:val="num" w:pos="4320"/>
        </w:tabs>
        <w:ind w:left="4320" w:hanging="360"/>
      </w:pPr>
      <w:rPr>
        <w:rFonts w:ascii="Arial" w:hAnsi="Arial" w:hint="default"/>
      </w:rPr>
    </w:lvl>
    <w:lvl w:ilvl="6" w:tplc="E72E8ED0" w:tentative="1">
      <w:start w:val="1"/>
      <w:numFmt w:val="bullet"/>
      <w:lvlText w:val="•"/>
      <w:lvlJc w:val="left"/>
      <w:pPr>
        <w:tabs>
          <w:tab w:val="num" w:pos="5040"/>
        </w:tabs>
        <w:ind w:left="5040" w:hanging="360"/>
      </w:pPr>
      <w:rPr>
        <w:rFonts w:ascii="Arial" w:hAnsi="Arial" w:hint="default"/>
      </w:rPr>
    </w:lvl>
    <w:lvl w:ilvl="7" w:tplc="300CAF22" w:tentative="1">
      <w:start w:val="1"/>
      <w:numFmt w:val="bullet"/>
      <w:lvlText w:val="•"/>
      <w:lvlJc w:val="left"/>
      <w:pPr>
        <w:tabs>
          <w:tab w:val="num" w:pos="5760"/>
        </w:tabs>
        <w:ind w:left="5760" w:hanging="360"/>
      </w:pPr>
      <w:rPr>
        <w:rFonts w:ascii="Arial" w:hAnsi="Arial" w:hint="default"/>
      </w:rPr>
    </w:lvl>
    <w:lvl w:ilvl="8" w:tplc="1A34B69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748552E"/>
    <w:multiLevelType w:val="hybridMultilevel"/>
    <w:tmpl w:val="266EA7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875C1C"/>
    <w:multiLevelType w:val="multilevel"/>
    <w:tmpl w:val="D1B81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9A117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3CE3AF9"/>
    <w:multiLevelType w:val="hybridMultilevel"/>
    <w:tmpl w:val="2C68F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3E2712"/>
    <w:multiLevelType w:val="hybridMultilevel"/>
    <w:tmpl w:val="201E7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6B025D"/>
    <w:multiLevelType w:val="multilevel"/>
    <w:tmpl w:val="9D262D6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9D3F13"/>
    <w:multiLevelType w:val="hybridMultilevel"/>
    <w:tmpl w:val="E7065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4904D0"/>
    <w:multiLevelType w:val="multilevel"/>
    <w:tmpl w:val="B46C1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395BC2"/>
    <w:multiLevelType w:val="multilevel"/>
    <w:tmpl w:val="D43A6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E22A2A"/>
    <w:multiLevelType w:val="hybridMultilevel"/>
    <w:tmpl w:val="A420C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4675B5"/>
    <w:multiLevelType w:val="hybridMultilevel"/>
    <w:tmpl w:val="F6884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A651A0"/>
    <w:multiLevelType w:val="hybridMultilevel"/>
    <w:tmpl w:val="41E8E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4F7D7B"/>
    <w:multiLevelType w:val="hybridMultilevel"/>
    <w:tmpl w:val="6F36D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E27FC8"/>
    <w:multiLevelType w:val="hybridMultilevel"/>
    <w:tmpl w:val="BAAE2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1"/>
  </w:num>
  <w:num w:numId="3">
    <w:abstractNumId w:val="18"/>
  </w:num>
  <w:num w:numId="4">
    <w:abstractNumId w:val="5"/>
  </w:num>
  <w:num w:numId="5">
    <w:abstractNumId w:val="23"/>
  </w:num>
  <w:num w:numId="6">
    <w:abstractNumId w:val="25"/>
  </w:num>
  <w:num w:numId="7">
    <w:abstractNumId w:val="32"/>
  </w:num>
  <w:num w:numId="8">
    <w:abstractNumId w:val="11"/>
  </w:num>
  <w:num w:numId="9">
    <w:abstractNumId w:val="28"/>
  </w:num>
  <w:num w:numId="10">
    <w:abstractNumId w:val="1"/>
  </w:num>
  <w:num w:numId="11">
    <w:abstractNumId w:val="13"/>
  </w:num>
  <w:num w:numId="12">
    <w:abstractNumId w:val="2"/>
  </w:num>
  <w:num w:numId="13">
    <w:abstractNumId w:val="30"/>
  </w:num>
  <w:num w:numId="14">
    <w:abstractNumId w:val="16"/>
  </w:num>
  <w:num w:numId="15">
    <w:abstractNumId w:val="29"/>
  </w:num>
  <w:num w:numId="16">
    <w:abstractNumId w:val="4"/>
  </w:num>
  <w:num w:numId="17">
    <w:abstractNumId w:val="6"/>
  </w:num>
  <w:num w:numId="18">
    <w:abstractNumId w:val="17"/>
  </w:num>
  <w:num w:numId="19">
    <w:abstractNumId w:val="22"/>
  </w:num>
  <w:num w:numId="20">
    <w:abstractNumId w:val="7"/>
  </w:num>
  <w:num w:numId="21">
    <w:abstractNumId w:val="3"/>
  </w:num>
  <w:num w:numId="22">
    <w:abstractNumId w:val="26"/>
  </w:num>
  <w:num w:numId="23">
    <w:abstractNumId w:val="0"/>
  </w:num>
  <w:num w:numId="24">
    <w:abstractNumId w:val="20"/>
  </w:num>
  <w:num w:numId="25">
    <w:abstractNumId w:val="9"/>
  </w:num>
  <w:num w:numId="26">
    <w:abstractNumId w:val="10"/>
  </w:num>
  <w:num w:numId="27">
    <w:abstractNumId w:val="12"/>
  </w:num>
  <w:num w:numId="28">
    <w:abstractNumId w:val="8"/>
  </w:num>
  <w:num w:numId="29">
    <w:abstractNumId w:val="31"/>
  </w:num>
  <w:num w:numId="30">
    <w:abstractNumId w:val="15"/>
  </w:num>
  <w:num w:numId="31">
    <w:abstractNumId w:val="14"/>
  </w:num>
  <w:num w:numId="32">
    <w:abstractNumId w:val="27"/>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097"/>
    <w:rsid w:val="00007AC2"/>
    <w:rsid w:val="000144E3"/>
    <w:rsid w:val="00017699"/>
    <w:rsid w:val="00017BF9"/>
    <w:rsid w:val="000268B5"/>
    <w:rsid w:val="0003225B"/>
    <w:rsid w:val="00032BCE"/>
    <w:rsid w:val="000337CA"/>
    <w:rsid w:val="000374F8"/>
    <w:rsid w:val="000602E8"/>
    <w:rsid w:val="00061260"/>
    <w:rsid w:val="000621AB"/>
    <w:rsid w:val="000642A1"/>
    <w:rsid w:val="00064C7F"/>
    <w:rsid w:val="00065C08"/>
    <w:rsid w:val="00070F73"/>
    <w:rsid w:val="00072B7F"/>
    <w:rsid w:val="00087831"/>
    <w:rsid w:val="000911EF"/>
    <w:rsid w:val="000A2FB7"/>
    <w:rsid w:val="000A3316"/>
    <w:rsid w:val="000A50DC"/>
    <w:rsid w:val="000A5E17"/>
    <w:rsid w:val="000A73F2"/>
    <w:rsid w:val="000A7DB2"/>
    <w:rsid w:val="000B1125"/>
    <w:rsid w:val="000B341E"/>
    <w:rsid w:val="000C1C5C"/>
    <w:rsid w:val="000F0F96"/>
    <w:rsid w:val="00101E10"/>
    <w:rsid w:val="00102F59"/>
    <w:rsid w:val="00106093"/>
    <w:rsid w:val="001074B6"/>
    <w:rsid w:val="00107766"/>
    <w:rsid w:val="00110D33"/>
    <w:rsid w:val="00115F6F"/>
    <w:rsid w:val="00131D38"/>
    <w:rsid w:val="001330EF"/>
    <w:rsid w:val="00144019"/>
    <w:rsid w:val="00152837"/>
    <w:rsid w:val="001551E9"/>
    <w:rsid w:val="00157DBC"/>
    <w:rsid w:val="00161602"/>
    <w:rsid w:val="00164AE1"/>
    <w:rsid w:val="0017063B"/>
    <w:rsid w:val="0017071B"/>
    <w:rsid w:val="001726E4"/>
    <w:rsid w:val="00172C6E"/>
    <w:rsid w:val="00174CD6"/>
    <w:rsid w:val="00181568"/>
    <w:rsid w:val="0018173D"/>
    <w:rsid w:val="00184775"/>
    <w:rsid w:val="00187C1E"/>
    <w:rsid w:val="001904C3"/>
    <w:rsid w:val="001A2118"/>
    <w:rsid w:val="001B00CC"/>
    <w:rsid w:val="001B0D83"/>
    <w:rsid w:val="001B4D09"/>
    <w:rsid w:val="001D405A"/>
    <w:rsid w:val="001E258D"/>
    <w:rsid w:val="001E3426"/>
    <w:rsid w:val="001E5669"/>
    <w:rsid w:val="001F6080"/>
    <w:rsid w:val="00200600"/>
    <w:rsid w:val="0020736C"/>
    <w:rsid w:val="00217638"/>
    <w:rsid w:val="00220922"/>
    <w:rsid w:val="00237525"/>
    <w:rsid w:val="0024037A"/>
    <w:rsid w:val="00240CD7"/>
    <w:rsid w:val="00243537"/>
    <w:rsid w:val="00243E5C"/>
    <w:rsid w:val="0025038A"/>
    <w:rsid w:val="002512CD"/>
    <w:rsid w:val="0025252D"/>
    <w:rsid w:val="00252638"/>
    <w:rsid w:val="0025468B"/>
    <w:rsid w:val="00257960"/>
    <w:rsid w:val="0026369F"/>
    <w:rsid w:val="00270F65"/>
    <w:rsid w:val="00271746"/>
    <w:rsid w:val="002A23E7"/>
    <w:rsid w:val="002A6646"/>
    <w:rsid w:val="002A6A21"/>
    <w:rsid w:val="002B10B6"/>
    <w:rsid w:val="002B3DE6"/>
    <w:rsid w:val="002C0E31"/>
    <w:rsid w:val="002C7AC2"/>
    <w:rsid w:val="002C7C40"/>
    <w:rsid w:val="002D3404"/>
    <w:rsid w:val="002D6735"/>
    <w:rsid w:val="002E126A"/>
    <w:rsid w:val="002E42A3"/>
    <w:rsid w:val="002E42E8"/>
    <w:rsid w:val="002E57C3"/>
    <w:rsid w:val="002F49A5"/>
    <w:rsid w:val="00302B05"/>
    <w:rsid w:val="00310A5F"/>
    <w:rsid w:val="003410E6"/>
    <w:rsid w:val="00341724"/>
    <w:rsid w:val="0036083A"/>
    <w:rsid w:val="00366661"/>
    <w:rsid w:val="003911AE"/>
    <w:rsid w:val="00392FD3"/>
    <w:rsid w:val="00393701"/>
    <w:rsid w:val="0039577D"/>
    <w:rsid w:val="003972E1"/>
    <w:rsid w:val="003A0DC5"/>
    <w:rsid w:val="003A1F2D"/>
    <w:rsid w:val="003A5028"/>
    <w:rsid w:val="003A701B"/>
    <w:rsid w:val="003B4DB7"/>
    <w:rsid w:val="003C26B0"/>
    <w:rsid w:val="003E095B"/>
    <w:rsid w:val="003E5B67"/>
    <w:rsid w:val="003E6D49"/>
    <w:rsid w:val="003F3DA9"/>
    <w:rsid w:val="003F7D44"/>
    <w:rsid w:val="0040398B"/>
    <w:rsid w:val="00425C44"/>
    <w:rsid w:val="004277DD"/>
    <w:rsid w:val="004346B8"/>
    <w:rsid w:val="00437C19"/>
    <w:rsid w:val="0044443B"/>
    <w:rsid w:val="0045085E"/>
    <w:rsid w:val="00455E77"/>
    <w:rsid w:val="004569A6"/>
    <w:rsid w:val="00460BBE"/>
    <w:rsid w:val="00471E70"/>
    <w:rsid w:val="00482F07"/>
    <w:rsid w:val="00484EF7"/>
    <w:rsid w:val="00487384"/>
    <w:rsid w:val="00496A45"/>
    <w:rsid w:val="00496EAB"/>
    <w:rsid w:val="00497651"/>
    <w:rsid w:val="004A3287"/>
    <w:rsid w:val="004A688D"/>
    <w:rsid w:val="004A6D73"/>
    <w:rsid w:val="004C2C1C"/>
    <w:rsid w:val="004C4185"/>
    <w:rsid w:val="004E7D0D"/>
    <w:rsid w:val="00500DDD"/>
    <w:rsid w:val="00507939"/>
    <w:rsid w:val="005149EF"/>
    <w:rsid w:val="00514BA8"/>
    <w:rsid w:val="00522343"/>
    <w:rsid w:val="00526A54"/>
    <w:rsid w:val="005327D9"/>
    <w:rsid w:val="005341B8"/>
    <w:rsid w:val="00541DEC"/>
    <w:rsid w:val="00546A2F"/>
    <w:rsid w:val="00556D37"/>
    <w:rsid w:val="00575104"/>
    <w:rsid w:val="00583098"/>
    <w:rsid w:val="0059130F"/>
    <w:rsid w:val="005954F6"/>
    <w:rsid w:val="005A0D8C"/>
    <w:rsid w:val="005A161C"/>
    <w:rsid w:val="005D39C9"/>
    <w:rsid w:val="005E3E7E"/>
    <w:rsid w:val="005E55E4"/>
    <w:rsid w:val="005E7A84"/>
    <w:rsid w:val="00603685"/>
    <w:rsid w:val="00611612"/>
    <w:rsid w:val="00611ACA"/>
    <w:rsid w:val="006122E2"/>
    <w:rsid w:val="00613EED"/>
    <w:rsid w:val="00622752"/>
    <w:rsid w:val="00626279"/>
    <w:rsid w:val="006330E2"/>
    <w:rsid w:val="00661914"/>
    <w:rsid w:val="006758E5"/>
    <w:rsid w:val="00680D55"/>
    <w:rsid w:val="00686E5B"/>
    <w:rsid w:val="00691DF7"/>
    <w:rsid w:val="006A2A60"/>
    <w:rsid w:val="006A510A"/>
    <w:rsid w:val="006B7074"/>
    <w:rsid w:val="006C65F4"/>
    <w:rsid w:val="006D30A6"/>
    <w:rsid w:val="006D3D95"/>
    <w:rsid w:val="006D4332"/>
    <w:rsid w:val="006D45E4"/>
    <w:rsid w:val="006E3FF9"/>
    <w:rsid w:val="006E5EBC"/>
    <w:rsid w:val="006E7A48"/>
    <w:rsid w:val="007145DB"/>
    <w:rsid w:val="00716809"/>
    <w:rsid w:val="007233A0"/>
    <w:rsid w:val="00731BAF"/>
    <w:rsid w:val="007502D1"/>
    <w:rsid w:val="00765BD0"/>
    <w:rsid w:val="00767698"/>
    <w:rsid w:val="00774795"/>
    <w:rsid w:val="00776964"/>
    <w:rsid w:val="007775F5"/>
    <w:rsid w:val="00783EFD"/>
    <w:rsid w:val="007872A7"/>
    <w:rsid w:val="0079038C"/>
    <w:rsid w:val="00791D51"/>
    <w:rsid w:val="00793FF4"/>
    <w:rsid w:val="0079489C"/>
    <w:rsid w:val="007A0C3B"/>
    <w:rsid w:val="007A436E"/>
    <w:rsid w:val="007A5F55"/>
    <w:rsid w:val="007B4E3B"/>
    <w:rsid w:val="007C14FD"/>
    <w:rsid w:val="007C3952"/>
    <w:rsid w:val="007D4FC2"/>
    <w:rsid w:val="007D63DF"/>
    <w:rsid w:val="007E3B12"/>
    <w:rsid w:val="008050CC"/>
    <w:rsid w:val="00805C6F"/>
    <w:rsid w:val="00813D04"/>
    <w:rsid w:val="008145F3"/>
    <w:rsid w:val="0082512C"/>
    <w:rsid w:val="00836BF8"/>
    <w:rsid w:val="00851B3F"/>
    <w:rsid w:val="00853176"/>
    <w:rsid w:val="00854BB3"/>
    <w:rsid w:val="00862B69"/>
    <w:rsid w:val="00867F27"/>
    <w:rsid w:val="00881E7A"/>
    <w:rsid w:val="00882ED4"/>
    <w:rsid w:val="00884462"/>
    <w:rsid w:val="00886506"/>
    <w:rsid w:val="00890DA5"/>
    <w:rsid w:val="008912AE"/>
    <w:rsid w:val="008931CC"/>
    <w:rsid w:val="008A54D4"/>
    <w:rsid w:val="008A5B2A"/>
    <w:rsid w:val="008A659D"/>
    <w:rsid w:val="008B12EB"/>
    <w:rsid w:val="008B1E46"/>
    <w:rsid w:val="008B1E8F"/>
    <w:rsid w:val="008C0B44"/>
    <w:rsid w:val="008C7A9E"/>
    <w:rsid w:val="008D4C72"/>
    <w:rsid w:val="008D77BA"/>
    <w:rsid w:val="008D7F2A"/>
    <w:rsid w:val="008E6849"/>
    <w:rsid w:val="008F1654"/>
    <w:rsid w:val="008F2A9B"/>
    <w:rsid w:val="0090117B"/>
    <w:rsid w:val="0090267F"/>
    <w:rsid w:val="00905226"/>
    <w:rsid w:val="00910F8F"/>
    <w:rsid w:val="009175D7"/>
    <w:rsid w:val="009240A2"/>
    <w:rsid w:val="009271D4"/>
    <w:rsid w:val="00927284"/>
    <w:rsid w:val="00932648"/>
    <w:rsid w:val="00935BF8"/>
    <w:rsid w:val="00941004"/>
    <w:rsid w:val="009434F3"/>
    <w:rsid w:val="0094462B"/>
    <w:rsid w:val="00947380"/>
    <w:rsid w:val="00951B41"/>
    <w:rsid w:val="00956787"/>
    <w:rsid w:val="00961FD7"/>
    <w:rsid w:val="00963FD6"/>
    <w:rsid w:val="00964029"/>
    <w:rsid w:val="009756BE"/>
    <w:rsid w:val="00985D33"/>
    <w:rsid w:val="00991258"/>
    <w:rsid w:val="009A1D19"/>
    <w:rsid w:val="009B62E6"/>
    <w:rsid w:val="009C2151"/>
    <w:rsid w:val="009C685A"/>
    <w:rsid w:val="009C77AB"/>
    <w:rsid w:val="009C7878"/>
    <w:rsid w:val="009D1FD1"/>
    <w:rsid w:val="009D2C71"/>
    <w:rsid w:val="009D4ABC"/>
    <w:rsid w:val="009E68FC"/>
    <w:rsid w:val="009E6CE4"/>
    <w:rsid w:val="009F4AC7"/>
    <w:rsid w:val="009F7A22"/>
    <w:rsid w:val="00A07D96"/>
    <w:rsid w:val="00A11A37"/>
    <w:rsid w:val="00A13249"/>
    <w:rsid w:val="00A16D9E"/>
    <w:rsid w:val="00A210D8"/>
    <w:rsid w:val="00A2479F"/>
    <w:rsid w:val="00A40B1C"/>
    <w:rsid w:val="00A40E38"/>
    <w:rsid w:val="00A43AD2"/>
    <w:rsid w:val="00A51586"/>
    <w:rsid w:val="00A52168"/>
    <w:rsid w:val="00A53634"/>
    <w:rsid w:val="00A63DD3"/>
    <w:rsid w:val="00A64E4E"/>
    <w:rsid w:val="00A73809"/>
    <w:rsid w:val="00A73B8D"/>
    <w:rsid w:val="00A7407C"/>
    <w:rsid w:val="00A77385"/>
    <w:rsid w:val="00A82A63"/>
    <w:rsid w:val="00A834DE"/>
    <w:rsid w:val="00A87AE9"/>
    <w:rsid w:val="00A94EC2"/>
    <w:rsid w:val="00AA0206"/>
    <w:rsid w:val="00AB1AD7"/>
    <w:rsid w:val="00AC0A15"/>
    <w:rsid w:val="00AD3ACB"/>
    <w:rsid w:val="00AD79DD"/>
    <w:rsid w:val="00AE181A"/>
    <w:rsid w:val="00AE65A4"/>
    <w:rsid w:val="00AF3881"/>
    <w:rsid w:val="00AF5AA9"/>
    <w:rsid w:val="00AF6A6A"/>
    <w:rsid w:val="00AF759E"/>
    <w:rsid w:val="00B13A82"/>
    <w:rsid w:val="00B23826"/>
    <w:rsid w:val="00B267C7"/>
    <w:rsid w:val="00B329D2"/>
    <w:rsid w:val="00B37ACD"/>
    <w:rsid w:val="00B415F0"/>
    <w:rsid w:val="00B45449"/>
    <w:rsid w:val="00B65320"/>
    <w:rsid w:val="00B66869"/>
    <w:rsid w:val="00B70934"/>
    <w:rsid w:val="00B71BDC"/>
    <w:rsid w:val="00B811C6"/>
    <w:rsid w:val="00B83F29"/>
    <w:rsid w:val="00B83FC8"/>
    <w:rsid w:val="00B85AF0"/>
    <w:rsid w:val="00B92B3C"/>
    <w:rsid w:val="00B94986"/>
    <w:rsid w:val="00B94B15"/>
    <w:rsid w:val="00B965F5"/>
    <w:rsid w:val="00BA46D3"/>
    <w:rsid w:val="00BB3BA8"/>
    <w:rsid w:val="00BB76C7"/>
    <w:rsid w:val="00BC3D7B"/>
    <w:rsid w:val="00BC5160"/>
    <w:rsid w:val="00BD0D73"/>
    <w:rsid w:val="00BD1185"/>
    <w:rsid w:val="00BE60D1"/>
    <w:rsid w:val="00BE64E6"/>
    <w:rsid w:val="00BF096F"/>
    <w:rsid w:val="00BF175E"/>
    <w:rsid w:val="00BF3C73"/>
    <w:rsid w:val="00BF5B65"/>
    <w:rsid w:val="00BF7AB8"/>
    <w:rsid w:val="00C0175B"/>
    <w:rsid w:val="00C03D78"/>
    <w:rsid w:val="00C04640"/>
    <w:rsid w:val="00C1075C"/>
    <w:rsid w:val="00C13161"/>
    <w:rsid w:val="00C208A9"/>
    <w:rsid w:val="00C33C4B"/>
    <w:rsid w:val="00C35223"/>
    <w:rsid w:val="00C370C8"/>
    <w:rsid w:val="00C5091A"/>
    <w:rsid w:val="00C542C4"/>
    <w:rsid w:val="00C61426"/>
    <w:rsid w:val="00C61EDF"/>
    <w:rsid w:val="00C67355"/>
    <w:rsid w:val="00C80213"/>
    <w:rsid w:val="00C82E17"/>
    <w:rsid w:val="00C924D8"/>
    <w:rsid w:val="00CA03BE"/>
    <w:rsid w:val="00CA4CEE"/>
    <w:rsid w:val="00CA63F1"/>
    <w:rsid w:val="00CC7DB2"/>
    <w:rsid w:val="00CD1BA8"/>
    <w:rsid w:val="00CE0BB5"/>
    <w:rsid w:val="00CE4D88"/>
    <w:rsid w:val="00CE6F3C"/>
    <w:rsid w:val="00CE75F7"/>
    <w:rsid w:val="00CF1EB8"/>
    <w:rsid w:val="00D225FC"/>
    <w:rsid w:val="00D24AAB"/>
    <w:rsid w:val="00D31931"/>
    <w:rsid w:val="00D32E30"/>
    <w:rsid w:val="00D349C8"/>
    <w:rsid w:val="00D42634"/>
    <w:rsid w:val="00D429F4"/>
    <w:rsid w:val="00D553CC"/>
    <w:rsid w:val="00D65329"/>
    <w:rsid w:val="00D94049"/>
    <w:rsid w:val="00DA274B"/>
    <w:rsid w:val="00DA2DCB"/>
    <w:rsid w:val="00DB7FF5"/>
    <w:rsid w:val="00DC2D4C"/>
    <w:rsid w:val="00DD7325"/>
    <w:rsid w:val="00DF0B5A"/>
    <w:rsid w:val="00E06A68"/>
    <w:rsid w:val="00E1228F"/>
    <w:rsid w:val="00E15665"/>
    <w:rsid w:val="00E1596B"/>
    <w:rsid w:val="00E15A8A"/>
    <w:rsid w:val="00E16117"/>
    <w:rsid w:val="00E20FB8"/>
    <w:rsid w:val="00E22029"/>
    <w:rsid w:val="00E22678"/>
    <w:rsid w:val="00E24E6B"/>
    <w:rsid w:val="00E339C1"/>
    <w:rsid w:val="00E420E6"/>
    <w:rsid w:val="00E47ECD"/>
    <w:rsid w:val="00E5120D"/>
    <w:rsid w:val="00E553F5"/>
    <w:rsid w:val="00E559D8"/>
    <w:rsid w:val="00E60DC3"/>
    <w:rsid w:val="00E61931"/>
    <w:rsid w:val="00E6610D"/>
    <w:rsid w:val="00E776C0"/>
    <w:rsid w:val="00E93260"/>
    <w:rsid w:val="00EA2676"/>
    <w:rsid w:val="00EA57BF"/>
    <w:rsid w:val="00EA72FA"/>
    <w:rsid w:val="00EB4C6D"/>
    <w:rsid w:val="00EB5C3E"/>
    <w:rsid w:val="00EB6523"/>
    <w:rsid w:val="00EB7989"/>
    <w:rsid w:val="00EC38E1"/>
    <w:rsid w:val="00EC6861"/>
    <w:rsid w:val="00EC7F2E"/>
    <w:rsid w:val="00ED073A"/>
    <w:rsid w:val="00ED2435"/>
    <w:rsid w:val="00ED61E4"/>
    <w:rsid w:val="00EE13C2"/>
    <w:rsid w:val="00EE1B79"/>
    <w:rsid w:val="00EF2043"/>
    <w:rsid w:val="00EF48E4"/>
    <w:rsid w:val="00EF71F5"/>
    <w:rsid w:val="00F01937"/>
    <w:rsid w:val="00F1201A"/>
    <w:rsid w:val="00F246CA"/>
    <w:rsid w:val="00F31FE0"/>
    <w:rsid w:val="00F32ED4"/>
    <w:rsid w:val="00F338D6"/>
    <w:rsid w:val="00F4040D"/>
    <w:rsid w:val="00F41593"/>
    <w:rsid w:val="00F53C4D"/>
    <w:rsid w:val="00F570C7"/>
    <w:rsid w:val="00F606EE"/>
    <w:rsid w:val="00F65C48"/>
    <w:rsid w:val="00F75097"/>
    <w:rsid w:val="00F843FD"/>
    <w:rsid w:val="00F853D2"/>
    <w:rsid w:val="00F93EEF"/>
    <w:rsid w:val="00F950A0"/>
    <w:rsid w:val="00F9747E"/>
    <w:rsid w:val="00FA41CA"/>
    <w:rsid w:val="00FA6D6B"/>
    <w:rsid w:val="00FB3DE8"/>
    <w:rsid w:val="00FC0957"/>
    <w:rsid w:val="00FC7CC2"/>
    <w:rsid w:val="00FD1897"/>
    <w:rsid w:val="00FE2CA8"/>
    <w:rsid w:val="00FE4BE9"/>
    <w:rsid w:val="00FE50C6"/>
    <w:rsid w:val="00FF3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6EE06"/>
  <w15:chartTrackingRefBased/>
  <w15:docId w15:val="{AAF53813-619F-4BD1-ACCB-8DF47120A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097"/>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097"/>
    <w:pPr>
      <w:ind w:left="720"/>
      <w:contextualSpacing/>
    </w:pPr>
  </w:style>
  <w:style w:type="table" w:styleId="TableGrid">
    <w:name w:val="Table Grid"/>
    <w:basedOn w:val="TableNormal"/>
    <w:uiPriority w:val="59"/>
    <w:rsid w:val="00F75097"/>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94100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A436E"/>
    <w:rPr>
      <w:color w:val="0563C1" w:themeColor="hyperlink"/>
      <w:u w:val="single"/>
    </w:rPr>
  </w:style>
  <w:style w:type="character" w:styleId="UnresolvedMention">
    <w:name w:val="Unresolved Mention"/>
    <w:basedOn w:val="DefaultParagraphFont"/>
    <w:uiPriority w:val="99"/>
    <w:semiHidden/>
    <w:unhideWhenUsed/>
    <w:rsid w:val="007A436E"/>
    <w:rPr>
      <w:color w:val="605E5C"/>
      <w:shd w:val="clear" w:color="auto" w:fill="E1DFDD"/>
    </w:rPr>
  </w:style>
  <w:style w:type="character" w:styleId="Strong">
    <w:name w:val="Strong"/>
    <w:basedOn w:val="DefaultParagraphFont"/>
    <w:uiPriority w:val="22"/>
    <w:qFormat/>
    <w:rsid w:val="00E15665"/>
    <w:rPr>
      <w:b/>
      <w:bCs/>
    </w:rPr>
  </w:style>
  <w:style w:type="paragraph" w:customStyle="1" w:styleId="selectionshareable">
    <w:name w:val="selectionshareable"/>
    <w:basedOn w:val="Normal"/>
    <w:rsid w:val="00B37AC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844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462"/>
    <w:rPr>
      <w:rFonts w:eastAsiaTheme="minorEastAsia"/>
      <w:lang w:eastAsia="en-GB"/>
    </w:rPr>
  </w:style>
  <w:style w:type="paragraph" w:styleId="Footer">
    <w:name w:val="footer"/>
    <w:basedOn w:val="Normal"/>
    <w:link w:val="FooterChar"/>
    <w:uiPriority w:val="99"/>
    <w:unhideWhenUsed/>
    <w:rsid w:val="008844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462"/>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3598">
      <w:bodyDiv w:val="1"/>
      <w:marLeft w:val="0"/>
      <w:marRight w:val="0"/>
      <w:marTop w:val="0"/>
      <w:marBottom w:val="0"/>
      <w:divBdr>
        <w:top w:val="none" w:sz="0" w:space="0" w:color="auto"/>
        <w:left w:val="none" w:sz="0" w:space="0" w:color="auto"/>
        <w:bottom w:val="none" w:sz="0" w:space="0" w:color="auto"/>
        <w:right w:val="none" w:sz="0" w:space="0" w:color="auto"/>
      </w:divBdr>
      <w:divsChild>
        <w:div w:id="926114215">
          <w:marLeft w:val="547"/>
          <w:marRight w:val="0"/>
          <w:marTop w:val="86"/>
          <w:marBottom w:val="0"/>
          <w:divBdr>
            <w:top w:val="none" w:sz="0" w:space="0" w:color="auto"/>
            <w:left w:val="none" w:sz="0" w:space="0" w:color="auto"/>
            <w:bottom w:val="none" w:sz="0" w:space="0" w:color="auto"/>
            <w:right w:val="none" w:sz="0" w:space="0" w:color="auto"/>
          </w:divBdr>
        </w:div>
        <w:div w:id="1122261628">
          <w:marLeft w:val="547"/>
          <w:marRight w:val="0"/>
          <w:marTop w:val="86"/>
          <w:marBottom w:val="0"/>
          <w:divBdr>
            <w:top w:val="none" w:sz="0" w:space="0" w:color="auto"/>
            <w:left w:val="none" w:sz="0" w:space="0" w:color="auto"/>
            <w:bottom w:val="none" w:sz="0" w:space="0" w:color="auto"/>
            <w:right w:val="none" w:sz="0" w:space="0" w:color="auto"/>
          </w:divBdr>
        </w:div>
        <w:div w:id="1016344886">
          <w:marLeft w:val="547"/>
          <w:marRight w:val="0"/>
          <w:marTop w:val="86"/>
          <w:marBottom w:val="0"/>
          <w:divBdr>
            <w:top w:val="none" w:sz="0" w:space="0" w:color="auto"/>
            <w:left w:val="none" w:sz="0" w:space="0" w:color="auto"/>
            <w:bottom w:val="none" w:sz="0" w:space="0" w:color="auto"/>
            <w:right w:val="none" w:sz="0" w:space="0" w:color="auto"/>
          </w:divBdr>
        </w:div>
      </w:divsChild>
    </w:div>
    <w:div w:id="56244459">
      <w:bodyDiv w:val="1"/>
      <w:marLeft w:val="0"/>
      <w:marRight w:val="0"/>
      <w:marTop w:val="0"/>
      <w:marBottom w:val="0"/>
      <w:divBdr>
        <w:top w:val="none" w:sz="0" w:space="0" w:color="auto"/>
        <w:left w:val="none" w:sz="0" w:space="0" w:color="auto"/>
        <w:bottom w:val="none" w:sz="0" w:space="0" w:color="auto"/>
        <w:right w:val="none" w:sz="0" w:space="0" w:color="auto"/>
      </w:divBdr>
      <w:divsChild>
        <w:div w:id="1182628176">
          <w:marLeft w:val="547"/>
          <w:marRight w:val="0"/>
          <w:marTop w:val="120"/>
          <w:marBottom w:val="0"/>
          <w:divBdr>
            <w:top w:val="none" w:sz="0" w:space="0" w:color="auto"/>
            <w:left w:val="none" w:sz="0" w:space="0" w:color="auto"/>
            <w:bottom w:val="none" w:sz="0" w:space="0" w:color="auto"/>
            <w:right w:val="none" w:sz="0" w:space="0" w:color="auto"/>
          </w:divBdr>
        </w:div>
        <w:div w:id="978605329">
          <w:marLeft w:val="547"/>
          <w:marRight w:val="0"/>
          <w:marTop w:val="120"/>
          <w:marBottom w:val="0"/>
          <w:divBdr>
            <w:top w:val="none" w:sz="0" w:space="0" w:color="auto"/>
            <w:left w:val="none" w:sz="0" w:space="0" w:color="auto"/>
            <w:bottom w:val="none" w:sz="0" w:space="0" w:color="auto"/>
            <w:right w:val="none" w:sz="0" w:space="0" w:color="auto"/>
          </w:divBdr>
        </w:div>
        <w:div w:id="411048365">
          <w:marLeft w:val="547"/>
          <w:marRight w:val="0"/>
          <w:marTop w:val="120"/>
          <w:marBottom w:val="0"/>
          <w:divBdr>
            <w:top w:val="none" w:sz="0" w:space="0" w:color="auto"/>
            <w:left w:val="none" w:sz="0" w:space="0" w:color="auto"/>
            <w:bottom w:val="none" w:sz="0" w:space="0" w:color="auto"/>
            <w:right w:val="none" w:sz="0" w:space="0" w:color="auto"/>
          </w:divBdr>
        </w:div>
      </w:divsChild>
    </w:div>
    <w:div w:id="236668402">
      <w:bodyDiv w:val="1"/>
      <w:marLeft w:val="0"/>
      <w:marRight w:val="0"/>
      <w:marTop w:val="0"/>
      <w:marBottom w:val="0"/>
      <w:divBdr>
        <w:top w:val="none" w:sz="0" w:space="0" w:color="auto"/>
        <w:left w:val="none" w:sz="0" w:space="0" w:color="auto"/>
        <w:bottom w:val="none" w:sz="0" w:space="0" w:color="auto"/>
        <w:right w:val="none" w:sz="0" w:space="0" w:color="auto"/>
      </w:divBdr>
    </w:div>
    <w:div w:id="363024537">
      <w:bodyDiv w:val="1"/>
      <w:marLeft w:val="0"/>
      <w:marRight w:val="0"/>
      <w:marTop w:val="0"/>
      <w:marBottom w:val="0"/>
      <w:divBdr>
        <w:top w:val="none" w:sz="0" w:space="0" w:color="auto"/>
        <w:left w:val="none" w:sz="0" w:space="0" w:color="auto"/>
        <w:bottom w:val="none" w:sz="0" w:space="0" w:color="auto"/>
        <w:right w:val="none" w:sz="0" w:space="0" w:color="auto"/>
      </w:divBdr>
    </w:div>
    <w:div w:id="718479141">
      <w:bodyDiv w:val="1"/>
      <w:marLeft w:val="0"/>
      <w:marRight w:val="0"/>
      <w:marTop w:val="0"/>
      <w:marBottom w:val="0"/>
      <w:divBdr>
        <w:top w:val="none" w:sz="0" w:space="0" w:color="auto"/>
        <w:left w:val="none" w:sz="0" w:space="0" w:color="auto"/>
        <w:bottom w:val="none" w:sz="0" w:space="0" w:color="auto"/>
        <w:right w:val="none" w:sz="0" w:space="0" w:color="auto"/>
      </w:divBdr>
    </w:div>
    <w:div w:id="1114254470">
      <w:bodyDiv w:val="1"/>
      <w:marLeft w:val="0"/>
      <w:marRight w:val="0"/>
      <w:marTop w:val="0"/>
      <w:marBottom w:val="0"/>
      <w:divBdr>
        <w:top w:val="none" w:sz="0" w:space="0" w:color="auto"/>
        <w:left w:val="none" w:sz="0" w:space="0" w:color="auto"/>
        <w:bottom w:val="none" w:sz="0" w:space="0" w:color="auto"/>
        <w:right w:val="none" w:sz="0" w:space="0" w:color="auto"/>
      </w:divBdr>
      <w:divsChild>
        <w:div w:id="1204370136">
          <w:marLeft w:val="0"/>
          <w:marRight w:val="0"/>
          <w:marTop w:val="0"/>
          <w:marBottom w:val="0"/>
          <w:divBdr>
            <w:top w:val="none" w:sz="0" w:space="0" w:color="auto"/>
            <w:left w:val="none" w:sz="0" w:space="0" w:color="auto"/>
            <w:bottom w:val="none" w:sz="0" w:space="0" w:color="auto"/>
            <w:right w:val="none" w:sz="0" w:space="0" w:color="auto"/>
          </w:divBdr>
        </w:div>
        <w:div w:id="935403567">
          <w:blockQuote w:val="1"/>
          <w:marLeft w:val="600"/>
          <w:marRight w:val="0"/>
          <w:marTop w:val="0"/>
          <w:marBottom w:val="0"/>
          <w:divBdr>
            <w:top w:val="none" w:sz="0" w:space="0" w:color="auto"/>
            <w:left w:val="none" w:sz="0" w:space="0" w:color="auto"/>
            <w:bottom w:val="none" w:sz="0" w:space="0" w:color="auto"/>
            <w:right w:val="none" w:sz="0" w:space="0" w:color="auto"/>
          </w:divBdr>
          <w:divsChild>
            <w:div w:id="1807891821">
              <w:marLeft w:val="0"/>
              <w:marRight w:val="0"/>
              <w:marTop w:val="0"/>
              <w:marBottom w:val="0"/>
              <w:divBdr>
                <w:top w:val="none" w:sz="0" w:space="0" w:color="auto"/>
                <w:left w:val="none" w:sz="0" w:space="0" w:color="auto"/>
                <w:bottom w:val="none" w:sz="0" w:space="0" w:color="auto"/>
                <w:right w:val="none" w:sz="0" w:space="0" w:color="auto"/>
              </w:divBdr>
              <w:divsChild>
                <w:div w:id="476996024">
                  <w:marLeft w:val="0"/>
                  <w:marRight w:val="0"/>
                  <w:marTop w:val="0"/>
                  <w:marBottom w:val="0"/>
                  <w:divBdr>
                    <w:top w:val="none" w:sz="0" w:space="0" w:color="auto"/>
                    <w:left w:val="none" w:sz="0" w:space="0" w:color="auto"/>
                    <w:bottom w:val="none" w:sz="0" w:space="0" w:color="auto"/>
                    <w:right w:val="none" w:sz="0" w:space="0" w:color="auto"/>
                  </w:divBdr>
                </w:div>
              </w:divsChild>
            </w:div>
            <w:div w:id="854490946">
              <w:marLeft w:val="0"/>
              <w:marRight w:val="0"/>
              <w:marTop w:val="0"/>
              <w:marBottom w:val="0"/>
              <w:divBdr>
                <w:top w:val="none" w:sz="0" w:space="0" w:color="auto"/>
                <w:left w:val="none" w:sz="0" w:space="0" w:color="auto"/>
                <w:bottom w:val="none" w:sz="0" w:space="0" w:color="auto"/>
                <w:right w:val="none" w:sz="0" w:space="0" w:color="auto"/>
              </w:divBdr>
              <w:divsChild>
                <w:div w:id="650982698">
                  <w:marLeft w:val="0"/>
                  <w:marRight w:val="0"/>
                  <w:marTop w:val="0"/>
                  <w:marBottom w:val="0"/>
                  <w:divBdr>
                    <w:top w:val="none" w:sz="0" w:space="0" w:color="auto"/>
                    <w:left w:val="none" w:sz="0" w:space="0" w:color="auto"/>
                    <w:bottom w:val="none" w:sz="0" w:space="0" w:color="auto"/>
                    <w:right w:val="none" w:sz="0" w:space="0" w:color="auto"/>
                  </w:divBdr>
                </w:div>
              </w:divsChild>
            </w:div>
            <w:div w:id="1831822333">
              <w:marLeft w:val="0"/>
              <w:marRight w:val="0"/>
              <w:marTop w:val="0"/>
              <w:marBottom w:val="0"/>
              <w:divBdr>
                <w:top w:val="none" w:sz="0" w:space="0" w:color="auto"/>
                <w:left w:val="none" w:sz="0" w:space="0" w:color="auto"/>
                <w:bottom w:val="none" w:sz="0" w:space="0" w:color="auto"/>
                <w:right w:val="none" w:sz="0" w:space="0" w:color="auto"/>
              </w:divBdr>
              <w:divsChild>
                <w:div w:id="1097483345">
                  <w:marLeft w:val="0"/>
                  <w:marRight w:val="0"/>
                  <w:marTop w:val="0"/>
                  <w:marBottom w:val="0"/>
                  <w:divBdr>
                    <w:top w:val="none" w:sz="0" w:space="0" w:color="auto"/>
                    <w:left w:val="none" w:sz="0" w:space="0" w:color="auto"/>
                    <w:bottom w:val="none" w:sz="0" w:space="0" w:color="auto"/>
                    <w:right w:val="none" w:sz="0" w:space="0" w:color="auto"/>
                  </w:divBdr>
                </w:div>
              </w:divsChild>
            </w:div>
            <w:div w:id="1655453543">
              <w:marLeft w:val="0"/>
              <w:marRight w:val="0"/>
              <w:marTop w:val="0"/>
              <w:marBottom w:val="0"/>
              <w:divBdr>
                <w:top w:val="none" w:sz="0" w:space="0" w:color="auto"/>
                <w:left w:val="none" w:sz="0" w:space="0" w:color="auto"/>
                <w:bottom w:val="none" w:sz="0" w:space="0" w:color="auto"/>
                <w:right w:val="none" w:sz="0" w:space="0" w:color="auto"/>
              </w:divBdr>
              <w:divsChild>
                <w:div w:id="127209999">
                  <w:marLeft w:val="0"/>
                  <w:marRight w:val="0"/>
                  <w:marTop w:val="0"/>
                  <w:marBottom w:val="0"/>
                  <w:divBdr>
                    <w:top w:val="none" w:sz="0" w:space="0" w:color="auto"/>
                    <w:left w:val="none" w:sz="0" w:space="0" w:color="auto"/>
                    <w:bottom w:val="none" w:sz="0" w:space="0" w:color="auto"/>
                    <w:right w:val="none" w:sz="0" w:space="0" w:color="auto"/>
                  </w:divBdr>
                </w:div>
              </w:divsChild>
            </w:div>
            <w:div w:id="256331379">
              <w:marLeft w:val="0"/>
              <w:marRight w:val="0"/>
              <w:marTop w:val="0"/>
              <w:marBottom w:val="0"/>
              <w:divBdr>
                <w:top w:val="none" w:sz="0" w:space="0" w:color="auto"/>
                <w:left w:val="none" w:sz="0" w:space="0" w:color="auto"/>
                <w:bottom w:val="none" w:sz="0" w:space="0" w:color="auto"/>
                <w:right w:val="none" w:sz="0" w:space="0" w:color="auto"/>
              </w:divBdr>
              <w:divsChild>
                <w:div w:id="203661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093173">
      <w:bodyDiv w:val="1"/>
      <w:marLeft w:val="0"/>
      <w:marRight w:val="0"/>
      <w:marTop w:val="0"/>
      <w:marBottom w:val="0"/>
      <w:divBdr>
        <w:top w:val="none" w:sz="0" w:space="0" w:color="auto"/>
        <w:left w:val="none" w:sz="0" w:space="0" w:color="auto"/>
        <w:bottom w:val="none" w:sz="0" w:space="0" w:color="auto"/>
        <w:right w:val="none" w:sz="0" w:space="0" w:color="auto"/>
      </w:divBdr>
    </w:div>
    <w:div w:id="1459101527">
      <w:bodyDiv w:val="1"/>
      <w:marLeft w:val="0"/>
      <w:marRight w:val="0"/>
      <w:marTop w:val="0"/>
      <w:marBottom w:val="0"/>
      <w:divBdr>
        <w:top w:val="none" w:sz="0" w:space="0" w:color="auto"/>
        <w:left w:val="none" w:sz="0" w:space="0" w:color="auto"/>
        <w:bottom w:val="none" w:sz="0" w:space="0" w:color="auto"/>
        <w:right w:val="none" w:sz="0" w:space="0" w:color="auto"/>
      </w:divBdr>
    </w:div>
    <w:div w:id="1584534654">
      <w:bodyDiv w:val="1"/>
      <w:marLeft w:val="0"/>
      <w:marRight w:val="0"/>
      <w:marTop w:val="0"/>
      <w:marBottom w:val="0"/>
      <w:divBdr>
        <w:top w:val="none" w:sz="0" w:space="0" w:color="auto"/>
        <w:left w:val="none" w:sz="0" w:space="0" w:color="auto"/>
        <w:bottom w:val="none" w:sz="0" w:space="0" w:color="auto"/>
        <w:right w:val="none" w:sz="0" w:space="0" w:color="auto"/>
      </w:divBdr>
      <w:divsChild>
        <w:div w:id="331613131">
          <w:marLeft w:val="547"/>
          <w:marRight w:val="0"/>
          <w:marTop w:val="106"/>
          <w:marBottom w:val="0"/>
          <w:divBdr>
            <w:top w:val="none" w:sz="0" w:space="0" w:color="auto"/>
            <w:left w:val="none" w:sz="0" w:space="0" w:color="auto"/>
            <w:bottom w:val="none" w:sz="0" w:space="0" w:color="auto"/>
            <w:right w:val="none" w:sz="0" w:space="0" w:color="auto"/>
          </w:divBdr>
        </w:div>
        <w:div w:id="898318737">
          <w:marLeft w:val="547"/>
          <w:marRight w:val="0"/>
          <w:marTop w:val="106"/>
          <w:marBottom w:val="0"/>
          <w:divBdr>
            <w:top w:val="none" w:sz="0" w:space="0" w:color="auto"/>
            <w:left w:val="none" w:sz="0" w:space="0" w:color="auto"/>
            <w:bottom w:val="none" w:sz="0" w:space="0" w:color="auto"/>
            <w:right w:val="none" w:sz="0" w:space="0" w:color="auto"/>
          </w:divBdr>
        </w:div>
        <w:div w:id="855584972">
          <w:marLeft w:val="547"/>
          <w:marRight w:val="0"/>
          <w:marTop w:val="106"/>
          <w:marBottom w:val="0"/>
          <w:divBdr>
            <w:top w:val="none" w:sz="0" w:space="0" w:color="auto"/>
            <w:left w:val="none" w:sz="0" w:space="0" w:color="auto"/>
            <w:bottom w:val="none" w:sz="0" w:space="0" w:color="auto"/>
            <w:right w:val="none" w:sz="0" w:space="0" w:color="auto"/>
          </w:divBdr>
        </w:div>
        <w:div w:id="1681927521">
          <w:marLeft w:val="547"/>
          <w:marRight w:val="0"/>
          <w:marTop w:val="106"/>
          <w:marBottom w:val="0"/>
          <w:divBdr>
            <w:top w:val="none" w:sz="0" w:space="0" w:color="auto"/>
            <w:left w:val="none" w:sz="0" w:space="0" w:color="auto"/>
            <w:bottom w:val="none" w:sz="0" w:space="0" w:color="auto"/>
            <w:right w:val="none" w:sz="0" w:space="0" w:color="auto"/>
          </w:divBdr>
        </w:div>
        <w:div w:id="60561259">
          <w:marLeft w:val="547"/>
          <w:marRight w:val="0"/>
          <w:marTop w:val="106"/>
          <w:marBottom w:val="0"/>
          <w:divBdr>
            <w:top w:val="none" w:sz="0" w:space="0" w:color="auto"/>
            <w:left w:val="none" w:sz="0" w:space="0" w:color="auto"/>
            <w:bottom w:val="none" w:sz="0" w:space="0" w:color="auto"/>
            <w:right w:val="none" w:sz="0" w:space="0" w:color="auto"/>
          </w:divBdr>
        </w:div>
        <w:div w:id="2012020956">
          <w:marLeft w:val="547"/>
          <w:marRight w:val="0"/>
          <w:marTop w:val="106"/>
          <w:marBottom w:val="0"/>
          <w:divBdr>
            <w:top w:val="none" w:sz="0" w:space="0" w:color="auto"/>
            <w:left w:val="none" w:sz="0" w:space="0" w:color="auto"/>
            <w:bottom w:val="none" w:sz="0" w:space="0" w:color="auto"/>
            <w:right w:val="none" w:sz="0" w:space="0" w:color="auto"/>
          </w:divBdr>
        </w:div>
        <w:div w:id="591200888">
          <w:marLeft w:val="547"/>
          <w:marRight w:val="0"/>
          <w:marTop w:val="106"/>
          <w:marBottom w:val="0"/>
          <w:divBdr>
            <w:top w:val="none" w:sz="0" w:space="0" w:color="auto"/>
            <w:left w:val="none" w:sz="0" w:space="0" w:color="auto"/>
            <w:bottom w:val="none" w:sz="0" w:space="0" w:color="auto"/>
            <w:right w:val="none" w:sz="0" w:space="0" w:color="auto"/>
          </w:divBdr>
        </w:div>
        <w:div w:id="1292443914">
          <w:marLeft w:val="547"/>
          <w:marRight w:val="0"/>
          <w:marTop w:val="106"/>
          <w:marBottom w:val="0"/>
          <w:divBdr>
            <w:top w:val="none" w:sz="0" w:space="0" w:color="auto"/>
            <w:left w:val="none" w:sz="0" w:space="0" w:color="auto"/>
            <w:bottom w:val="none" w:sz="0" w:space="0" w:color="auto"/>
            <w:right w:val="none" w:sz="0" w:space="0" w:color="auto"/>
          </w:divBdr>
        </w:div>
        <w:div w:id="280918581">
          <w:marLeft w:val="547"/>
          <w:marRight w:val="0"/>
          <w:marTop w:val="106"/>
          <w:marBottom w:val="0"/>
          <w:divBdr>
            <w:top w:val="none" w:sz="0" w:space="0" w:color="auto"/>
            <w:left w:val="none" w:sz="0" w:space="0" w:color="auto"/>
            <w:bottom w:val="none" w:sz="0" w:space="0" w:color="auto"/>
            <w:right w:val="none" w:sz="0" w:space="0" w:color="auto"/>
          </w:divBdr>
        </w:div>
      </w:divsChild>
    </w:div>
    <w:div w:id="1721005535">
      <w:bodyDiv w:val="1"/>
      <w:marLeft w:val="0"/>
      <w:marRight w:val="0"/>
      <w:marTop w:val="0"/>
      <w:marBottom w:val="0"/>
      <w:divBdr>
        <w:top w:val="none" w:sz="0" w:space="0" w:color="auto"/>
        <w:left w:val="none" w:sz="0" w:space="0" w:color="auto"/>
        <w:bottom w:val="none" w:sz="0" w:space="0" w:color="auto"/>
        <w:right w:val="none" w:sz="0" w:space="0" w:color="auto"/>
      </w:divBdr>
    </w:div>
    <w:div w:id="1748728046">
      <w:bodyDiv w:val="1"/>
      <w:marLeft w:val="0"/>
      <w:marRight w:val="0"/>
      <w:marTop w:val="0"/>
      <w:marBottom w:val="0"/>
      <w:divBdr>
        <w:top w:val="none" w:sz="0" w:space="0" w:color="auto"/>
        <w:left w:val="none" w:sz="0" w:space="0" w:color="auto"/>
        <w:bottom w:val="none" w:sz="0" w:space="0" w:color="auto"/>
        <w:right w:val="none" w:sz="0" w:space="0" w:color="auto"/>
      </w:divBdr>
    </w:div>
    <w:div w:id="1890335304">
      <w:bodyDiv w:val="1"/>
      <w:marLeft w:val="0"/>
      <w:marRight w:val="0"/>
      <w:marTop w:val="0"/>
      <w:marBottom w:val="0"/>
      <w:divBdr>
        <w:top w:val="none" w:sz="0" w:space="0" w:color="auto"/>
        <w:left w:val="none" w:sz="0" w:space="0" w:color="auto"/>
        <w:bottom w:val="none" w:sz="0" w:space="0" w:color="auto"/>
        <w:right w:val="none" w:sz="0" w:space="0" w:color="auto"/>
      </w:divBdr>
    </w:div>
    <w:div w:id="2089376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hyperlink" Target="https://www.cipd.co.uk/knowledge/fundamentals/relations/engagement/factsheet.%20Accessed%2003%20Oct%202020" TargetMode="External"/><Relationship Id="rId21" Type="http://schemas.openxmlformats.org/officeDocument/2006/relationships/diagramColors" Target="diagrams/colors3.xml"/><Relationship Id="rId34" Type="http://schemas.openxmlformats.org/officeDocument/2006/relationships/hyperlink" Target="https://www.cipd.co.uk/Images/the-future-of-engagement_2014-thought-piece-employee-engagement-rob-briner_tcm18-10764.pdf" TargetMode="External"/><Relationship Id="rId42" Type="http://schemas.openxmlformats.org/officeDocument/2006/relationships/hyperlink" Target="https://engageforsuccess.org/" TargetMode="External"/><Relationship Id="rId47" Type="http://schemas.openxmlformats.org/officeDocument/2006/relationships/hyperlink" Target="http://www.cipd.co.uk/hr-resources/research/future-engagement.aspx"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diagramData" Target="diagrams/data1.xml"/><Relationship Id="rId12" Type="http://schemas.openxmlformats.org/officeDocument/2006/relationships/image" Target="media/image1.png"/><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hyperlink" Target="https://www.cipd.co.uk/knowledge/work/trends/uk-working-lives/" TargetMode="External"/><Relationship Id="rId38" Type="http://schemas.openxmlformats.org/officeDocument/2006/relationships/hyperlink" Target="https://peopleprofession.cipd.org/profession-map" TargetMode="External"/><Relationship Id="rId46" Type="http://schemas.openxmlformats.org/officeDocument/2006/relationships/hyperlink" Target="https://www.shrm.org/resourcesandtools/tools-and-samples/toolkits/pages/sustainingemployeeengagement" TargetMode="Externa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41" Type="http://schemas.openxmlformats.org/officeDocument/2006/relationships/hyperlink" Target="https://www2.deloitte.com/content/dam/Deloitte/global/Documents/HumanCapital/dttl-humancapital-trends6-open-talent-next-no-exp.pdf" TargetMode="External"/><Relationship Id="rId54"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diagramLayout" Target="diagrams/layout4.xml"/><Relationship Id="rId32" Type="http://schemas.microsoft.com/office/2007/relationships/diagramDrawing" Target="diagrams/drawing5.xml"/><Relationship Id="rId37" Type="http://schemas.openxmlformats.org/officeDocument/2006/relationships/hyperlink" Target="https://www.cipd.co.uk/knowledge/culture/well-being/developing-managers-report" TargetMode="External"/><Relationship Id="rId40" Type="http://schemas.openxmlformats.org/officeDocument/2006/relationships/hyperlink" Target="https://peopleprofession.cipd.org/profession-map/specialist-knowledge/employee-experience" TargetMode="External"/><Relationship Id="rId45" Type="http://schemas.openxmlformats.org/officeDocument/2006/relationships/hyperlink" Target="https://archive.acas.org.uk/media/2672/Building-employee-engagement/pdf/Building_employee_engagement-accessible-version-Jun-2012.pdf" TargetMode="External"/><Relationship Id="rId53"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hyperlink" Target="https://www.abb-conversations.com/wp-content/uploads/2013/02/Engagement1.pdf" TargetMode="External"/><Relationship Id="rId49" Type="http://schemas.openxmlformats.org/officeDocument/2006/relationships/hyperlink" Target="https://www.performanceconsultants.com/sir-john-whitmore" TargetMode="External"/><Relationship Id="rId57"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diagramLayout" Target="diagrams/layout3.xml"/><Relationship Id="rId31" Type="http://schemas.openxmlformats.org/officeDocument/2006/relationships/diagramColors" Target="diagrams/colors5.xml"/><Relationship Id="rId44" Type="http://schemas.openxmlformats.org/officeDocument/2006/relationships/hyperlink" Target="https://www.cipd.co.uk/Images/the-future-of-engagement_2014-thought-piece-collection_tcm18-10758.pdf"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hyperlink" Target="http://www.hrreview.co.uk/blogs/blogs-hr-strategy-practice/gary-cattermole-key-drivers-and-trends-for-employee-engagment-in-2014/50203" TargetMode="External"/><Relationship Id="rId43" Type="http://schemas.openxmlformats.org/officeDocument/2006/relationships/hyperlink" Target="https://hbr.org/2014/03/googles-scientific-approach-to-work-life-balance-and-much-more" TargetMode="External"/><Relationship Id="rId48" Type="http://schemas.openxmlformats.org/officeDocument/2006/relationships/hyperlink" Target="https://www.theguardian.com/business/2020/mar/24/wetherspoons-denies-abandoning-staff-in-coronavirus-crisis" TargetMode="External"/><Relationship Id="rId56" Type="http://schemas.openxmlformats.org/officeDocument/2006/relationships/fontTable" Target="fontTable.xml"/><Relationship Id="rId8" Type="http://schemas.openxmlformats.org/officeDocument/2006/relationships/diagramLayout" Target="diagrams/layout1.xml"/><Relationship Id="rId51" Type="http://schemas.openxmlformats.org/officeDocument/2006/relationships/header" Target="header2.xm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A999DE-5E48-4650-A3A9-2AB1B6ED5801}" type="doc">
      <dgm:prSet loTypeId="urn:microsoft.com/office/officeart/2005/8/layout/cycle6" loCatId="cycle" qsTypeId="urn:microsoft.com/office/officeart/2005/8/quickstyle/simple3" qsCatId="simple" csTypeId="urn:microsoft.com/office/officeart/2005/8/colors/colorful5" csCatId="colorful" phldr="1"/>
      <dgm:spPr/>
      <dgm:t>
        <a:bodyPr/>
        <a:lstStyle/>
        <a:p>
          <a:endParaRPr lang="en-GB"/>
        </a:p>
      </dgm:t>
    </dgm:pt>
    <dgm:pt modelId="{5E2F92E7-A901-4F15-8DD4-259CD1F37B66}">
      <dgm:prSet phldrT="[Text]"/>
      <dgm:spPr/>
      <dgm:t>
        <a:bodyPr/>
        <a:lstStyle/>
        <a:p>
          <a:pPr algn="ctr"/>
          <a:r>
            <a:rPr lang="en-GB"/>
            <a:t>Performance management systems</a:t>
          </a:r>
        </a:p>
      </dgm:t>
    </dgm:pt>
    <dgm:pt modelId="{55E9991A-1464-4627-9426-F2DEA65ED873}" type="parTrans" cxnId="{63F0F70D-0B7A-4173-B039-4655BA4EE667}">
      <dgm:prSet/>
      <dgm:spPr/>
      <dgm:t>
        <a:bodyPr/>
        <a:lstStyle/>
        <a:p>
          <a:pPr algn="ctr"/>
          <a:endParaRPr lang="en-GB"/>
        </a:p>
      </dgm:t>
    </dgm:pt>
    <dgm:pt modelId="{ACC02A34-0E78-453A-886E-DA801A46D531}" type="sibTrans" cxnId="{63F0F70D-0B7A-4173-B039-4655BA4EE667}">
      <dgm:prSet/>
      <dgm:spPr/>
      <dgm:t>
        <a:bodyPr/>
        <a:lstStyle/>
        <a:p>
          <a:pPr algn="ctr"/>
          <a:endParaRPr lang="en-GB"/>
        </a:p>
      </dgm:t>
    </dgm:pt>
    <dgm:pt modelId="{22B4FA11-C64C-4EAF-A784-D28F83C9615A}">
      <dgm:prSet phldrT="[Text]"/>
      <dgm:spPr/>
      <dgm:t>
        <a:bodyPr/>
        <a:lstStyle/>
        <a:p>
          <a:pPr algn="ctr"/>
          <a:r>
            <a:rPr lang="en-GB"/>
            <a:t>Well-being initiatives </a:t>
          </a:r>
        </a:p>
      </dgm:t>
    </dgm:pt>
    <dgm:pt modelId="{D9F7BC41-AF5E-4E75-96A1-7324AC9A9B61}" type="parTrans" cxnId="{27BAEDA8-9ACA-47EE-9C8C-DF24B73B9683}">
      <dgm:prSet/>
      <dgm:spPr/>
      <dgm:t>
        <a:bodyPr/>
        <a:lstStyle/>
        <a:p>
          <a:pPr algn="ctr"/>
          <a:endParaRPr lang="en-GB"/>
        </a:p>
      </dgm:t>
    </dgm:pt>
    <dgm:pt modelId="{6A755EB3-8F63-4919-9DC2-3A311DE67E89}" type="sibTrans" cxnId="{27BAEDA8-9ACA-47EE-9C8C-DF24B73B9683}">
      <dgm:prSet/>
      <dgm:spPr/>
      <dgm:t>
        <a:bodyPr/>
        <a:lstStyle/>
        <a:p>
          <a:pPr algn="ctr"/>
          <a:endParaRPr lang="en-GB"/>
        </a:p>
      </dgm:t>
    </dgm:pt>
    <dgm:pt modelId="{E04399E5-4EB3-4284-8ACA-E2ACD4916ABC}">
      <dgm:prSet phldrT="[Text]"/>
      <dgm:spPr/>
      <dgm:t>
        <a:bodyPr/>
        <a:lstStyle/>
        <a:p>
          <a:pPr algn="ctr"/>
          <a:r>
            <a:rPr lang="en-GB"/>
            <a:t>Good communication</a:t>
          </a:r>
        </a:p>
      </dgm:t>
    </dgm:pt>
    <dgm:pt modelId="{FFF89CC0-7792-4163-984E-A52027879754}" type="parTrans" cxnId="{B293007D-F811-48E1-8EDE-F6ACA88E46EA}">
      <dgm:prSet/>
      <dgm:spPr/>
      <dgm:t>
        <a:bodyPr/>
        <a:lstStyle/>
        <a:p>
          <a:pPr algn="ctr"/>
          <a:endParaRPr lang="en-GB"/>
        </a:p>
      </dgm:t>
    </dgm:pt>
    <dgm:pt modelId="{B2EE4248-9921-4A0D-915C-E8B785AC6AC5}" type="sibTrans" cxnId="{B293007D-F811-48E1-8EDE-F6ACA88E46EA}">
      <dgm:prSet/>
      <dgm:spPr/>
      <dgm:t>
        <a:bodyPr/>
        <a:lstStyle/>
        <a:p>
          <a:pPr algn="ctr"/>
          <a:endParaRPr lang="en-GB"/>
        </a:p>
      </dgm:t>
    </dgm:pt>
    <dgm:pt modelId="{E44E99CE-40B8-4AE5-84ED-9887B79A7BC2}">
      <dgm:prSet phldrT="[Text]"/>
      <dgm:spPr/>
      <dgm:t>
        <a:bodyPr/>
        <a:lstStyle/>
        <a:p>
          <a:pPr algn="ctr"/>
          <a:r>
            <a:rPr lang="en-GB"/>
            <a:t>Effective channels for employee voice</a:t>
          </a:r>
        </a:p>
      </dgm:t>
    </dgm:pt>
    <dgm:pt modelId="{F151E85E-5394-4DC5-B9CE-38CA5F46C3C4}" type="parTrans" cxnId="{4C81B834-0449-4172-9220-375C35F0D351}">
      <dgm:prSet/>
      <dgm:spPr/>
      <dgm:t>
        <a:bodyPr/>
        <a:lstStyle/>
        <a:p>
          <a:pPr algn="ctr"/>
          <a:endParaRPr lang="en-GB"/>
        </a:p>
      </dgm:t>
    </dgm:pt>
    <dgm:pt modelId="{8A00C0FE-B55B-4623-801F-16BDD5FDFE1D}" type="sibTrans" cxnId="{4C81B834-0449-4172-9220-375C35F0D351}">
      <dgm:prSet/>
      <dgm:spPr/>
      <dgm:t>
        <a:bodyPr/>
        <a:lstStyle/>
        <a:p>
          <a:pPr algn="ctr"/>
          <a:endParaRPr lang="en-GB"/>
        </a:p>
      </dgm:t>
    </dgm:pt>
    <dgm:pt modelId="{89048DD8-9461-4F4C-AD05-C95A94E07C7F}">
      <dgm:prSet phldrT="[Text]"/>
      <dgm:spPr/>
      <dgm:t>
        <a:bodyPr/>
        <a:lstStyle/>
        <a:p>
          <a:pPr algn="ctr">
            <a:buFont typeface="Symbol" panose="05050102010706020507" pitchFamily="18" charset="2"/>
            <a:buChar char=""/>
          </a:pPr>
          <a:r>
            <a:rPr lang="en-GB"/>
            <a:t>Empowering employees</a:t>
          </a:r>
        </a:p>
      </dgm:t>
    </dgm:pt>
    <dgm:pt modelId="{C389B607-E927-4B9C-9DF4-35D5268166D9}" type="parTrans" cxnId="{0EB56211-C8E8-494C-A0B5-FD467BD69B32}">
      <dgm:prSet/>
      <dgm:spPr/>
      <dgm:t>
        <a:bodyPr/>
        <a:lstStyle/>
        <a:p>
          <a:pPr algn="ctr"/>
          <a:endParaRPr lang="en-GB"/>
        </a:p>
      </dgm:t>
    </dgm:pt>
    <dgm:pt modelId="{4988350B-0FDB-43BF-9391-A8B5038DDA4B}" type="sibTrans" cxnId="{0EB56211-C8E8-494C-A0B5-FD467BD69B32}">
      <dgm:prSet/>
      <dgm:spPr/>
      <dgm:t>
        <a:bodyPr/>
        <a:lstStyle/>
        <a:p>
          <a:pPr algn="ctr"/>
          <a:endParaRPr lang="en-GB"/>
        </a:p>
      </dgm:t>
    </dgm:pt>
    <dgm:pt modelId="{757792E7-3DFB-46AB-A3EB-DD6C2B58AAB4}" type="pres">
      <dgm:prSet presAssocID="{00A999DE-5E48-4650-A3A9-2AB1B6ED5801}" presName="cycle" presStyleCnt="0">
        <dgm:presLayoutVars>
          <dgm:dir/>
          <dgm:resizeHandles val="exact"/>
        </dgm:presLayoutVars>
      </dgm:prSet>
      <dgm:spPr/>
    </dgm:pt>
    <dgm:pt modelId="{F804F762-1104-4D00-AD03-ADEE5087B1CE}" type="pres">
      <dgm:prSet presAssocID="{5E2F92E7-A901-4F15-8DD4-259CD1F37B66}" presName="node" presStyleLbl="node1" presStyleIdx="0" presStyleCnt="5">
        <dgm:presLayoutVars>
          <dgm:bulletEnabled val="1"/>
        </dgm:presLayoutVars>
      </dgm:prSet>
      <dgm:spPr/>
    </dgm:pt>
    <dgm:pt modelId="{95E22852-DEC5-4147-AD59-10B8037AF831}" type="pres">
      <dgm:prSet presAssocID="{5E2F92E7-A901-4F15-8DD4-259CD1F37B66}" presName="spNode" presStyleCnt="0"/>
      <dgm:spPr/>
    </dgm:pt>
    <dgm:pt modelId="{5BF35C60-DA87-47C3-AD8C-6BAE0292090B}" type="pres">
      <dgm:prSet presAssocID="{ACC02A34-0E78-453A-886E-DA801A46D531}" presName="sibTrans" presStyleLbl="sibTrans1D1" presStyleIdx="0" presStyleCnt="5"/>
      <dgm:spPr/>
    </dgm:pt>
    <dgm:pt modelId="{D8B38229-CBA1-4D34-B16B-4760A6A8484A}" type="pres">
      <dgm:prSet presAssocID="{22B4FA11-C64C-4EAF-A784-D28F83C9615A}" presName="node" presStyleLbl="node1" presStyleIdx="1" presStyleCnt="5">
        <dgm:presLayoutVars>
          <dgm:bulletEnabled val="1"/>
        </dgm:presLayoutVars>
      </dgm:prSet>
      <dgm:spPr/>
    </dgm:pt>
    <dgm:pt modelId="{8ED3773D-985A-4FE7-95F2-75A4A3675DE2}" type="pres">
      <dgm:prSet presAssocID="{22B4FA11-C64C-4EAF-A784-D28F83C9615A}" presName="spNode" presStyleCnt="0"/>
      <dgm:spPr/>
    </dgm:pt>
    <dgm:pt modelId="{D095878E-E797-4FA3-9A96-84CE737EC5FE}" type="pres">
      <dgm:prSet presAssocID="{6A755EB3-8F63-4919-9DC2-3A311DE67E89}" presName="sibTrans" presStyleLbl="sibTrans1D1" presStyleIdx="1" presStyleCnt="5"/>
      <dgm:spPr/>
    </dgm:pt>
    <dgm:pt modelId="{C31EC0B5-5F11-4788-8F18-4DACF5D9EEF2}" type="pres">
      <dgm:prSet presAssocID="{E04399E5-4EB3-4284-8ACA-E2ACD4916ABC}" presName="node" presStyleLbl="node1" presStyleIdx="2" presStyleCnt="5">
        <dgm:presLayoutVars>
          <dgm:bulletEnabled val="1"/>
        </dgm:presLayoutVars>
      </dgm:prSet>
      <dgm:spPr/>
    </dgm:pt>
    <dgm:pt modelId="{C7F00682-8AC2-45C1-9D64-32F71BC90C1A}" type="pres">
      <dgm:prSet presAssocID="{E04399E5-4EB3-4284-8ACA-E2ACD4916ABC}" presName="spNode" presStyleCnt="0"/>
      <dgm:spPr/>
    </dgm:pt>
    <dgm:pt modelId="{B6DD5A71-9E68-4C49-B6AC-D7F0585D82C6}" type="pres">
      <dgm:prSet presAssocID="{B2EE4248-9921-4A0D-915C-E8B785AC6AC5}" presName="sibTrans" presStyleLbl="sibTrans1D1" presStyleIdx="2" presStyleCnt="5"/>
      <dgm:spPr/>
    </dgm:pt>
    <dgm:pt modelId="{930F530D-A4B8-46BD-8D0C-F772CFA1A081}" type="pres">
      <dgm:prSet presAssocID="{E44E99CE-40B8-4AE5-84ED-9887B79A7BC2}" presName="node" presStyleLbl="node1" presStyleIdx="3" presStyleCnt="5">
        <dgm:presLayoutVars>
          <dgm:bulletEnabled val="1"/>
        </dgm:presLayoutVars>
      </dgm:prSet>
      <dgm:spPr/>
    </dgm:pt>
    <dgm:pt modelId="{2A7FED94-B8A9-4F58-B2F6-95635CCEAEDD}" type="pres">
      <dgm:prSet presAssocID="{E44E99CE-40B8-4AE5-84ED-9887B79A7BC2}" presName="spNode" presStyleCnt="0"/>
      <dgm:spPr/>
    </dgm:pt>
    <dgm:pt modelId="{F1F6AA9E-88CA-484B-96DE-62C8ABB28E9A}" type="pres">
      <dgm:prSet presAssocID="{8A00C0FE-B55B-4623-801F-16BDD5FDFE1D}" presName="sibTrans" presStyleLbl="sibTrans1D1" presStyleIdx="3" presStyleCnt="5"/>
      <dgm:spPr/>
    </dgm:pt>
    <dgm:pt modelId="{6DBBFCD3-BF9A-4BAD-A212-C6D28BDC57DA}" type="pres">
      <dgm:prSet presAssocID="{89048DD8-9461-4F4C-AD05-C95A94E07C7F}" presName="node" presStyleLbl="node1" presStyleIdx="4" presStyleCnt="5">
        <dgm:presLayoutVars>
          <dgm:bulletEnabled val="1"/>
        </dgm:presLayoutVars>
      </dgm:prSet>
      <dgm:spPr/>
    </dgm:pt>
    <dgm:pt modelId="{B13F5A24-C9AA-4474-976E-8A1B80B08E7B}" type="pres">
      <dgm:prSet presAssocID="{89048DD8-9461-4F4C-AD05-C95A94E07C7F}" presName="spNode" presStyleCnt="0"/>
      <dgm:spPr/>
    </dgm:pt>
    <dgm:pt modelId="{50DDB591-71F2-400B-88E7-288E66855807}" type="pres">
      <dgm:prSet presAssocID="{4988350B-0FDB-43BF-9391-A8B5038DDA4B}" presName="sibTrans" presStyleLbl="sibTrans1D1" presStyleIdx="4" presStyleCnt="5"/>
      <dgm:spPr/>
    </dgm:pt>
  </dgm:ptLst>
  <dgm:cxnLst>
    <dgm:cxn modelId="{63F0F70D-0B7A-4173-B039-4655BA4EE667}" srcId="{00A999DE-5E48-4650-A3A9-2AB1B6ED5801}" destId="{5E2F92E7-A901-4F15-8DD4-259CD1F37B66}" srcOrd="0" destOrd="0" parTransId="{55E9991A-1464-4627-9426-F2DEA65ED873}" sibTransId="{ACC02A34-0E78-453A-886E-DA801A46D531}"/>
    <dgm:cxn modelId="{0EB56211-C8E8-494C-A0B5-FD467BD69B32}" srcId="{00A999DE-5E48-4650-A3A9-2AB1B6ED5801}" destId="{89048DD8-9461-4F4C-AD05-C95A94E07C7F}" srcOrd="4" destOrd="0" parTransId="{C389B607-E927-4B9C-9DF4-35D5268166D9}" sibTransId="{4988350B-0FDB-43BF-9391-A8B5038DDA4B}"/>
    <dgm:cxn modelId="{19E19816-9ADD-45C2-A70D-A3B8C7B63785}" type="presOf" srcId="{ACC02A34-0E78-453A-886E-DA801A46D531}" destId="{5BF35C60-DA87-47C3-AD8C-6BAE0292090B}" srcOrd="0" destOrd="0" presId="urn:microsoft.com/office/officeart/2005/8/layout/cycle6"/>
    <dgm:cxn modelId="{4C81B834-0449-4172-9220-375C35F0D351}" srcId="{00A999DE-5E48-4650-A3A9-2AB1B6ED5801}" destId="{E44E99CE-40B8-4AE5-84ED-9887B79A7BC2}" srcOrd="3" destOrd="0" parTransId="{F151E85E-5394-4DC5-B9CE-38CA5F46C3C4}" sibTransId="{8A00C0FE-B55B-4623-801F-16BDD5FDFE1D}"/>
    <dgm:cxn modelId="{EB26B265-7D9C-4FBE-B405-DF2C2794211E}" type="presOf" srcId="{4988350B-0FDB-43BF-9391-A8B5038DDA4B}" destId="{50DDB591-71F2-400B-88E7-288E66855807}" srcOrd="0" destOrd="0" presId="urn:microsoft.com/office/officeart/2005/8/layout/cycle6"/>
    <dgm:cxn modelId="{931E3E76-8238-4B86-9794-9DB6F09A9DA6}" type="presOf" srcId="{E04399E5-4EB3-4284-8ACA-E2ACD4916ABC}" destId="{C31EC0B5-5F11-4788-8F18-4DACF5D9EEF2}" srcOrd="0" destOrd="0" presId="urn:microsoft.com/office/officeart/2005/8/layout/cycle6"/>
    <dgm:cxn modelId="{B293007D-F811-48E1-8EDE-F6ACA88E46EA}" srcId="{00A999DE-5E48-4650-A3A9-2AB1B6ED5801}" destId="{E04399E5-4EB3-4284-8ACA-E2ACD4916ABC}" srcOrd="2" destOrd="0" parTransId="{FFF89CC0-7792-4163-984E-A52027879754}" sibTransId="{B2EE4248-9921-4A0D-915C-E8B785AC6AC5}"/>
    <dgm:cxn modelId="{E9C8A183-4C39-4F93-9882-CFCC2DB83A3D}" type="presOf" srcId="{8A00C0FE-B55B-4623-801F-16BDD5FDFE1D}" destId="{F1F6AA9E-88CA-484B-96DE-62C8ABB28E9A}" srcOrd="0" destOrd="0" presId="urn:microsoft.com/office/officeart/2005/8/layout/cycle6"/>
    <dgm:cxn modelId="{C462BE87-4DE9-43EF-AD06-E27569A0758E}" type="presOf" srcId="{22B4FA11-C64C-4EAF-A784-D28F83C9615A}" destId="{D8B38229-CBA1-4D34-B16B-4760A6A8484A}" srcOrd="0" destOrd="0" presId="urn:microsoft.com/office/officeart/2005/8/layout/cycle6"/>
    <dgm:cxn modelId="{27BAEDA8-9ACA-47EE-9C8C-DF24B73B9683}" srcId="{00A999DE-5E48-4650-A3A9-2AB1B6ED5801}" destId="{22B4FA11-C64C-4EAF-A784-D28F83C9615A}" srcOrd="1" destOrd="0" parTransId="{D9F7BC41-AF5E-4E75-96A1-7324AC9A9B61}" sibTransId="{6A755EB3-8F63-4919-9DC2-3A311DE67E89}"/>
    <dgm:cxn modelId="{C79F77D0-9A4F-4EFF-9445-07ABCBCBE1B9}" type="presOf" srcId="{6A755EB3-8F63-4919-9DC2-3A311DE67E89}" destId="{D095878E-E797-4FA3-9A96-84CE737EC5FE}" srcOrd="0" destOrd="0" presId="urn:microsoft.com/office/officeart/2005/8/layout/cycle6"/>
    <dgm:cxn modelId="{356175E1-98DF-4A4F-9DB2-2CE12F348027}" type="presOf" srcId="{E44E99CE-40B8-4AE5-84ED-9887B79A7BC2}" destId="{930F530D-A4B8-46BD-8D0C-F772CFA1A081}" srcOrd="0" destOrd="0" presId="urn:microsoft.com/office/officeart/2005/8/layout/cycle6"/>
    <dgm:cxn modelId="{7FD1B6E3-A3B8-46E3-8A25-E642499BA39B}" type="presOf" srcId="{5E2F92E7-A901-4F15-8DD4-259CD1F37B66}" destId="{F804F762-1104-4D00-AD03-ADEE5087B1CE}" srcOrd="0" destOrd="0" presId="urn:microsoft.com/office/officeart/2005/8/layout/cycle6"/>
    <dgm:cxn modelId="{750F54F5-1046-4EA8-ACD2-6090F17AB179}" type="presOf" srcId="{89048DD8-9461-4F4C-AD05-C95A94E07C7F}" destId="{6DBBFCD3-BF9A-4BAD-A212-C6D28BDC57DA}" srcOrd="0" destOrd="0" presId="urn:microsoft.com/office/officeart/2005/8/layout/cycle6"/>
    <dgm:cxn modelId="{3DBE12FA-4912-4F15-A5D4-AE5BDF7D74E6}" type="presOf" srcId="{B2EE4248-9921-4A0D-915C-E8B785AC6AC5}" destId="{B6DD5A71-9E68-4C49-B6AC-D7F0585D82C6}" srcOrd="0" destOrd="0" presId="urn:microsoft.com/office/officeart/2005/8/layout/cycle6"/>
    <dgm:cxn modelId="{694338FC-3053-41C1-A0ED-12E87B162C24}" type="presOf" srcId="{00A999DE-5E48-4650-A3A9-2AB1B6ED5801}" destId="{757792E7-3DFB-46AB-A3EB-DD6C2B58AAB4}" srcOrd="0" destOrd="0" presId="urn:microsoft.com/office/officeart/2005/8/layout/cycle6"/>
    <dgm:cxn modelId="{FE8671C4-41C8-43D4-B7F5-8F9612E25B2A}" type="presParOf" srcId="{757792E7-3DFB-46AB-A3EB-DD6C2B58AAB4}" destId="{F804F762-1104-4D00-AD03-ADEE5087B1CE}" srcOrd="0" destOrd="0" presId="urn:microsoft.com/office/officeart/2005/8/layout/cycle6"/>
    <dgm:cxn modelId="{DE7B649B-A315-4E8D-A83D-004DBE83483F}" type="presParOf" srcId="{757792E7-3DFB-46AB-A3EB-DD6C2B58AAB4}" destId="{95E22852-DEC5-4147-AD59-10B8037AF831}" srcOrd="1" destOrd="0" presId="urn:microsoft.com/office/officeart/2005/8/layout/cycle6"/>
    <dgm:cxn modelId="{375EEEDB-4483-48BB-8A80-93D267755D97}" type="presParOf" srcId="{757792E7-3DFB-46AB-A3EB-DD6C2B58AAB4}" destId="{5BF35C60-DA87-47C3-AD8C-6BAE0292090B}" srcOrd="2" destOrd="0" presId="urn:microsoft.com/office/officeart/2005/8/layout/cycle6"/>
    <dgm:cxn modelId="{2B38634E-416E-4F95-8BD6-83B5C45EC810}" type="presParOf" srcId="{757792E7-3DFB-46AB-A3EB-DD6C2B58AAB4}" destId="{D8B38229-CBA1-4D34-B16B-4760A6A8484A}" srcOrd="3" destOrd="0" presId="urn:microsoft.com/office/officeart/2005/8/layout/cycle6"/>
    <dgm:cxn modelId="{4E304304-D8F8-47C0-BD9C-41080A8A52EB}" type="presParOf" srcId="{757792E7-3DFB-46AB-A3EB-DD6C2B58AAB4}" destId="{8ED3773D-985A-4FE7-95F2-75A4A3675DE2}" srcOrd="4" destOrd="0" presId="urn:microsoft.com/office/officeart/2005/8/layout/cycle6"/>
    <dgm:cxn modelId="{94625D4D-FDF3-4502-9F9C-71A492FF5E4C}" type="presParOf" srcId="{757792E7-3DFB-46AB-A3EB-DD6C2B58AAB4}" destId="{D095878E-E797-4FA3-9A96-84CE737EC5FE}" srcOrd="5" destOrd="0" presId="urn:microsoft.com/office/officeart/2005/8/layout/cycle6"/>
    <dgm:cxn modelId="{C54C0633-E1EB-4D57-9A47-EDDA2F7A00B9}" type="presParOf" srcId="{757792E7-3DFB-46AB-A3EB-DD6C2B58AAB4}" destId="{C31EC0B5-5F11-4788-8F18-4DACF5D9EEF2}" srcOrd="6" destOrd="0" presId="urn:microsoft.com/office/officeart/2005/8/layout/cycle6"/>
    <dgm:cxn modelId="{15A069E8-7ED5-4F4E-A2A6-8108B4CBC33C}" type="presParOf" srcId="{757792E7-3DFB-46AB-A3EB-DD6C2B58AAB4}" destId="{C7F00682-8AC2-45C1-9D64-32F71BC90C1A}" srcOrd="7" destOrd="0" presId="urn:microsoft.com/office/officeart/2005/8/layout/cycle6"/>
    <dgm:cxn modelId="{C2B2EAEB-D880-4F68-A89A-BB725F8997E1}" type="presParOf" srcId="{757792E7-3DFB-46AB-A3EB-DD6C2B58AAB4}" destId="{B6DD5A71-9E68-4C49-B6AC-D7F0585D82C6}" srcOrd="8" destOrd="0" presId="urn:microsoft.com/office/officeart/2005/8/layout/cycle6"/>
    <dgm:cxn modelId="{D20BEFB3-0888-4993-9051-9783B03BE161}" type="presParOf" srcId="{757792E7-3DFB-46AB-A3EB-DD6C2B58AAB4}" destId="{930F530D-A4B8-46BD-8D0C-F772CFA1A081}" srcOrd="9" destOrd="0" presId="urn:microsoft.com/office/officeart/2005/8/layout/cycle6"/>
    <dgm:cxn modelId="{F1EBADB9-9418-435F-A002-E4D609CE016B}" type="presParOf" srcId="{757792E7-3DFB-46AB-A3EB-DD6C2B58AAB4}" destId="{2A7FED94-B8A9-4F58-B2F6-95635CCEAEDD}" srcOrd="10" destOrd="0" presId="urn:microsoft.com/office/officeart/2005/8/layout/cycle6"/>
    <dgm:cxn modelId="{BD23C2F0-3A57-4F0D-8334-D70F80BC2459}" type="presParOf" srcId="{757792E7-3DFB-46AB-A3EB-DD6C2B58AAB4}" destId="{F1F6AA9E-88CA-484B-96DE-62C8ABB28E9A}" srcOrd="11" destOrd="0" presId="urn:microsoft.com/office/officeart/2005/8/layout/cycle6"/>
    <dgm:cxn modelId="{9C838539-2A24-4503-AEE0-F001371224F2}" type="presParOf" srcId="{757792E7-3DFB-46AB-A3EB-DD6C2B58AAB4}" destId="{6DBBFCD3-BF9A-4BAD-A212-C6D28BDC57DA}" srcOrd="12" destOrd="0" presId="urn:microsoft.com/office/officeart/2005/8/layout/cycle6"/>
    <dgm:cxn modelId="{F0201B5B-F0C5-48BB-A63D-8FF3E2C69473}" type="presParOf" srcId="{757792E7-3DFB-46AB-A3EB-DD6C2B58AAB4}" destId="{B13F5A24-C9AA-4474-976E-8A1B80B08E7B}" srcOrd="13" destOrd="0" presId="urn:microsoft.com/office/officeart/2005/8/layout/cycle6"/>
    <dgm:cxn modelId="{6B5F743D-AB7F-44F4-A660-62CA4AA60005}" type="presParOf" srcId="{757792E7-3DFB-46AB-A3EB-DD6C2B58AAB4}" destId="{50DDB591-71F2-400B-88E7-288E66855807}" srcOrd="14" destOrd="0" presId="urn:microsoft.com/office/officeart/2005/8/layout/cycle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281E5D4-21A6-43A0-81EA-227BDF845B99}" type="doc">
      <dgm:prSet loTypeId="urn:microsoft.com/office/officeart/2008/layout/VerticalCurvedList" loCatId="list" qsTypeId="urn:microsoft.com/office/officeart/2005/8/quickstyle/simple1" qsCatId="simple" csTypeId="urn:microsoft.com/office/officeart/2005/8/colors/colorful5" csCatId="colorful" phldr="1"/>
      <dgm:spPr/>
      <dgm:t>
        <a:bodyPr/>
        <a:lstStyle/>
        <a:p>
          <a:endParaRPr lang="en-GB"/>
        </a:p>
      </dgm:t>
    </dgm:pt>
    <dgm:pt modelId="{F241EC4B-4C35-4BAE-B73F-AF114C388091}">
      <dgm:prSet/>
      <dgm:spPr/>
      <dgm:t>
        <a:bodyPr/>
        <a:lstStyle/>
        <a:p>
          <a:pPr>
            <a:buFont typeface="Symbol" panose="05050102010706020507" pitchFamily="18" charset="2"/>
            <a:buChar char=""/>
          </a:pPr>
          <a:r>
            <a:rPr lang="en-GB"/>
            <a:t>Plant 1 – control culture = 80 t-shirts per day</a:t>
          </a:r>
        </a:p>
      </dgm:t>
    </dgm:pt>
    <dgm:pt modelId="{72AAE7FC-94C8-45FC-B842-F58C6F3DDF64}" type="parTrans" cxnId="{F92B0339-B9B4-4DD5-A70B-E4CB958E9F02}">
      <dgm:prSet/>
      <dgm:spPr/>
      <dgm:t>
        <a:bodyPr/>
        <a:lstStyle/>
        <a:p>
          <a:endParaRPr lang="en-GB"/>
        </a:p>
      </dgm:t>
    </dgm:pt>
    <dgm:pt modelId="{68315B79-89F3-477D-8BDF-063C2FE924C2}" type="sibTrans" cxnId="{F92B0339-B9B4-4DD5-A70B-E4CB958E9F02}">
      <dgm:prSet/>
      <dgm:spPr/>
      <dgm:t>
        <a:bodyPr/>
        <a:lstStyle/>
        <a:p>
          <a:endParaRPr lang="en-GB"/>
        </a:p>
      </dgm:t>
    </dgm:pt>
    <dgm:pt modelId="{28FC16F8-8939-4AD3-9765-9B6E03F314A3}">
      <dgm:prSet/>
      <dgm:spPr/>
      <dgm:t>
        <a:bodyPr/>
        <a:lstStyle/>
        <a:p>
          <a:r>
            <a:rPr lang="en-GB"/>
            <a:t>Plant 2 – freedom culture = 150 t-shirts per day</a:t>
          </a:r>
        </a:p>
      </dgm:t>
    </dgm:pt>
    <dgm:pt modelId="{B30889CD-7D78-4938-8890-E834D0773446}" type="parTrans" cxnId="{1FFF61C4-807F-4BF1-9A5C-76C83023ADA4}">
      <dgm:prSet/>
      <dgm:spPr/>
      <dgm:t>
        <a:bodyPr/>
        <a:lstStyle/>
        <a:p>
          <a:endParaRPr lang="en-GB"/>
        </a:p>
      </dgm:t>
    </dgm:pt>
    <dgm:pt modelId="{48241346-7DC4-4F68-A347-5B9A6BBCFF66}" type="sibTrans" cxnId="{1FFF61C4-807F-4BF1-9A5C-76C83023ADA4}">
      <dgm:prSet/>
      <dgm:spPr/>
      <dgm:t>
        <a:bodyPr/>
        <a:lstStyle/>
        <a:p>
          <a:endParaRPr lang="en-GB"/>
        </a:p>
      </dgm:t>
    </dgm:pt>
    <dgm:pt modelId="{EE57BC6D-CD82-4C9A-8AE5-C2B3964C16E2}" type="pres">
      <dgm:prSet presAssocID="{1281E5D4-21A6-43A0-81EA-227BDF845B99}" presName="Name0" presStyleCnt="0">
        <dgm:presLayoutVars>
          <dgm:chMax val="7"/>
          <dgm:chPref val="7"/>
          <dgm:dir/>
        </dgm:presLayoutVars>
      </dgm:prSet>
      <dgm:spPr/>
    </dgm:pt>
    <dgm:pt modelId="{D720F401-6792-4570-AB9A-EFB07D87A001}" type="pres">
      <dgm:prSet presAssocID="{1281E5D4-21A6-43A0-81EA-227BDF845B99}" presName="Name1" presStyleCnt="0"/>
      <dgm:spPr/>
    </dgm:pt>
    <dgm:pt modelId="{EAAFD532-E1C4-446D-8594-7BFB623C14CC}" type="pres">
      <dgm:prSet presAssocID="{1281E5D4-21A6-43A0-81EA-227BDF845B99}" presName="cycle" presStyleCnt="0"/>
      <dgm:spPr/>
    </dgm:pt>
    <dgm:pt modelId="{92DF6861-5F07-434A-B3C8-8C71E8A11679}" type="pres">
      <dgm:prSet presAssocID="{1281E5D4-21A6-43A0-81EA-227BDF845B99}" presName="srcNode" presStyleLbl="node1" presStyleIdx="0" presStyleCnt="2"/>
      <dgm:spPr/>
    </dgm:pt>
    <dgm:pt modelId="{070F3CC4-4055-4D64-8B40-A497AC099F61}" type="pres">
      <dgm:prSet presAssocID="{1281E5D4-21A6-43A0-81EA-227BDF845B99}" presName="conn" presStyleLbl="parChTrans1D2" presStyleIdx="0" presStyleCnt="1"/>
      <dgm:spPr/>
    </dgm:pt>
    <dgm:pt modelId="{3FE1329B-5F28-4EE0-B5BD-D4BBEF5C72E9}" type="pres">
      <dgm:prSet presAssocID="{1281E5D4-21A6-43A0-81EA-227BDF845B99}" presName="extraNode" presStyleLbl="node1" presStyleIdx="0" presStyleCnt="2"/>
      <dgm:spPr/>
    </dgm:pt>
    <dgm:pt modelId="{332FD265-0B60-4DA8-8EE8-B160348228F6}" type="pres">
      <dgm:prSet presAssocID="{1281E5D4-21A6-43A0-81EA-227BDF845B99}" presName="dstNode" presStyleLbl="node1" presStyleIdx="0" presStyleCnt="2"/>
      <dgm:spPr/>
    </dgm:pt>
    <dgm:pt modelId="{FB1402F0-BEF4-49EE-889F-DA0B2DCE37C1}" type="pres">
      <dgm:prSet presAssocID="{F241EC4B-4C35-4BAE-B73F-AF114C388091}" presName="text_1" presStyleLbl="node1" presStyleIdx="0" presStyleCnt="2">
        <dgm:presLayoutVars>
          <dgm:bulletEnabled val="1"/>
        </dgm:presLayoutVars>
      </dgm:prSet>
      <dgm:spPr/>
    </dgm:pt>
    <dgm:pt modelId="{73378324-7279-4839-B355-0F566228D838}" type="pres">
      <dgm:prSet presAssocID="{F241EC4B-4C35-4BAE-B73F-AF114C388091}" presName="accent_1" presStyleCnt="0"/>
      <dgm:spPr/>
    </dgm:pt>
    <dgm:pt modelId="{E8465D45-CFD2-4304-9514-DBDC425238E1}" type="pres">
      <dgm:prSet presAssocID="{F241EC4B-4C35-4BAE-B73F-AF114C388091}" presName="accentRepeatNode" presStyleLbl="solidFgAcc1" presStyleIdx="0" presStyleCnt="2"/>
      <dgm:spPr/>
    </dgm:pt>
    <dgm:pt modelId="{BFEE82BD-D1A3-46D7-A834-25F2819C9175}" type="pres">
      <dgm:prSet presAssocID="{28FC16F8-8939-4AD3-9765-9B6E03F314A3}" presName="text_2" presStyleLbl="node1" presStyleIdx="1" presStyleCnt="2">
        <dgm:presLayoutVars>
          <dgm:bulletEnabled val="1"/>
        </dgm:presLayoutVars>
      </dgm:prSet>
      <dgm:spPr/>
    </dgm:pt>
    <dgm:pt modelId="{65FC298C-F1BF-4DAD-92C8-81FD915599E3}" type="pres">
      <dgm:prSet presAssocID="{28FC16F8-8939-4AD3-9765-9B6E03F314A3}" presName="accent_2" presStyleCnt="0"/>
      <dgm:spPr/>
    </dgm:pt>
    <dgm:pt modelId="{0A3ADCDA-262C-4023-9A2E-40410D32E419}" type="pres">
      <dgm:prSet presAssocID="{28FC16F8-8939-4AD3-9765-9B6E03F314A3}" presName="accentRepeatNode" presStyleLbl="solidFgAcc1" presStyleIdx="1" presStyleCnt="2"/>
      <dgm:spPr/>
    </dgm:pt>
  </dgm:ptLst>
  <dgm:cxnLst>
    <dgm:cxn modelId="{644BFA1C-DB14-4E8D-9786-8E9FD25DA708}" type="presOf" srcId="{68315B79-89F3-477D-8BDF-063C2FE924C2}" destId="{070F3CC4-4055-4D64-8B40-A497AC099F61}" srcOrd="0" destOrd="0" presId="urn:microsoft.com/office/officeart/2008/layout/VerticalCurvedList"/>
    <dgm:cxn modelId="{F92B0339-B9B4-4DD5-A70B-E4CB958E9F02}" srcId="{1281E5D4-21A6-43A0-81EA-227BDF845B99}" destId="{F241EC4B-4C35-4BAE-B73F-AF114C388091}" srcOrd="0" destOrd="0" parTransId="{72AAE7FC-94C8-45FC-B842-F58C6F3DDF64}" sibTransId="{68315B79-89F3-477D-8BDF-063C2FE924C2}"/>
    <dgm:cxn modelId="{52FC4C87-88C1-44D0-92B4-12E9CC7E47D5}" type="presOf" srcId="{F241EC4B-4C35-4BAE-B73F-AF114C388091}" destId="{FB1402F0-BEF4-49EE-889F-DA0B2DCE37C1}" srcOrd="0" destOrd="0" presId="urn:microsoft.com/office/officeart/2008/layout/VerticalCurvedList"/>
    <dgm:cxn modelId="{A1ED2289-DD89-4AA3-8AAA-01ACD4BC95E8}" type="presOf" srcId="{28FC16F8-8939-4AD3-9765-9B6E03F314A3}" destId="{BFEE82BD-D1A3-46D7-A834-25F2819C9175}" srcOrd="0" destOrd="0" presId="urn:microsoft.com/office/officeart/2008/layout/VerticalCurvedList"/>
    <dgm:cxn modelId="{1FFF61C4-807F-4BF1-9A5C-76C83023ADA4}" srcId="{1281E5D4-21A6-43A0-81EA-227BDF845B99}" destId="{28FC16F8-8939-4AD3-9765-9B6E03F314A3}" srcOrd="1" destOrd="0" parTransId="{B30889CD-7D78-4938-8890-E834D0773446}" sibTransId="{48241346-7DC4-4F68-A347-5B9A6BBCFF66}"/>
    <dgm:cxn modelId="{8E5661FD-411B-4707-9242-19E0606B3F49}" type="presOf" srcId="{1281E5D4-21A6-43A0-81EA-227BDF845B99}" destId="{EE57BC6D-CD82-4C9A-8AE5-C2B3964C16E2}" srcOrd="0" destOrd="0" presId="urn:microsoft.com/office/officeart/2008/layout/VerticalCurvedList"/>
    <dgm:cxn modelId="{7FB55652-8F84-4DA0-B6BB-BBA7E82BFD2D}" type="presParOf" srcId="{EE57BC6D-CD82-4C9A-8AE5-C2B3964C16E2}" destId="{D720F401-6792-4570-AB9A-EFB07D87A001}" srcOrd="0" destOrd="0" presId="urn:microsoft.com/office/officeart/2008/layout/VerticalCurvedList"/>
    <dgm:cxn modelId="{F5D83460-0B18-491D-ADA1-FBAE7DA0777D}" type="presParOf" srcId="{D720F401-6792-4570-AB9A-EFB07D87A001}" destId="{EAAFD532-E1C4-446D-8594-7BFB623C14CC}" srcOrd="0" destOrd="0" presId="urn:microsoft.com/office/officeart/2008/layout/VerticalCurvedList"/>
    <dgm:cxn modelId="{380245FE-3CBD-470C-A09F-093F72ADA434}" type="presParOf" srcId="{EAAFD532-E1C4-446D-8594-7BFB623C14CC}" destId="{92DF6861-5F07-434A-B3C8-8C71E8A11679}" srcOrd="0" destOrd="0" presId="urn:microsoft.com/office/officeart/2008/layout/VerticalCurvedList"/>
    <dgm:cxn modelId="{AF3D0DC7-074B-45B8-929B-7F58CA8C38DF}" type="presParOf" srcId="{EAAFD532-E1C4-446D-8594-7BFB623C14CC}" destId="{070F3CC4-4055-4D64-8B40-A497AC099F61}" srcOrd="1" destOrd="0" presId="urn:microsoft.com/office/officeart/2008/layout/VerticalCurvedList"/>
    <dgm:cxn modelId="{C9815D4D-CA0D-4BF0-B457-20BCADE49192}" type="presParOf" srcId="{EAAFD532-E1C4-446D-8594-7BFB623C14CC}" destId="{3FE1329B-5F28-4EE0-B5BD-D4BBEF5C72E9}" srcOrd="2" destOrd="0" presId="urn:microsoft.com/office/officeart/2008/layout/VerticalCurvedList"/>
    <dgm:cxn modelId="{498B8F4E-99F4-4A05-95A8-19A23933904B}" type="presParOf" srcId="{EAAFD532-E1C4-446D-8594-7BFB623C14CC}" destId="{332FD265-0B60-4DA8-8EE8-B160348228F6}" srcOrd="3" destOrd="0" presId="urn:microsoft.com/office/officeart/2008/layout/VerticalCurvedList"/>
    <dgm:cxn modelId="{1B94A72C-6726-4A70-9D61-8C241DCA6B22}" type="presParOf" srcId="{D720F401-6792-4570-AB9A-EFB07D87A001}" destId="{FB1402F0-BEF4-49EE-889F-DA0B2DCE37C1}" srcOrd="1" destOrd="0" presId="urn:microsoft.com/office/officeart/2008/layout/VerticalCurvedList"/>
    <dgm:cxn modelId="{86B72DB1-E6F1-4626-81A5-2D652D1DB6DB}" type="presParOf" srcId="{D720F401-6792-4570-AB9A-EFB07D87A001}" destId="{73378324-7279-4839-B355-0F566228D838}" srcOrd="2" destOrd="0" presId="urn:microsoft.com/office/officeart/2008/layout/VerticalCurvedList"/>
    <dgm:cxn modelId="{5B9ED3EB-7054-41DF-B830-CFA24D86D488}" type="presParOf" srcId="{73378324-7279-4839-B355-0F566228D838}" destId="{E8465D45-CFD2-4304-9514-DBDC425238E1}" srcOrd="0" destOrd="0" presId="urn:microsoft.com/office/officeart/2008/layout/VerticalCurvedList"/>
    <dgm:cxn modelId="{F36F020D-687E-43E1-81AF-1DFD2D63278B}" type="presParOf" srcId="{D720F401-6792-4570-AB9A-EFB07D87A001}" destId="{BFEE82BD-D1A3-46D7-A834-25F2819C9175}" srcOrd="3" destOrd="0" presId="urn:microsoft.com/office/officeart/2008/layout/VerticalCurvedList"/>
    <dgm:cxn modelId="{B69398EF-4CFA-4898-881B-3C901228F82C}" type="presParOf" srcId="{D720F401-6792-4570-AB9A-EFB07D87A001}" destId="{65FC298C-F1BF-4DAD-92C8-81FD915599E3}" srcOrd="4" destOrd="0" presId="urn:microsoft.com/office/officeart/2008/layout/VerticalCurvedList"/>
    <dgm:cxn modelId="{EF7E6E6F-AC39-4AF0-9F64-9B5045B5F2FE}" type="presParOf" srcId="{65FC298C-F1BF-4DAD-92C8-81FD915599E3}" destId="{0A3ADCDA-262C-4023-9A2E-40410D32E419}" srcOrd="0" destOrd="0" presId="urn:microsoft.com/office/officeart/2008/layout/VerticalCurvedLis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96589E-A0B6-4D11-A01D-039DA84693B2}" type="doc">
      <dgm:prSet loTypeId="urn:microsoft.com/office/officeart/2008/layout/VerticalCurvedList" loCatId="list" qsTypeId="urn:microsoft.com/office/officeart/2005/8/quickstyle/simple1" qsCatId="simple" csTypeId="urn:microsoft.com/office/officeart/2005/8/colors/colorful5" csCatId="colorful" phldr="1"/>
      <dgm:spPr/>
      <dgm:t>
        <a:bodyPr/>
        <a:lstStyle/>
        <a:p>
          <a:endParaRPr lang="en-GB"/>
        </a:p>
      </dgm:t>
    </dgm:pt>
    <dgm:pt modelId="{C088586D-5EF1-4671-90E0-2606F53B647D}">
      <dgm:prSet/>
      <dgm:spPr/>
      <dgm:t>
        <a:bodyPr/>
        <a:lstStyle/>
        <a:p>
          <a:pPr>
            <a:buFont typeface="Symbol" panose="05050102010706020507" pitchFamily="18" charset="2"/>
            <a:buChar char=""/>
          </a:pPr>
          <a:r>
            <a:rPr lang="en-GB"/>
            <a:t>Emotional engagement – 60% were emotionally involved with their work</a:t>
          </a:r>
        </a:p>
      </dgm:t>
    </dgm:pt>
    <dgm:pt modelId="{B7764900-64A0-41F7-A80B-4A25B8D4F6AB}" type="parTrans" cxnId="{19C36344-AF2B-4584-AF90-56F4F0FE4FEC}">
      <dgm:prSet/>
      <dgm:spPr/>
      <dgm:t>
        <a:bodyPr/>
        <a:lstStyle/>
        <a:p>
          <a:endParaRPr lang="en-GB"/>
        </a:p>
      </dgm:t>
    </dgm:pt>
    <dgm:pt modelId="{094FF18C-B790-4499-B76E-66AEA14D14B1}" type="sibTrans" cxnId="{19C36344-AF2B-4584-AF90-56F4F0FE4FEC}">
      <dgm:prSet/>
      <dgm:spPr/>
      <dgm:t>
        <a:bodyPr/>
        <a:lstStyle/>
        <a:p>
          <a:endParaRPr lang="en-GB"/>
        </a:p>
      </dgm:t>
    </dgm:pt>
    <dgm:pt modelId="{3CD5C7B3-D2E1-441A-8646-787BC1D43438}">
      <dgm:prSet/>
      <dgm:spPr/>
      <dgm:t>
        <a:bodyPr/>
        <a:lstStyle/>
        <a:p>
          <a:pPr>
            <a:buFont typeface="Symbol" panose="05050102010706020507" pitchFamily="18" charset="2"/>
            <a:buChar char=""/>
          </a:pPr>
          <a:r>
            <a:rPr lang="en-GB"/>
            <a:t>Cognitive engagement – 60% focussed very hard whilst at work</a:t>
          </a:r>
        </a:p>
      </dgm:t>
    </dgm:pt>
    <dgm:pt modelId="{128F10AE-526E-443F-BC19-F966F1C082D3}" type="parTrans" cxnId="{0AC2BA31-D9B9-4CC8-B1DD-762FCCF081E7}">
      <dgm:prSet/>
      <dgm:spPr/>
      <dgm:t>
        <a:bodyPr/>
        <a:lstStyle/>
        <a:p>
          <a:endParaRPr lang="en-GB"/>
        </a:p>
      </dgm:t>
    </dgm:pt>
    <dgm:pt modelId="{61E7D932-F387-4E3A-820C-780E33323980}" type="sibTrans" cxnId="{0AC2BA31-D9B9-4CC8-B1DD-762FCCF081E7}">
      <dgm:prSet/>
      <dgm:spPr/>
      <dgm:t>
        <a:bodyPr/>
        <a:lstStyle/>
        <a:p>
          <a:endParaRPr lang="en-GB"/>
        </a:p>
      </dgm:t>
    </dgm:pt>
    <dgm:pt modelId="{44C55247-533B-4018-8D95-85EFFFE9F3CF}">
      <dgm:prSet/>
      <dgm:spPr/>
      <dgm:t>
        <a:bodyPr/>
        <a:lstStyle/>
        <a:p>
          <a:pPr>
            <a:buFont typeface="Symbol" panose="05050102010706020507" pitchFamily="18" charset="2"/>
            <a:buChar char=""/>
          </a:pPr>
          <a:r>
            <a:rPr lang="en-GB"/>
            <a:t>Physical engagement – 40% willing to put in discretionary effort</a:t>
          </a:r>
        </a:p>
      </dgm:t>
    </dgm:pt>
    <dgm:pt modelId="{841E8CA6-63E1-4BD4-925D-7CB3C38A664A}" type="parTrans" cxnId="{359C1D4B-16FA-4559-92CD-82549A6A9319}">
      <dgm:prSet/>
      <dgm:spPr/>
      <dgm:t>
        <a:bodyPr/>
        <a:lstStyle/>
        <a:p>
          <a:endParaRPr lang="en-GB"/>
        </a:p>
      </dgm:t>
    </dgm:pt>
    <dgm:pt modelId="{0D1D27E3-E653-4930-AF2C-A55FE8DA004F}" type="sibTrans" cxnId="{359C1D4B-16FA-4559-92CD-82549A6A9319}">
      <dgm:prSet/>
      <dgm:spPr/>
      <dgm:t>
        <a:bodyPr/>
        <a:lstStyle/>
        <a:p>
          <a:endParaRPr lang="en-GB"/>
        </a:p>
      </dgm:t>
    </dgm:pt>
    <dgm:pt modelId="{998A1F82-089C-4C7E-8380-AFA5E68EDB76}" type="pres">
      <dgm:prSet presAssocID="{C496589E-A0B6-4D11-A01D-039DA84693B2}" presName="Name0" presStyleCnt="0">
        <dgm:presLayoutVars>
          <dgm:chMax val="7"/>
          <dgm:chPref val="7"/>
          <dgm:dir/>
        </dgm:presLayoutVars>
      </dgm:prSet>
      <dgm:spPr/>
    </dgm:pt>
    <dgm:pt modelId="{E2226B26-AF12-4F3C-AE42-3C19CE604672}" type="pres">
      <dgm:prSet presAssocID="{C496589E-A0B6-4D11-A01D-039DA84693B2}" presName="Name1" presStyleCnt="0"/>
      <dgm:spPr/>
    </dgm:pt>
    <dgm:pt modelId="{99A4237D-ABF7-4B68-A3E8-4A80E9D4CBB4}" type="pres">
      <dgm:prSet presAssocID="{C496589E-A0B6-4D11-A01D-039DA84693B2}" presName="cycle" presStyleCnt="0"/>
      <dgm:spPr/>
    </dgm:pt>
    <dgm:pt modelId="{F574D8AA-AF0D-45DE-B0B8-EB98ECF1E055}" type="pres">
      <dgm:prSet presAssocID="{C496589E-A0B6-4D11-A01D-039DA84693B2}" presName="srcNode" presStyleLbl="node1" presStyleIdx="0" presStyleCnt="3"/>
      <dgm:spPr/>
    </dgm:pt>
    <dgm:pt modelId="{7723D170-063A-4F16-B052-FBB80C9B1B37}" type="pres">
      <dgm:prSet presAssocID="{C496589E-A0B6-4D11-A01D-039DA84693B2}" presName="conn" presStyleLbl="parChTrans1D2" presStyleIdx="0" presStyleCnt="1"/>
      <dgm:spPr/>
    </dgm:pt>
    <dgm:pt modelId="{8B173F28-218B-42AF-A17A-FC240A9E2CD6}" type="pres">
      <dgm:prSet presAssocID="{C496589E-A0B6-4D11-A01D-039DA84693B2}" presName="extraNode" presStyleLbl="node1" presStyleIdx="0" presStyleCnt="3"/>
      <dgm:spPr/>
    </dgm:pt>
    <dgm:pt modelId="{ACB7C200-82A9-4A38-BD36-494338D6B3E8}" type="pres">
      <dgm:prSet presAssocID="{C496589E-A0B6-4D11-A01D-039DA84693B2}" presName="dstNode" presStyleLbl="node1" presStyleIdx="0" presStyleCnt="3"/>
      <dgm:spPr/>
    </dgm:pt>
    <dgm:pt modelId="{BA09C807-829C-4BE4-BB82-693A1EE8B338}" type="pres">
      <dgm:prSet presAssocID="{C088586D-5EF1-4671-90E0-2606F53B647D}" presName="text_1" presStyleLbl="node1" presStyleIdx="0" presStyleCnt="3">
        <dgm:presLayoutVars>
          <dgm:bulletEnabled val="1"/>
        </dgm:presLayoutVars>
      </dgm:prSet>
      <dgm:spPr/>
    </dgm:pt>
    <dgm:pt modelId="{A9BD7428-00DB-4BB3-B63B-9473E6EAAB02}" type="pres">
      <dgm:prSet presAssocID="{C088586D-5EF1-4671-90E0-2606F53B647D}" presName="accent_1" presStyleCnt="0"/>
      <dgm:spPr/>
    </dgm:pt>
    <dgm:pt modelId="{8DD1AD42-EB08-441D-8095-68F89D7B37A8}" type="pres">
      <dgm:prSet presAssocID="{C088586D-5EF1-4671-90E0-2606F53B647D}" presName="accentRepeatNode" presStyleLbl="solidFgAcc1" presStyleIdx="0" presStyleCnt="3"/>
      <dgm:spPr/>
    </dgm:pt>
    <dgm:pt modelId="{B366FA0F-BED1-46C3-A0B3-B708670FAB98}" type="pres">
      <dgm:prSet presAssocID="{3CD5C7B3-D2E1-441A-8646-787BC1D43438}" presName="text_2" presStyleLbl="node1" presStyleIdx="1" presStyleCnt="3">
        <dgm:presLayoutVars>
          <dgm:bulletEnabled val="1"/>
        </dgm:presLayoutVars>
      </dgm:prSet>
      <dgm:spPr/>
    </dgm:pt>
    <dgm:pt modelId="{CF614190-2EA7-4DB6-9D6A-2C6242F09BE6}" type="pres">
      <dgm:prSet presAssocID="{3CD5C7B3-D2E1-441A-8646-787BC1D43438}" presName="accent_2" presStyleCnt="0"/>
      <dgm:spPr/>
    </dgm:pt>
    <dgm:pt modelId="{9BCB7509-BCF1-4DA9-898F-096F4430D9D0}" type="pres">
      <dgm:prSet presAssocID="{3CD5C7B3-D2E1-441A-8646-787BC1D43438}" presName="accentRepeatNode" presStyleLbl="solidFgAcc1" presStyleIdx="1" presStyleCnt="3"/>
      <dgm:spPr/>
    </dgm:pt>
    <dgm:pt modelId="{61A6188E-70E1-47D3-AFF7-618DFADB6680}" type="pres">
      <dgm:prSet presAssocID="{44C55247-533B-4018-8D95-85EFFFE9F3CF}" presName="text_3" presStyleLbl="node1" presStyleIdx="2" presStyleCnt="3">
        <dgm:presLayoutVars>
          <dgm:bulletEnabled val="1"/>
        </dgm:presLayoutVars>
      </dgm:prSet>
      <dgm:spPr/>
    </dgm:pt>
    <dgm:pt modelId="{A9C9B6D6-4DD0-48A9-A891-4EB19B179194}" type="pres">
      <dgm:prSet presAssocID="{44C55247-533B-4018-8D95-85EFFFE9F3CF}" presName="accent_3" presStyleCnt="0"/>
      <dgm:spPr/>
    </dgm:pt>
    <dgm:pt modelId="{0AEC1C33-F296-42E3-9064-8783FAEC50F0}" type="pres">
      <dgm:prSet presAssocID="{44C55247-533B-4018-8D95-85EFFFE9F3CF}" presName="accentRepeatNode" presStyleLbl="solidFgAcc1" presStyleIdx="2" presStyleCnt="3"/>
      <dgm:spPr/>
    </dgm:pt>
  </dgm:ptLst>
  <dgm:cxnLst>
    <dgm:cxn modelId="{0AC2BA31-D9B9-4CC8-B1DD-762FCCF081E7}" srcId="{C496589E-A0B6-4D11-A01D-039DA84693B2}" destId="{3CD5C7B3-D2E1-441A-8646-787BC1D43438}" srcOrd="1" destOrd="0" parTransId="{128F10AE-526E-443F-BC19-F966F1C082D3}" sibTransId="{61E7D932-F387-4E3A-820C-780E33323980}"/>
    <dgm:cxn modelId="{310D2E3D-81B8-48CA-8538-C04F0F662582}" type="presOf" srcId="{3CD5C7B3-D2E1-441A-8646-787BC1D43438}" destId="{B366FA0F-BED1-46C3-A0B3-B708670FAB98}" srcOrd="0" destOrd="0" presId="urn:microsoft.com/office/officeart/2008/layout/VerticalCurvedList"/>
    <dgm:cxn modelId="{19C36344-AF2B-4584-AF90-56F4F0FE4FEC}" srcId="{C496589E-A0B6-4D11-A01D-039DA84693B2}" destId="{C088586D-5EF1-4671-90E0-2606F53B647D}" srcOrd="0" destOrd="0" parTransId="{B7764900-64A0-41F7-A80B-4A25B8D4F6AB}" sibTransId="{094FF18C-B790-4499-B76E-66AEA14D14B1}"/>
    <dgm:cxn modelId="{359C1D4B-16FA-4559-92CD-82549A6A9319}" srcId="{C496589E-A0B6-4D11-A01D-039DA84693B2}" destId="{44C55247-533B-4018-8D95-85EFFFE9F3CF}" srcOrd="2" destOrd="0" parTransId="{841E8CA6-63E1-4BD4-925D-7CB3C38A664A}" sibTransId="{0D1D27E3-E653-4930-AF2C-A55FE8DA004F}"/>
    <dgm:cxn modelId="{73B121DB-1735-4708-A0B5-D1399D457792}" type="presOf" srcId="{C088586D-5EF1-4671-90E0-2606F53B647D}" destId="{BA09C807-829C-4BE4-BB82-693A1EE8B338}" srcOrd="0" destOrd="0" presId="urn:microsoft.com/office/officeart/2008/layout/VerticalCurvedList"/>
    <dgm:cxn modelId="{4C902CE7-8C59-4920-986B-6B0DE3A8B0E3}" type="presOf" srcId="{C496589E-A0B6-4D11-A01D-039DA84693B2}" destId="{998A1F82-089C-4C7E-8380-AFA5E68EDB76}" srcOrd="0" destOrd="0" presId="urn:microsoft.com/office/officeart/2008/layout/VerticalCurvedList"/>
    <dgm:cxn modelId="{FEAD25F1-4491-46DA-8FEE-F8C2BC140EC7}" type="presOf" srcId="{44C55247-533B-4018-8D95-85EFFFE9F3CF}" destId="{61A6188E-70E1-47D3-AFF7-618DFADB6680}" srcOrd="0" destOrd="0" presId="urn:microsoft.com/office/officeart/2008/layout/VerticalCurvedList"/>
    <dgm:cxn modelId="{4A1430F9-06E2-4F59-B297-C186A23A2097}" type="presOf" srcId="{094FF18C-B790-4499-B76E-66AEA14D14B1}" destId="{7723D170-063A-4F16-B052-FBB80C9B1B37}" srcOrd="0" destOrd="0" presId="urn:microsoft.com/office/officeart/2008/layout/VerticalCurvedList"/>
    <dgm:cxn modelId="{0A406BEB-6245-4A85-80E4-FB346DDDB229}" type="presParOf" srcId="{998A1F82-089C-4C7E-8380-AFA5E68EDB76}" destId="{E2226B26-AF12-4F3C-AE42-3C19CE604672}" srcOrd="0" destOrd="0" presId="urn:microsoft.com/office/officeart/2008/layout/VerticalCurvedList"/>
    <dgm:cxn modelId="{9E3436B3-5E6F-4B80-AE8E-E7ED6E86B263}" type="presParOf" srcId="{E2226B26-AF12-4F3C-AE42-3C19CE604672}" destId="{99A4237D-ABF7-4B68-A3E8-4A80E9D4CBB4}" srcOrd="0" destOrd="0" presId="urn:microsoft.com/office/officeart/2008/layout/VerticalCurvedList"/>
    <dgm:cxn modelId="{1D125BF1-1E31-43FC-8356-FAF74ED81322}" type="presParOf" srcId="{99A4237D-ABF7-4B68-A3E8-4A80E9D4CBB4}" destId="{F574D8AA-AF0D-45DE-B0B8-EB98ECF1E055}" srcOrd="0" destOrd="0" presId="urn:microsoft.com/office/officeart/2008/layout/VerticalCurvedList"/>
    <dgm:cxn modelId="{48383409-FA1F-44EF-97F8-B497E52732DF}" type="presParOf" srcId="{99A4237D-ABF7-4B68-A3E8-4A80E9D4CBB4}" destId="{7723D170-063A-4F16-B052-FBB80C9B1B37}" srcOrd="1" destOrd="0" presId="urn:microsoft.com/office/officeart/2008/layout/VerticalCurvedList"/>
    <dgm:cxn modelId="{E4E4B50A-5D3C-457A-9ACA-812E709A2D7F}" type="presParOf" srcId="{99A4237D-ABF7-4B68-A3E8-4A80E9D4CBB4}" destId="{8B173F28-218B-42AF-A17A-FC240A9E2CD6}" srcOrd="2" destOrd="0" presId="urn:microsoft.com/office/officeart/2008/layout/VerticalCurvedList"/>
    <dgm:cxn modelId="{0E0BD10A-46D8-47B2-85A4-4942EC9F8A3B}" type="presParOf" srcId="{99A4237D-ABF7-4B68-A3E8-4A80E9D4CBB4}" destId="{ACB7C200-82A9-4A38-BD36-494338D6B3E8}" srcOrd="3" destOrd="0" presId="urn:microsoft.com/office/officeart/2008/layout/VerticalCurvedList"/>
    <dgm:cxn modelId="{206E090E-DCFF-4675-AE4F-54F404EC9E3A}" type="presParOf" srcId="{E2226B26-AF12-4F3C-AE42-3C19CE604672}" destId="{BA09C807-829C-4BE4-BB82-693A1EE8B338}" srcOrd="1" destOrd="0" presId="urn:microsoft.com/office/officeart/2008/layout/VerticalCurvedList"/>
    <dgm:cxn modelId="{AB092DA4-A4EB-4F63-966E-683A98D33FD6}" type="presParOf" srcId="{E2226B26-AF12-4F3C-AE42-3C19CE604672}" destId="{A9BD7428-00DB-4BB3-B63B-9473E6EAAB02}" srcOrd="2" destOrd="0" presId="urn:microsoft.com/office/officeart/2008/layout/VerticalCurvedList"/>
    <dgm:cxn modelId="{0ABFFB94-CC39-485C-B187-2F9C6738857D}" type="presParOf" srcId="{A9BD7428-00DB-4BB3-B63B-9473E6EAAB02}" destId="{8DD1AD42-EB08-441D-8095-68F89D7B37A8}" srcOrd="0" destOrd="0" presId="urn:microsoft.com/office/officeart/2008/layout/VerticalCurvedList"/>
    <dgm:cxn modelId="{FDA5CFE3-9D6F-450D-B944-295E12D7F742}" type="presParOf" srcId="{E2226B26-AF12-4F3C-AE42-3C19CE604672}" destId="{B366FA0F-BED1-46C3-A0B3-B708670FAB98}" srcOrd="3" destOrd="0" presId="urn:microsoft.com/office/officeart/2008/layout/VerticalCurvedList"/>
    <dgm:cxn modelId="{A65A9815-2187-40A0-B101-20ADAE05B9BA}" type="presParOf" srcId="{E2226B26-AF12-4F3C-AE42-3C19CE604672}" destId="{CF614190-2EA7-4DB6-9D6A-2C6242F09BE6}" srcOrd="4" destOrd="0" presId="urn:microsoft.com/office/officeart/2008/layout/VerticalCurvedList"/>
    <dgm:cxn modelId="{B59C0480-2374-4461-A2DF-01EFEAA9DFBF}" type="presParOf" srcId="{CF614190-2EA7-4DB6-9D6A-2C6242F09BE6}" destId="{9BCB7509-BCF1-4DA9-898F-096F4430D9D0}" srcOrd="0" destOrd="0" presId="urn:microsoft.com/office/officeart/2008/layout/VerticalCurvedList"/>
    <dgm:cxn modelId="{D2DDD750-1568-432B-81A9-E70062EC9FB8}" type="presParOf" srcId="{E2226B26-AF12-4F3C-AE42-3C19CE604672}" destId="{61A6188E-70E1-47D3-AFF7-618DFADB6680}" srcOrd="5" destOrd="0" presId="urn:microsoft.com/office/officeart/2008/layout/VerticalCurvedList"/>
    <dgm:cxn modelId="{86F2A972-30EC-4901-87E9-639B74D58A24}" type="presParOf" srcId="{E2226B26-AF12-4F3C-AE42-3C19CE604672}" destId="{A9C9B6D6-4DD0-48A9-A891-4EB19B179194}" srcOrd="6" destOrd="0" presId="urn:microsoft.com/office/officeart/2008/layout/VerticalCurvedList"/>
    <dgm:cxn modelId="{2D8F4087-762A-4683-9128-01AAAB7CACF3}" type="presParOf" srcId="{A9C9B6D6-4DD0-48A9-A891-4EB19B179194}" destId="{0AEC1C33-F296-42E3-9064-8783FAEC50F0}" srcOrd="0" destOrd="0" presId="urn:microsoft.com/office/officeart/2008/layout/VerticalCurvedLis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1C1BBDBB-A8B5-40B3-9CC3-861CE6D38C1F}" type="doc">
      <dgm:prSet loTypeId="urn:microsoft.com/office/officeart/2008/layout/VerticalCurvedList" loCatId="list" qsTypeId="urn:microsoft.com/office/officeart/2005/8/quickstyle/simple1" qsCatId="simple" csTypeId="urn:microsoft.com/office/officeart/2005/8/colors/colorful5" csCatId="colorful" phldr="1"/>
      <dgm:spPr/>
      <dgm:t>
        <a:bodyPr/>
        <a:lstStyle/>
        <a:p>
          <a:endParaRPr lang="en-GB"/>
        </a:p>
      </dgm:t>
    </dgm:pt>
    <dgm:pt modelId="{44DF8DC9-BB9F-4972-89F3-391AFA396135}">
      <dgm:prSet/>
      <dgm:spPr/>
      <dgm:t>
        <a:bodyPr/>
        <a:lstStyle/>
        <a:p>
          <a:pPr>
            <a:buFont typeface="Symbol" panose="05050102010706020507" pitchFamily="18" charset="2"/>
            <a:buChar char=""/>
          </a:pPr>
          <a:r>
            <a:rPr lang="en-GB"/>
            <a:t>Engaged – loyal, productive, remain with organisation, recommends as an employer (17%)</a:t>
          </a:r>
        </a:p>
      </dgm:t>
    </dgm:pt>
    <dgm:pt modelId="{44A31143-CE3F-4179-8993-53DF68CF15F8}" type="parTrans" cxnId="{30049DB4-3280-42D1-8459-10172D1FE9F6}">
      <dgm:prSet/>
      <dgm:spPr/>
      <dgm:t>
        <a:bodyPr/>
        <a:lstStyle/>
        <a:p>
          <a:endParaRPr lang="en-GB"/>
        </a:p>
      </dgm:t>
    </dgm:pt>
    <dgm:pt modelId="{D4A3BCA0-C052-4F99-ADEB-C9390941A9DD}" type="sibTrans" cxnId="{30049DB4-3280-42D1-8459-10172D1FE9F6}">
      <dgm:prSet/>
      <dgm:spPr/>
      <dgm:t>
        <a:bodyPr/>
        <a:lstStyle/>
        <a:p>
          <a:endParaRPr lang="en-GB"/>
        </a:p>
      </dgm:t>
    </dgm:pt>
    <dgm:pt modelId="{E0CB0F31-659D-4456-8779-B560F2A9BE7D}">
      <dgm:prSet/>
      <dgm:spPr/>
      <dgm:t>
        <a:bodyPr/>
        <a:lstStyle/>
        <a:p>
          <a:pPr>
            <a:buFont typeface="Symbol" panose="05050102010706020507" pitchFamily="18" charset="2"/>
            <a:buChar char=""/>
          </a:pPr>
          <a:r>
            <a:rPr lang="en-GB"/>
            <a:t>Non-engaged – productive but not psychologically linked to organisation therefore more likely to leave (63%)</a:t>
          </a:r>
        </a:p>
      </dgm:t>
    </dgm:pt>
    <dgm:pt modelId="{D3B57619-70C7-419E-98D3-34EFFC2191EE}" type="parTrans" cxnId="{7CE59D2F-4A64-4732-9AC9-1CE55F2D82B5}">
      <dgm:prSet/>
      <dgm:spPr/>
      <dgm:t>
        <a:bodyPr/>
        <a:lstStyle/>
        <a:p>
          <a:endParaRPr lang="en-GB"/>
        </a:p>
      </dgm:t>
    </dgm:pt>
    <dgm:pt modelId="{32735116-1576-4FC7-9CCB-EFB74E10B1B8}" type="sibTrans" cxnId="{7CE59D2F-4A64-4732-9AC9-1CE55F2D82B5}">
      <dgm:prSet/>
      <dgm:spPr/>
      <dgm:t>
        <a:bodyPr/>
        <a:lstStyle/>
        <a:p>
          <a:endParaRPr lang="en-GB"/>
        </a:p>
      </dgm:t>
    </dgm:pt>
    <dgm:pt modelId="{4159BE29-7E15-4D3A-B062-D7457A1C5D3B}">
      <dgm:prSet/>
      <dgm:spPr/>
      <dgm:t>
        <a:bodyPr/>
        <a:lstStyle/>
        <a:p>
          <a:pPr>
            <a:buFont typeface="Symbol" panose="05050102010706020507" pitchFamily="18" charset="2"/>
            <a:buChar char=""/>
          </a:pPr>
          <a:r>
            <a:rPr lang="en-GB"/>
            <a:t>Disengaged – psychologically absent, complains about the organisation to colleagues (20%)</a:t>
          </a:r>
        </a:p>
      </dgm:t>
    </dgm:pt>
    <dgm:pt modelId="{BD4C632D-D5B8-4E88-B214-35F08AFD2CDF}" type="parTrans" cxnId="{B55DAD14-2858-4ED9-8C6F-07767FA739F5}">
      <dgm:prSet/>
      <dgm:spPr/>
      <dgm:t>
        <a:bodyPr/>
        <a:lstStyle/>
        <a:p>
          <a:endParaRPr lang="en-GB"/>
        </a:p>
      </dgm:t>
    </dgm:pt>
    <dgm:pt modelId="{3F9BE129-B996-4B79-9D64-99138A4F4F7D}" type="sibTrans" cxnId="{B55DAD14-2858-4ED9-8C6F-07767FA739F5}">
      <dgm:prSet/>
      <dgm:spPr/>
      <dgm:t>
        <a:bodyPr/>
        <a:lstStyle/>
        <a:p>
          <a:endParaRPr lang="en-GB"/>
        </a:p>
      </dgm:t>
    </dgm:pt>
    <dgm:pt modelId="{60CE40FA-6984-4DB8-A076-F3C2DDB09BAD}" type="pres">
      <dgm:prSet presAssocID="{1C1BBDBB-A8B5-40B3-9CC3-861CE6D38C1F}" presName="Name0" presStyleCnt="0">
        <dgm:presLayoutVars>
          <dgm:chMax val="7"/>
          <dgm:chPref val="7"/>
          <dgm:dir/>
        </dgm:presLayoutVars>
      </dgm:prSet>
      <dgm:spPr/>
    </dgm:pt>
    <dgm:pt modelId="{6622F6FC-B0E0-4C99-9C34-19ECECE9CC4F}" type="pres">
      <dgm:prSet presAssocID="{1C1BBDBB-A8B5-40B3-9CC3-861CE6D38C1F}" presName="Name1" presStyleCnt="0"/>
      <dgm:spPr/>
    </dgm:pt>
    <dgm:pt modelId="{44B014C4-F1D4-448B-8C31-46B7F0A4DA58}" type="pres">
      <dgm:prSet presAssocID="{1C1BBDBB-A8B5-40B3-9CC3-861CE6D38C1F}" presName="cycle" presStyleCnt="0"/>
      <dgm:spPr/>
    </dgm:pt>
    <dgm:pt modelId="{5DAE4FF8-D09B-442A-AB0E-C82F114DC57D}" type="pres">
      <dgm:prSet presAssocID="{1C1BBDBB-A8B5-40B3-9CC3-861CE6D38C1F}" presName="srcNode" presStyleLbl="node1" presStyleIdx="0" presStyleCnt="3"/>
      <dgm:spPr/>
    </dgm:pt>
    <dgm:pt modelId="{63A4F66B-D11B-4475-A7DF-457B6533FF27}" type="pres">
      <dgm:prSet presAssocID="{1C1BBDBB-A8B5-40B3-9CC3-861CE6D38C1F}" presName="conn" presStyleLbl="parChTrans1D2" presStyleIdx="0" presStyleCnt="1"/>
      <dgm:spPr/>
    </dgm:pt>
    <dgm:pt modelId="{4AEA46F3-435A-46B2-803C-F9BA003A42F5}" type="pres">
      <dgm:prSet presAssocID="{1C1BBDBB-A8B5-40B3-9CC3-861CE6D38C1F}" presName="extraNode" presStyleLbl="node1" presStyleIdx="0" presStyleCnt="3"/>
      <dgm:spPr/>
    </dgm:pt>
    <dgm:pt modelId="{5C0220DD-536C-4A75-AA6C-9A03ADA7263C}" type="pres">
      <dgm:prSet presAssocID="{1C1BBDBB-A8B5-40B3-9CC3-861CE6D38C1F}" presName="dstNode" presStyleLbl="node1" presStyleIdx="0" presStyleCnt="3"/>
      <dgm:spPr/>
    </dgm:pt>
    <dgm:pt modelId="{B58C7CF3-4E14-44E6-9D2D-F237BD56C948}" type="pres">
      <dgm:prSet presAssocID="{44DF8DC9-BB9F-4972-89F3-391AFA396135}" presName="text_1" presStyleLbl="node1" presStyleIdx="0" presStyleCnt="3">
        <dgm:presLayoutVars>
          <dgm:bulletEnabled val="1"/>
        </dgm:presLayoutVars>
      </dgm:prSet>
      <dgm:spPr/>
    </dgm:pt>
    <dgm:pt modelId="{95745C73-3BDF-410B-90CE-97A8019B041A}" type="pres">
      <dgm:prSet presAssocID="{44DF8DC9-BB9F-4972-89F3-391AFA396135}" presName="accent_1" presStyleCnt="0"/>
      <dgm:spPr/>
    </dgm:pt>
    <dgm:pt modelId="{3C642914-8354-40FB-AF8D-41EACD4CB483}" type="pres">
      <dgm:prSet presAssocID="{44DF8DC9-BB9F-4972-89F3-391AFA396135}" presName="accentRepeatNode" presStyleLbl="solidFgAcc1" presStyleIdx="0" presStyleCnt="3"/>
      <dgm:spPr/>
    </dgm:pt>
    <dgm:pt modelId="{F0C7E89D-1203-47C7-A958-67D4307A2194}" type="pres">
      <dgm:prSet presAssocID="{E0CB0F31-659D-4456-8779-B560F2A9BE7D}" presName="text_2" presStyleLbl="node1" presStyleIdx="1" presStyleCnt="3">
        <dgm:presLayoutVars>
          <dgm:bulletEnabled val="1"/>
        </dgm:presLayoutVars>
      </dgm:prSet>
      <dgm:spPr/>
    </dgm:pt>
    <dgm:pt modelId="{97316565-7173-4489-AB8E-9E00BA0DE598}" type="pres">
      <dgm:prSet presAssocID="{E0CB0F31-659D-4456-8779-B560F2A9BE7D}" presName="accent_2" presStyleCnt="0"/>
      <dgm:spPr/>
    </dgm:pt>
    <dgm:pt modelId="{04B5466A-CEDE-4FAE-8A63-558E22DDF73D}" type="pres">
      <dgm:prSet presAssocID="{E0CB0F31-659D-4456-8779-B560F2A9BE7D}" presName="accentRepeatNode" presStyleLbl="solidFgAcc1" presStyleIdx="1" presStyleCnt="3"/>
      <dgm:spPr/>
    </dgm:pt>
    <dgm:pt modelId="{3EDF3545-297A-4745-80B2-9E36285AF987}" type="pres">
      <dgm:prSet presAssocID="{4159BE29-7E15-4D3A-B062-D7457A1C5D3B}" presName="text_3" presStyleLbl="node1" presStyleIdx="2" presStyleCnt="3">
        <dgm:presLayoutVars>
          <dgm:bulletEnabled val="1"/>
        </dgm:presLayoutVars>
      </dgm:prSet>
      <dgm:spPr/>
    </dgm:pt>
    <dgm:pt modelId="{23EA431D-715D-4690-9685-98D66EA683D3}" type="pres">
      <dgm:prSet presAssocID="{4159BE29-7E15-4D3A-B062-D7457A1C5D3B}" presName="accent_3" presStyleCnt="0"/>
      <dgm:spPr/>
    </dgm:pt>
    <dgm:pt modelId="{FDB8DC5F-1A31-448B-BD76-66A6E4A1F340}" type="pres">
      <dgm:prSet presAssocID="{4159BE29-7E15-4D3A-B062-D7457A1C5D3B}" presName="accentRepeatNode" presStyleLbl="solidFgAcc1" presStyleIdx="2" presStyleCnt="3"/>
      <dgm:spPr/>
    </dgm:pt>
  </dgm:ptLst>
  <dgm:cxnLst>
    <dgm:cxn modelId="{B55DAD14-2858-4ED9-8C6F-07767FA739F5}" srcId="{1C1BBDBB-A8B5-40B3-9CC3-861CE6D38C1F}" destId="{4159BE29-7E15-4D3A-B062-D7457A1C5D3B}" srcOrd="2" destOrd="0" parTransId="{BD4C632D-D5B8-4E88-B214-35F08AFD2CDF}" sibTransId="{3F9BE129-B996-4B79-9D64-99138A4F4F7D}"/>
    <dgm:cxn modelId="{7CE59D2F-4A64-4732-9AC9-1CE55F2D82B5}" srcId="{1C1BBDBB-A8B5-40B3-9CC3-861CE6D38C1F}" destId="{E0CB0F31-659D-4456-8779-B560F2A9BE7D}" srcOrd="1" destOrd="0" parTransId="{D3B57619-70C7-419E-98D3-34EFFC2191EE}" sibTransId="{32735116-1576-4FC7-9CCB-EFB74E10B1B8}"/>
    <dgm:cxn modelId="{444FD677-235B-4B29-BC8A-01005D4D9A38}" type="presOf" srcId="{D4A3BCA0-C052-4F99-ADEB-C9390941A9DD}" destId="{63A4F66B-D11B-4475-A7DF-457B6533FF27}" srcOrd="0" destOrd="0" presId="urn:microsoft.com/office/officeart/2008/layout/VerticalCurvedList"/>
    <dgm:cxn modelId="{75A7A49A-CDAB-49F6-8432-D8B568CD0134}" type="presOf" srcId="{4159BE29-7E15-4D3A-B062-D7457A1C5D3B}" destId="{3EDF3545-297A-4745-80B2-9E36285AF987}" srcOrd="0" destOrd="0" presId="urn:microsoft.com/office/officeart/2008/layout/VerticalCurvedList"/>
    <dgm:cxn modelId="{FF318DA2-0E83-42B8-B998-3095DC942DC1}" type="presOf" srcId="{1C1BBDBB-A8B5-40B3-9CC3-861CE6D38C1F}" destId="{60CE40FA-6984-4DB8-A076-F3C2DDB09BAD}" srcOrd="0" destOrd="0" presId="urn:microsoft.com/office/officeart/2008/layout/VerticalCurvedList"/>
    <dgm:cxn modelId="{30049DB4-3280-42D1-8459-10172D1FE9F6}" srcId="{1C1BBDBB-A8B5-40B3-9CC3-861CE6D38C1F}" destId="{44DF8DC9-BB9F-4972-89F3-391AFA396135}" srcOrd="0" destOrd="0" parTransId="{44A31143-CE3F-4179-8993-53DF68CF15F8}" sibTransId="{D4A3BCA0-C052-4F99-ADEB-C9390941A9DD}"/>
    <dgm:cxn modelId="{87E618B7-337F-4852-9903-9C7243833DDA}" type="presOf" srcId="{44DF8DC9-BB9F-4972-89F3-391AFA396135}" destId="{B58C7CF3-4E14-44E6-9D2D-F237BD56C948}" srcOrd="0" destOrd="0" presId="urn:microsoft.com/office/officeart/2008/layout/VerticalCurvedList"/>
    <dgm:cxn modelId="{DE4F04DB-8319-4B92-BE3E-EC81E12BFB41}" type="presOf" srcId="{E0CB0F31-659D-4456-8779-B560F2A9BE7D}" destId="{F0C7E89D-1203-47C7-A958-67D4307A2194}" srcOrd="0" destOrd="0" presId="urn:microsoft.com/office/officeart/2008/layout/VerticalCurvedList"/>
    <dgm:cxn modelId="{04E49812-160D-4A88-B104-841E695EC2EF}" type="presParOf" srcId="{60CE40FA-6984-4DB8-A076-F3C2DDB09BAD}" destId="{6622F6FC-B0E0-4C99-9C34-19ECECE9CC4F}" srcOrd="0" destOrd="0" presId="urn:microsoft.com/office/officeart/2008/layout/VerticalCurvedList"/>
    <dgm:cxn modelId="{44F212BF-3B4F-4482-8B88-6571A208A092}" type="presParOf" srcId="{6622F6FC-B0E0-4C99-9C34-19ECECE9CC4F}" destId="{44B014C4-F1D4-448B-8C31-46B7F0A4DA58}" srcOrd="0" destOrd="0" presId="urn:microsoft.com/office/officeart/2008/layout/VerticalCurvedList"/>
    <dgm:cxn modelId="{004D4798-BC7D-4BB7-B5DD-E788D56378F3}" type="presParOf" srcId="{44B014C4-F1D4-448B-8C31-46B7F0A4DA58}" destId="{5DAE4FF8-D09B-442A-AB0E-C82F114DC57D}" srcOrd="0" destOrd="0" presId="urn:microsoft.com/office/officeart/2008/layout/VerticalCurvedList"/>
    <dgm:cxn modelId="{123A3932-8C16-4868-A7BF-4ADE3E53C523}" type="presParOf" srcId="{44B014C4-F1D4-448B-8C31-46B7F0A4DA58}" destId="{63A4F66B-D11B-4475-A7DF-457B6533FF27}" srcOrd="1" destOrd="0" presId="urn:microsoft.com/office/officeart/2008/layout/VerticalCurvedList"/>
    <dgm:cxn modelId="{8004CCD0-E896-4D68-8A82-19C2BE901478}" type="presParOf" srcId="{44B014C4-F1D4-448B-8C31-46B7F0A4DA58}" destId="{4AEA46F3-435A-46B2-803C-F9BA003A42F5}" srcOrd="2" destOrd="0" presId="urn:microsoft.com/office/officeart/2008/layout/VerticalCurvedList"/>
    <dgm:cxn modelId="{BAC350D8-F180-4437-99C4-80EA7CF7CD5B}" type="presParOf" srcId="{44B014C4-F1D4-448B-8C31-46B7F0A4DA58}" destId="{5C0220DD-536C-4A75-AA6C-9A03ADA7263C}" srcOrd="3" destOrd="0" presId="urn:microsoft.com/office/officeart/2008/layout/VerticalCurvedList"/>
    <dgm:cxn modelId="{C28B344E-B861-45BC-9108-2E60DCB04747}" type="presParOf" srcId="{6622F6FC-B0E0-4C99-9C34-19ECECE9CC4F}" destId="{B58C7CF3-4E14-44E6-9D2D-F237BD56C948}" srcOrd="1" destOrd="0" presId="urn:microsoft.com/office/officeart/2008/layout/VerticalCurvedList"/>
    <dgm:cxn modelId="{AF9D0F44-664D-40EE-9CF5-12E0B17CD222}" type="presParOf" srcId="{6622F6FC-B0E0-4C99-9C34-19ECECE9CC4F}" destId="{95745C73-3BDF-410B-90CE-97A8019B041A}" srcOrd="2" destOrd="0" presId="urn:microsoft.com/office/officeart/2008/layout/VerticalCurvedList"/>
    <dgm:cxn modelId="{DC5F58FE-5D65-4F27-9D72-085E70DCD36B}" type="presParOf" srcId="{95745C73-3BDF-410B-90CE-97A8019B041A}" destId="{3C642914-8354-40FB-AF8D-41EACD4CB483}" srcOrd="0" destOrd="0" presId="urn:microsoft.com/office/officeart/2008/layout/VerticalCurvedList"/>
    <dgm:cxn modelId="{DE35F2F4-3A42-44BB-B128-45F33305592B}" type="presParOf" srcId="{6622F6FC-B0E0-4C99-9C34-19ECECE9CC4F}" destId="{F0C7E89D-1203-47C7-A958-67D4307A2194}" srcOrd="3" destOrd="0" presId="urn:microsoft.com/office/officeart/2008/layout/VerticalCurvedList"/>
    <dgm:cxn modelId="{B4BBFD9C-B24E-4E1E-9BBB-D8E088EB0B5A}" type="presParOf" srcId="{6622F6FC-B0E0-4C99-9C34-19ECECE9CC4F}" destId="{97316565-7173-4489-AB8E-9E00BA0DE598}" srcOrd="4" destOrd="0" presId="urn:microsoft.com/office/officeart/2008/layout/VerticalCurvedList"/>
    <dgm:cxn modelId="{2E35DD8B-8350-4532-A769-A017E69DD9B5}" type="presParOf" srcId="{97316565-7173-4489-AB8E-9E00BA0DE598}" destId="{04B5466A-CEDE-4FAE-8A63-558E22DDF73D}" srcOrd="0" destOrd="0" presId="urn:microsoft.com/office/officeart/2008/layout/VerticalCurvedList"/>
    <dgm:cxn modelId="{499FA763-E201-4C03-AF82-1642091AD8F1}" type="presParOf" srcId="{6622F6FC-B0E0-4C99-9C34-19ECECE9CC4F}" destId="{3EDF3545-297A-4745-80B2-9E36285AF987}" srcOrd="5" destOrd="0" presId="urn:microsoft.com/office/officeart/2008/layout/VerticalCurvedList"/>
    <dgm:cxn modelId="{66045E3D-B738-4E49-BF41-DB6E87538918}" type="presParOf" srcId="{6622F6FC-B0E0-4C99-9C34-19ECECE9CC4F}" destId="{23EA431D-715D-4690-9685-98D66EA683D3}" srcOrd="6" destOrd="0" presId="urn:microsoft.com/office/officeart/2008/layout/VerticalCurvedList"/>
    <dgm:cxn modelId="{85F210F1-ABB5-486D-978E-E1455A50E9C6}" type="presParOf" srcId="{23EA431D-715D-4690-9685-98D66EA683D3}" destId="{FDB8DC5F-1A31-448B-BD76-66A6E4A1F340}" srcOrd="0" destOrd="0" presId="urn:microsoft.com/office/officeart/2008/layout/VerticalCurvedLis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6C70856-0442-42B9-B635-8AC37639F562}" type="doc">
      <dgm:prSet loTypeId="urn:microsoft.com/office/officeart/2008/layout/VerticalCurvedList" loCatId="list" qsTypeId="urn:microsoft.com/office/officeart/2005/8/quickstyle/simple1" qsCatId="simple" csTypeId="urn:microsoft.com/office/officeart/2005/8/colors/colorful5" csCatId="colorful" phldr="1"/>
      <dgm:spPr/>
      <dgm:t>
        <a:bodyPr/>
        <a:lstStyle/>
        <a:p>
          <a:endParaRPr lang="en-GB"/>
        </a:p>
      </dgm:t>
    </dgm:pt>
    <dgm:pt modelId="{17E82536-4872-4678-9464-182E2ACB126D}">
      <dgm:prSet/>
      <dgm:spPr/>
      <dgm:t>
        <a:bodyPr/>
        <a:lstStyle/>
        <a:p>
          <a:pPr>
            <a:buFont typeface="Symbol" panose="05050102010706020507" pitchFamily="18" charset="2"/>
            <a:buChar char=""/>
          </a:pPr>
          <a:r>
            <a:rPr lang="en-GB"/>
            <a:t>Engagement is treated in isolation and seen as an annual tick-box exercise</a:t>
          </a:r>
        </a:p>
      </dgm:t>
    </dgm:pt>
    <dgm:pt modelId="{AA33F377-700C-4147-92AE-316E1C90B266}" type="parTrans" cxnId="{4DC50FBB-0003-4977-9D26-43A70CD9F162}">
      <dgm:prSet/>
      <dgm:spPr/>
      <dgm:t>
        <a:bodyPr/>
        <a:lstStyle/>
        <a:p>
          <a:endParaRPr lang="en-GB"/>
        </a:p>
      </dgm:t>
    </dgm:pt>
    <dgm:pt modelId="{B052A298-7B0E-4E67-8C82-1BA72C5A81EE}" type="sibTrans" cxnId="{4DC50FBB-0003-4977-9D26-43A70CD9F162}">
      <dgm:prSet/>
      <dgm:spPr/>
      <dgm:t>
        <a:bodyPr/>
        <a:lstStyle/>
        <a:p>
          <a:endParaRPr lang="en-GB"/>
        </a:p>
      </dgm:t>
    </dgm:pt>
    <dgm:pt modelId="{810B5073-50BA-4DA3-AC8C-2DFD7BA8D8F4}">
      <dgm:prSet/>
      <dgm:spPr/>
      <dgm:t>
        <a:bodyPr/>
        <a:lstStyle/>
        <a:p>
          <a:pPr>
            <a:buFont typeface="Symbol" panose="05050102010706020507" pitchFamily="18" charset="2"/>
            <a:buChar char=""/>
          </a:pPr>
          <a:r>
            <a:rPr lang="en-GB"/>
            <a:t>Engagement scores are used to punish managers on performance reviews</a:t>
          </a:r>
        </a:p>
      </dgm:t>
    </dgm:pt>
    <dgm:pt modelId="{08C725C4-2F4A-45DD-B03D-426375F52793}" type="parTrans" cxnId="{3EA348E5-D133-4367-9216-C1B95473E5FE}">
      <dgm:prSet/>
      <dgm:spPr/>
      <dgm:t>
        <a:bodyPr/>
        <a:lstStyle/>
        <a:p>
          <a:endParaRPr lang="en-GB"/>
        </a:p>
      </dgm:t>
    </dgm:pt>
    <dgm:pt modelId="{4E37DC48-B145-4015-AC1A-B7208ABFB2C7}" type="sibTrans" cxnId="{3EA348E5-D133-4367-9216-C1B95473E5FE}">
      <dgm:prSet/>
      <dgm:spPr/>
      <dgm:t>
        <a:bodyPr/>
        <a:lstStyle/>
        <a:p>
          <a:endParaRPr lang="en-GB"/>
        </a:p>
      </dgm:t>
    </dgm:pt>
    <dgm:pt modelId="{883C229C-DDB9-4817-858C-85910EE8EC31}">
      <dgm:prSet/>
      <dgm:spPr/>
      <dgm:t>
        <a:bodyPr/>
        <a:lstStyle/>
        <a:p>
          <a:pPr>
            <a:buFont typeface="Symbol" panose="05050102010706020507" pitchFamily="18" charset="2"/>
            <a:buChar char=""/>
          </a:pPr>
          <a:r>
            <a:rPr lang="en-GB"/>
            <a:t>Engagement scores do not explain the reasons for engagement levels</a:t>
          </a:r>
        </a:p>
      </dgm:t>
    </dgm:pt>
    <dgm:pt modelId="{17DDF08E-00A2-4EEF-842B-285B119F6F33}" type="parTrans" cxnId="{9F265E1C-DC45-4277-BF3A-654625BB5BC4}">
      <dgm:prSet/>
      <dgm:spPr/>
      <dgm:t>
        <a:bodyPr/>
        <a:lstStyle/>
        <a:p>
          <a:endParaRPr lang="en-GB"/>
        </a:p>
      </dgm:t>
    </dgm:pt>
    <dgm:pt modelId="{7BA9E2F7-D31D-4D23-A69F-55AD5F4519F3}" type="sibTrans" cxnId="{9F265E1C-DC45-4277-BF3A-654625BB5BC4}">
      <dgm:prSet/>
      <dgm:spPr/>
      <dgm:t>
        <a:bodyPr/>
        <a:lstStyle/>
        <a:p>
          <a:endParaRPr lang="en-GB"/>
        </a:p>
      </dgm:t>
    </dgm:pt>
    <dgm:pt modelId="{D189CF29-4385-4AA5-B528-489D1EB34A39}" type="pres">
      <dgm:prSet presAssocID="{B6C70856-0442-42B9-B635-8AC37639F562}" presName="Name0" presStyleCnt="0">
        <dgm:presLayoutVars>
          <dgm:chMax val="7"/>
          <dgm:chPref val="7"/>
          <dgm:dir/>
        </dgm:presLayoutVars>
      </dgm:prSet>
      <dgm:spPr/>
    </dgm:pt>
    <dgm:pt modelId="{2FDB0956-8BF7-4A12-A1C8-B78565746A7B}" type="pres">
      <dgm:prSet presAssocID="{B6C70856-0442-42B9-B635-8AC37639F562}" presName="Name1" presStyleCnt="0"/>
      <dgm:spPr/>
    </dgm:pt>
    <dgm:pt modelId="{D06F852D-54B7-4031-818D-AA08FF11B56D}" type="pres">
      <dgm:prSet presAssocID="{B6C70856-0442-42B9-B635-8AC37639F562}" presName="cycle" presStyleCnt="0"/>
      <dgm:spPr/>
    </dgm:pt>
    <dgm:pt modelId="{09BA6B45-0FEC-4379-AAB5-45020FC1222D}" type="pres">
      <dgm:prSet presAssocID="{B6C70856-0442-42B9-B635-8AC37639F562}" presName="srcNode" presStyleLbl="node1" presStyleIdx="0" presStyleCnt="3"/>
      <dgm:spPr/>
    </dgm:pt>
    <dgm:pt modelId="{D91B7B5A-9933-4119-B788-7C1AEFF3E4AE}" type="pres">
      <dgm:prSet presAssocID="{B6C70856-0442-42B9-B635-8AC37639F562}" presName="conn" presStyleLbl="parChTrans1D2" presStyleIdx="0" presStyleCnt="1"/>
      <dgm:spPr/>
    </dgm:pt>
    <dgm:pt modelId="{5D4F0D76-220F-4F42-A046-4F6E59EB57E5}" type="pres">
      <dgm:prSet presAssocID="{B6C70856-0442-42B9-B635-8AC37639F562}" presName="extraNode" presStyleLbl="node1" presStyleIdx="0" presStyleCnt="3"/>
      <dgm:spPr/>
    </dgm:pt>
    <dgm:pt modelId="{EC11C5EC-E8FE-426F-909C-1B15B20C91DC}" type="pres">
      <dgm:prSet presAssocID="{B6C70856-0442-42B9-B635-8AC37639F562}" presName="dstNode" presStyleLbl="node1" presStyleIdx="0" presStyleCnt="3"/>
      <dgm:spPr/>
    </dgm:pt>
    <dgm:pt modelId="{F3C164D6-D0CC-40EC-B8B1-28CE4D15B8D8}" type="pres">
      <dgm:prSet presAssocID="{17E82536-4872-4678-9464-182E2ACB126D}" presName="text_1" presStyleLbl="node1" presStyleIdx="0" presStyleCnt="3">
        <dgm:presLayoutVars>
          <dgm:bulletEnabled val="1"/>
        </dgm:presLayoutVars>
      </dgm:prSet>
      <dgm:spPr/>
    </dgm:pt>
    <dgm:pt modelId="{A816D037-3820-4222-AB4D-373448814122}" type="pres">
      <dgm:prSet presAssocID="{17E82536-4872-4678-9464-182E2ACB126D}" presName="accent_1" presStyleCnt="0"/>
      <dgm:spPr/>
    </dgm:pt>
    <dgm:pt modelId="{1B3E7B30-C662-4F03-B8BF-02E494948EC7}" type="pres">
      <dgm:prSet presAssocID="{17E82536-4872-4678-9464-182E2ACB126D}" presName="accentRepeatNode" presStyleLbl="solidFgAcc1" presStyleIdx="0" presStyleCnt="3"/>
      <dgm:spPr/>
    </dgm:pt>
    <dgm:pt modelId="{F4B132B0-2AB6-468C-B5A5-690CDF7CB7ED}" type="pres">
      <dgm:prSet presAssocID="{810B5073-50BA-4DA3-AC8C-2DFD7BA8D8F4}" presName="text_2" presStyleLbl="node1" presStyleIdx="1" presStyleCnt="3">
        <dgm:presLayoutVars>
          <dgm:bulletEnabled val="1"/>
        </dgm:presLayoutVars>
      </dgm:prSet>
      <dgm:spPr/>
    </dgm:pt>
    <dgm:pt modelId="{4C4321E9-98BC-48E9-8113-0D80F5A6F976}" type="pres">
      <dgm:prSet presAssocID="{810B5073-50BA-4DA3-AC8C-2DFD7BA8D8F4}" presName="accent_2" presStyleCnt="0"/>
      <dgm:spPr/>
    </dgm:pt>
    <dgm:pt modelId="{DF5B3DB6-2059-4201-90CA-843B61DE6A45}" type="pres">
      <dgm:prSet presAssocID="{810B5073-50BA-4DA3-AC8C-2DFD7BA8D8F4}" presName="accentRepeatNode" presStyleLbl="solidFgAcc1" presStyleIdx="1" presStyleCnt="3"/>
      <dgm:spPr/>
    </dgm:pt>
    <dgm:pt modelId="{F5457A21-E588-495F-B854-34493FA241A3}" type="pres">
      <dgm:prSet presAssocID="{883C229C-DDB9-4817-858C-85910EE8EC31}" presName="text_3" presStyleLbl="node1" presStyleIdx="2" presStyleCnt="3">
        <dgm:presLayoutVars>
          <dgm:bulletEnabled val="1"/>
        </dgm:presLayoutVars>
      </dgm:prSet>
      <dgm:spPr/>
    </dgm:pt>
    <dgm:pt modelId="{EE8A8CF5-8222-4509-966C-81FC5716E27C}" type="pres">
      <dgm:prSet presAssocID="{883C229C-DDB9-4817-858C-85910EE8EC31}" presName="accent_3" presStyleCnt="0"/>
      <dgm:spPr/>
    </dgm:pt>
    <dgm:pt modelId="{BEDF5FB6-A804-41BD-BD39-0EDD11340BE6}" type="pres">
      <dgm:prSet presAssocID="{883C229C-DDB9-4817-858C-85910EE8EC31}" presName="accentRepeatNode" presStyleLbl="solidFgAcc1" presStyleIdx="2" presStyleCnt="3"/>
      <dgm:spPr/>
    </dgm:pt>
  </dgm:ptLst>
  <dgm:cxnLst>
    <dgm:cxn modelId="{9F265E1C-DC45-4277-BF3A-654625BB5BC4}" srcId="{B6C70856-0442-42B9-B635-8AC37639F562}" destId="{883C229C-DDB9-4817-858C-85910EE8EC31}" srcOrd="2" destOrd="0" parTransId="{17DDF08E-00A2-4EEF-842B-285B119F6F33}" sibTransId="{7BA9E2F7-D31D-4D23-A69F-55AD5F4519F3}"/>
    <dgm:cxn modelId="{2DCFA23F-3928-4071-8D6B-A2442734A828}" type="presOf" srcId="{B6C70856-0442-42B9-B635-8AC37639F562}" destId="{D189CF29-4385-4AA5-B528-489D1EB34A39}" srcOrd="0" destOrd="0" presId="urn:microsoft.com/office/officeart/2008/layout/VerticalCurvedList"/>
    <dgm:cxn modelId="{26B53B47-3BF7-4655-9D50-9D4222CB42EB}" type="presOf" srcId="{810B5073-50BA-4DA3-AC8C-2DFD7BA8D8F4}" destId="{F4B132B0-2AB6-468C-B5A5-690CDF7CB7ED}" srcOrd="0" destOrd="0" presId="urn:microsoft.com/office/officeart/2008/layout/VerticalCurvedList"/>
    <dgm:cxn modelId="{28B97C47-8E4A-4EE1-A9A4-62C41A982D99}" type="presOf" srcId="{B052A298-7B0E-4E67-8C82-1BA72C5A81EE}" destId="{D91B7B5A-9933-4119-B788-7C1AEFF3E4AE}" srcOrd="0" destOrd="0" presId="urn:microsoft.com/office/officeart/2008/layout/VerticalCurvedList"/>
    <dgm:cxn modelId="{C5FE4B97-1C5A-4E9C-8FFE-87BF3F586358}" type="presOf" srcId="{883C229C-DDB9-4817-858C-85910EE8EC31}" destId="{F5457A21-E588-495F-B854-34493FA241A3}" srcOrd="0" destOrd="0" presId="urn:microsoft.com/office/officeart/2008/layout/VerticalCurvedList"/>
    <dgm:cxn modelId="{4DC50FBB-0003-4977-9D26-43A70CD9F162}" srcId="{B6C70856-0442-42B9-B635-8AC37639F562}" destId="{17E82536-4872-4678-9464-182E2ACB126D}" srcOrd="0" destOrd="0" parTransId="{AA33F377-700C-4147-92AE-316E1C90B266}" sibTransId="{B052A298-7B0E-4E67-8C82-1BA72C5A81EE}"/>
    <dgm:cxn modelId="{3EA348E5-D133-4367-9216-C1B95473E5FE}" srcId="{B6C70856-0442-42B9-B635-8AC37639F562}" destId="{810B5073-50BA-4DA3-AC8C-2DFD7BA8D8F4}" srcOrd="1" destOrd="0" parTransId="{08C725C4-2F4A-45DD-B03D-426375F52793}" sibTransId="{4E37DC48-B145-4015-AC1A-B7208ABFB2C7}"/>
    <dgm:cxn modelId="{9ACB57EF-B702-4FBE-82F7-3F144B7DDACB}" type="presOf" srcId="{17E82536-4872-4678-9464-182E2ACB126D}" destId="{F3C164D6-D0CC-40EC-B8B1-28CE4D15B8D8}" srcOrd="0" destOrd="0" presId="urn:microsoft.com/office/officeart/2008/layout/VerticalCurvedList"/>
    <dgm:cxn modelId="{D761809E-59C5-4530-9E50-A2793609152C}" type="presParOf" srcId="{D189CF29-4385-4AA5-B528-489D1EB34A39}" destId="{2FDB0956-8BF7-4A12-A1C8-B78565746A7B}" srcOrd="0" destOrd="0" presId="urn:microsoft.com/office/officeart/2008/layout/VerticalCurvedList"/>
    <dgm:cxn modelId="{E38CC18B-EA06-4EA5-8A4E-2C60BABA4E9C}" type="presParOf" srcId="{2FDB0956-8BF7-4A12-A1C8-B78565746A7B}" destId="{D06F852D-54B7-4031-818D-AA08FF11B56D}" srcOrd="0" destOrd="0" presId="urn:microsoft.com/office/officeart/2008/layout/VerticalCurvedList"/>
    <dgm:cxn modelId="{7B7585A3-27F3-44C7-93A2-38531BCDA550}" type="presParOf" srcId="{D06F852D-54B7-4031-818D-AA08FF11B56D}" destId="{09BA6B45-0FEC-4379-AAB5-45020FC1222D}" srcOrd="0" destOrd="0" presId="urn:microsoft.com/office/officeart/2008/layout/VerticalCurvedList"/>
    <dgm:cxn modelId="{D8C07D15-8B3A-43BE-8C1C-E1D95A46B28D}" type="presParOf" srcId="{D06F852D-54B7-4031-818D-AA08FF11B56D}" destId="{D91B7B5A-9933-4119-B788-7C1AEFF3E4AE}" srcOrd="1" destOrd="0" presId="urn:microsoft.com/office/officeart/2008/layout/VerticalCurvedList"/>
    <dgm:cxn modelId="{AF061EC7-1B44-46A2-8A5A-70B1A37202BC}" type="presParOf" srcId="{D06F852D-54B7-4031-818D-AA08FF11B56D}" destId="{5D4F0D76-220F-4F42-A046-4F6E59EB57E5}" srcOrd="2" destOrd="0" presId="urn:microsoft.com/office/officeart/2008/layout/VerticalCurvedList"/>
    <dgm:cxn modelId="{42C64566-B0BE-4775-A159-F9958951B092}" type="presParOf" srcId="{D06F852D-54B7-4031-818D-AA08FF11B56D}" destId="{EC11C5EC-E8FE-426F-909C-1B15B20C91DC}" srcOrd="3" destOrd="0" presId="urn:microsoft.com/office/officeart/2008/layout/VerticalCurvedList"/>
    <dgm:cxn modelId="{004539BE-874D-4DAD-AEE2-B37BB0694EC6}" type="presParOf" srcId="{2FDB0956-8BF7-4A12-A1C8-B78565746A7B}" destId="{F3C164D6-D0CC-40EC-B8B1-28CE4D15B8D8}" srcOrd="1" destOrd="0" presId="urn:microsoft.com/office/officeart/2008/layout/VerticalCurvedList"/>
    <dgm:cxn modelId="{43614A4B-83BC-424D-A10A-5206F7A976B3}" type="presParOf" srcId="{2FDB0956-8BF7-4A12-A1C8-B78565746A7B}" destId="{A816D037-3820-4222-AB4D-373448814122}" srcOrd="2" destOrd="0" presId="urn:microsoft.com/office/officeart/2008/layout/VerticalCurvedList"/>
    <dgm:cxn modelId="{6F7DCE5B-304F-4F07-86D6-CF0D5BAF02FF}" type="presParOf" srcId="{A816D037-3820-4222-AB4D-373448814122}" destId="{1B3E7B30-C662-4F03-B8BF-02E494948EC7}" srcOrd="0" destOrd="0" presId="urn:microsoft.com/office/officeart/2008/layout/VerticalCurvedList"/>
    <dgm:cxn modelId="{C18D6250-1CCE-491A-8EFA-FDCF5E27F733}" type="presParOf" srcId="{2FDB0956-8BF7-4A12-A1C8-B78565746A7B}" destId="{F4B132B0-2AB6-468C-B5A5-690CDF7CB7ED}" srcOrd="3" destOrd="0" presId="urn:microsoft.com/office/officeart/2008/layout/VerticalCurvedList"/>
    <dgm:cxn modelId="{436AA988-2CE2-4C77-9D13-5ABE79E39200}" type="presParOf" srcId="{2FDB0956-8BF7-4A12-A1C8-B78565746A7B}" destId="{4C4321E9-98BC-48E9-8113-0D80F5A6F976}" srcOrd="4" destOrd="0" presId="urn:microsoft.com/office/officeart/2008/layout/VerticalCurvedList"/>
    <dgm:cxn modelId="{F386E0B9-2957-449A-8E5B-85BE1A32D4BC}" type="presParOf" srcId="{4C4321E9-98BC-48E9-8113-0D80F5A6F976}" destId="{DF5B3DB6-2059-4201-90CA-843B61DE6A45}" srcOrd="0" destOrd="0" presId="urn:microsoft.com/office/officeart/2008/layout/VerticalCurvedList"/>
    <dgm:cxn modelId="{15CA82FF-4973-48CE-B2EC-9FFF4D08451E}" type="presParOf" srcId="{2FDB0956-8BF7-4A12-A1C8-B78565746A7B}" destId="{F5457A21-E588-495F-B854-34493FA241A3}" srcOrd="5" destOrd="0" presId="urn:microsoft.com/office/officeart/2008/layout/VerticalCurvedList"/>
    <dgm:cxn modelId="{390A5D03-1056-4B39-9B19-E916D86C1C17}" type="presParOf" srcId="{2FDB0956-8BF7-4A12-A1C8-B78565746A7B}" destId="{EE8A8CF5-8222-4509-966C-81FC5716E27C}" srcOrd="6" destOrd="0" presId="urn:microsoft.com/office/officeart/2008/layout/VerticalCurvedList"/>
    <dgm:cxn modelId="{9BAA8861-6C01-4BAE-9226-1F8A4BB511B3}" type="presParOf" srcId="{EE8A8CF5-8222-4509-966C-81FC5716E27C}" destId="{BEDF5FB6-A804-41BD-BD39-0EDD11340BE6}" srcOrd="0" destOrd="0" presId="urn:microsoft.com/office/officeart/2008/layout/VerticalCurvedList"/>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04F762-1104-4D00-AD03-ADEE5087B1CE}">
      <dsp:nvSpPr>
        <dsp:cNvPr id="0" name=""/>
        <dsp:cNvSpPr/>
      </dsp:nvSpPr>
      <dsp:spPr>
        <a:xfrm>
          <a:off x="2166520" y="462"/>
          <a:ext cx="787598" cy="511938"/>
        </a:xfrm>
        <a:prstGeom prst="round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Performance management systems</a:t>
          </a:r>
        </a:p>
      </dsp:txBody>
      <dsp:txXfrm>
        <a:off x="2191511" y="25453"/>
        <a:ext cx="737616" cy="461956"/>
      </dsp:txXfrm>
    </dsp:sp>
    <dsp:sp modelId="{5BF35C60-DA87-47C3-AD8C-6BAE0292090B}">
      <dsp:nvSpPr>
        <dsp:cNvPr id="0" name=""/>
        <dsp:cNvSpPr/>
      </dsp:nvSpPr>
      <dsp:spPr>
        <a:xfrm>
          <a:off x="1535873" y="256432"/>
          <a:ext cx="2048892" cy="2048892"/>
        </a:xfrm>
        <a:custGeom>
          <a:avLst/>
          <a:gdLst/>
          <a:ahLst/>
          <a:cxnLst/>
          <a:rect l="0" t="0" r="0" b="0"/>
          <a:pathLst>
            <a:path>
              <a:moveTo>
                <a:pt x="1423676" y="80992"/>
              </a:moveTo>
              <a:arcTo wR="1024446" hR="1024446" stAng="17576163" swAng="1965375"/>
            </a:path>
          </a:pathLst>
        </a:custGeom>
        <a:noFill/>
        <a:ln w="6350" cap="flat" cmpd="sng" algn="ctr">
          <a:solidFill>
            <a:schemeClr val="accent5">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D8B38229-CBA1-4D34-B16B-4760A6A8484A}">
      <dsp:nvSpPr>
        <dsp:cNvPr id="0" name=""/>
        <dsp:cNvSpPr/>
      </dsp:nvSpPr>
      <dsp:spPr>
        <a:xfrm>
          <a:off x="3140827" y="708337"/>
          <a:ext cx="787598" cy="511938"/>
        </a:xfrm>
        <a:prstGeom prst="roundRect">
          <a:avLst/>
        </a:prstGeom>
        <a:gradFill rotWithShape="0">
          <a:gsLst>
            <a:gs pos="0">
              <a:schemeClr val="accent5">
                <a:hueOff val="-1689636"/>
                <a:satOff val="-4355"/>
                <a:lumOff val="-2941"/>
                <a:alphaOff val="0"/>
                <a:lumMod val="110000"/>
                <a:satMod val="105000"/>
                <a:tint val="67000"/>
              </a:schemeClr>
            </a:gs>
            <a:gs pos="50000">
              <a:schemeClr val="accent5">
                <a:hueOff val="-1689636"/>
                <a:satOff val="-4355"/>
                <a:lumOff val="-2941"/>
                <a:alphaOff val="0"/>
                <a:lumMod val="105000"/>
                <a:satMod val="103000"/>
                <a:tint val="73000"/>
              </a:schemeClr>
            </a:gs>
            <a:gs pos="100000">
              <a:schemeClr val="accent5">
                <a:hueOff val="-1689636"/>
                <a:satOff val="-4355"/>
                <a:lumOff val="-2941"/>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Well-being initiatives </a:t>
          </a:r>
        </a:p>
      </dsp:txBody>
      <dsp:txXfrm>
        <a:off x="3165818" y="733328"/>
        <a:ext cx="737616" cy="461956"/>
      </dsp:txXfrm>
    </dsp:sp>
    <dsp:sp modelId="{D095878E-E797-4FA3-9A96-84CE737EC5FE}">
      <dsp:nvSpPr>
        <dsp:cNvPr id="0" name=""/>
        <dsp:cNvSpPr/>
      </dsp:nvSpPr>
      <dsp:spPr>
        <a:xfrm>
          <a:off x="1535873" y="256432"/>
          <a:ext cx="2048892" cy="2048892"/>
        </a:xfrm>
        <a:custGeom>
          <a:avLst/>
          <a:gdLst/>
          <a:ahLst/>
          <a:cxnLst/>
          <a:rect l="0" t="0" r="0" b="0"/>
          <a:pathLst>
            <a:path>
              <a:moveTo>
                <a:pt x="2047466" y="970401"/>
              </a:moveTo>
              <a:arcTo wR="1024446" hR="1024446" stAng="21418556" swAng="2199252"/>
            </a:path>
          </a:pathLst>
        </a:custGeom>
        <a:noFill/>
        <a:ln w="6350" cap="flat" cmpd="sng" algn="ctr">
          <a:solidFill>
            <a:schemeClr val="accent5">
              <a:hueOff val="-1689636"/>
              <a:satOff val="-4355"/>
              <a:lumOff val="-2941"/>
              <a:alphaOff val="0"/>
            </a:schemeClr>
          </a:solidFill>
          <a:prstDash val="solid"/>
          <a:miter lim="800000"/>
        </a:ln>
        <a:effectLst/>
      </dsp:spPr>
      <dsp:style>
        <a:lnRef idx="1">
          <a:scrgbClr r="0" g="0" b="0"/>
        </a:lnRef>
        <a:fillRef idx="0">
          <a:scrgbClr r="0" g="0" b="0"/>
        </a:fillRef>
        <a:effectRef idx="0">
          <a:scrgbClr r="0" g="0" b="0"/>
        </a:effectRef>
        <a:fontRef idx="minor"/>
      </dsp:style>
    </dsp:sp>
    <dsp:sp modelId="{C31EC0B5-5F11-4788-8F18-4DACF5D9EEF2}">
      <dsp:nvSpPr>
        <dsp:cNvPr id="0" name=""/>
        <dsp:cNvSpPr/>
      </dsp:nvSpPr>
      <dsp:spPr>
        <a:xfrm>
          <a:off x="2768675" y="1853703"/>
          <a:ext cx="787598" cy="511938"/>
        </a:xfrm>
        <a:prstGeom prst="roundRect">
          <a:avLst/>
        </a:prstGeom>
        <a:gradFill rotWithShape="0">
          <a:gsLst>
            <a:gs pos="0">
              <a:schemeClr val="accent5">
                <a:hueOff val="-3379271"/>
                <a:satOff val="-8710"/>
                <a:lumOff val="-5883"/>
                <a:alphaOff val="0"/>
                <a:lumMod val="110000"/>
                <a:satMod val="105000"/>
                <a:tint val="67000"/>
              </a:schemeClr>
            </a:gs>
            <a:gs pos="50000">
              <a:schemeClr val="accent5">
                <a:hueOff val="-3379271"/>
                <a:satOff val="-8710"/>
                <a:lumOff val="-5883"/>
                <a:alphaOff val="0"/>
                <a:lumMod val="105000"/>
                <a:satMod val="103000"/>
                <a:tint val="73000"/>
              </a:schemeClr>
            </a:gs>
            <a:gs pos="100000">
              <a:schemeClr val="accent5">
                <a:hueOff val="-3379271"/>
                <a:satOff val="-8710"/>
                <a:lumOff val="-588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Good communication</a:t>
          </a:r>
        </a:p>
      </dsp:txBody>
      <dsp:txXfrm>
        <a:off x="2793666" y="1878694"/>
        <a:ext cx="737616" cy="461956"/>
      </dsp:txXfrm>
    </dsp:sp>
    <dsp:sp modelId="{B6DD5A71-9E68-4C49-B6AC-D7F0585D82C6}">
      <dsp:nvSpPr>
        <dsp:cNvPr id="0" name=""/>
        <dsp:cNvSpPr/>
      </dsp:nvSpPr>
      <dsp:spPr>
        <a:xfrm>
          <a:off x="1535873" y="256432"/>
          <a:ext cx="2048892" cy="2048892"/>
        </a:xfrm>
        <a:custGeom>
          <a:avLst/>
          <a:gdLst/>
          <a:ahLst/>
          <a:cxnLst/>
          <a:rect l="0" t="0" r="0" b="0"/>
          <a:pathLst>
            <a:path>
              <a:moveTo>
                <a:pt x="1228720" y="2028320"/>
              </a:moveTo>
              <a:arcTo wR="1024446" hR="1024446" stAng="4709891" swAng="1380218"/>
            </a:path>
          </a:pathLst>
        </a:custGeom>
        <a:noFill/>
        <a:ln w="6350" cap="flat" cmpd="sng" algn="ctr">
          <a:solidFill>
            <a:schemeClr val="accent5">
              <a:hueOff val="-3379271"/>
              <a:satOff val="-8710"/>
              <a:lumOff val="-5883"/>
              <a:alphaOff val="0"/>
            </a:schemeClr>
          </a:solidFill>
          <a:prstDash val="solid"/>
          <a:miter lim="800000"/>
        </a:ln>
        <a:effectLst/>
      </dsp:spPr>
      <dsp:style>
        <a:lnRef idx="1">
          <a:scrgbClr r="0" g="0" b="0"/>
        </a:lnRef>
        <a:fillRef idx="0">
          <a:scrgbClr r="0" g="0" b="0"/>
        </a:fillRef>
        <a:effectRef idx="0">
          <a:scrgbClr r="0" g="0" b="0"/>
        </a:effectRef>
        <a:fontRef idx="minor"/>
      </dsp:style>
    </dsp:sp>
    <dsp:sp modelId="{930F530D-A4B8-46BD-8D0C-F772CFA1A081}">
      <dsp:nvSpPr>
        <dsp:cNvPr id="0" name=""/>
        <dsp:cNvSpPr/>
      </dsp:nvSpPr>
      <dsp:spPr>
        <a:xfrm>
          <a:off x="1564366" y="1853703"/>
          <a:ext cx="787598" cy="511938"/>
        </a:xfrm>
        <a:prstGeom prst="roundRect">
          <a:avLst/>
        </a:prstGeom>
        <a:gradFill rotWithShape="0">
          <a:gsLst>
            <a:gs pos="0">
              <a:schemeClr val="accent5">
                <a:hueOff val="-5068907"/>
                <a:satOff val="-13064"/>
                <a:lumOff val="-8824"/>
                <a:alphaOff val="0"/>
                <a:lumMod val="110000"/>
                <a:satMod val="105000"/>
                <a:tint val="67000"/>
              </a:schemeClr>
            </a:gs>
            <a:gs pos="50000">
              <a:schemeClr val="accent5">
                <a:hueOff val="-5068907"/>
                <a:satOff val="-13064"/>
                <a:lumOff val="-8824"/>
                <a:alphaOff val="0"/>
                <a:lumMod val="105000"/>
                <a:satMod val="103000"/>
                <a:tint val="73000"/>
              </a:schemeClr>
            </a:gs>
            <a:gs pos="100000">
              <a:schemeClr val="accent5">
                <a:hueOff val="-5068907"/>
                <a:satOff val="-13064"/>
                <a:lumOff val="-882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Effective channels for employee voice</a:t>
          </a:r>
        </a:p>
      </dsp:txBody>
      <dsp:txXfrm>
        <a:off x="1589357" y="1878694"/>
        <a:ext cx="737616" cy="461956"/>
      </dsp:txXfrm>
    </dsp:sp>
    <dsp:sp modelId="{F1F6AA9E-88CA-484B-96DE-62C8ABB28E9A}">
      <dsp:nvSpPr>
        <dsp:cNvPr id="0" name=""/>
        <dsp:cNvSpPr/>
      </dsp:nvSpPr>
      <dsp:spPr>
        <a:xfrm>
          <a:off x="1535873" y="256432"/>
          <a:ext cx="2048892" cy="2048892"/>
        </a:xfrm>
        <a:custGeom>
          <a:avLst/>
          <a:gdLst/>
          <a:ahLst/>
          <a:cxnLst/>
          <a:rect l="0" t="0" r="0" b="0"/>
          <a:pathLst>
            <a:path>
              <a:moveTo>
                <a:pt x="171461" y="1591815"/>
              </a:moveTo>
              <a:arcTo wR="1024446" hR="1024446" stAng="8782191" swAng="2199252"/>
            </a:path>
          </a:pathLst>
        </a:custGeom>
        <a:noFill/>
        <a:ln w="6350" cap="flat" cmpd="sng" algn="ctr">
          <a:solidFill>
            <a:schemeClr val="accent5">
              <a:hueOff val="-5068907"/>
              <a:satOff val="-13064"/>
              <a:lumOff val="-8824"/>
              <a:alphaOff val="0"/>
            </a:schemeClr>
          </a:solidFill>
          <a:prstDash val="solid"/>
          <a:miter lim="800000"/>
        </a:ln>
        <a:effectLst/>
      </dsp:spPr>
      <dsp:style>
        <a:lnRef idx="1">
          <a:scrgbClr r="0" g="0" b="0"/>
        </a:lnRef>
        <a:fillRef idx="0">
          <a:scrgbClr r="0" g="0" b="0"/>
        </a:fillRef>
        <a:effectRef idx="0">
          <a:scrgbClr r="0" g="0" b="0"/>
        </a:effectRef>
        <a:fontRef idx="minor"/>
      </dsp:style>
    </dsp:sp>
    <dsp:sp modelId="{6DBBFCD3-BF9A-4BAD-A212-C6D28BDC57DA}">
      <dsp:nvSpPr>
        <dsp:cNvPr id="0" name=""/>
        <dsp:cNvSpPr/>
      </dsp:nvSpPr>
      <dsp:spPr>
        <a:xfrm>
          <a:off x="1192214" y="708337"/>
          <a:ext cx="787598" cy="511938"/>
        </a:xfrm>
        <a:prstGeom prst="roundRect">
          <a:avLst/>
        </a:prstGeom>
        <a:gradFill rotWithShape="0">
          <a:gsLst>
            <a:gs pos="0">
              <a:schemeClr val="accent5">
                <a:hueOff val="-6758543"/>
                <a:satOff val="-17419"/>
                <a:lumOff val="-11765"/>
                <a:alphaOff val="0"/>
                <a:lumMod val="110000"/>
                <a:satMod val="105000"/>
                <a:tint val="67000"/>
              </a:schemeClr>
            </a:gs>
            <a:gs pos="50000">
              <a:schemeClr val="accent5">
                <a:hueOff val="-6758543"/>
                <a:satOff val="-17419"/>
                <a:lumOff val="-11765"/>
                <a:alphaOff val="0"/>
                <a:lumMod val="105000"/>
                <a:satMod val="103000"/>
                <a:tint val="73000"/>
              </a:schemeClr>
            </a:gs>
            <a:gs pos="100000">
              <a:schemeClr val="accent5">
                <a:hueOff val="-6758543"/>
                <a:satOff val="-17419"/>
                <a:lumOff val="-1176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Symbol" panose="05050102010706020507" pitchFamily="18" charset="2"/>
            <a:buNone/>
          </a:pPr>
          <a:r>
            <a:rPr lang="en-GB" sz="800" kern="1200"/>
            <a:t>Empowering employees</a:t>
          </a:r>
        </a:p>
      </dsp:txBody>
      <dsp:txXfrm>
        <a:off x="1217205" y="733328"/>
        <a:ext cx="737616" cy="461956"/>
      </dsp:txXfrm>
    </dsp:sp>
    <dsp:sp modelId="{50DDB591-71F2-400B-88E7-288E66855807}">
      <dsp:nvSpPr>
        <dsp:cNvPr id="0" name=""/>
        <dsp:cNvSpPr/>
      </dsp:nvSpPr>
      <dsp:spPr>
        <a:xfrm>
          <a:off x="1535873" y="256432"/>
          <a:ext cx="2048892" cy="2048892"/>
        </a:xfrm>
        <a:custGeom>
          <a:avLst/>
          <a:gdLst/>
          <a:ahLst/>
          <a:cxnLst/>
          <a:rect l="0" t="0" r="0" b="0"/>
          <a:pathLst>
            <a:path>
              <a:moveTo>
                <a:pt x="178230" y="447030"/>
              </a:moveTo>
              <a:arcTo wR="1024446" hR="1024446" stAng="12858462" swAng="1965375"/>
            </a:path>
          </a:pathLst>
        </a:custGeom>
        <a:noFill/>
        <a:ln w="6350" cap="flat" cmpd="sng" algn="ctr">
          <a:solidFill>
            <a:schemeClr val="accent5">
              <a:hueOff val="-6758543"/>
              <a:satOff val="-17419"/>
              <a:lumOff val="-11765"/>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0F3CC4-4055-4D64-8B40-A497AC099F61}">
      <dsp:nvSpPr>
        <dsp:cNvPr id="0" name=""/>
        <dsp:cNvSpPr/>
      </dsp:nvSpPr>
      <dsp:spPr>
        <a:xfrm>
          <a:off x="-1021776" y="-161366"/>
          <a:ext cx="1229512" cy="1229512"/>
        </a:xfrm>
        <a:prstGeom prst="blockArc">
          <a:avLst>
            <a:gd name="adj1" fmla="val 18900000"/>
            <a:gd name="adj2" fmla="val 2700000"/>
            <a:gd name="adj3" fmla="val 1757"/>
          </a:avLst>
        </a:pr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1402F0-BEF4-49EE-889F-DA0B2DCE37C1}">
      <dsp:nvSpPr>
        <dsp:cNvPr id="0" name=""/>
        <dsp:cNvSpPr/>
      </dsp:nvSpPr>
      <dsp:spPr>
        <a:xfrm>
          <a:off x="166688" y="129542"/>
          <a:ext cx="5314927" cy="25904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5620" tIns="33020" rIns="33020" bIns="33020" numCol="1" spcCol="1270" anchor="ctr" anchorCtr="0">
          <a:noAutofit/>
        </a:bodyPr>
        <a:lstStyle/>
        <a:p>
          <a:pPr marL="0" lvl="0" indent="0" algn="l" defTabSz="577850">
            <a:lnSpc>
              <a:spcPct val="90000"/>
            </a:lnSpc>
            <a:spcBef>
              <a:spcPct val="0"/>
            </a:spcBef>
            <a:spcAft>
              <a:spcPct val="35000"/>
            </a:spcAft>
            <a:buFont typeface="Symbol" panose="05050102010706020507" pitchFamily="18" charset="2"/>
            <a:buNone/>
          </a:pPr>
          <a:r>
            <a:rPr lang="en-GB" sz="1300" kern="1200"/>
            <a:t>Plant 1 – control culture = 80 t-shirts per day</a:t>
          </a:r>
        </a:p>
      </dsp:txBody>
      <dsp:txXfrm>
        <a:off x="166688" y="129542"/>
        <a:ext cx="5314927" cy="259048"/>
      </dsp:txXfrm>
    </dsp:sp>
    <dsp:sp modelId="{E8465D45-CFD2-4304-9514-DBDC425238E1}">
      <dsp:nvSpPr>
        <dsp:cNvPr id="0" name=""/>
        <dsp:cNvSpPr/>
      </dsp:nvSpPr>
      <dsp:spPr>
        <a:xfrm>
          <a:off x="4783" y="97161"/>
          <a:ext cx="323811" cy="323811"/>
        </a:xfrm>
        <a:prstGeom prst="ellipse">
          <a:avLst/>
        </a:prstGeom>
        <a:solidFill>
          <a:schemeClr val="lt1">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FEE82BD-D1A3-46D7-A834-25F2819C9175}">
      <dsp:nvSpPr>
        <dsp:cNvPr id="0" name=""/>
        <dsp:cNvSpPr/>
      </dsp:nvSpPr>
      <dsp:spPr>
        <a:xfrm>
          <a:off x="166688" y="518188"/>
          <a:ext cx="5314927" cy="259048"/>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5620" tIns="33020" rIns="33020" bIns="33020" numCol="1" spcCol="1270" anchor="ctr" anchorCtr="0">
          <a:noAutofit/>
        </a:bodyPr>
        <a:lstStyle/>
        <a:p>
          <a:pPr marL="0" lvl="0" indent="0" algn="l" defTabSz="577850">
            <a:lnSpc>
              <a:spcPct val="90000"/>
            </a:lnSpc>
            <a:spcBef>
              <a:spcPct val="0"/>
            </a:spcBef>
            <a:spcAft>
              <a:spcPct val="35000"/>
            </a:spcAft>
            <a:buNone/>
          </a:pPr>
          <a:r>
            <a:rPr lang="en-GB" sz="1300" kern="1200"/>
            <a:t>Plant 2 – freedom culture = 150 t-shirts per day</a:t>
          </a:r>
        </a:p>
      </dsp:txBody>
      <dsp:txXfrm>
        <a:off x="166688" y="518188"/>
        <a:ext cx="5314927" cy="259048"/>
      </dsp:txXfrm>
    </dsp:sp>
    <dsp:sp modelId="{0A3ADCDA-262C-4023-9A2E-40410D32E419}">
      <dsp:nvSpPr>
        <dsp:cNvPr id="0" name=""/>
        <dsp:cNvSpPr/>
      </dsp:nvSpPr>
      <dsp:spPr>
        <a:xfrm>
          <a:off x="4783" y="485807"/>
          <a:ext cx="323811" cy="323811"/>
        </a:xfrm>
        <a:prstGeom prst="ellipse">
          <a:avLst/>
        </a:prstGeom>
        <a:solidFill>
          <a:schemeClr val="lt1">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23D170-063A-4F16-B052-FBB80C9B1B37}">
      <dsp:nvSpPr>
        <dsp:cNvPr id="0" name=""/>
        <dsp:cNvSpPr/>
      </dsp:nvSpPr>
      <dsp:spPr>
        <a:xfrm>
          <a:off x="-1367159" y="-213791"/>
          <a:ext cx="1639163" cy="1639163"/>
        </a:xfrm>
        <a:prstGeom prst="blockArc">
          <a:avLst>
            <a:gd name="adj1" fmla="val 18900000"/>
            <a:gd name="adj2" fmla="val 2700000"/>
            <a:gd name="adj3" fmla="val 1318"/>
          </a:avLst>
        </a:pr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09C807-829C-4BE4-BB82-693A1EE8B338}">
      <dsp:nvSpPr>
        <dsp:cNvPr id="0" name=""/>
        <dsp:cNvSpPr/>
      </dsp:nvSpPr>
      <dsp:spPr>
        <a:xfrm>
          <a:off x="174751" y="121158"/>
          <a:ext cx="5941592" cy="242316"/>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2338" tIns="30480" rIns="30480" bIns="3048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t>Emotional engagement – 60% were emotionally involved with their work</a:t>
          </a:r>
        </a:p>
      </dsp:txBody>
      <dsp:txXfrm>
        <a:off x="174751" y="121158"/>
        <a:ext cx="5941592" cy="242316"/>
      </dsp:txXfrm>
    </dsp:sp>
    <dsp:sp modelId="{8DD1AD42-EB08-441D-8095-68F89D7B37A8}">
      <dsp:nvSpPr>
        <dsp:cNvPr id="0" name=""/>
        <dsp:cNvSpPr/>
      </dsp:nvSpPr>
      <dsp:spPr>
        <a:xfrm>
          <a:off x="23303" y="90868"/>
          <a:ext cx="302895" cy="302895"/>
        </a:xfrm>
        <a:prstGeom prst="ellipse">
          <a:avLst/>
        </a:prstGeom>
        <a:solidFill>
          <a:schemeClr val="lt1">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366FA0F-BED1-46C3-A0B3-B708670FAB98}">
      <dsp:nvSpPr>
        <dsp:cNvPr id="0" name=""/>
        <dsp:cNvSpPr/>
      </dsp:nvSpPr>
      <dsp:spPr>
        <a:xfrm>
          <a:off x="262833" y="484632"/>
          <a:ext cx="5853511" cy="242316"/>
        </a:xfrm>
        <a:prstGeom prst="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2338" tIns="30480" rIns="30480" bIns="3048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t>Cognitive engagement – 60% focussed very hard whilst at work</a:t>
          </a:r>
        </a:p>
      </dsp:txBody>
      <dsp:txXfrm>
        <a:off x="262833" y="484632"/>
        <a:ext cx="5853511" cy="242316"/>
      </dsp:txXfrm>
    </dsp:sp>
    <dsp:sp modelId="{9BCB7509-BCF1-4DA9-898F-096F4430D9D0}">
      <dsp:nvSpPr>
        <dsp:cNvPr id="0" name=""/>
        <dsp:cNvSpPr/>
      </dsp:nvSpPr>
      <dsp:spPr>
        <a:xfrm>
          <a:off x="111385" y="454342"/>
          <a:ext cx="302895" cy="302895"/>
        </a:xfrm>
        <a:prstGeom prst="ellipse">
          <a:avLst/>
        </a:prstGeom>
        <a:solidFill>
          <a:schemeClr val="lt1">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sp>
    <dsp:sp modelId="{61A6188E-70E1-47D3-AFF7-618DFADB6680}">
      <dsp:nvSpPr>
        <dsp:cNvPr id="0" name=""/>
        <dsp:cNvSpPr/>
      </dsp:nvSpPr>
      <dsp:spPr>
        <a:xfrm>
          <a:off x="174751" y="848106"/>
          <a:ext cx="5941592" cy="242316"/>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2338" tIns="30480" rIns="30480" bIns="3048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t>Physical engagement – 40% willing to put in discretionary effort</a:t>
          </a:r>
        </a:p>
      </dsp:txBody>
      <dsp:txXfrm>
        <a:off x="174751" y="848106"/>
        <a:ext cx="5941592" cy="242316"/>
      </dsp:txXfrm>
    </dsp:sp>
    <dsp:sp modelId="{0AEC1C33-F296-42E3-9064-8783FAEC50F0}">
      <dsp:nvSpPr>
        <dsp:cNvPr id="0" name=""/>
        <dsp:cNvSpPr/>
      </dsp:nvSpPr>
      <dsp:spPr>
        <a:xfrm>
          <a:off x="23303" y="817816"/>
          <a:ext cx="302895" cy="302895"/>
        </a:xfrm>
        <a:prstGeom prst="ellipse">
          <a:avLst/>
        </a:prstGeom>
        <a:solidFill>
          <a:schemeClr val="lt1">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A4F66B-D11B-4475-A7DF-457B6533FF27}">
      <dsp:nvSpPr>
        <dsp:cNvPr id="0" name=""/>
        <dsp:cNvSpPr/>
      </dsp:nvSpPr>
      <dsp:spPr>
        <a:xfrm>
          <a:off x="-1884427" y="-292430"/>
          <a:ext cx="2253640" cy="2253640"/>
        </a:xfrm>
        <a:prstGeom prst="blockArc">
          <a:avLst>
            <a:gd name="adj1" fmla="val 18900000"/>
            <a:gd name="adj2" fmla="val 2700000"/>
            <a:gd name="adj3" fmla="val 958"/>
          </a:avLst>
        </a:pr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8C7CF3-4E14-44E6-9D2D-F237BD56C948}">
      <dsp:nvSpPr>
        <dsp:cNvPr id="0" name=""/>
        <dsp:cNvSpPr/>
      </dsp:nvSpPr>
      <dsp:spPr>
        <a:xfrm>
          <a:off x="237299" y="166877"/>
          <a:ext cx="6184244" cy="333755"/>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4919" tIns="25400" rIns="25400" bIns="254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GB" sz="1000" kern="1200"/>
            <a:t>Engaged – loyal, productive, remain with organisation, recommends as an employer (17%)</a:t>
          </a:r>
        </a:p>
      </dsp:txBody>
      <dsp:txXfrm>
        <a:off x="237299" y="166877"/>
        <a:ext cx="6184244" cy="333755"/>
      </dsp:txXfrm>
    </dsp:sp>
    <dsp:sp modelId="{3C642914-8354-40FB-AF8D-41EACD4CB483}">
      <dsp:nvSpPr>
        <dsp:cNvPr id="0" name=""/>
        <dsp:cNvSpPr/>
      </dsp:nvSpPr>
      <dsp:spPr>
        <a:xfrm>
          <a:off x="28701" y="125158"/>
          <a:ext cx="417194" cy="417194"/>
        </a:xfrm>
        <a:prstGeom prst="ellipse">
          <a:avLst/>
        </a:prstGeom>
        <a:solidFill>
          <a:schemeClr val="lt1">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0C7E89D-1203-47C7-A958-67D4307A2194}">
      <dsp:nvSpPr>
        <dsp:cNvPr id="0" name=""/>
        <dsp:cNvSpPr/>
      </dsp:nvSpPr>
      <dsp:spPr>
        <a:xfrm>
          <a:off x="358619" y="667511"/>
          <a:ext cx="6062923" cy="333755"/>
        </a:xfrm>
        <a:prstGeom prst="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4919" tIns="25400" rIns="25400" bIns="254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GB" sz="1000" kern="1200"/>
            <a:t>Non-engaged – productive but not psychologically linked to organisation therefore more likely to leave (63%)</a:t>
          </a:r>
        </a:p>
      </dsp:txBody>
      <dsp:txXfrm>
        <a:off x="358619" y="667511"/>
        <a:ext cx="6062923" cy="333755"/>
      </dsp:txXfrm>
    </dsp:sp>
    <dsp:sp modelId="{04B5466A-CEDE-4FAE-8A63-558E22DDF73D}">
      <dsp:nvSpPr>
        <dsp:cNvPr id="0" name=""/>
        <dsp:cNvSpPr/>
      </dsp:nvSpPr>
      <dsp:spPr>
        <a:xfrm>
          <a:off x="150022" y="625792"/>
          <a:ext cx="417194" cy="417194"/>
        </a:xfrm>
        <a:prstGeom prst="ellipse">
          <a:avLst/>
        </a:prstGeom>
        <a:solidFill>
          <a:schemeClr val="lt1">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sp>
    <dsp:sp modelId="{3EDF3545-297A-4745-80B2-9E36285AF987}">
      <dsp:nvSpPr>
        <dsp:cNvPr id="0" name=""/>
        <dsp:cNvSpPr/>
      </dsp:nvSpPr>
      <dsp:spPr>
        <a:xfrm>
          <a:off x="237299" y="1168145"/>
          <a:ext cx="6184244" cy="333755"/>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4919" tIns="25400" rIns="25400" bIns="254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GB" sz="1000" kern="1200"/>
            <a:t>Disengaged – psychologically absent, complains about the organisation to colleagues (20%)</a:t>
          </a:r>
        </a:p>
      </dsp:txBody>
      <dsp:txXfrm>
        <a:off x="237299" y="1168145"/>
        <a:ext cx="6184244" cy="333755"/>
      </dsp:txXfrm>
    </dsp:sp>
    <dsp:sp modelId="{FDB8DC5F-1A31-448B-BD76-66A6E4A1F340}">
      <dsp:nvSpPr>
        <dsp:cNvPr id="0" name=""/>
        <dsp:cNvSpPr/>
      </dsp:nvSpPr>
      <dsp:spPr>
        <a:xfrm>
          <a:off x="28701" y="1126426"/>
          <a:ext cx="417194" cy="417194"/>
        </a:xfrm>
        <a:prstGeom prst="ellipse">
          <a:avLst/>
        </a:prstGeom>
        <a:solidFill>
          <a:schemeClr val="lt1">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1B7B5A-9933-4119-B788-7C1AEFF3E4AE}">
      <dsp:nvSpPr>
        <dsp:cNvPr id="0" name=""/>
        <dsp:cNvSpPr/>
      </dsp:nvSpPr>
      <dsp:spPr>
        <a:xfrm>
          <a:off x="-1944775" y="-301604"/>
          <a:ext cx="2325329" cy="2325329"/>
        </a:xfrm>
        <a:prstGeom prst="blockArc">
          <a:avLst>
            <a:gd name="adj1" fmla="val 18900000"/>
            <a:gd name="adj2" fmla="val 2700000"/>
            <a:gd name="adj3" fmla="val 929"/>
          </a:avLst>
        </a:pr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C164D6-D0CC-40EC-B8B1-28CE4D15B8D8}">
      <dsp:nvSpPr>
        <dsp:cNvPr id="0" name=""/>
        <dsp:cNvSpPr/>
      </dsp:nvSpPr>
      <dsp:spPr>
        <a:xfrm>
          <a:off x="244596" y="172212"/>
          <a:ext cx="5223604" cy="34442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3387" tIns="30480" rIns="30480" bIns="3048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t>Engagement is treated in isolation and seen as an annual tick-box exercise</a:t>
          </a:r>
        </a:p>
      </dsp:txBody>
      <dsp:txXfrm>
        <a:off x="244596" y="172212"/>
        <a:ext cx="5223604" cy="344424"/>
      </dsp:txXfrm>
    </dsp:sp>
    <dsp:sp modelId="{1B3E7B30-C662-4F03-B8BF-02E494948EC7}">
      <dsp:nvSpPr>
        <dsp:cNvPr id="0" name=""/>
        <dsp:cNvSpPr/>
      </dsp:nvSpPr>
      <dsp:spPr>
        <a:xfrm>
          <a:off x="29331" y="129159"/>
          <a:ext cx="430530" cy="430530"/>
        </a:xfrm>
        <a:prstGeom prst="ellipse">
          <a:avLst/>
        </a:prstGeom>
        <a:solidFill>
          <a:schemeClr val="lt1">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4B132B0-2AB6-468C-B5A5-690CDF7CB7ED}">
      <dsp:nvSpPr>
        <dsp:cNvPr id="0" name=""/>
        <dsp:cNvSpPr/>
      </dsp:nvSpPr>
      <dsp:spPr>
        <a:xfrm>
          <a:off x="369794" y="688848"/>
          <a:ext cx="5098406" cy="344424"/>
        </a:xfrm>
        <a:prstGeom prst="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3387" tIns="30480" rIns="30480" bIns="3048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t>Engagement scores are used to punish managers on performance reviews</a:t>
          </a:r>
        </a:p>
      </dsp:txBody>
      <dsp:txXfrm>
        <a:off x="369794" y="688848"/>
        <a:ext cx="5098406" cy="344424"/>
      </dsp:txXfrm>
    </dsp:sp>
    <dsp:sp modelId="{DF5B3DB6-2059-4201-90CA-843B61DE6A45}">
      <dsp:nvSpPr>
        <dsp:cNvPr id="0" name=""/>
        <dsp:cNvSpPr/>
      </dsp:nvSpPr>
      <dsp:spPr>
        <a:xfrm>
          <a:off x="154529" y="645795"/>
          <a:ext cx="430530" cy="430530"/>
        </a:xfrm>
        <a:prstGeom prst="ellipse">
          <a:avLst/>
        </a:prstGeom>
        <a:solidFill>
          <a:schemeClr val="lt1">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sp>
    <dsp:sp modelId="{F5457A21-E588-495F-B854-34493FA241A3}">
      <dsp:nvSpPr>
        <dsp:cNvPr id="0" name=""/>
        <dsp:cNvSpPr/>
      </dsp:nvSpPr>
      <dsp:spPr>
        <a:xfrm>
          <a:off x="244596" y="1205484"/>
          <a:ext cx="5223604" cy="344424"/>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3387" tIns="30480" rIns="30480" bIns="3048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t>Engagement scores do not explain the reasons for engagement levels</a:t>
          </a:r>
        </a:p>
      </dsp:txBody>
      <dsp:txXfrm>
        <a:off x="244596" y="1205484"/>
        <a:ext cx="5223604" cy="344424"/>
      </dsp:txXfrm>
    </dsp:sp>
    <dsp:sp modelId="{BEDF5FB6-A804-41BD-BD39-0EDD11340BE6}">
      <dsp:nvSpPr>
        <dsp:cNvPr id="0" name=""/>
        <dsp:cNvSpPr/>
      </dsp:nvSpPr>
      <dsp:spPr>
        <a:xfrm>
          <a:off x="29331" y="1162431"/>
          <a:ext cx="430530" cy="430530"/>
        </a:xfrm>
        <a:prstGeom prst="ellipse">
          <a:avLst/>
        </a:prstGeom>
        <a:solidFill>
          <a:schemeClr val="lt1">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4.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5.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2130</TotalTime>
  <Pages>13</Pages>
  <Words>4595</Words>
  <Characters>26196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Westcott Nicola         H.Q.</dc:creator>
  <cp:keywords/>
  <dc:description/>
  <cp:lastModifiedBy>Westcott Nicola         H.Q.</cp:lastModifiedBy>
  <cp:revision>1166</cp:revision>
  <dcterms:created xsi:type="dcterms:W3CDTF">2020-10-01T17:00:00Z</dcterms:created>
  <dcterms:modified xsi:type="dcterms:W3CDTF">2020-10-16T19:18:00Z</dcterms:modified>
</cp:coreProperties>
</file>