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8216FA" w14:textId="443CF6DD" w:rsidR="00AC0511" w:rsidRDefault="003213B9" w:rsidP="00F763F2">
      <w:pPr>
        <w:spacing w:line="360" w:lineRule="auto"/>
        <w:jc w:val="both"/>
        <w:rPr>
          <w:rFonts w:ascii="Arial" w:hAnsi="Arial" w:cs="Arial"/>
          <w:sz w:val="24"/>
          <w:szCs w:val="24"/>
        </w:rPr>
      </w:pPr>
      <w:r>
        <w:rPr>
          <w:rFonts w:ascii="Arial" w:hAnsi="Arial" w:cs="Arial"/>
          <w:sz w:val="24"/>
          <w:szCs w:val="24"/>
        </w:rPr>
        <w:t>ECED 7006 – The Social (Re)Production of Inequality</w:t>
      </w:r>
    </w:p>
    <w:p w14:paraId="71D74CFB" w14:textId="1EDB4975" w:rsidR="003213B9" w:rsidRDefault="003213B9" w:rsidP="00F763F2">
      <w:pPr>
        <w:spacing w:line="360" w:lineRule="auto"/>
        <w:jc w:val="both"/>
        <w:rPr>
          <w:rFonts w:ascii="Arial" w:hAnsi="Arial" w:cs="Arial"/>
          <w:sz w:val="24"/>
          <w:szCs w:val="24"/>
        </w:rPr>
      </w:pPr>
      <w:r>
        <w:rPr>
          <w:rFonts w:ascii="Arial" w:hAnsi="Arial" w:cs="Arial"/>
          <w:sz w:val="24"/>
          <w:szCs w:val="24"/>
        </w:rPr>
        <w:t>Assignment 1 – 40%</w:t>
      </w:r>
    </w:p>
    <w:p w14:paraId="5D9DE22C" w14:textId="5884A78F" w:rsidR="003213B9" w:rsidRDefault="00811698" w:rsidP="00F763F2">
      <w:pPr>
        <w:spacing w:line="360" w:lineRule="auto"/>
        <w:jc w:val="both"/>
        <w:rPr>
          <w:rFonts w:ascii="Arial" w:hAnsi="Arial" w:cs="Arial"/>
          <w:sz w:val="24"/>
          <w:szCs w:val="24"/>
        </w:rPr>
      </w:pPr>
      <w:r>
        <w:rPr>
          <w:rFonts w:ascii="Arial" w:hAnsi="Arial" w:cs="Arial"/>
          <w:sz w:val="24"/>
          <w:szCs w:val="24"/>
        </w:rPr>
        <w:t>3719</w:t>
      </w:r>
      <w:r w:rsidR="00F763F2">
        <w:rPr>
          <w:rFonts w:ascii="Arial" w:hAnsi="Arial" w:cs="Arial"/>
          <w:sz w:val="24"/>
          <w:szCs w:val="24"/>
        </w:rPr>
        <w:t>/</w:t>
      </w:r>
      <w:r w:rsidR="003213B9">
        <w:rPr>
          <w:rFonts w:ascii="Arial" w:hAnsi="Arial" w:cs="Arial"/>
          <w:sz w:val="24"/>
          <w:szCs w:val="24"/>
        </w:rPr>
        <w:t>3,300 words</w:t>
      </w:r>
    </w:p>
    <w:p w14:paraId="32263E65" w14:textId="66F16CF2" w:rsidR="00080149" w:rsidRPr="00F11C73" w:rsidRDefault="003213B9" w:rsidP="00F763F2">
      <w:pPr>
        <w:spacing w:line="360" w:lineRule="auto"/>
        <w:jc w:val="both"/>
        <w:rPr>
          <w:rFonts w:ascii="Arial" w:hAnsi="Arial" w:cs="Arial"/>
          <w:sz w:val="24"/>
          <w:szCs w:val="24"/>
          <w:u w:val="single"/>
        </w:rPr>
      </w:pPr>
      <w:r w:rsidRPr="00520152">
        <w:rPr>
          <w:rFonts w:ascii="Arial" w:hAnsi="Arial" w:cs="Arial"/>
          <w:sz w:val="24"/>
          <w:szCs w:val="24"/>
          <w:u w:val="single"/>
        </w:rPr>
        <w:t>Critically explore the social reproduction of inequality associated with Meritocracy and Social mobility</w:t>
      </w:r>
    </w:p>
    <w:p w14:paraId="42B29838" w14:textId="1C97BCDA" w:rsidR="00013AE5" w:rsidRDefault="0036509D" w:rsidP="00F763F2">
      <w:pPr>
        <w:spacing w:line="360" w:lineRule="auto"/>
        <w:jc w:val="both"/>
        <w:rPr>
          <w:rFonts w:ascii="Arial" w:hAnsi="Arial" w:cs="Arial"/>
          <w:sz w:val="24"/>
          <w:szCs w:val="24"/>
        </w:rPr>
      </w:pPr>
      <w:r>
        <w:rPr>
          <w:rFonts w:ascii="Arial" w:hAnsi="Arial" w:cs="Arial"/>
          <w:sz w:val="24"/>
          <w:szCs w:val="24"/>
        </w:rPr>
        <w:t>The term 'm</w:t>
      </w:r>
      <w:r w:rsidR="00F11C73">
        <w:rPr>
          <w:rFonts w:ascii="Arial" w:hAnsi="Arial" w:cs="Arial"/>
          <w:sz w:val="24"/>
          <w:szCs w:val="24"/>
        </w:rPr>
        <w:t>eritocracy</w:t>
      </w:r>
      <w:r>
        <w:rPr>
          <w:rFonts w:ascii="Arial" w:hAnsi="Arial" w:cs="Arial"/>
          <w:sz w:val="24"/>
          <w:szCs w:val="24"/>
        </w:rPr>
        <w:t>’</w:t>
      </w:r>
      <w:r w:rsidR="00F11C73">
        <w:rPr>
          <w:rFonts w:ascii="Arial" w:hAnsi="Arial" w:cs="Arial"/>
          <w:sz w:val="24"/>
          <w:szCs w:val="24"/>
        </w:rPr>
        <w:t xml:space="preserve"> was first coined in Young’s </w:t>
      </w:r>
      <w:r w:rsidR="00F11C73">
        <w:rPr>
          <w:rFonts w:ascii="Arial" w:hAnsi="Arial" w:cs="Arial"/>
          <w:i/>
          <w:iCs/>
          <w:sz w:val="24"/>
          <w:szCs w:val="24"/>
        </w:rPr>
        <w:t xml:space="preserve">The Rise of Meritocracy </w:t>
      </w:r>
      <w:r w:rsidR="00F11C73">
        <w:rPr>
          <w:rFonts w:ascii="Arial" w:hAnsi="Arial" w:cs="Arial"/>
          <w:sz w:val="24"/>
          <w:szCs w:val="24"/>
        </w:rPr>
        <w:t>(1958), a satirical take on a future society where outcomes, including education</w:t>
      </w:r>
      <w:r>
        <w:rPr>
          <w:rFonts w:ascii="Arial" w:hAnsi="Arial" w:cs="Arial"/>
          <w:sz w:val="24"/>
          <w:szCs w:val="24"/>
        </w:rPr>
        <w:t xml:space="preserve"> attainment</w:t>
      </w:r>
      <w:r w:rsidR="00F11C73">
        <w:rPr>
          <w:rFonts w:ascii="Arial" w:hAnsi="Arial" w:cs="Arial"/>
          <w:sz w:val="24"/>
          <w:szCs w:val="24"/>
        </w:rPr>
        <w:t xml:space="preserve"> and jobs, were distributed on the basis of merit </w:t>
      </w:r>
      <w:r w:rsidR="00F11C73" w:rsidRPr="00C25E64">
        <w:rPr>
          <w:rFonts w:ascii="Arial" w:hAnsi="Arial" w:cs="Arial"/>
          <w:sz w:val="24"/>
          <w:szCs w:val="24"/>
        </w:rPr>
        <w:t>(</w:t>
      </w:r>
      <w:r w:rsidR="00F11C73">
        <w:rPr>
          <w:rFonts w:ascii="Arial" w:hAnsi="Arial" w:cs="Arial"/>
          <w:sz w:val="24"/>
          <w:szCs w:val="24"/>
        </w:rPr>
        <w:t>Son Hing</w:t>
      </w:r>
      <w:r w:rsidR="00F11C73" w:rsidRPr="00C25E64">
        <w:rPr>
          <w:rFonts w:ascii="Arial" w:hAnsi="Arial" w:cs="Arial"/>
          <w:sz w:val="24"/>
          <w:szCs w:val="24"/>
        </w:rPr>
        <w:t xml:space="preserve"> </w:t>
      </w:r>
      <w:r w:rsidR="00F11C73" w:rsidRPr="00C25E64">
        <w:rPr>
          <w:rFonts w:ascii="Arial" w:hAnsi="Arial" w:cs="Arial"/>
          <w:i/>
          <w:iCs/>
          <w:sz w:val="24"/>
          <w:szCs w:val="24"/>
        </w:rPr>
        <w:t>et al.,</w:t>
      </w:r>
      <w:r w:rsidR="00F11C73">
        <w:rPr>
          <w:rFonts w:ascii="Arial" w:hAnsi="Arial" w:cs="Arial"/>
          <w:i/>
          <w:iCs/>
          <w:sz w:val="24"/>
          <w:szCs w:val="24"/>
        </w:rPr>
        <w:t xml:space="preserve"> </w:t>
      </w:r>
      <w:r w:rsidR="00F11C73">
        <w:rPr>
          <w:rFonts w:ascii="Arial" w:hAnsi="Arial" w:cs="Arial"/>
          <w:sz w:val="24"/>
          <w:szCs w:val="24"/>
        </w:rPr>
        <w:t>2011,</w:t>
      </w:r>
      <w:r w:rsidR="00F11C73" w:rsidRPr="00C25E64">
        <w:rPr>
          <w:rFonts w:ascii="Arial" w:hAnsi="Arial" w:cs="Arial"/>
          <w:i/>
          <w:iCs/>
          <w:sz w:val="24"/>
          <w:szCs w:val="24"/>
        </w:rPr>
        <w:t xml:space="preserve"> </w:t>
      </w:r>
      <w:r w:rsidR="00F11C73" w:rsidRPr="00C25E64">
        <w:rPr>
          <w:rFonts w:ascii="Arial" w:hAnsi="Arial" w:cs="Arial"/>
          <w:sz w:val="24"/>
          <w:szCs w:val="24"/>
        </w:rPr>
        <w:t>p.433</w:t>
      </w:r>
      <w:r w:rsidR="00F11C73">
        <w:rPr>
          <w:rFonts w:ascii="Arial" w:hAnsi="Arial" w:cs="Arial"/>
          <w:sz w:val="24"/>
          <w:szCs w:val="24"/>
        </w:rPr>
        <w:t>; Jin and Ball, 2020</w:t>
      </w:r>
      <w:r w:rsidR="00F11C73" w:rsidRPr="00C25E64">
        <w:rPr>
          <w:rFonts w:ascii="Arial" w:hAnsi="Arial" w:cs="Arial"/>
          <w:sz w:val="24"/>
          <w:szCs w:val="24"/>
        </w:rPr>
        <w:t>)</w:t>
      </w:r>
      <w:r w:rsidR="00F11C73">
        <w:rPr>
          <w:rFonts w:ascii="Arial" w:hAnsi="Arial" w:cs="Arial"/>
          <w:sz w:val="24"/>
          <w:szCs w:val="24"/>
        </w:rPr>
        <w:t>.</w:t>
      </w:r>
      <w:r w:rsidR="00013AE5">
        <w:rPr>
          <w:rFonts w:ascii="Arial" w:hAnsi="Arial" w:cs="Arial"/>
          <w:sz w:val="24"/>
          <w:szCs w:val="24"/>
        </w:rPr>
        <w:t xml:space="preserve"> Young (1958) suggested that ‘merit = intelligence + effort’, a proposal that is now generally accepted as the basis of meritocracy, despite the initial critical intent and later dismissal by Young (1994) in further works (Jin and Ball, 2020</w:t>
      </w:r>
      <w:r w:rsidR="00013AE5" w:rsidRPr="00C25E64">
        <w:rPr>
          <w:rFonts w:ascii="Arial" w:hAnsi="Arial" w:cs="Arial"/>
          <w:sz w:val="24"/>
          <w:szCs w:val="24"/>
        </w:rPr>
        <w:t>)</w:t>
      </w:r>
      <w:r w:rsidR="00013AE5">
        <w:rPr>
          <w:rFonts w:ascii="Arial" w:hAnsi="Arial" w:cs="Arial"/>
          <w:sz w:val="24"/>
          <w:szCs w:val="24"/>
        </w:rPr>
        <w:t>. Meritocracy has, therefore, been considered as an ideology of social justice (Jin and Ball, 2020</w:t>
      </w:r>
      <w:r w:rsidR="00013AE5" w:rsidRPr="00C25E64">
        <w:rPr>
          <w:rFonts w:ascii="Arial" w:hAnsi="Arial" w:cs="Arial"/>
          <w:sz w:val="24"/>
          <w:szCs w:val="24"/>
        </w:rPr>
        <w:t>)</w:t>
      </w:r>
      <w:r w:rsidR="00013AE5">
        <w:rPr>
          <w:rFonts w:ascii="Arial" w:hAnsi="Arial" w:cs="Arial"/>
          <w:sz w:val="24"/>
          <w:szCs w:val="24"/>
        </w:rPr>
        <w:t xml:space="preserve">, as only relevant factors, such as ability, are accepted and other factors, such as ethnicity, are not considered relevant for outcomes (Kluegel and Smith, 1986; </w:t>
      </w:r>
      <w:r w:rsidR="000C21C4" w:rsidRPr="0013164D">
        <w:rPr>
          <w:rFonts w:ascii="Arial" w:hAnsi="Arial" w:cs="Arial"/>
          <w:color w:val="000000"/>
          <w:sz w:val="24"/>
          <w:szCs w:val="24"/>
        </w:rPr>
        <w:t>Littler, 2017</w:t>
      </w:r>
      <w:r w:rsidR="000C21C4">
        <w:rPr>
          <w:rFonts w:ascii="Arial" w:hAnsi="Arial" w:cs="Arial"/>
          <w:color w:val="000000"/>
          <w:sz w:val="24"/>
          <w:szCs w:val="24"/>
        </w:rPr>
        <w:t xml:space="preserve">; </w:t>
      </w:r>
      <w:r w:rsidR="00013AE5">
        <w:rPr>
          <w:rFonts w:ascii="Arial" w:hAnsi="Arial" w:cs="Arial"/>
          <w:sz w:val="24"/>
          <w:szCs w:val="24"/>
        </w:rPr>
        <w:t>McCall, 2013</w:t>
      </w:r>
      <w:r w:rsidR="00BC5467">
        <w:rPr>
          <w:rFonts w:ascii="Arial" w:hAnsi="Arial" w:cs="Arial"/>
          <w:sz w:val="24"/>
          <w:szCs w:val="24"/>
        </w:rPr>
        <w:t>; Miller and McNamee, 2013</w:t>
      </w:r>
      <w:r w:rsidR="00013AE5">
        <w:rPr>
          <w:rFonts w:ascii="Arial" w:hAnsi="Arial" w:cs="Arial"/>
          <w:sz w:val="24"/>
          <w:szCs w:val="24"/>
        </w:rPr>
        <w:t>)</w:t>
      </w:r>
      <w:r w:rsidR="00013AE5" w:rsidRPr="000E1BA4">
        <w:rPr>
          <w:rFonts w:ascii="Arial" w:hAnsi="Arial" w:cs="Arial"/>
          <w:sz w:val="24"/>
          <w:szCs w:val="24"/>
        </w:rPr>
        <w:t>.</w:t>
      </w:r>
      <w:r w:rsidR="00013AE5">
        <w:rPr>
          <w:rFonts w:ascii="Arial" w:hAnsi="Arial" w:cs="Arial"/>
          <w:sz w:val="24"/>
          <w:szCs w:val="24"/>
        </w:rPr>
        <w:t xml:space="preserve"> </w:t>
      </w:r>
      <w:r w:rsidR="000C21C4">
        <w:rPr>
          <w:rFonts w:ascii="Arial" w:hAnsi="Arial" w:cs="Arial"/>
          <w:sz w:val="24"/>
          <w:szCs w:val="24"/>
        </w:rPr>
        <w:t>Some</w:t>
      </w:r>
      <w:r w:rsidR="00013AE5">
        <w:rPr>
          <w:rFonts w:ascii="Arial" w:hAnsi="Arial" w:cs="Arial"/>
          <w:sz w:val="24"/>
          <w:szCs w:val="24"/>
        </w:rPr>
        <w:t xml:space="preserve"> have therefore argued that meritocracy is free from bias</w:t>
      </w:r>
      <w:r w:rsidR="00BC5467">
        <w:rPr>
          <w:rFonts w:ascii="Arial" w:hAnsi="Arial" w:cs="Arial"/>
          <w:sz w:val="24"/>
          <w:szCs w:val="24"/>
        </w:rPr>
        <w:t>,</w:t>
      </w:r>
      <w:r w:rsidR="00013AE5">
        <w:rPr>
          <w:rFonts w:ascii="Arial" w:hAnsi="Arial" w:cs="Arial"/>
          <w:sz w:val="24"/>
          <w:szCs w:val="24"/>
        </w:rPr>
        <w:t xml:space="preserve"> creates social mobility </w:t>
      </w:r>
      <w:r w:rsidR="00013AE5" w:rsidRPr="00C25E64">
        <w:rPr>
          <w:rFonts w:ascii="Arial" w:hAnsi="Arial" w:cs="Arial"/>
          <w:sz w:val="24"/>
          <w:szCs w:val="24"/>
        </w:rPr>
        <w:t>(</w:t>
      </w:r>
      <w:r w:rsidR="00013AE5">
        <w:rPr>
          <w:rFonts w:ascii="Arial" w:hAnsi="Arial" w:cs="Arial"/>
          <w:sz w:val="24"/>
          <w:szCs w:val="24"/>
        </w:rPr>
        <w:t>Son Hing</w:t>
      </w:r>
      <w:r w:rsidR="00013AE5" w:rsidRPr="00C25E64">
        <w:rPr>
          <w:rFonts w:ascii="Arial" w:hAnsi="Arial" w:cs="Arial"/>
          <w:sz w:val="24"/>
          <w:szCs w:val="24"/>
        </w:rPr>
        <w:t xml:space="preserve"> </w:t>
      </w:r>
      <w:r w:rsidR="00013AE5" w:rsidRPr="00C25E64">
        <w:rPr>
          <w:rFonts w:ascii="Arial" w:hAnsi="Arial" w:cs="Arial"/>
          <w:i/>
          <w:iCs/>
          <w:sz w:val="24"/>
          <w:szCs w:val="24"/>
        </w:rPr>
        <w:t>et al.,</w:t>
      </w:r>
      <w:r w:rsidR="00013AE5">
        <w:rPr>
          <w:rFonts w:ascii="Arial" w:hAnsi="Arial" w:cs="Arial"/>
          <w:sz w:val="24"/>
          <w:szCs w:val="24"/>
        </w:rPr>
        <w:t xml:space="preserve"> 2011)</w:t>
      </w:r>
      <w:r w:rsidR="00BC5467">
        <w:rPr>
          <w:rFonts w:ascii="Arial" w:hAnsi="Arial" w:cs="Arial"/>
          <w:sz w:val="24"/>
          <w:szCs w:val="24"/>
        </w:rPr>
        <w:t xml:space="preserve">, interrelates with diversity (Konrad </w:t>
      </w:r>
      <w:r w:rsidR="00BC5467">
        <w:rPr>
          <w:rFonts w:ascii="Arial" w:hAnsi="Arial" w:cs="Arial"/>
          <w:i/>
          <w:iCs/>
          <w:sz w:val="24"/>
          <w:szCs w:val="24"/>
        </w:rPr>
        <w:t xml:space="preserve">et al., </w:t>
      </w:r>
      <w:r w:rsidR="00BC5467">
        <w:rPr>
          <w:rFonts w:ascii="Arial" w:hAnsi="Arial" w:cs="Arial"/>
          <w:sz w:val="24"/>
          <w:szCs w:val="24"/>
        </w:rPr>
        <w:t>2021)</w:t>
      </w:r>
      <w:r w:rsidR="00013AE5">
        <w:rPr>
          <w:rFonts w:ascii="Arial" w:hAnsi="Arial" w:cs="Arial"/>
          <w:sz w:val="24"/>
          <w:szCs w:val="24"/>
        </w:rPr>
        <w:t xml:space="preserve"> and </w:t>
      </w:r>
      <w:r w:rsidR="00BC5467">
        <w:rPr>
          <w:rFonts w:ascii="Arial" w:hAnsi="Arial" w:cs="Arial"/>
          <w:sz w:val="24"/>
          <w:szCs w:val="24"/>
        </w:rPr>
        <w:t xml:space="preserve">means </w:t>
      </w:r>
      <w:r w:rsidR="00013AE5">
        <w:rPr>
          <w:rFonts w:ascii="Arial" w:hAnsi="Arial" w:cs="Arial"/>
          <w:sz w:val="24"/>
          <w:szCs w:val="24"/>
        </w:rPr>
        <w:t>people’s inputs are equal to their outcomes (Adams, 1965; Deutsch, 1975; Lerner, 1977).</w:t>
      </w:r>
      <w:r w:rsidR="000C21C4">
        <w:rPr>
          <w:rFonts w:ascii="Arial" w:hAnsi="Arial" w:cs="Arial"/>
          <w:sz w:val="24"/>
          <w:szCs w:val="24"/>
        </w:rPr>
        <w:t xml:space="preserve"> Littler (2017), however, has argued that meritocracy is an ideological discourse and, rather than creating social mobility, it contributes to upholding power dynamics</w:t>
      </w:r>
      <w:r w:rsidR="00BC5467">
        <w:rPr>
          <w:rFonts w:ascii="Arial" w:hAnsi="Arial" w:cs="Arial"/>
          <w:sz w:val="24"/>
          <w:szCs w:val="24"/>
        </w:rPr>
        <w:t xml:space="preserve"> (</w:t>
      </w:r>
      <w:r w:rsidR="00BC5467" w:rsidRPr="00080149">
        <w:rPr>
          <w:rFonts w:ascii="Arial" w:hAnsi="Arial" w:cs="Arial"/>
          <w:color w:val="000000"/>
          <w:sz w:val="24"/>
          <w:szCs w:val="24"/>
        </w:rPr>
        <w:t>Arendt, 2006)</w:t>
      </w:r>
      <w:r w:rsidR="000C21C4">
        <w:rPr>
          <w:rFonts w:ascii="Arial" w:hAnsi="Arial" w:cs="Arial"/>
          <w:sz w:val="24"/>
          <w:szCs w:val="24"/>
        </w:rPr>
        <w:t xml:space="preserve">, meaning it works in opposition to equality </w:t>
      </w:r>
      <w:r w:rsidR="000C21C4" w:rsidRPr="00D62BCE">
        <w:rPr>
          <w:rFonts w:ascii="Arial" w:hAnsi="Arial" w:cs="Arial"/>
          <w:sz w:val="24"/>
          <w:szCs w:val="24"/>
        </w:rPr>
        <w:t>(Nozick, 1974; Rawls, 1971; Sen, 2000).</w:t>
      </w:r>
      <w:r w:rsidR="00BC5467">
        <w:rPr>
          <w:rFonts w:ascii="Arial" w:hAnsi="Arial" w:cs="Arial"/>
          <w:sz w:val="24"/>
          <w:szCs w:val="24"/>
        </w:rPr>
        <w:t xml:space="preserve"> A meritocracy cannot be understood separately from contextual issues such as gender or ethnicity </w:t>
      </w:r>
      <w:r w:rsidR="00BC5467" w:rsidRPr="0051737F">
        <w:rPr>
          <w:rFonts w:ascii="Arial" w:hAnsi="Arial" w:cs="Arial"/>
          <w:color w:val="000000"/>
          <w:sz w:val="24"/>
          <w:szCs w:val="24"/>
        </w:rPr>
        <w:t>(Littler, 2017)</w:t>
      </w:r>
      <w:r w:rsidR="00BC5467">
        <w:rPr>
          <w:rFonts w:ascii="Arial" w:hAnsi="Arial" w:cs="Arial"/>
          <w:color w:val="000000"/>
          <w:sz w:val="24"/>
          <w:szCs w:val="24"/>
        </w:rPr>
        <w:t>. As Littler (2017) highlights, Young’s (1958) satirical take on meritocracy was meant as a warning of a future society where there was no sympathy for the poor, who a meritocracy implies deserve their position, but there has instead been a shift in understanding, where meritocracy appears to be seen as progressive</w:t>
      </w:r>
      <w:r w:rsidR="00F77591">
        <w:rPr>
          <w:rFonts w:ascii="Arial" w:hAnsi="Arial" w:cs="Arial"/>
          <w:color w:val="000000"/>
          <w:sz w:val="24"/>
          <w:szCs w:val="24"/>
        </w:rPr>
        <w:t xml:space="preserve"> and an ideal to aim for</w:t>
      </w:r>
      <w:r w:rsidR="00BC5467">
        <w:rPr>
          <w:rFonts w:ascii="Arial" w:hAnsi="Arial" w:cs="Arial"/>
          <w:color w:val="000000"/>
          <w:sz w:val="24"/>
          <w:szCs w:val="24"/>
        </w:rPr>
        <w:t xml:space="preserve"> (Goldthorpe and Jackson, 2008; Reay, 2018). </w:t>
      </w:r>
    </w:p>
    <w:p w14:paraId="3CA65F38" w14:textId="77777777" w:rsidR="00914764" w:rsidRDefault="005203F4" w:rsidP="00F763F2">
      <w:pPr>
        <w:spacing w:line="360" w:lineRule="auto"/>
        <w:jc w:val="both"/>
        <w:rPr>
          <w:rFonts w:ascii="Arial" w:hAnsi="Arial" w:cs="Arial"/>
          <w:sz w:val="24"/>
          <w:szCs w:val="24"/>
        </w:rPr>
      </w:pPr>
      <w:r w:rsidRPr="00EC6725">
        <w:rPr>
          <w:rFonts w:ascii="Arial" w:hAnsi="Arial" w:cs="Arial"/>
          <w:sz w:val="24"/>
          <w:szCs w:val="24"/>
        </w:rPr>
        <w:t>There has been a similarly long history of social mobility research in Britain (Abercrombie and Warde, 1994; Giddens, 1989; Goldthorpe, 1980, 1983, 1996; Pawson</w:t>
      </w:r>
      <w:r w:rsidR="00064F9B" w:rsidRPr="00EC6725">
        <w:rPr>
          <w:rFonts w:ascii="Arial" w:hAnsi="Arial" w:cs="Arial"/>
          <w:sz w:val="24"/>
          <w:szCs w:val="24"/>
        </w:rPr>
        <w:t>,</w:t>
      </w:r>
      <w:r w:rsidRPr="00EC6725">
        <w:rPr>
          <w:rFonts w:ascii="Arial" w:hAnsi="Arial" w:cs="Arial"/>
          <w:sz w:val="24"/>
          <w:szCs w:val="24"/>
        </w:rPr>
        <w:t xml:space="preserve"> 1989; Payne, 1996; Savage and Egerton, 1997; Saunders, 1995), with Goldthorpe (1980) </w:t>
      </w:r>
      <w:r w:rsidR="00730048" w:rsidRPr="00EC6725">
        <w:rPr>
          <w:rFonts w:ascii="Arial" w:hAnsi="Arial" w:cs="Arial"/>
          <w:sz w:val="24"/>
          <w:szCs w:val="24"/>
        </w:rPr>
        <w:t>arguing that social mobility</w:t>
      </w:r>
      <w:r w:rsidRPr="00EC6725">
        <w:rPr>
          <w:rFonts w:ascii="Arial" w:hAnsi="Arial" w:cs="Arial"/>
          <w:sz w:val="24"/>
          <w:szCs w:val="24"/>
        </w:rPr>
        <w:t xml:space="preserve"> is defined as the movement of people, </w:t>
      </w:r>
      <w:r w:rsidR="00064F9B" w:rsidRPr="00EC6725">
        <w:rPr>
          <w:rFonts w:ascii="Arial" w:hAnsi="Arial" w:cs="Arial"/>
          <w:sz w:val="24"/>
          <w:szCs w:val="24"/>
        </w:rPr>
        <w:t xml:space="preserve">with households in social classes dependent on the occupation of their most senior </w:t>
      </w:r>
      <w:r w:rsidR="00064F9B" w:rsidRPr="00EC6725">
        <w:rPr>
          <w:rFonts w:ascii="Arial" w:hAnsi="Arial" w:cs="Arial"/>
          <w:sz w:val="24"/>
          <w:szCs w:val="24"/>
        </w:rPr>
        <w:lastRenderedPageBreak/>
        <w:t>member</w:t>
      </w:r>
      <w:r w:rsidRPr="00EC6725">
        <w:rPr>
          <w:rFonts w:ascii="Arial" w:hAnsi="Arial" w:cs="Arial"/>
          <w:sz w:val="24"/>
          <w:szCs w:val="24"/>
        </w:rPr>
        <w:t xml:space="preserve"> (</w:t>
      </w:r>
      <w:r w:rsidR="00064F9B" w:rsidRPr="00EC6725">
        <w:rPr>
          <w:rFonts w:ascii="Arial" w:hAnsi="Arial" w:cs="Arial"/>
          <w:sz w:val="24"/>
          <w:szCs w:val="24"/>
        </w:rPr>
        <w:t xml:space="preserve">Dex, 1987; Goldthorpe, 1983; Marshall </w:t>
      </w:r>
      <w:r w:rsidR="00064F9B" w:rsidRPr="00EC6725">
        <w:rPr>
          <w:rFonts w:ascii="Arial" w:hAnsi="Arial" w:cs="Arial"/>
          <w:i/>
          <w:iCs/>
          <w:sz w:val="24"/>
          <w:szCs w:val="24"/>
        </w:rPr>
        <w:t>et al.,</w:t>
      </w:r>
      <w:r w:rsidR="00064F9B" w:rsidRPr="00EC6725">
        <w:rPr>
          <w:rFonts w:ascii="Arial" w:hAnsi="Arial" w:cs="Arial"/>
          <w:sz w:val="24"/>
          <w:szCs w:val="24"/>
        </w:rPr>
        <w:t xml:space="preserve"> 1988; </w:t>
      </w:r>
      <w:r w:rsidRPr="00EC6725">
        <w:rPr>
          <w:rFonts w:ascii="Arial" w:hAnsi="Arial" w:cs="Arial"/>
          <w:sz w:val="24"/>
          <w:szCs w:val="24"/>
        </w:rPr>
        <w:t>Savage and Egerton, 1997</w:t>
      </w:r>
      <w:r w:rsidR="00064F9B" w:rsidRPr="00EC6725">
        <w:rPr>
          <w:rFonts w:ascii="Arial" w:hAnsi="Arial" w:cs="Arial"/>
          <w:sz w:val="24"/>
          <w:szCs w:val="24"/>
        </w:rPr>
        <w:t>; Stanworth, 1984</w:t>
      </w:r>
      <w:r w:rsidRPr="00EC6725">
        <w:rPr>
          <w:rFonts w:ascii="Arial" w:hAnsi="Arial" w:cs="Arial"/>
          <w:sz w:val="24"/>
          <w:szCs w:val="24"/>
        </w:rPr>
        <w:t>).</w:t>
      </w:r>
      <w:r w:rsidR="00730048" w:rsidRPr="00EC6725">
        <w:rPr>
          <w:rFonts w:ascii="Arial" w:hAnsi="Arial" w:cs="Arial"/>
          <w:sz w:val="24"/>
          <w:szCs w:val="24"/>
        </w:rPr>
        <w:t xml:space="preserve"> There have, however, been criticisms of Goldthorpe’s definition, including that he does not include a capitalist class (Penn, 1981). </w:t>
      </w:r>
      <w:r w:rsidR="00EC6725" w:rsidRPr="00EC6725">
        <w:rPr>
          <w:rFonts w:ascii="Arial" w:hAnsi="Arial" w:cs="Arial"/>
          <w:sz w:val="24"/>
          <w:szCs w:val="24"/>
        </w:rPr>
        <w:t xml:space="preserve">The definition of social mobility as the movement of people is accepted (Goldthorpe, 1980), however, although the extent to which individuals can achieve this is limited (Bourdieu, 1984; Bowles </w:t>
      </w:r>
      <w:r w:rsidR="00EC6725">
        <w:rPr>
          <w:rFonts w:ascii="Arial" w:hAnsi="Arial" w:cs="Arial"/>
          <w:sz w:val="24"/>
          <w:szCs w:val="24"/>
        </w:rPr>
        <w:t>and</w:t>
      </w:r>
      <w:r w:rsidR="00EC6725" w:rsidRPr="00EC6725">
        <w:rPr>
          <w:rFonts w:ascii="Arial" w:hAnsi="Arial" w:cs="Arial"/>
          <w:sz w:val="24"/>
          <w:szCs w:val="24"/>
        </w:rPr>
        <w:t xml:space="preserve"> Gintis, 1976; Karabel </w:t>
      </w:r>
      <w:r w:rsidR="00EC6725">
        <w:rPr>
          <w:rFonts w:ascii="Arial" w:hAnsi="Arial" w:cs="Arial"/>
          <w:sz w:val="24"/>
          <w:szCs w:val="24"/>
        </w:rPr>
        <w:t>and</w:t>
      </w:r>
      <w:r w:rsidR="00EC6725" w:rsidRPr="00EC6725">
        <w:rPr>
          <w:rFonts w:ascii="Arial" w:hAnsi="Arial" w:cs="Arial"/>
          <w:sz w:val="24"/>
          <w:szCs w:val="24"/>
        </w:rPr>
        <w:t xml:space="preserve"> Halsey, 1977; Warikoo and Fuhr, 2014), and has declined in the previous few decades </w:t>
      </w:r>
      <w:r w:rsidR="00EC6725" w:rsidRPr="00EC6725">
        <w:rPr>
          <w:rFonts w:ascii="Arial" w:hAnsi="Arial" w:cs="Arial"/>
          <w:color w:val="000000"/>
          <w:sz w:val="24"/>
          <w:szCs w:val="24"/>
        </w:rPr>
        <w:t xml:space="preserve">(Littler, 2017; Savage </w:t>
      </w:r>
      <w:r w:rsidR="00EC6725" w:rsidRPr="00EC6725">
        <w:rPr>
          <w:rFonts w:ascii="Arial" w:hAnsi="Arial" w:cs="Arial"/>
          <w:i/>
          <w:iCs/>
          <w:color w:val="000000"/>
          <w:sz w:val="24"/>
          <w:szCs w:val="24"/>
        </w:rPr>
        <w:t>et al.</w:t>
      </w:r>
      <w:r w:rsidR="00EC6725">
        <w:rPr>
          <w:rFonts w:ascii="Arial" w:hAnsi="Arial" w:cs="Arial"/>
          <w:color w:val="000000"/>
          <w:sz w:val="24"/>
          <w:szCs w:val="24"/>
        </w:rPr>
        <w:t>,</w:t>
      </w:r>
      <w:r w:rsidR="00EC6725" w:rsidRPr="00EC6725">
        <w:rPr>
          <w:rFonts w:ascii="Arial" w:hAnsi="Arial" w:cs="Arial"/>
          <w:color w:val="000000"/>
          <w:sz w:val="24"/>
          <w:szCs w:val="24"/>
        </w:rPr>
        <w:t xml:space="preserve"> 2015: Bukodi </w:t>
      </w:r>
      <w:r w:rsidR="00EC6725" w:rsidRPr="00EC6725">
        <w:rPr>
          <w:rFonts w:ascii="Arial" w:hAnsi="Arial" w:cs="Arial"/>
          <w:i/>
          <w:iCs/>
          <w:color w:val="000000"/>
          <w:sz w:val="24"/>
          <w:szCs w:val="24"/>
        </w:rPr>
        <w:t>et al.</w:t>
      </w:r>
      <w:r w:rsidR="00EC6725">
        <w:rPr>
          <w:rFonts w:ascii="Arial" w:hAnsi="Arial" w:cs="Arial"/>
          <w:i/>
          <w:iCs/>
          <w:color w:val="000000"/>
          <w:sz w:val="24"/>
          <w:szCs w:val="24"/>
        </w:rPr>
        <w:t>,</w:t>
      </w:r>
      <w:r w:rsidR="00EC6725" w:rsidRPr="00EC6725">
        <w:rPr>
          <w:rFonts w:ascii="Arial" w:hAnsi="Arial" w:cs="Arial"/>
          <w:color w:val="000000"/>
          <w:sz w:val="24"/>
          <w:szCs w:val="24"/>
        </w:rPr>
        <w:t xml:space="preserve"> 2015; Goldthorpe</w:t>
      </w:r>
      <w:r w:rsidR="00EC6725">
        <w:rPr>
          <w:rFonts w:ascii="Arial" w:hAnsi="Arial" w:cs="Arial"/>
          <w:color w:val="000000"/>
          <w:sz w:val="24"/>
          <w:szCs w:val="24"/>
        </w:rPr>
        <w:t>,</w:t>
      </w:r>
      <w:r w:rsidR="00EC6725" w:rsidRPr="00EC6725">
        <w:rPr>
          <w:rFonts w:ascii="Arial" w:hAnsi="Arial" w:cs="Arial"/>
          <w:color w:val="000000"/>
          <w:sz w:val="24"/>
          <w:szCs w:val="24"/>
        </w:rPr>
        <w:t xml:space="preserve"> 2013; Goldthorpe and Jackson</w:t>
      </w:r>
      <w:r w:rsidR="00EC6725">
        <w:rPr>
          <w:rFonts w:ascii="Arial" w:hAnsi="Arial" w:cs="Arial"/>
          <w:color w:val="000000"/>
          <w:sz w:val="24"/>
          <w:szCs w:val="24"/>
        </w:rPr>
        <w:t>,</w:t>
      </w:r>
      <w:r w:rsidR="00EC6725" w:rsidRPr="00EC6725">
        <w:rPr>
          <w:rFonts w:ascii="Arial" w:hAnsi="Arial" w:cs="Arial"/>
          <w:color w:val="000000"/>
          <w:sz w:val="24"/>
          <w:szCs w:val="24"/>
        </w:rPr>
        <w:t xml:space="preserve"> 2007)</w:t>
      </w:r>
      <w:r w:rsidR="00EC6725">
        <w:rPr>
          <w:rFonts w:ascii="Arial" w:hAnsi="Arial" w:cs="Arial"/>
          <w:sz w:val="24"/>
          <w:szCs w:val="24"/>
        </w:rPr>
        <w:t>, leaving increasing haps between the rich and the poor, causing social and educational segregation (Lawler, 2017; Reay, 2017).</w:t>
      </w:r>
    </w:p>
    <w:p w14:paraId="415BC72C" w14:textId="6BDB04D8" w:rsidR="002E51E9" w:rsidRDefault="00914764" w:rsidP="00F763F2">
      <w:pPr>
        <w:spacing w:line="360" w:lineRule="auto"/>
        <w:jc w:val="both"/>
        <w:rPr>
          <w:rFonts w:ascii="Arial" w:hAnsi="Arial" w:cs="Arial"/>
          <w:color w:val="000000"/>
          <w:sz w:val="24"/>
          <w:szCs w:val="24"/>
        </w:rPr>
      </w:pPr>
      <w:r>
        <w:rPr>
          <w:rFonts w:ascii="Arial" w:hAnsi="Arial" w:cs="Arial"/>
          <w:sz w:val="24"/>
          <w:szCs w:val="24"/>
        </w:rPr>
        <w:t xml:space="preserve">Both meritocracy and social mobility have an impact on the social reproduction of inequality. Bronfenbrenner (1973) argued that equality of distribution is objective and a matter of fact, and meritocracy therefore does not allow inequality to be socially reproduced. Later scholars, however, have argued that distribution is subjective, and the reproduction of social inequalities are based on the transmission of cultural capital from parents to their offspring </w:t>
      </w:r>
      <w:r w:rsidRPr="00DC748F">
        <w:rPr>
          <w:rFonts w:ascii="Arial" w:hAnsi="Arial" w:cs="Arial"/>
          <w:sz w:val="24"/>
          <w:szCs w:val="24"/>
        </w:rPr>
        <w:t>(Tzanakis, 2011)</w:t>
      </w:r>
      <w:r>
        <w:rPr>
          <w:rFonts w:ascii="Arial" w:hAnsi="Arial" w:cs="Arial"/>
          <w:sz w:val="24"/>
          <w:szCs w:val="24"/>
        </w:rPr>
        <w:t>.</w:t>
      </w:r>
      <w:r w:rsidR="003A7C0F">
        <w:rPr>
          <w:rFonts w:ascii="Arial" w:hAnsi="Arial" w:cs="Arial"/>
          <w:sz w:val="24"/>
          <w:szCs w:val="24"/>
        </w:rPr>
        <w:t xml:space="preserve"> Social structures of inequality, including income and education, are produced and reproduced through interacting with cultural capital within society, which then influences the reproduction and transformation of social inequalities </w:t>
      </w:r>
      <w:r w:rsidR="003A7C0F" w:rsidRPr="007B77CC">
        <w:rPr>
          <w:rFonts w:ascii="Arial" w:hAnsi="Arial" w:cs="Arial"/>
          <w:color w:val="000000"/>
          <w:sz w:val="24"/>
          <w:szCs w:val="24"/>
          <w:shd w:val="clear" w:color="auto" w:fill="FFFFFF"/>
        </w:rPr>
        <w:t>(M</w:t>
      </w:r>
      <w:r w:rsidR="003A7C0F" w:rsidRPr="007B77CC">
        <w:rPr>
          <w:rFonts w:ascii="Arial" w:hAnsi="Arial" w:cs="Arial"/>
          <w:color w:val="000000"/>
          <w:sz w:val="24"/>
          <w:szCs w:val="24"/>
        </w:rPr>
        <w:t>ünch, 1993)</w:t>
      </w:r>
      <w:r w:rsidR="003A7C0F">
        <w:rPr>
          <w:rFonts w:ascii="Arial" w:hAnsi="Arial" w:cs="Arial"/>
          <w:color w:val="000000"/>
          <w:sz w:val="24"/>
          <w:szCs w:val="24"/>
        </w:rPr>
        <w:t xml:space="preserve">. </w:t>
      </w:r>
      <w:r w:rsidR="00B055C9">
        <w:rPr>
          <w:rFonts w:ascii="Arial" w:hAnsi="Arial" w:cs="Arial"/>
          <w:color w:val="000000"/>
          <w:sz w:val="24"/>
          <w:szCs w:val="24"/>
        </w:rPr>
        <w:t>Transferring cultural capital down the generation is therefor</w:t>
      </w:r>
      <w:r w:rsidR="00AC085C">
        <w:rPr>
          <w:rFonts w:ascii="Arial" w:hAnsi="Arial" w:cs="Arial"/>
          <w:color w:val="000000"/>
          <w:sz w:val="24"/>
          <w:szCs w:val="24"/>
        </w:rPr>
        <w:t>e</w:t>
      </w:r>
      <w:r w:rsidR="00B055C9">
        <w:rPr>
          <w:rFonts w:ascii="Arial" w:hAnsi="Arial" w:cs="Arial"/>
          <w:color w:val="000000"/>
          <w:sz w:val="24"/>
          <w:szCs w:val="24"/>
        </w:rPr>
        <w:t xml:space="preserve"> a concern for those in higher social positions </w:t>
      </w:r>
      <w:r w:rsidR="00B055C9" w:rsidRPr="00CD45EF">
        <w:rPr>
          <w:rFonts w:ascii="Arial" w:hAnsi="Arial" w:cs="Arial"/>
          <w:sz w:val="24"/>
          <w:szCs w:val="24"/>
          <w:shd w:val="clear" w:color="auto" w:fill="FFFFFF"/>
        </w:rPr>
        <w:t>(Glucksberg, 2018)</w:t>
      </w:r>
      <w:r w:rsidR="00B055C9">
        <w:rPr>
          <w:rFonts w:ascii="Arial" w:hAnsi="Arial" w:cs="Arial"/>
          <w:color w:val="000000"/>
          <w:sz w:val="24"/>
          <w:szCs w:val="24"/>
        </w:rPr>
        <w:t xml:space="preserve">, contributing to unequal starting positions within society </w:t>
      </w:r>
      <w:r w:rsidR="00B055C9" w:rsidRPr="0013164D">
        <w:rPr>
          <w:rFonts w:ascii="Arial" w:hAnsi="Arial" w:cs="Arial"/>
          <w:color w:val="000000"/>
          <w:sz w:val="24"/>
          <w:szCs w:val="24"/>
        </w:rPr>
        <w:t>(Littler, 2017)</w:t>
      </w:r>
      <w:r w:rsidR="00B055C9">
        <w:rPr>
          <w:rFonts w:ascii="Arial" w:hAnsi="Arial" w:cs="Arial"/>
          <w:color w:val="000000"/>
          <w:sz w:val="24"/>
          <w:szCs w:val="24"/>
        </w:rPr>
        <w:t>.</w:t>
      </w:r>
    </w:p>
    <w:p w14:paraId="79409B6A" w14:textId="7D97DB12" w:rsidR="001F1C1B" w:rsidRDefault="002E51E9" w:rsidP="00F763F2">
      <w:pPr>
        <w:spacing w:line="360" w:lineRule="auto"/>
        <w:jc w:val="both"/>
        <w:rPr>
          <w:rFonts w:ascii="Arial" w:hAnsi="Arial" w:cs="Arial"/>
          <w:sz w:val="24"/>
          <w:szCs w:val="24"/>
          <w:shd w:val="clear" w:color="auto" w:fill="FFFFFF"/>
        </w:rPr>
      </w:pPr>
      <w:r>
        <w:rPr>
          <w:rFonts w:ascii="Arial" w:hAnsi="Arial" w:cs="Arial"/>
          <w:color w:val="000000"/>
          <w:sz w:val="24"/>
          <w:szCs w:val="24"/>
        </w:rPr>
        <w:t xml:space="preserve">In order to further understand meritocracy and social mobility, the sociological theory of conflict theory </w:t>
      </w:r>
      <w:r w:rsidR="00ED4AED">
        <w:rPr>
          <w:rFonts w:ascii="Arial" w:hAnsi="Arial" w:cs="Arial"/>
          <w:color w:val="000000"/>
          <w:sz w:val="24"/>
          <w:szCs w:val="24"/>
        </w:rPr>
        <w:t>will be used</w:t>
      </w:r>
      <w:r>
        <w:rPr>
          <w:rFonts w:ascii="Arial" w:hAnsi="Arial" w:cs="Arial"/>
          <w:color w:val="000000"/>
          <w:sz w:val="24"/>
          <w:szCs w:val="24"/>
        </w:rPr>
        <w:t xml:space="preserve"> as a spotlight to explore the education system in Britain.</w:t>
      </w:r>
      <w:r w:rsidR="00EA6F5E">
        <w:rPr>
          <w:rFonts w:ascii="Arial" w:hAnsi="Arial" w:cs="Arial"/>
          <w:color w:val="000000"/>
          <w:sz w:val="24"/>
          <w:szCs w:val="24"/>
        </w:rPr>
        <w:t xml:space="preserve"> Functionalist theorists state that schools are ideologically neutral, operating within a meritocratic framework and allowing each student to achieve to their maximum ability, but conflict theorists argue that inequality does exist within education and is based on the students position within the social system, rather than merit, with education providing privileges to some, but not to others </w:t>
      </w:r>
      <w:r w:rsidR="00EA6F5E">
        <w:rPr>
          <w:rFonts w:ascii="Arial" w:eastAsia="Times New Roman" w:hAnsi="Arial" w:cs="Arial"/>
          <w:sz w:val="24"/>
          <w:szCs w:val="24"/>
        </w:rPr>
        <w:t xml:space="preserve">(Ballantine and Spade, 1993). </w:t>
      </w:r>
      <w:r w:rsidR="00EA6F5E">
        <w:rPr>
          <w:rFonts w:ascii="Arial" w:hAnsi="Arial" w:cs="Arial"/>
          <w:color w:val="000000"/>
          <w:sz w:val="24"/>
          <w:szCs w:val="24"/>
        </w:rPr>
        <w:t xml:space="preserve">Conflict theory therefore focusses on tensions in society created by groups competing interests </w:t>
      </w:r>
      <w:r w:rsidR="00EA6F5E">
        <w:rPr>
          <w:rFonts w:ascii="Arial" w:eastAsia="Times New Roman" w:hAnsi="Arial" w:cs="Arial"/>
          <w:sz w:val="24"/>
          <w:szCs w:val="24"/>
        </w:rPr>
        <w:t>(Ballantine and Spade, 1993)</w:t>
      </w:r>
      <w:r w:rsidR="00EA6F5E">
        <w:rPr>
          <w:rFonts w:ascii="Arial" w:hAnsi="Arial" w:cs="Arial"/>
          <w:color w:val="000000"/>
          <w:sz w:val="24"/>
          <w:szCs w:val="24"/>
        </w:rPr>
        <w:t>, rather than studying individuals and their interactions with the education system (</w:t>
      </w:r>
      <w:r w:rsidR="00EA6F5E">
        <w:rPr>
          <w:rFonts w:ascii="Arial" w:eastAsia="Times New Roman" w:hAnsi="Arial" w:cs="Arial"/>
          <w:sz w:val="24"/>
          <w:szCs w:val="24"/>
        </w:rPr>
        <w:t>Willis, 1979).</w:t>
      </w:r>
      <w:r w:rsidR="008345F0" w:rsidRPr="00914764">
        <w:rPr>
          <w:rFonts w:ascii="Arial" w:hAnsi="Arial" w:cs="Arial"/>
          <w:color w:val="000000"/>
          <w:sz w:val="18"/>
          <w:szCs w:val="18"/>
        </w:rPr>
        <w:br/>
      </w:r>
      <w:r w:rsidR="00EA6F5E">
        <w:rPr>
          <w:rFonts w:ascii="Arial" w:hAnsi="Arial" w:cs="Arial"/>
          <w:sz w:val="24"/>
          <w:szCs w:val="24"/>
        </w:rPr>
        <w:t xml:space="preserve">Previous research has shown that social status is one of the most important factors </w:t>
      </w:r>
      <w:r w:rsidR="00EA6F5E">
        <w:rPr>
          <w:rFonts w:ascii="Arial" w:hAnsi="Arial" w:cs="Arial"/>
          <w:sz w:val="24"/>
          <w:szCs w:val="24"/>
        </w:rPr>
        <w:lastRenderedPageBreak/>
        <w:t xml:space="preserve">when educational compromises are made </w:t>
      </w:r>
      <w:r w:rsidR="00EA6F5E" w:rsidRPr="00291E06">
        <w:rPr>
          <w:rFonts w:ascii="Arial" w:hAnsi="Arial" w:cs="Arial"/>
          <w:sz w:val="24"/>
          <w:szCs w:val="24"/>
          <w:shd w:val="clear" w:color="auto" w:fill="FFFFFF"/>
        </w:rPr>
        <w:t>(</w:t>
      </w:r>
      <w:hyperlink r:id="rId6" w:anchor="j_zfsoz-2022-0011_ref_034" w:tooltip="Hanson, S.L., 1994: Lost Talent: Unrealized Educational Aspirations and Expectations among U.S. Youths. Sociology of Education 67: 159.10.2307/2112789Search in Google Scholar" w:history="1">
        <w:r w:rsidR="00EA6F5E" w:rsidRPr="00036B28">
          <w:rPr>
            <w:rStyle w:val="Hyperlink"/>
            <w:rFonts w:ascii="Arial" w:hAnsi="Arial" w:cs="Arial"/>
            <w:color w:val="auto"/>
            <w:sz w:val="24"/>
            <w:szCs w:val="24"/>
            <w:u w:val="none"/>
            <w:shd w:val="clear" w:color="auto" w:fill="FFFFFF"/>
          </w:rPr>
          <w:t>Hanson</w:t>
        </w:r>
      </w:hyperlink>
      <w:r w:rsidR="00EA6F5E" w:rsidRPr="00036B28">
        <w:rPr>
          <w:rFonts w:ascii="Arial" w:hAnsi="Arial" w:cs="Arial"/>
          <w:sz w:val="24"/>
          <w:szCs w:val="24"/>
        </w:rPr>
        <w:t>,</w:t>
      </w:r>
      <w:r w:rsidR="00EA6F5E" w:rsidRPr="00036B28">
        <w:rPr>
          <w:rFonts w:ascii="Arial" w:hAnsi="Arial" w:cs="Arial"/>
          <w:sz w:val="24"/>
          <w:szCs w:val="24"/>
          <w:shd w:val="clear" w:color="auto" w:fill="FFFFFF"/>
        </w:rPr>
        <w:t> 1994;</w:t>
      </w:r>
      <w:r w:rsidR="00691586">
        <w:rPr>
          <w:rFonts w:ascii="Arial" w:hAnsi="Arial" w:cs="Arial"/>
          <w:sz w:val="24"/>
          <w:szCs w:val="24"/>
          <w:shd w:val="clear" w:color="auto" w:fill="FFFFFF"/>
        </w:rPr>
        <w:t xml:space="preserve"> </w:t>
      </w:r>
      <w:hyperlink r:id="rId7" w:anchor="j_zfsoz-2022-0011_ref_050" w:tooltip="Kao, G. &amp; J.S. Thompson, 2003: Racial and Ethnic Stratification in Educational Achievement and Attainment. Annual Review of Sociology 29: 417–442.10.1146/annurev.soc.29.010202.100019Search in Google Scholar" w:history="1">
        <w:r w:rsidR="00691586" w:rsidRPr="00036B28">
          <w:rPr>
            <w:rStyle w:val="Hyperlink"/>
            <w:rFonts w:ascii="Arial" w:hAnsi="Arial" w:cs="Arial"/>
            <w:color w:val="auto"/>
            <w:sz w:val="24"/>
            <w:szCs w:val="24"/>
            <w:u w:val="none"/>
            <w:shd w:val="clear" w:color="auto" w:fill="FFFFFF"/>
          </w:rPr>
          <w:t>Kao</w:t>
        </w:r>
      </w:hyperlink>
      <w:r w:rsidR="00691586" w:rsidRPr="00291E06">
        <w:rPr>
          <w:rFonts w:ascii="Arial" w:hAnsi="Arial" w:cs="Arial"/>
          <w:sz w:val="24"/>
          <w:szCs w:val="24"/>
          <w:shd w:val="clear" w:color="auto" w:fill="FFFFFF"/>
        </w:rPr>
        <w:t> </w:t>
      </w:r>
      <w:r w:rsidR="00D16E62">
        <w:rPr>
          <w:rFonts w:ascii="Arial" w:hAnsi="Arial" w:cs="Arial"/>
          <w:sz w:val="24"/>
          <w:szCs w:val="24"/>
          <w:shd w:val="clear" w:color="auto" w:fill="FFFFFF"/>
        </w:rPr>
        <w:t>and</w:t>
      </w:r>
      <w:r w:rsidR="00691586" w:rsidRPr="00291E06">
        <w:rPr>
          <w:rFonts w:ascii="Arial" w:hAnsi="Arial" w:cs="Arial"/>
          <w:sz w:val="24"/>
          <w:szCs w:val="24"/>
          <w:shd w:val="clear" w:color="auto" w:fill="FFFFFF"/>
        </w:rPr>
        <w:t xml:space="preserve"> Thompson 2003;</w:t>
      </w:r>
      <w:r w:rsidR="00EA6F5E" w:rsidRPr="00036B28">
        <w:rPr>
          <w:rFonts w:ascii="Arial" w:hAnsi="Arial" w:cs="Arial"/>
          <w:sz w:val="24"/>
          <w:szCs w:val="24"/>
        </w:rPr>
        <w:t xml:space="preserve"> </w:t>
      </w:r>
      <w:hyperlink r:id="rId8" w:anchor="j_zfsoz-2022-0011_ref_055" w:tooltip="Messersmith, E.E. &amp; J.E. Schulenberg, 2008: When Can We Expect the Unexpected? Predicting Educational Attainment When it Differs from Previous Expectations. Journal of Social Issues 64: 195–212.10.1111/j.1540-4560.2008.00555.xSearch in Google Scholar" w:history="1">
        <w:r w:rsidR="00EA6F5E" w:rsidRPr="00036B28">
          <w:rPr>
            <w:rStyle w:val="Hyperlink"/>
            <w:rFonts w:ascii="Arial" w:hAnsi="Arial" w:cs="Arial"/>
            <w:color w:val="auto"/>
            <w:sz w:val="24"/>
            <w:szCs w:val="24"/>
            <w:u w:val="none"/>
            <w:shd w:val="clear" w:color="auto" w:fill="FFFFFF"/>
          </w:rPr>
          <w:t>Messersmith</w:t>
        </w:r>
      </w:hyperlink>
      <w:r w:rsidR="00EA6F5E" w:rsidRPr="00036B28">
        <w:rPr>
          <w:rFonts w:ascii="Arial" w:hAnsi="Arial" w:cs="Arial"/>
          <w:sz w:val="24"/>
          <w:szCs w:val="24"/>
          <w:shd w:val="clear" w:color="auto" w:fill="FFFFFF"/>
        </w:rPr>
        <w:t> </w:t>
      </w:r>
      <w:r w:rsidR="00691586">
        <w:rPr>
          <w:rFonts w:ascii="Arial" w:hAnsi="Arial" w:cs="Arial"/>
          <w:sz w:val="24"/>
          <w:szCs w:val="24"/>
          <w:shd w:val="clear" w:color="auto" w:fill="FFFFFF"/>
        </w:rPr>
        <w:t>and</w:t>
      </w:r>
      <w:r w:rsidR="00EA6F5E" w:rsidRPr="00036B28">
        <w:rPr>
          <w:rFonts w:ascii="Arial" w:hAnsi="Arial" w:cs="Arial"/>
          <w:sz w:val="24"/>
          <w:szCs w:val="24"/>
          <w:shd w:val="clear" w:color="auto" w:fill="FFFFFF"/>
        </w:rPr>
        <w:t xml:space="preserve"> Schulenberg, 2008; </w:t>
      </w:r>
      <w:r w:rsidR="00691586">
        <w:rPr>
          <w:rFonts w:ascii="Arial" w:hAnsi="Arial" w:cs="Arial"/>
          <w:sz w:val="24"/>
          <w:szCs w:val="24"/>
          <w:shd w:val="clear" w:color="auto" w:fill="FFFFFF"/>
        </w:rPr>
        <w:t xml:space="preserve"> </w:t>
      </w:r>
      <w:r w:rsidR="00691586" w:rsidRPr="00291E06">
        <w:rPr>
          <w:rFonts w:ascii="Arial" w:hAnsi="Arial" w:cs="Arial"/>
          <w:sz w:val="24"/>
          <w:szCs w:val="24"/>
          <w:shd w:val="clear" w:color="auto" w:fill="FFFFFF"/>
        </w:rPr>
        <w:t xml:space="preserve">Schels </w:t>
      </w:r>
      <w:r w:rsidR="00691586" w:rsidRPr="00291E06">
        <w:rPr>
          <w:rFonts w:ascii="Arial" w:hAnsi="Arial" w:cs="Arial"/>
          <w:i/>
          <w:iCs/>
          <w:sz w:val="24"/>
          <w:szCs w:val="24"/>
          <w:shd w:val="clear" w:color="auto" w:fill="FFFFFF"/>
        </w:rPr>
        <w:t xml:space="preserve">et al., </w:t>
      </w:r>
      <w:r w:rsidR="00691586" w:rsidRPr="00291E06">
        <w:rPr>
          <w:rFonts w:ascii="Arial" w:hAnsi="Arial" w:cs="Arial"/>
          <w:sz w:val="24"/>
          <w:szCs w:val="24"/>
          <w:shd w:val="clear" w:color="auto" w:fill="FFFFFF"/>
        </w:rPr>
        <w:t>2022;</w:t>
      </w:r>
      <w:r w:rsidR="00EA6F5E" w:rsidRPr="00291E06">
        <w:rPr>
          <w:rFonts w:ascii="Arial" w:hAnsi="Arial" w:cs="Arial"/>
          <w:sz w:val="24"/>
          <w:szCs w:val="24"/>
          <w:shd w:val="clear" w:color="auto" w:fill="FFFFFF"/>
        </w:rPr>
        <w:t> </w:t>
      </w:r>
      <w:hyperlink r:id="rId9" w:anchor="j_zfsoz-2022-0011_ref_074" w:tooltip="Tjaden, J.D. &amp; C. Hunkler, 2017: The optimism Trap: Migrants’ Educational Choices in Stratified Education Systems. Social Science Research 67: 213–228.10.1016/j.ssresearch.2017.04.004Search in Google Scholar" w:history="1">
        <w:r w:rsidR="00EA6F5E" w:rsidRPr="00291E06">
          <w:rPr>
            <w:rStyle w:val="Hyperlink"/>
            <w:rFonts w:ascii="Arial" w:hAnsi="Arial" w:cs="Arial"/>
            <w:color w:val="auto"/>
            <w:sz w:val="24"/>
            <w:szCs w:val="24"/>
            <w:shd w:val="clear" w:color="auto" w:fill="FFFFFF"/>
          </w:rPr>
          <w:t>Tjaden</w:t>
        </w:r>
      </w:hyperlink>
      <w:r w:rsidR="00EA6F5E" w:rsidRPr="00291E06">
        <w:rPr>
          <w:rFonts w:ascii="Arial" w:hAnsi="Arial" w:cs="Arial"/>
          <w:sz w:val="24"/>
          <w:szCs w:val="24"/>
          <w:shd w:val="clear" w:color="auto" w:fill="FFFFFF"/>
        </w:rPr>
        <w:t> </w:t>
      </w:r>
      <w:r w:rsidR="00D16E62">
        <w:rPr>
          <w:rFonts w:ascii="Arial" w:hAnsi="Arial" w:cs="Arial"/>
          <w:sz w:val="24"/>
          <w:szCs w:val="24"/>
          <w:shd w:val="clear" w:color="auto" w:fill="FFFFFF"/>
        </w:rPr>
        <w:t>and</w:t>
      </w:r>
      <w:r w:rsidR="00EA6F5E" w:rsidRPr="00291E06">
        <w:rPr>
          <w:rFonts w:ascii="Arial" w:hAnsi="Arial" w:cs="Arial"/>
          <w:sz w:val="24"/>
          <w:szCs w:val="24"/>
          <w:shd w:val="clear" w:color="auto" w:fill="FFFFFF"/>
        </w:rPr>
        <w:t xml:space="preserve"> Hunkler 2017).</w:t>
      </w:r>
    </w:p>
    <w:p w14:paraId="45BC43B1" w14:textId="2A587977" w:rsidR="00F763F2" w:rsidRPr="00DC5BE1" w:rsidRDefault="00F763F2" w:rsidP="00F763F2">
      <w:pPr>
        <w:spacing w:line="360" w:lineRule="auto"/>
        <w:jc w:val="both"/>
        <w:rPr>
          <w:rFonts w:ascii="Arial" w:hAnsi="Arial" w:cs="Arial"/>
          <w:sz w:val="24"/>
          <w:szCs w:val="24"/>
        </w:rPr>
      </w:pPr>
      <w:r>
        <w:rPr>
          <w:rFonts w:ascii="Arial" w:hAnsi="Arial" w:cs="Arial"/>
          <w:sz w:val="24"/>
          <w:szCs w:val="24"/>
          <w:shd w:val="clear" w:color="auto" w:fill="FFFFFF"/>
        </w:rPr>
        <w:t xml:space="preserve">This submission will focus on the interrelation between education, meritocracy, inequality and social mobility. It will begin by considering that schools reinforce a hierarchy rather than a meritocracy </w:t>
      </w:r>
      <w:r w:rsidRPr="0065144E">
        <w:rPr>
          <w:rFonts w:ascii="Arial" w:hAnsi="Arial" w:cs="Arial"/>
          <w:sz w:val="24"/>
          <w:szCs w:val="24"/>
        </w:rPr>
        <w:t>(Mijs, 2016)</w:t>
      </w:r>
      <w:r>
        <w:rPr>
          <w:rFonts w:ascii="Arial" w:hAnsi="Arial" w:cs="Arial"/>
          <w:sz w:val="24"/>
          <w:szCs w:val="24"/>
        </w:rPr>
        <w:t xml:space="preserve">, continue to discuss the impact of ability grouping on social mobility (Bourdieu and Passeron, 1977; </w:t>
      </w:r>
      <w:r w:rsidRPr="00611670">
        <w:rPr>
          <w:rFonts w:ascii="Arial" w:hAnsi="Arial" w:cs="Arial"/>
          <w:sz w:val="24"/>
          <w:szCs w:val="24"/>
        </w:rPr>
        <w:t xml:space="preserve">Darnon </w:t>
      </w:r>
      <w:r w:rsidRPr="00611670">
        <w:rPr>
          <w:rFonts w:ascii="Arial" w:hAnsi="Arial" w:cs="Arial"/>
          <w:i/>
          <w:iCs/>
          <w:sz w:val="24"/>
          <w:szCs w:val="24"/>
        </w:rPr>
        <w:t xml:space="preserve">et al., </w:t>
      </w:r>
      <w:r w:rsidRPr="00611670">
        <w:rPr>
          <w:rFonts w:ascii="Arial" w:hAnsi="Arial" w:cs="Arial"/>
          <w:sz w:val="24"/>
          <w:szCs w:val="24"/>
        </w:rPr>
        <w:t>2018</w:t>
      </w:r>
      <w:r>
        <w:rPr>
          <w:rFonts w:ascii="Arial" w:hAnsi="Arial" w:cs="Arial"/>
          <w:sz w:val="24"/>
          <w:szCs w:val="24"/>
        </w:rPr>
        <w:t xml:space="preserve">), before finishing on an overview of the impact of parental wealth on the meritocratic system and consequent reproduction of inequality </w:t>
      </w:r>
      <w:r w:rsidRPr="008755F9">
        <w:rPr>
          <w:rFonts w:ascii="Arial" w:hAnsi="Arial" w:cs="Arial"/>
          <w:sz w:val="24"/>
          <w:szCs w:val="24"/>
        </w:rPr>
        <w:t>(Souto-Otero, 2010)</w:t>
      </w:r>
      <w:r>
        <w:rPr>
          <w:rFonts w:ascii="Arial" w:hAnsi="Arial" w:cs="Arial"/>
          <w:sz w:val="24"/>
          <w:szCs w:val="24"/>
        </w:rPr>
        <w:t>.</w:t>
      </w:r>
    </w:p>
    <w:p w14:paraId="7A4BD01A" w14:textId="04DD59F1" w:rsidR="008602AC" w:rsidRDefault="008602AC" w:rsidP="00F763F2">
      <w:pPr>
        <w:spacing w:line="360" w:lineRule="auto"/>
        <w:jc w:val="both"/>
        <w:rPr>
          <w:rFonts w:ascii="Arial" w:hAnsi="Arial" w:cs="Arial"/>
          <w:b/>
          <w:bCs/>
          <w:sz w:val="24"/>
          <w:szCs w:val="24"/>
        </w:rPr>
      </w:pPr>
      <w:r>
        <w:rPr>
          <w:rFonts w:ascii="Arial" w:hAnsi="Arial" w:cs="Arial"/>
          <w:b/>
          <w:bCs/>
          <w:sz w:val="24"/>
          <w:szCs w:val="24"/>
        </w:rPr>
        <w:t>Schools as a barrier to social mobility/meritocracy</w:t>
      </w:r>
      <w:r w:rsidR="00D55A6F">
        <w:rPr>
          <w:rFonts w:ascii="Arial" w:hAnsi="Arial" w:cs="Arial"/>
          <w:b/>
          <w:bCs/>
          <w:sz w:val="24"/>
          <w:szCs w:val="24"/>
        </w:rPr>
        <w:t xml:space="preserve"> </w:t>
      </w:r>
      <w:r w:rsidR="00DC5BE1">
        <w:rPr>
          <w:rFonts w:ascii="Arial" w:hAnsi="Arial" w:cs="Arial"/>
          <w:b/>
          <w:bCs/>
          <w:sz w:val="24"/>
          <w:szCs w:val="24"/>
        </w:rPr>
        <w:t>–</w:t>
      </w:r>
      <w:r w:rsidR="00D55A6F">
        <w:rPr>
          <w:rFonts w:ascii="Arial" w:hAnsi="Arial" w:cs="Arial"/>
          <w:b/>
          <w:bCs/>
          <w:sz w:val="24"/>
          <w:szCs w:val="24"/>
        </w:rPr>
        <w:t xml:space="preserve"> intro</w:t>
      </w:r>
    </w:p>
    <w:p w14:paraId="7762409A" w14:textId="4112C053" w:rsidR="00FC2051" w:rsidRDefault="00FC2051" w:rsidP="00F763F2">
      <w:pPr>
        <w:spacing w:line="360" w:lineRule="auto"/>
        <w:jc w:val="both"/>
        <w:rPr>
          <w:rFonts w:ascii="Arial" w:hAnsi="Arial" w:cs="Arial"/>
          <w:sz w:val="24"/>
          <w:szCs w:val="24"/>
        </w:rPr>
      </w:pPr>
      <w:r>
        <w:rPr>
          <w:rFonts w:ascii="Arial" w:hAnsi="Arial" w:cs="Arial"/>
          <w:sz w:val="24"/>
          <w:szCs w:val="24"/>
        </w:rPr>
        <w:t>Discussions on meritocracy are limited to those with the privilege to participate (</w:t>
      </w:r>
      <w:r w:rsidRPr="00FE7A12">
        <w:rPr>
          <w:rFonts w:ascii="Arial" w:hAnsi="Arial" w:cs="Arial"/>
          <w:sz w:val="24"/>
          <w:szCs w:val="24"/>
        </w:rPr>
        <w:t>Aronson</w:t>
      </w:r>
      <w:r>
        <w:rPr>
          <w:rFonts w:ascii="Arial" w:hAnsi="Arial" w:cs="Arial"/>
          <w:sz w:val="24"/>
          <w:szCs w:val="24"/>
        </w:rPr>
        <w:t xml:space="preserve"> </w:t>
      </w:r>
      <w:r>
        <w:rPr>
          <w:rFonts w:ascii="Arial" w:hAnsi="Arial" w:cs="Arial"/>
          <w:i/>
          <w:iCs/>
          <w:sz w:val="24"/>
          <w:szCs w:val="24"/>
        </w:rPr>
        <w:t xml:space="preserve">et al., </w:t>
      </w:r>
      <w:r w:rsidRPr="00FE7A12">
        <w:rPr>
          <w:rFonts w:ascii="Arial" w:hAnsi="Arial" w:cs="Arial"/>
          <w:sz w:val="24"/>
          <w:szCs w:val="24"/>
        </w:rPr>
        <w:t>2013</w:t>
      </w:r>
      <w:r>
        <w:rPr>
          <w:rFonts w:ascii="Arial" w:hAnsi="Arial" w:cs="Arial"/>
          <w:sz w:val="24"/>
          <w:szCs w:val="24"/>
        </w:rPr>
        <w:t xml:space="preserve">; </w:t>
      </w:r>
      <w:r w:rsidRPr="00FE7A12">
        <w:rPr>
          <w:rFonts w:ascii="Arial" w:hAnsi="Arial" w:cs="Arial"/>
          <w:sz w:val="24"/>
          <w:szCs w:val="24"/>
        </w:rPr>
        <w:t>Hewstone</w:t>
      </w:r>
      <w:r>
        <w:rPr>
          <w:rFonts w:ascii="Arial" w:hAnsi="Arial" w:cs="Arial"/>
          <w:sz w:val="24"/>
          <w:szCs w:val="24"/>
        </w:rPr>
        <w:t xml:space="preserve"> </w:t>
      </w:r>
      <w:r>
        <w:rPr>
          <w:rFonts w:ascii="Arial" w:hAnsi="Arial" w:cs="Arial"/>
          <w:i/>
          <w:iCs/>
          <w:sz w:val="24"/>
          <w:szCs w:val="24"/>
        </w:rPr>
        <w:t xml:space="preserve">et al., </w:t>
      </w:r>
      <w:r w:rsidRPr="00FE7A12">
        <w:rPr>
          <w:rFonts w:ascii="Arial" w:hAnsi="Arial" w:cs="Arial"/>
          <w:sz w:val="24"/>
          <w:szCs w:val="24"/>
        </w:rPr>
        <w:t>2012</w:t>
      </w:r>
      <w:r>
        <w:rPr>
          <w:rFonts w:ascii="Arial" w:hAnsi="Arial" w:cs="Arial"/>
          <w:sz w:val="24"/>
          <w:szCs w:val="24"/>
        </w:rPr>
        <w:t xml:space="preserve">; </w:t>
      </w:r>
      <w:r w:rsidRPr="00FE7A12">
        <w:rPr>
          <w:rFonts w:ascii="Arial" w:hAnsi="Arial" w:cs="Arial"/>
          <w:sz w:val="24"/>
          <w:szCs w:val="24"/>
        </w:rPr>
        <w:t xml:space="preserve">Hogg </w:t>
      </w:r>
      <w:r>
        <w:rPr>
          <w:rFonts w:ascii="Arial" w:hAnsi="Arial" w:cs="Arial"/>
          <w:sz w:val="24"/>
          <w:szCs w:val="24"/>
        </w:rPr>
        <w:t>and</w:t>
      </w:r>
      <w:r w:rsidRPr="00FE7A12">
        <w:rPr>
          <w:rFonts w:ascii="Arial" w:hAnsi="Arial" w:cs="Arial"/>
          <w:sz w:val="24"/>
          <w:szCs w:val="24"/>
        </w:rPr>
        <w:t xml:space="preserve"> Vaughan, 2008</w:t>
      </w:r>
      <w:r>
        <w:rPr>
          <w:rFonts w:ascii="Arial" w:hAnsi="Arial" w:cs="Arial"/>
          <w:sz w:val="24"/>
          <w:szCs w:val="24"/>
        </w:rPr>
        <w:t xml:space="preserve">; </w:t>
      </w:r>
      <w:r w:rsidRPr="00FE7A12">
        <w:rPr>
          <w:rFonts w:ascii="Arial" w:hAnsi="Arial" w:cs="Arial"/>
          <w:sz w:val="24"/>
          <w:szCs w:val="24"/>
        </w:rPr>
        <w:t xml:space="preserve">Kuppens </w:t>
      </w:r>
      <w:r w:rsidRPr="00FE7A12">
        <w:rPr>
          <w:rFonts w:ascii="Arial" w:hAnsi="Arial" w:cs="Arial"/>
          <w:i/>
          <w:iCs/>
          <w:sz w:val="24"/>
          <w:szCs w:val="24"/>
        </w:rPr>
        <w:t xml:space="preserve">et al., </w:t>
      </w:r>
      <w:r w:rsidRPr="00FE7A12">
        <w:rPr>
          <w:rFonts w:ascii="Arial" w:hAnsi="Arial" w:cs="Arial"/>
          <w:sz w:val="24"/>
          <w:szCs w:val="24"/>
        </w:rPr>
        <w:t>2018</w:t>
      </w:r>
      <w:r>
        <w:rPr>
          <w:rFonts w:ascii="Arial" w:hAnsi="Arial" w:cs="Arial"/>
          <w:sz w:val="24"/>
          <w:szCs w:val="24"/>
        </w:rPr>
        <w:t xml:space="preserve">), often confining the narrative to affluent, white males (Taylor and O’Brien, 2017). Beliefs that the social system is meritocratic often correlates with people believing in equity </w:t>
      </w:r>
      <w:r w:rsidRPr="00FD006F">
        <w:rPr>
          <w:rFonts w:ascii="Arial" w:hAnsi="Arial" w:cs="Arial"/>
          <w:sz w:val="24"/>
          <w:szCs w:val="24"/>
        </w:rPr>
        <w:t xml:space="preserve">(Jost </w:t>
      </w:r>
      <w:r w:rsidRPr="00FD006F">
        <w:rPr>
          <w:rFonts w:ascii="Arial" w:hAnsi="Arial" w:cs="Arial"/>
          <w:i/>
          <w:iCs/>
          <w:sz w:val="24"/>
          <w:szCs w:val="24"/>
        </w:rPr>
        <w:t>et al.,</w:t>
      </w:r>
      <w:r w:rsidRPr="00FD006F">
        <w:rPr>
          <w:rFonts w:ascii="Arial" w:hAnsi="Arial" w:cs="Arial"/>
          <w:sz w:val="24"/>
          <w:szCs w:val="24"/>
        </w:rPr>
        <w:t xml:space="preserve"> 200</w:t>
      </w:r>
      <w:r>
        <w:rPr>
          <w:rFonts w:ascii="Arial" w:hAnsi="Arial" w:cs="Arial"/>
          <w:sz w:val="24"/>
          <w:szCs w:val="24"/>
        </w:rPr>
        <w:t>3</w:t>
      </w:r>
      <w:r w:rsidRPr="00FD006F">
        <w:rPr>
          <w:rFonts w:ascii="Arial" w:hAnsi="Arial" w:cs="Arial"/>
          <w:sz w:val="24"/>
          <w:szCs w:val="24"/>
        </w:rPr>
        <w:t>)</w:t>
      </w:r>
      <w:r>
        <w:rPr>
          <w:rFonts w:ascii="Arial" w:hAnsi="Arial" w:cs="Arial"/>
          <w:sz w:val="24"/>
          <w:szCs w:val="24"/>
        </w:rPr>
        <w:t>, rather than equality as a distribution rule (</w:t>
      </w:r>
      <w:r w:rsidRPr="00FD006F">
        <w:rPr>
          <w:rFonts w:ascii="Arial" w:hAnsi="Arial" w:cs="Arial"/>
          <w:sz w:val="24"/>
          <w:szCs w:val="24"/>
        </w:rPr>
        <w:t xml:space="preserve">Fischer </w:t>
      </w:r>
      <w:r>
        <w:rPr>
          <w:rFonts w:ascii="Arial" w:hAnsi="Arial" w:cs="Arial"/>
          <w:sz w:val="24"/>
          <w:szCs w:val="24"/>
        </w:rPr>
        <w:t>and</w:t>
      </w:r>
      <w:r w:rsidRPr="00FD006F">
        <w:rPr>
          <w:rFonts w:ascii="Arial" w:hAnsi="Arial" w:cs="Arial"/>
          <w:sz w:val="24"/>
          <w:szCs w:val="24"/>
        </w:rPr>
        <w:t xml:space="preserve"> Smith, 2003</w:t>
      </w:r>
      <w:r>
        <w:rPr>
          <w:rFonts w:ascii="Arial" w:hAnsi="Arial" w:cs="Arial"/>
          <w:sz w:val="24"/>
          <w:szCs w:val="24"/>
        </w:rPr>
        <w:t xml:space="preserve">; </w:t>
      </w:r>
      <w:r w:rsidRPr="00FD006F">
        <w:rPr>
          <w:rFonts w:ascii="Arial" w:hAnsi="Arial" w:cs="Arial"/>
          <w:sz w:val="24"/>
          <w:szCs w:val="24"/>
        </w:rPr>
        <w:t xml:space="preserve">Son Hing </w:t>
      </w:r>
      <w:r w:rsidRPr="00FD006F">
        <w:rPr>
          <w:rFonts w:ascii="Arial" w:hAnsi="Arial" w:cs="Arial"/>
          <w:i/>
          <w:iCs/>
          <w:sz w:val="24"/>
          <w:szCs w:val="24"/>
        </w:rPr>
        <w:t xml:space="preserve">et al., </w:t>
      </w:r>
      <w:r w:rsidRPr="00FD006F">
        <w:rPr>
          <w:rFonts w:ascii="Arial" w:hAnsi="Arial" w:cs="Arial"/>
          <w:sz w:val="24"/>
          <w:szCs w:val="24"/>
        </w:rPr>
        <w:t>2011</w:t>
      </w:r>
      <w:r>
        <w:rPr>
          <w:rFonts w:ascii="Arial" w:hAnsi="Arial" w:cs="Arial"/>
          <w:sz w:val="24"/>
          <w:szCs w:val="24"/>
        </w:rPr>
        <w:t>).</w:t>
      </w:r>
      <w:r w:rsidR="0056414A">
        <w:rPr>
          <w:rFonts w:ascii="Arial" w:hAnsi="Arial" w:cs="Arial"/>
          <w:sz w:val="24"/>
          <w:szCs w:val="24"/>
        </w:rPr>
        <w:t xml:space="preserve"> </w:t>
      </w:r>
      <w:r w:rsidR="0056414A" w:rsidRPr="007045A8">
        <w:rPr>
          <w:rFonts w:ascii="Arial" w:hAnsi="Arial" w:cs="Arial"/>
          <w:sz w:val="24"/>
          <w:szCs w:val="24"/>
        </w:rPr>
        <w:t>The more that those in power believe in meritocracy, the better their wellbeing, suggesting that keeping the status quo is preferrable</w:t>
      </w:r>
      <w:r w:rsidR="007045A8">
        <w:rPr>
          <w:rFonts w:ascii="Arial" w:hAnsi="Arial" w:cs="Arial"/>
          <w:sz w:val="24"/>
          <w:szCs w:val="24"/>
        </w:rPr>
        <w:t xml:space="preserve"> for this group </w:t>
      </w:r>
      <w:r w:rsidR="007045A8" w:rsidRPr="00FD006F">
        <w:rPr>
          <w:rFonts w:ascii="Arial" w:hAnsi="Arial" w:cs="Arial"/>
          <w:sz w:val="24"/>
          <w:szCs w:val="24"/>
        </w:rPr>
        <w:t>(Foster</w:t>
      </w:r>
      <w:r w:rsidR="007045A8">
        <w:rPr>
          <w:rFonts w:ascii="Arial" w:hAnsi="Arial" w:cs="Arial"/>
          <w:sz w:val="24"/>
          <w:szCs w:val="24"/>
        </w:rPr>
        <w:t xml:space="preserve"> </w:t>
      </w:r>
      <w:r w:rsidR="007045A8">
        <w:rPr>
          <w:rFonts w:ascii="Arial" w:hAnsi="Arial" w:cs="Arial"/>
          <w:i/>
          <w:iCs/>
          <w:sz w:val="24"/>
          <w:szCs w:val="24"/>
        </w:rPr>
        <w:t>et al.</w:t>
      </w:r>
      <w:r w:rsidR="007045A8" w:rsidRPr="00FD006F">
        <w:rPr>
          <w:rFonts w:ascii="Arial" w:hAnsi="Arial" w:cs="Arial"/>
          <w:sz w:val="24"/>
          <w:szCs w:val="24"/>
        </w:rPr>
        <w:t>, 2006;</w:t>
      </w:r>
      <w:r w:rsidR="007045A8">
        <w:rPr>
          <w:rFonts w:ascii="Arial" w:hAnsi="Arial" w:cs="Arial"/>
          <w:sz w:val="24"/>
          <w:szCs w:val="24"/>
        </w:rPr>
        <w:t xml:space="preserve"> McRobbie, 2015;</w:t>
      </w:r>
      <w:r w:rsidR="007045A8" w:rsidRPr="00FD006F">
        <w:rPr>
          <w:rFonts w:ascii="Arial" w:hAnsi="Arial" w:cs="Arial"/>
          <w:sz w:val="24"/>
          <w:szCs w:val="24"/>
        </w:rPr>
        <w:t xml:space="preserve"> Napier </w:t>
      </w:r>
      <w:r w:rsidR="007045A8">
        <w:rPr>
          <w:rFonts w:ascii="Arial" w:hAnsi="Arial" w:cs="Arial"/>
          <w:sz w:val="24"/>
          <w:szCs w:val="24"/>
        </w:rPr>
        <w:t>and</w:t>
      </w:r>
      <w:r w:rsidR="007045A8" w:rsidRPr="00FD006F">
        <w:rPr>
          <w:rFonts w:ascii="Arial" w:hAnsi="Arial" w:cs="Arial"/>
          <w:sz w:val="24"/>
          <w:szCs w:val="24"/>
        </w:rPr>
        <w:t xml:space="preserve"> Jost, 2008; O’Brien </w:t>
      </w:r>
      <w:r w:rsidR="007045A8">
        <w:rPr>
          <w:rFonts w:ascii="Arial" w:hAnsi="Arial" w:cs="Arial"/>
          <w:sz w:val="24"/>
          <w:szCs w:val="24"/>
        </w:rPr>
        <w:t>and</w:t>
      </w:r>
      <w:r w:rsidR="007045A8" w:rsidRPr="00FD006F">
        <w:rPr>
          <w:rFonts w:ascii="Arial" w:hAnsi="Arial" w:cs="Arial"/>
          <w:sz w:val="24"/>
          <w:szCs w:val="24"/>
        </w:rPr>
        <w:t xml:space="preserve"> Major, 2005; Son Hing </w:t>
      </w:r>
      <w:r w:rsidR="007045A8" w:rsidRPr="00FD006F">
        <w:rPr>
          <w:rFonts w:ascii="Arial" w:hAnsi="Arial" w:cs="Arial"/>
          <w:i/>
          <w:iCs/>
          <w:sz w:val="24"/>
          <w:szCs w:val="24"/>
        </w:rPr>
        <w:t xml:space="preserve">et al., </w:t>
      </w:r>
      <w:r w:rsidR="007045A8" w:rsidRPr="00FD006F">
        <w:rPr>
          <w:rFonts w:ascii="Arial" w:hAnsi="Arial" w:cs="Arial"/>
          <w:sz w:val="24"/>
          <w:szCs w:val="24"/>
        </w:rPr>
        <w:t>2011</w:t>
      </w:r>
      <w:r w:rsidR="007045A8">
        <w:rPr>
          <w:rFonts w:ascii="Arial" w:hAnsi="Arial" w:cs="Arial"/>
          <w:sz w:val="24"/>
          <w:szCs w:val="24"/>
        </w:rPr>
        <w:t>; Taylor and O’Brien, 2017</w:t>
      </w:r>
      <w:r w:rsidR="007045A8" w:rsidRPr="00FD006F">
        <w:rPr>
          <w:rFonts w:ascii="Arial" w:hAnsi="Arial" w:cs="Arial"/>
          <w:sz w:val="24"/>
          <w:szCs w:val="24"/>
        </w:rPr>
        <w:t>).</w:t>
      </w:r>
      <w:r w:rsidR="007045A8">
        <w:rPr>
          <w:rFonts w:ascii="Arial" w:hAnsi="Arial" w:cs="Arial"/>
          <w:sz w:val="24"/>
          <w:szCs w:val="24"/>
        </w:rPr>
        <w:t xml:space="preserve"> This links with social dominance theory (Sidanius </w:t>
      </w:r>
      <w:r w:rsidR="007045A8">
        <w:rPr>
          <w:rFonts w:ascii="Arial" w:hAnsi="Arial" w:cs="Arial"/>
          <w:i/>
          <w:iCs/>
          <w:sz w:val="24"/>
          <w:szCs w:val="24"/>
        </w:rPr>
        <w:t>et al.</w:t>
      </w:r>
      <w:r w:rsidR="007045A8">
        <w:rPr>
          <w:rFonts w:ascii="Arial" w:hAnsi="Arial" w:cs="Arial"/>
          <w:sz w:val="24"/>
          <w:szCs w:val="24"/>
        </w:rPr>
        <w:t xml:space="preserve">, 1999) and the assertion that meritocracy enhances hierarchy by continuing inequality across society. This theory states that those who have power and wealth deserve their status, whereas those who do not have this deserve this due to lack of hard work </w:t>
      </w:r>
      <w:r w:rsidR="007045A8" w:rsidRPr="005451CB">
        <w:rPr>
          <w:rFonts w:ascii="Arial" w:hAnsi="Arial" w:cs="Arial"/>
          <w:sz w:val="24"/>
          <w:szCs w:val="24"/>
        </w:rPr>
        <w:t>competence (</w:t>
      </w:r>
      <w:r w:rsidR="00A66CE8" w:rsidRPr="008D5BEA">
        <w:rPr>
          <w:rFonts w:ascii="Arial" w:hAnsi="Arial" w:cs="Arial"/>
          <w:sz w:val="24"/>
          <w:szCs w:val="24"/>
        </w:rPr>
        <w:t xml:space="preserve">Darnon </w:t>
      </w:r>
      <w:r w:rsidR="00A66CE8" w:rsidRPr="008D5BEA">
        <w:rPr>
          <w:rFonts w:ascii="Arial" w:hAnsi="Arial" w:cs="Arial"/>
          <w:i/>
          <w:iCs/>
          <w:sz w:val="24"/>
          <w:szCs w:val="24"/>
        </w:rPr>
        <w:t xml:space="preserve">et al., </w:t>
      </w:r>
      <w:r w:rsidR="00A66CE8" w:rsidRPr="008D5BEA">
        <w:rPr>
          <w:rFonts w:ascii="Arial" w:hAnsi="Arial" w:cs="Arial"/>
          <w:sz w:val="24"/>
          <w:szCs w:val="24"/>
        </w:rPr>
        <w:t>2018</w:t>
      </w:r>
      <w:r w:rsidR="00A66CE8">
        <w:rPr>
          <w:rFonts w:ascii="Arial" w:hAnsi="Arial" w:cs="Arial"/>
          <w:sz w:val="24"/>
          <w:szCs w:val="24"/>
        </w:rPr>
        <w:t xml:space="preserve">; </w:t>
      </w:r>
      <w:r w:rsidR="007045A8" w:rsidRPr="005451CB">
        <w:rPr>
          <w:rFonts w:ascii="Arial" w:hAnsi="Arial" w:cs="Arial"/>
          <w:sz w:val="24"/>
          <w:szCs w:val="24"/>
        </w:rPr>
        <w:t xml:space="preserve">Haley </w:t>
      </w:r>
      <w:r w:rsidR="007045A8">
        <w:rPr>
          <w:rFonts w:ascii="Arial" w:hAnsi="Arial" w:cs="Arial"/>
          <w:sz w:val="24"/>
          <w:szCs w:val="24"/>
        </w:rPr>
        <w:t>and</w:t>
      </w:r>
      <w:r w:rsidR="007045A8" w:rsidRPr="005451CB">
        <w:rPr>
          <w:rFonts w:ascii="Arial" w:hAnsi="Arial" w:cs="Arial"/>
          <w:sz w:val="24"/>
          <w:szCs w:val="24"/>
        </w:rPr>
        <w:t xml:space="preserve"> Sidanius, 2006;</w:t>
      </w:r>
      <w:r w:rsidR="00A66CE8">
        <w:rPr>
          <w:rFonts w:ascii="Arial" w:hAnsi="Arial" w:cs="Arial"/>
          <w:sz w:val="24"/>
          <w:szCs w:val="24"/>
        </w:rPr>
        <w:t xml:space="preserve"> </w:t>
      </w:r>
      <w:r w:rsidR="00A66CE8" w:rsidRPr="008D5BEA">
        <w:rPr>
          <w:rFonts w:ascii="Arial" w:hAnsi="Arial" w:cs="Arial"/>
          <w:sz w:val="24"/>
          <w:szCs w:val="24"/>
        </w:rPr>
        <w:t xml:space="preserve">Jost </w:t>
      </w:r>
      <w:r w:rsidR="00A66CE8">
        <w:rPr>
          <w:rFonts w:ascii="Arial" w:hAnsi="Arial" w:cs="Arial"/>
          <w:sz w:val="24"/>
          <w:szCs w:val="24"/>
        </w:rPr>
        <w:t>and</w:t>
      </w:r>
      <w:r w:rsidR="00A66CE8" w:rsidRPr="008D5BEA">
        <w:rPr>
          <w:rFonts w:ascii="Arial" w:hAnsi="Arial" w:cs="Arial"/>
          <w:sz w:val="24"/>
          <w:szCs w:val="24"/>
        </w:rPr>
        <w:t xml:space="preserve"> Hunyady, 2002</w:t>
      </w:r>
      <w:r w:rsidR="00A66CE8">
        <w:rPr>
          <w:rFonts w:ascii="Arial" w:hAnsi="Arial" w:cs="Arial"/>
          <w:sz w:val="24"/>
          <w:szCs w:val="24"/>
        </w:rPr>
        <w:t>;</w:t>
      </w:r>
      <w:r w:rsidR="007045A8" w:rsidRPr="005451CB">
        <w:rPr>
          <w:rFonts w:ascii="Arial" w:hAnsi="Arial" w:cs="Arial"/>
          <w:sz w:val="24"/>
          <w:szCs w:val="24"/>
        </w:rPr>
        <w:t xml:space="preserve"> Pratto</w:t>
      </w:r>
      <w:r w:rsidR="007045A8">
        <w:rPr>
          <w:rFonts w:ascii="Arial" w:hAnsi="Arial" w:cs="Arial"/>
          <w:sz w:val="24"/>
          <w:szCs w:val="24"/>
        </w:rPr>
        <w:t xml:space="preserve"> </w:t>
      </w:r>
      <w:r w:rsidR="007045A8">
        <w:rPr>
          <w:rFonts w:ascii="Arial" w:hAnsi="Arial" w:cs="Arial"/>
          <w:i/>
          <w:iCs/>
          <w:sz w:val="24"/>
          <w:szCs w:val="24"/>
        </w:rPr>
        <w:t xml:space="preserve">et al., </w:t>
      </w:r>
      <w:r w:rsidR="007045A8" w:rsidRPr="005451CB">
        <w:rPr>
          <w:rFonts w:ascii="Arial" w:hAnsi="Arial" w:cs="Arial"/>
          <w:sz w:val="24"/>
          <w:szCs w:val="24"/>
        </w:rPr>
        <w:t xml:space="preserve">1994; Son Hing </w:t>
      </w:r>
      <w:r w:rsidR="007045A8" w:rsidRPr="005451CB">
        <w:rPr>
          <w:rFonts w:ascii="Arial" w:hAnsi="Arial" w:cs="Arial"/>
          <w:i/>
          <w:iCs/>
          <w:sz w:val="24"/>
          <w:szCs w:val="24"/>
        </w:rPr>
        <w:t xml:space="preserve">et al., </w:t>
      </w:r>
      <w:r w:rsidR="007045A8" w:rsidRPr="005451CB">
        <w:rPr>
          <w:rFonts w:ascii="Arial" w:hAnsi="Arial" w:cs="Arial"/>
          <w:sz w:val="24"/>
          <w:szCs w:val="24"/>
        </w:rPr>
        <w:t>201</w:t>
      </w:r>
      <w:r w:rsidR="007045A8">
        <w:rPr>
          <w:rFonts w:ascii="Arial" w:hAnsi="Arial" w:cs="Arial"/>
          <w:sz w:val="24"/>
          <w:szCs w:val="24"/>
        </w:rPr>
        <w:t>1</w:t>
      </w:r>
      <w:r w:rsidR="00A66CE8">
        <w:rPr>
          <w:rFonts w:ascii="Arial" w:hAnsi="Arial" w:cs="Arial"/>
          <w:sz w:val="24"/>
          <w:szCs w:val="24"/>
        </w:rPr>
        <w:t xml:space="preserve">; </w:t>
      </w:r>
      <w:r w:rsidR="00A66CE8" w:rsidRPr="008D5BEA">
        <w:rPr>
          <w:rFonts w:ascii="Arial" w:hAnsi="Arial" w:cs="Arial"/>
          <w:sz w:val="24"/>
          <w:szCs w:val="24"/>
        </w:rPr>
        <w:t xml:space="preserve">Wiederkehr </w:t>
      </w:r>
      <w:r w:rsidR="00A66CE8" w:rsidRPr="008D5BEA">
        <w:rPr>
          <w:rFonts w:ascii="Arial" w:hAnsi="Arial" w:cs="Arial"/>
          <w:i/>
          <w:iCs/>
          <w:sz w:val="24"/>
          <w:szCs w:val="24"/>
        </w:rPr>
        <w:t>et al.</w:t>
      </w:r>
      <w:r w:rsidR="00A66CE8" w:rsidRPr="008D5BEA">
        <w:rPr>
          <w:rFonts w:ascii="Arial" w:hAnsi="Arial" w:cs="Arial"/>
          <w:sz w:val="24"/>
          <w:szCs w:val="24"/>
        </w:rPr>
        <w:t>, 2015</w:t>
      </w:r>
      <w:r w:rsidR="007045A8" w:rsidRPr="005451CB">
        <w:rPr>
          <w:rFonts w:ascii="Arial" w:hAnsi="Arial" w:cs="Arial"/>
          <w:sz w:val="24"/>
          <w:szCs w:val="24"/>
        </w:rPr>
        <w:t>)</w:t>
      </w:r>
      <w:r w:rsidR="00A66CE8">
        <w:rPr>
          <w:rFonts w:ascii="Arial" w:hAnsi="Arial" w:cs="Arial"/>
          <w:sz w:val="24"/>
          <w:szCs w:val="24"/>
        </w:rPr>
        <w:t xml:space="preserve">. There is also a correlation between levels of education and belief in meritocracy, with those with higher educational qualifications more likely to believe that the social system is meritocratic </w:t>
      </w:r>
      <w:r w:rsidR="00A66CE8" w:rsidRPr="004C41E0">
        <w:rPr>
          <w:rFonts w:ascii="Arial" w:hAnsi="Arial" w:cs="Arial"/>
          <w:sz w:val="24"/>
          <w:szCs w:val="24"/>
        </w:rPr>
        <w:t xml:space="preserve">(Duru-Bellat </w:t>
      </w:r>
      <w:r w:rsidR="00A66CE8">
        <w:rPr>
          <w:rFonts w:ascii="Arial" w:hAnsi="Arial" w:cs="Arial"/>
          <w:sz w:val="24"/>
          <w:szCs w:val="24"/>
        </w:rPr>
        <w:t>and</w:t>
      </w:r>
      <w:r w:rsidR="00A66CE8" w:rsidRPr="004C41E0">
        <w:rPr>
          <w:rFonts w:ascii="Arial" w:hAnsi="Arial" w:cs="Arial"/>
          <w:sz w:val="24"/>
          <w:szCs w:val="24"/>
        </w:rPr>
        <w:t xml:space="preserve"> Tenret, 2012</w:t>
      </w:r>
      <w:r w:rsidR="00A66CE8">
        <w:rPr>
          <w:rFonts w:ascii="Arial" w:hAnsi="Arial" w:cs="Arial"/>
          <w:sz w:val="24"/>
          <w:szCs w:val="24"/>
        </w:rPr>
        <w:t>; Warikoo and Fuhr, 2014</w:t>
      </w:r>
      <w:r w:rsidR="00A66CE8" w:rsidRPr="004C41E0">
        <w:rPr>
          <w:rFonts w:ascii="Arial" w:hAnsi="Arial" w:cs="Arial"/>
          <w:sz w:val="24"/>
          <w:szCs w:val="24"/>
        </w:rPr>
        <w:t>).</w:t>
      </w:r>
    </w:p>
    <w:p w14:paraId="3B998A57" w14:textId="18967670" w:rsidR="00FD1F01" w:rsidRDefault="00591F78" w:rsidP="00F763F2">
      <w:pPr>
        <w:spacing w:line="360" w:lineRule="auto"/>
        <w:jc w:val="both"/>
        <w:rPr>
          <w:rFonts w:ascii="Arial" w:hAnsi="Arial" w:cs="Arial"/>
          <w:sz w:val="24"/>
          <w:szCs w:val="24"/>
        </w:rPr>
      </w:pPr>
      <w:r w:rsidRPr="00F578C9">
        <w:rPr>
          <w:rFonts w:ascii="Arial" w:hAnsi="Arial" w:cs="Arial"/>
          <w:sz w:val="24"/>
          <w:szCs w:val="24"/>
        </w:rPr>
        <w:t>Young’s (1958) work proposed ‘merit = intelligence + effort’, and, despite the initial critical intent and consequent argument against by Young (1994) in later works, this has been accepted by scholars (Jin and Ball, 2020).</w:t>
      </w:r>
      <w:r w:rsidR="00F578C9" w:rsidRPr="00F578C9">
        <w:rPr>
          <w:rFonts w:ascii="Arial" w:hAnsi="Arial" w:cs="Arial"/>
          <w:sz w:val="24"/>
          <w:szCs w:val="24"/>
        </w:rPr>
        <w:t xml:space="preserve"> Young’s assertion, suggests that intelligence and effort are both integral to educational attainment, yet some meritocratic debates suggest that effort is the key factor (Souto-Otero, 2010)</w:t>
      </w:r>
      <w:r w:rsidR="001A73B7">
        <w:rPr>
          <w:rFonts w:ascii="Arial" w:hAnsi="Arial" w:cs="Arial"/>
          <w:sz w:val="24"/>
          <w:szCs w:val="24"/>
        </w:rPr>
        <w:t xml:space="preserve">. Despite </w:t>
      </w:r>
      <w:r w:rsidR="001A73B7">
        <w:rPr>
          <w:rFonts w:ascii="Arial" w:hAnsi="Arial" w:cs="Arial"/>
          <w:sz w:val="24"/>
          <w:szCs w:val="24"/>
        </w:rPr>
        <w:lastRenderedPageBreak/>
        <w:t xml:space="preserve">this, achievements may not consider effort as the most important indicator. One student may study hard and achieve a lower grade, than a student who did not try as hard but scored a higher grade. Mijs (2016) argues that, from a meritocratic perspective, the higher score deserves the higher grade, showing that intelligence is more significant than effort. This argument relates to Bourdieu’s theory of social reproduction (Bourdieu and Passeron, 1977) which </w:t>
      </w:r>
      <w:r w:rsidR="005559A3">
        <w:rPr>
          <w:rFonts w:ascii="Arial" w:hAnsi="Arial" w:cs="Arial"/>
          <w:sz w:val="24"/>
          <w:szCs w:val="24"/>
        </w:rPr>
        <w:t>focusses on the relationship between family, education and class</w:t>
      </w:r>
      <w:r w:rsidR="00FD1F01">
        <w:rPr>
          <w:rFonts w:ascii="Arial" w:hAnsi="Arial" w:cs="Arial"/>
          <w:sz w:val="24"/>
          <w:szCs w:val="24"/>
        </w:rPr>
        <w:t>, arguing that education plays a role in the reproduction of social inequalities</w:t>
      </w:r>
      <w:r w:rsidR="001A73B7">
        <w:rPr>
          <w:rFonts w:ascii="Arial" w:hAnsi="Arial" w:cs="Arial"/>
          <w:sz w:val="24"/>
          <w:szCs w:val="24"/>
        </w:rPr>
        <w:t xml:space="preserve"> </w:t>
      </w:r>
      <w:r w:rsidR="001A73B7" w:rsidRPr="00F523B2">
        <w:rPr>
          <w:rFonts w:ascii="Arial" w:hAnsi="Arial" w:cs="Arial"/>
          <w:sz w:val="24"/>
          <w:szCs w:val="24"/>
        </w:rPr>
        <w:t>(Tzanakis, 2011).</w:t>
      </w:r>
      <w:r w:rsidR="001A73B7">
        <w:rPr>
          <w:rFonts w:ascii="Arial" w:hAnsi="Arial" w:cs="Arial"/>
          <w:sz w:val="24"/>
          <w:szCs w:val="24"/>
        </w:rPr>
        <w:t xml:space="preserve"> </w:t>
      </w:r>
    </w:p>
    <w:p w14:paraId="5F4A57B0" w14:textId="14A8423A" w:rsidR="00ED4AED" w:rsidRPr="0037652A" w:rsidRDefault="00ED4AED" w:rsidP="00F763F2">
      <w:pPr>
        <w:spacing w:line="360" w:lineRule="auto"/>
        <w:jc w:val="both"/>
        <w:rPr>
          <w:rFonts w:ascii="Arial" w:hAnsi="Arial" w:cs="Arial"/>
          <w:sz w:val="36"/>
          <w:szCs w:val="36"/>
        </w:rPr>
      </w:pPr>
      <w:r w:rsidRPr="00ED4AED">
        <w:rPr>
          <w:rFonts w:ascii="Arial" w:hAnsi="Arial" w:cs="Arial"/>
          <w:sz w:val="24"/>
          <w:szCs w:val="24"/>
        </w:rPr>
        <w:t xml:space="preserve">All schools have differences in relation to quality of teaching and the student population, but there are also significant differences between public and private schools in school segregation (Mijs, 2016). Existing research on meritocracy within education has considered inequality of opportunity (Arrow </w:t>
      </w:r>
      <w:r w:rsidRPr="00ED4AED">
        <w:rPr>
          <w:rFonts w:ascii="Arial" w:hAnsi="Arial" w:cs="Arial"/>
          <w:i/>
          <w:iCs/>
          <w:sz w:val="24"/>
          <w:szCs w:val="24"/>
        </w:rPr>
        <w:t>et al.</w:t>
      </w:r>
      <w:r w:rsidRPr="00ED4AED">
        <w:rPr>
          <w:rFonts w:ascii="Arial" w:hAnsi="Arial" w:cs="Arial"/>
          <w:sz w:val="24"/>
          <w:szCs w:val="24"/>
        </w:rPr>
        <w:t xml:space="preserve">, 2000) and social immobility (Dench, 2006). Meritocracy in education is often shown as a way to reduce social inequalities, as, in a meritocratic system, success would be a consequence of a student’s deservedness, not factors such as social status (Darnon </w:t>
      </w:r>
      <w:r w:rsidRPr="00ED4AED">
        <w:rPr>
          <w:rFonts w:ascii="Arial" w:hAnsi="Arial" w:cs="Arial"/>
          <w:i/>
          <w:iCs/>
          <w:sz w:val="24"/>
          <w:szCs w:val="24"/>
        </w:rPr>
        <w:t xml:space="preserve">et al., </w:t>
      </w:r>
      <w:r w:rsidRPr="00ED4AED">
        <w:rPr>
          <w:rFonts w:ascii="Arial" w:hAnsi="Arial" w:cs="Arial"/>
          <w:sz w:val="24"/>
          <w:szCs w:val="24"/>
        </w:rPr>
        <w:t>2018)</w:t>
      </w:r>
      <w:r>
        <w:rPr>
          <w:rFonts w:ascii="Arial" w:hAnsi="Arial" w:cs="Arial"/>
          <w:sz w:val="24"/>
          <w:szCs w:val="24"/>
        </w:rPr>
        <w:t xml:space="preserve">. Despite this argument, meritocracy in schools, and the belief in this as a legitimate system, both reproduces social inequality and limits social mobility </w:t>
      </w:r>
      <w:r w:rsidRPr="00400ED6">
        <w:rPr>
          <w:rFonts w:ascii="Arial" w:hAnsi="Arial" w:cs="Arial"/>
          <w:color w:val="000000"/>
          <w:sz w:val="24"/>
          <w:szCs w:val="24"/>
        </w:rPr>
        <w:t>(Reay, 2018)</w:t>
      </w:r>
      <w:r>
        <w:rPr>
          <w:rFonts w:ascii="Arial" w:hAnsi="Arial" w:cs="Arial"/>
          <w:color w:val="000000"/>
          <w:sz w:val="24"/>
          <w:szCs w:val="24"/>
        </w:rPr>
        <w:t>.</w:t>
      </w:r>
    </w:p>
    <w:p w14:paraId="381385B4" w14:textId="77777777" w:rsidR="00DC6686" w:rsidRDefault="00DC6686" w:rsidP="00F763F2">
      <w:pPr>
        <w:spacing w:line="360" w:lineRule="auto"/>
        <w:jc w:val="both"/>
        <w:rPr>
          <w:rFonts w:ascii="Arial" w:hAnsi="Arial" w:cs="Arial"/>
          <w:sz w:val="28"/>
          <w:szCs w:val="28"/>
          <w:u w:val="single"/>
        </w:rPr>
      </w:pPr>
      <w:r>
        <w:rPr>
          <w:rFonts w:ascii="Arial" w:hAnsi="Arial" w:cs="Arial"/>
          <w:sz w:val="28"/>
          <w:szCs w:val="28"/>
          <w:u w:val="single"/>
        </w:rPr>
        <w:t>Schools reinforcing hierarchy rather than meritocracy</w:t>
      </w:r>
    </w:p>
    <w:p w14:paraId="5191649F" w14:textId="13A73A49" w:rsidR="0037652A" w:rsidRDefault="0037652A" w:rsidP="0037652A">
      <w:pPr>
        <w:spacing w:line="360" w:lineRule="auto"/>
        <w:jc w:val="both"/>
        <w:rPr>
          <w:rFonts w:ascii="Arial" w:hAnsi="Arial" w:cs="Arial"/>
          <w:sz w:val="24"/>
          <w:szCs w:val="24"/>
        </w:rPr>
      </w:pPr>
      <w:r>
        <w:rPr>
          <w:rFonts w:ascii="Arial" w:hAnsi="Arial" w:cs="Arial"/>
          <w:sz w:val="24"/>
          <w:szCs w:val="24"/>
        </w:rPr>
        <w:t xml:space="preserve">Through engaging with meritocracy, schools and the wider education system can also reinforce the hierarchy, reproducing social inequality and limiting social mobility. Education has been viewed as increasingly important within the UK </w:t>
      </w:r>
      <w:r w:rsidRPr="0037362F">
        <w:rPr>
          <w:rFonts w:ascii="Arial" w:hAnsi="Arial" w:cs="Arial"/>
          <w:sz w:val="24"/>
          <w:szCs w:val="24"/>
        </w:rPr>
        <w:t xml:space="preserve">(Grusky </w:t>
      </w:r>
      <w:r>
        <w:rPr>
          <w:rFonts w:ascii="Arial" w:hAnsi="Arial" w:cs="Arial"/>
          <w:sz w:val="24"/>
          <w:szCs w:val="24"/>
        </w:rPr>
        <w:t>and</w:t>
      </w:r>
      <w:r w:rsidRPr="0037362F">
        <w:rPr>
          <w:rFonts w:ascii="Arial" w:hAnsi="Arial" w:cs="Arial"/>
          <w:sz w:val="24"/>
          <w:szCs w:val="24"/>
        </w:rPr>
        <w:t xml:space="preserve"> DiPrete, 1990)</w:t>
      </w:r>
      <w:r>
        <w:rPr>
          <w:rFonts w:ascii="Arial" w:hAnsi="Arial" w:cs="Arial"/>
          <w:sz w:val="24"/>
          <w:szCs w:val="24"/>
        </w:rPr>
        <w:t xml:space="preserve"> and the continuing view of education as solving inequalities </w:t>
      </w:r>
      <w:r w:rsidRPr="0037362F">
        <w:rPr>
          <w:rFonts w:ascii="Arial" w:hAnsi="Arial" w:cs="Arial"/>
          <w:sz w:val="24"/>
          <w:szCs w:val="24"/>
        </w:rPr>
        <w:t xml:space="preserve">(Depaepe </w:t>
      </w:r>
      <w:r>
        <w:rPr>
          <w:rFonts w:ascii="Arial" w:hAnsi="Arial" w:cs="Arial"/>
          <w:sz w:val="24"/>
          <w:szCs w:val="24"/>
        </w:rPr>
        <w:t>and</w:t>
      </w:r>
      <w:r w:rsidRPr="0037362F">
        <w:rPr>
          <w:rFonts w:ascii="Arial" w:hAnsi="Arial" w:cs="Arial"/>
          <w:sz w:val="24"/>
          <w:szCs w:val="24"/>
        </w:rPr>
        <w:t xml:space="preserve"> Smeyers, 2008)</w:t>
      </w:r>
      <w:r>
        <w:rPr>
          <w:rFonts w:ascii="Arial" w:hAnsi="Arial" w:cs="Arial"/>
          <w:sz w:val="24"/>
          <w:szCs w:val="24"/>
        </w:rPr>
        <w:t xml:space="preserve"> has increased the likelihood of those from a lower socio-economic background being negatively viewed, whilst still strengthening meritocratic views </w:t>
      </w:r>
      <w:r w:rsidRPr="00FE7A12">
        <w:rPr>
          <w:rFonts w:ascii="Arial" w:hAnsi="Arial" w:cs="Arial"/>
          <w:sz w:val="24"/>
          <w:szCs w:val="24"/>
        </w:rPr>
        <w:t xml:space="preserve">(Kuppens </w:t>
      </w:r>
      <w:r w:rsidRPr="00FE7A12">
        <w:rPr>
          <w:rFonts w:ascii="Arial" w:hAnsi="Arial" w:cs="Arial"/>
          <w:i/>
          <w:iCs/>
          <w:sz w:val="24"/>
          <w:szCs w:val="24"/>
        </w:rPr>
        <w:t xml:space="preserve">et al., </w:t>
      </w:r>
      <w:r w:rsidRPr="00FE7A12">
        <w:rPr>
          <w:rFonts w:ascii="Arial" w:hAnsi="Arial" w:cs="Arial"/>
          <w:sz w:val="24"/>
          <w:szCs w:val="24"/>
        </w:rPr>
        <w:t>2018)</w:t>
      </w:r>
      <w:r>
        <w:rPr>
          <w:rFonts w:ascii="Arial" w:hAnsi="Arial" w:cs="Arial"/>
          <w:sz w:val="24"/>
          <w:szCs w:val="24"/>
        </w:rPr>
        <w:t>.</w:t>
      </w:r>
    </w:p>
    <w:p w14:paraId="4932AC94" w14:textId="386761BF" w:rsidR="00DC6686" w:rsidRPr="00D0588A" w:rsidRDefault="0037652A" w:rsidP="00D0588A">
      <w:pPr>
        <w:spacing w:line="360" w:lineRule="auto"/>
        <w:jc w:val="both"/>
        <w:rPr>
          <w:rFonts w:ascii="Arial" w:hAnsi="Arial" w:cs="Arial"/>
          <w:sz w:val="24"/>
          <w:szCs w:val="24"/>
        </w:rPr>
      </w:pPr>
      <w:r>
        <w:rPr>
          <w:rFonts w:ascii="Arial" w:hAnsi="Arial" w:cs="Arial"/>
          <w:sz w:val="24"/>
          <w:szCs w:val="24"/>
        </w:rPr>
        <w:t xml:space="preserve">There has been a long history of research that has criticised the functionalist view of education </w:t>
      </w:r>
      <w:r w:rsidRPr="00B9326B">
        <w:rPr>
          <w:rFonts w:ascii="Arial" w:hAnsi="Arial" w:cs="Arial"/>
          <w:sz w:val="24"/>
          <w:szCs w:val="24"/>
        </w:rPr>
        <w:t xml:space="preserve">(Bourdieu </w:t>
      </w:r>
      <w:r>
        <w:rPr>
          <w:rFonts w:ascii="Arial" w:hAnsi="Arial" w:cs="Arial"/>
          <w:sz w:val="24"/>
          <w:szCs w:val="24"/>
        </w:rPr>
        <w:t>and</w:t>
      </w:r>
      <w:r w:rsidRPr="00B9326B">
        <w:rPr>
          <w:rFonts w:ascii="Arial" w:hAnsi="Arial" w:cs="Arial"/>
          <w:sz w:val="24"/>
          <w:szCs w:val="24"/>
        </w:rPr>
        <w:t xml:space="preserve"> Passeron, 1977; Breen </w:t>
      </w:r>
      <w:r>
        <w:rPr>
          <w:rFonts w:ascii="Arial" w:hAnsi="Arial" w:cs="Arial"/>
          <w:sz w:val="24"/>
          <w:szCs w:val="24"/>
        </w:rPr>
        <w:t>and</w:t>
      </w:r>
      <w:r w:rsidRPr="00B9326B">
        <w:rPr>
          <w:rFonts w:ascii="Arial" w:hAnsi="Arial" w:cs="Arial"/>
          <w:sz w:val="24"/>
          <w:szCs w:val="24"/>
        </w:rPr>
        <w:t xml:space="preserve"> Jonsson, 2005; Lamont</w:t>
      </w:r>
      <w:r>
        <w:rPr>
          <w:rFonts w:ascii="Arial" w:hAnsi="Arial" w:cs="Arial"/>
          <w:sz w:val="24"/>
          <w:szCs w:val="24"/>
        </w:rPr>
        <w:t xml:space="preserve"> </w:t>
      </w:r>
      <w:r>
        <w:rPr>
          <w:rFonts w:ascii="Arial" w:hAnsi="Arial" w:cs="Arial"/>
          <w:i/>
          <w:iCs/>
          <w:sz w:val="24"/>
          <w:szCs w:val="24"/>
        </w:rPr>
        <w:t xml:space="preserve">et al., </w:t>
      </w:r>
      <w:r w:rsidRPr="00B9326B">
        <w:rPr>
          <w:rFonts w:ascii="Arial" w:hAnsi="Arial" w:cs="Arial"/>
          <w:sz w:val="24"/>
          <w:szCs w:val="24"/>
        </w:rPr>
        <w:t>2014</w:t>
      </w:r>
      <w:r>
        <w:rPr>
          <w:rFonts w:ascii="Arial" w:hAnsi="Arial" w:cs="Arial"/>
          <w:sz w:val="24"/>
          <w:szCs w:val="24"/>
        </w:rPr>
        <w:t>)</w:t>
      </w:r>
      <w:r w:rsidR="0061332F">
        <w:rPr>
          <w:rFonts w:ascii="Arial" w:hAnsi="Arial" w:cs="Arial"/>
          <w:sz w:val="24"/>
          <w:szCs w:val="24"/>
        </w:rPr>
        <w:t>. Scholars have studied the inequalities within education and how these alleviate some social groups over others</w:t>
      </w:r>
      <w:r w:rsidR="00D0588A">
        <w:rPr>
          <w:rFonts w:ascii="Arial" w:hAnsi="Arial" w:cs="Arial"/>
          <w:sz w:val="24"/>
          <w:szCs w:val="24"/>
        </w:rPr>
        <w:t>, including through non-meritocratic processes within supposed meritocratic selection</w:t>
      </w:r>
      <w:r w:rsidR="0061332F">
        <w:rPr>
          <w:rFonts w:ascii="Arial" w:hAnsi="Arial" w:cs="Arial"/>
          <w:sz w:val="24"/>
          <w:szCs w:val="24"/>
        </w:rPr>
        <w:t xml:space="preserve"> </w:t>
      </w:r>
      <w:r w:rsidR="0061332F" w:rsidRPr="00B9326B">
        <w:rPr>
          <w:rFonts w:ascii="Arial" w:hAnsi="Arial" w:cs="Arial"/>
          <w:sz w:val="24"/>
          <w:szCs w:val="24"/>
        </w:rPr>
        <w:t>(</w:t>
      </w:r>
      <w:r w:rsidR="00D0588A" w:rsidRPr="00B9326B">
        <w:rPr>
          <w:rFonts w:ascii="Arial" w:hAnsi="Arial" w:cs="Arial"/>
          <w:sz w:val="24"/>
          <w:szCs w:val="24"/>
        </w:rPr>
        <w:t>Mijs, 2016</w:t>
      </w:r>
      <w:r w:rsidR="00D0588A">
        <w:rPr>
          <w:rFonts w:ascii="Arial" w:hAnsi="Arial" w:cs="Arial"/>
          <w:sz w:val="24"/>
          <w:szCs w:val="24"/>
        </w:rPr>
        <w:t xml:space="preserve">; </w:t>
      </w:r>
      <w:r w:rsidR="0061332F" w:rsidRPr="00B9326B">
        <w:rPr>
          <w:rFonts w:ascii="Arial" w:hAnsi="Arial" w:cs="Arial"/>
          <w:sz w:val="24"/>
          <w:szCs w:val="24"/>
        </w:rPr>
        <w:t>Stephens</w:t>
      </w:r>
      <w:r w:rsidR="0061332F">
        <w:rPr>
          <w:rFonts w:ascii="Arial" w:hAnsi="Arial" w:cs="Arial"/>
          <w:sz w:val="24"/>
          <w:szCs w:val="24"/>
        </w:rPr>
        <w:t xml:space="preserve"> </w:t>
      </w:r>
      <w:r w:rsidR="0061332F">
        <w:rPr>
          <w:rFonts w:ascii="Arial" w:hAnsi="Arial" w:cs="Arial"/>
          <w:i/>
          <w:iCs/>
          <w:sz w:val="24"/>
          <w:szCs w:val="24"/>
        </w:rPr>
        <w:t>et al.</w:t>
      </w:r>
      <w:r w:rsidR="0061332F" w:rsidRPr="00B9326B">
        <w:rPr>
          <w:rFonts w:ascii="Arial" w:hAnsi="Arial" w:cs="Arial"/>
          <w:sz w:val="24"/>
          <w:szCs w:val="24"/>
        </w:rPr>
        <w:t>, 2014).</w:t>
      </w:r>
      <w:r w:rsidR="00D0588A">
        <w:rPr>
          <w:rFonts w:ascii="Arial" w:hAnsi="Arial" w:cs="Arial"/>
          <w:sz w:val="24"/>
          <w:szCs w:val="24"/>
        </w:rPr>
        <w:t xml:space="preserve"> This perseverance with meritocracy within education, despite the inequalities it creates, means that policy making can ignore equality and need, focussing purely on merit instead </w:t>
      </w:r>
      <w:r w:rsidR="00D0588A" w:rsidRPr="00930637">
        <w:rPr>
          <w:rFonts w:ascii="Arial" w:hAnsi="Arial" w:cs="Arial"/>
          <w:sz w:val="24"/>
          <w:szCs w:val="24"/>
        </w:rPr>
        <w:t>(Mijs, 2016)</w:t>
      </w:r>
      <w:r w:rsidR="00D0588A">
        <w:rPr>
          <w:rFonts w:ascii="Arial" w:hAnsi="Arial" w:cs="Arial"/>
          <w:sz w:val="24"/>
          <w:szCs w:val="24"/>
        </w:rPr>
        <w:t>.</w:t>
      </w:r>
    </w:p>
    <w:p w14:paraId="06721A1C" w14:textId="6A469469" w:rsidR="00D55A6F" w:rsidRPr="00D55A6F" w:rsidRDefault="00D55A6F" w:rsidP="00F763F2">
      <w:pPr>
        <w:spacing w:line="360" w:lineRule="auto"/>
        <w:jc w:val="both"/>
        <w:rPr>
          <w:rFonts w:ascii="Arial" w:hAnsi="Arial" w:cs="Arial"/>
          <w:sz w:val="28"/>
          <w:szCs w:val="28"/>
          <w:u w:val="single"/>
        </w:rPr>
      </w:pPr>
      <w:r w:rsidRPr="00D55A6F">
        <w:rPr>
          <w:rFonts w:ascii="Arial" w:hAnsi="Arial" w:cs="Arial"/>
          <w:sz w:val="28"/>
          <w:szCs w:val="28"/>
          <w:u w:val="single"/>
        </w:rPr>
        <w:lastRenderedPageBreak/>
        <w:t>Schools and social mobility</w:t>
      </w:r>
    </w:p>
    <w:p w14:paraId="5ED94F00" w14:textId="4E6238F0" w:rsidR="00AB1411" w:rsidRDefault="00AB1411" w:rsidP="00AB1411">
      <w:pPr>
        <w:spacing w:line="360" w:lineRule="auto"/>
        <w:jc w:val="both"/>
        <w:rPr>
          <w:rFonts w:ascii="Arial" w:hAnsi="Arial" w:cs="Arial"/>
          <w:sz w:val="24"/>
          <w:szCs w:val="24"/>
        </w:rPr>
      </w:pPr>
      <w:r w:rsidRPr="00AB1411">
        <w:rPr>
          <w:rFonts w:ascii="Arial" w:hAnsi="Arial" w:cs="Arial"/>
          <w:sz w:val="24"/>
          <w:szCs w:val="24"/>
        </w:rPr>
        <w:t xml:space="preserve">The status attainment </w:t>
      </w:r>
      <w:r w:rsidRPr="007600FE">
        <w:rPr>
          <w:rFonts w:ascii="Arial" w:hAnsi="Arial" w:cs="Arial"/>
          <w:sz w:val="24"/>
          <w:szCs w:val="24"/>
        </w:rPr>
        <w:t xml:space="preserve">(Blau </w:t>
      </w:r>
      <w:r>
        <w:rPr>
          <w:rFonts w:ascii="Arial" w:hAnsi="Arial" w:cs="Arial"/>
          <w:sz w:val="24"/>
          <w:szCs w:val="24"/>
        </w:rPr>
        <w:t>and</w:t>
      </w:r>
      <w:r w:rsidRPr="007600FE">
        <w:rPr>
          <w:rFonts w:ascii="Arial" w:hAnsi="Arial" w:cs="Arial"/>
          <w:sz w:val="24"/>
          <w:szCs w:val="24"/>
        </w:rPr>
        <w:t xml:space="preserve"> Duncan, 1967; Lipset </w:t>
      </w:r>
      <w:r>
        <w:rPr>
          <w:rFonts w:ascii="Arial" w:hAnsi="Arial" w:cs="Arial"/>
          <w:sz w:val="24"/>
          <w:szCs w:val="24"/>
        </w:rPr>
        <w:t>and</w:t>
      </w:r>
      <w:r w:rsidRPr="007600FE">
        <w:rPr>
          <w:rFonts w:ascii="Arial" w:hAnsi="Arial" w:cs="Arial"/>
          <w:sz w:val="24"/>
          <w:szCs w:val="24"/>
        </w:rPr>
        <w:t xml:space="preserve"> Bendix, 1992)</w:t>
      </w:r>
      <w:r>
        <w:rPr>
          <w:rFonts w:ascii="Arial" w:hAnsi="Arial" w:cs="Arial"/>
          <w:sz w:val="24"/>
          <w:szCs w:val="24"/>
        </w:rPr>
        <w:t xml:space="preserve"> and the reproduction models </w:t>
      </w:r>
      <w:r w:rsidRPr="007600FE">
        <w:rPr>
          <w:rFonts w:ascii="Arial" w:hAnsi="Arial" w:cs="Arial"/>
          <w:sz w:val="24"/>
          <w:szCs w:val="24"/>
        </w:rPr>
        <w:t xml:space="preserve">(Bourdieu </w:t>
      </w:r>
      <w:r>
        <w:rPr>
          <w:rFonts w:ascii="Arial" w:hAnsi="Arial" w:cs="Arial"/>
          <w:sz w:val="24"/>
          <w:szCs w:val="24"/>
        </w:rPr>
        <w:t>and</w:t>
      </w:r>
      <w:r w:rsidRPr="007600FE">
        <w:rPr>
          <w:rFonts w:ascii="Arial" w:hAnsi="Arial" w:cs="Arial"/>
          <w:sz w:val="24"/>
          <w:szCs w:val="24"/>
        </w:rPr>
        <w:t xml:space="preserve"> Passeron, 1977; Willis, 1977)</w:t>
      </w:r>
      <w:r>
        <w:rPr>
          <w:rFonts w:ascii="Arial" w:hAnsi="Arial" w:cs="Arial"/>
          <w:sz w:val="24"/>
          <w:szCs w:val="24"/>
        </w:rPr>
        <w:t xml:space="preserve"> demonstrate barriers that exist within education, including social mobility </w:t>
      </w:r>
      <w:r w:rsidRPr="007600FE">
        <w:rPr>
          <w:rFonts w:ascii="Arial" w:hAnsi="Arial" w:cs="Arial"/>
          <w:sz w:val="24"/>
          <w:szCs w:val="24"/>
        </w:rPr>
        <w:t>(Davies, 1995; Stevens, 2008; Warikoo and Fuhr, 2014).</w:t>
      </w:r>
      <w:r>
        <w:rPr>
          <w:rFonts w:ascii="Arial" w:hAnsi="Arial" w:cs="Arial"/>
          <w:sz w:val="24"/>
          <w:szCs w:val="24"/>
        </w:rPr>
        <w:t xml:space="preserve"> The National Child Development Study (NCDS) (1958) was one of the integral studies into social mobility in Britain, highlighted by Saunders (1996) as an unrivalled way to analyse the relationship between social status and mobility (Savage and Egerton, 1997). </w:t>
      </w:r>
      <w:r w:rsidR="002D1DEE">
        <w:rPr>
          <w:rFonts w:ascii="Arial" w:hAnsi="Arial" w:cs="Arial"/>
          <w:sz w:val="24"/>
          <w:szCs w:val="24"/>
        </w:rPr>
        <w:t>The NCDS studied 17,414 children at different ages and, despite its basis in psychology, is seen as a key way to study social mobility (</w:t>
      </w:r>
      <w:r w:rsidR="002D1DEE" w:rsidRPr="00323B70">
        <w:rPr>
          <w:rFonts w:ascii="Arial" w:hAnsi="Arial" w:cs="Arial"/>
          <w:sz w:val="24"/>
          <w:szCs w:val="24"/>
        </w:rPr>
        <w:t>Fogelman</w:t>
      </w:r>
      <w:r w:rsidR="002D1DEE">
        <w:rPr>
          <w:rFonts w:ascii="Arial" w:hAnsi="Arial" w:cs="Arial"/>
          <w:sz w:val="24"/>
          <w:szCs w:val="24"/>
        </w:rPr>
        <w:t>,</w:t>
      </w:r>
      <w:r w:rsidR="002D1DEE" w:rsidRPr="00323B70">
        <w:rPr>
          <w:rFonts w:ascii="Arial" w:hAnsi="Arial" w:cs="Arial"/>
          <w:sz w:val="24"/>
          <w:szCs w:val="24"/>
        </w:rPr>
        <w:t xml:space="preserve"> 1983</w:t>
      </w:r>
      <w:r w:rsidR="002D1DEE">
        <w:rPr>
          <w:rFonts w:ascii="Arial" w:hAnsi="Arial" w:cs="Arial"/>
          <w:sz w:val="24"/>
          <w:szCs w:val="24"/>
        </w:rPr>
        <w:t xml:space="preserve">; </w:t>
      </w:r>
      <w:r w:rsidR="002D1DEE" w:rsidRPr="00323B70">
        <w:rPr>
          <w:rFonts w:ascii="Arial" w:hAnsi="Arial" w:cs="Arial"/>
          <w:sz w:val="24"/>
          <w:szCs w:val="24"/>
        </w:rPr>
        <w:t>NCDS, 1958</w:t>
      </w:r>
      <w:r w:rsidR="002D1DEE">
        <w:t xml:space="preserve">; </w:t>
      </w:r>
      <w:r w:rsidR="002D1DEE">
        <w:rPr>
          <w:rFonts w:ascii="Arial" w:hAnsi="Arial" w:cs="Arial"/>
          <w:sz w:val="24"/>
          <w:szCs w:val="24"/>
        </w:rPr>
        <w:t>Savage and Egerton, 1997</w:t>
      </w:r>
      <w:r w:rsidR="002D1DEE" w:rsidRPr="00323B70">
        <w:rPr>
          <w:rFonts w:ascii="Arial" w:hAnsi="Arial" w:cs="Arial"/>
          <w:sz w:val="24"/>
          <w:szCs w:val="24"/>
        </w:rPr>
        <w:t>)</w:t>
      </w:r>
      <w:r w:rsidR="002D1DEE">
        <w:rPr>
          <w:rFonts w:ascii="Arial" w:hAnsi="Arial" w:cs="Arial"/>
          <w:sz w:val="24"/>
          <w:szCs w:val="24"/>
        </w:rPr>
        <w:t>. The NCDS measured the relationship between the social status of the children’s father, their ability on a test taken at 11 years old and their social class when they reached the age of 33, proposing a relationship not only between inherited social status, but also between the ability of the child, and their social status (Saunders, 1996; Savage and Egerton, 1997)</w:t>
      </w:r>
      <w:r w:rsidR="00C755EA">
        <w:rPr>
          <w:rFonts w:ascii="Arial" w:hAnsi="Arial" w:cs="Arial"/>
          <w:sz w:val="24"/>
          <w:szCs w:val="24"/>
        </w:rPr>
        <w:t>.</w:t>
      </w:r>
    </w:p>
    <w:p w14:paraId="5A1C00B7" w14:textId="3AB4EA2E" w:rsidR="00C755EA" w:rsidRPr="00C755EA" w:rsidRDefault="00C755EA" w:rsidP="00C755EA">
      <w:pPr>
        <w:spacing w:line="360" w:lineRule="auto"/>
        <w:jc w:val="both"/>
        <w:rPr>
          <w:rFonts w:ascii="Arial" w:hAnsi="Arial" w:cs="Arial"/>
          <w:sz w:val="24"/>
          <w:szCs w:val="24"/>
        </w:rPr>
      </w:pPr>
      <w:r>
        <w:rPr>
          <w:rFonts w:ascii="Arial" w:hAnsi="Arial" w:cs="Arial"/>
          <w:sz w:val="24"/>
          <w:szCs w:val="24"/>
        </w:rPr>
        <w:t xml:space="preserve">Saunders (1997) has studied structural factors as individual traits, and therefore deemed them not truly structural. He states that young people from lower socio-economic backgrounds who perform well in ability tests are more likely to gain lucrative employment than those from a higher socio-economic background who score poorly in the same tests. Blau and Duncan (1967) also argue that social mobility is based on meritocracy and that children with ability will succeed regardless of their background </w:t>
      </w:r>
      <w:r w:rsidRPr="00C463ED">
        <w:rPr>
          <w:rFonts w:ascii="Arial" w:hAnsi="Arial" w:cs="Arial"/>
          <w:sz w:val="24"/>
          <w:szCs w:val="24"/>
        </w:rPr>
        <w:t>(</w:t>
      </w:r>
      <w:r>
        <w:rPr>
          <w:rFonts w:ascii="Arial" w:hAnsi="Arial" w:cs="Arial"/>
          <w:sz w:val="24"/>
          <w:szCs w:val="24"/>
        </w:rPr>
        <w:t xml:space="preserve">Savage and Egerton, 1997). The structuralist argument considers this from a different perspective, where middle-class employment is increasing and therefore it is expected that some from a lower socio-economic background will fill these jobs, as there are not enough people from a middle-class background to take them </w:t>
      </w:r>
      <w:r w:rsidRPr="00C463ED">
        <w:rPr>
          <w:rFonts w:ascii="Arial" w:hAnsi="Arial" w:cs="Arial"/>
          <w:sz w:val="24"/>
          <w:szCs w:val="24"/>
        </w:rPr>
        <w:t>(</w:t>
      </w:r>
      <w:r>
        <w:rPr>
          <w:rFonts w:ascii="Arial" w:hAnsi="Arial" w:cs="Arial"/>
          <w:sz w:val="24"/>
          <w:szCs w:val="24"/>
        </w:rPr>
        <w:t xml:space="preserve">Savage and Egerton, 1997). It is also probable that those from a lower socio-economic background who perform better in ability tests will take these jobs </w:t>
      </w:r>
      <w:r w:rsidRPr="00C463ED">
        <w:rPr>
          <w:rFonts w:ascii="Arial" w:hAnsi="Arial" w:cs="Arial"/>
          <w:sz w:val="24"/>
          <w:szCs w:val="24"/>
        </w:rPr>
        <w:t>(</w:t>
      </w:r>
      <w:r w:rsidRPr="008755F9">
        <w:rPr>
          <w:rFonts w:ascii="Arial" w:hAnsi="Arial" w:cs="Arial"/>
          <w:sz w:val="24"/>
          <w:szCs w:val="24"/>
        </w:rPr>
        <w:t>Souto-Otero, 2010</w:t>
      </w:r>
      <w:r>
        <w:rPr>
          <w:rFonts w:ascii="Arial" w:hAnsi="Arial" w:cs="Arial"/>
          <w:sz w:val="24"/>
          <w:szCs w:val="24"/>
        </w:rPr>
        <w:t xml:space="preserve">). This does not, however, mean that meritocracy and ability causes social mobility. Social mobility is only possible if there are structural changes, with ability being used only as a way to determine who is more deserving of these roles, rather than it being an explanation of mobility </w:t>
      </w:r>
      <w:r w:rsidRPr="00C463ED">
        <w:rPr>
          <w:rFonts w:ascii="Arial" w:hAnsi="Arial" w:cs="Arial"/>
          <w:sz w:val="24"/>
          <w:szCs w:val="24"/>
        </w:rPr>
        <w:t>(</w:t>
      </w:r>
      <w:r>
        <w:rPr>
          <w:rFonts w:ascii="Arial" w:hAnsi="Arial" w:cs="Arial"/>
          <w:sz w:val="24"/>
          <w:szCs w:val="24"/>
        </w:rPr>
        <w:t>Mare, 1980; Savage and Egerton, 1997). Consequently, it is apparent that t</w:t>
      </w:r>
      <w:r w:rsidRPr="00C755EA">
        <w:rPr>
          <w:rFonts w:ascii="Arial" w:hAnsi="Arial" w:cs="Arial"/>
          <w:sz w:val="24"/>
          <w:szCs w:val="24"/>
        </w:rPr>
        <w:t xml:space="preserve">here is not an empirical process to test whether individual or structural factors are more significant when studying social mobility, as the two are closely correlated </w:t>
      </w:r>
      <w:r w:rsidRPr="00C755EA">
        <w:rPr>
          <w:rFonts w:ascii="Arial" w:hAnsi="Arial" w:cs="Arial"/>
          <w:sz w:val="24"/>
          <w:szCs w:val="24"/>
        </w:rPr>
        <w:lastRenderedPageBreak/>
        <w:t>(Savage and Egerton, 1997).</w:t>
      </w:r>
      <w:r w:rsidR="006A441F">
        <w:rPr>
          <w:rFonts w:ascii="Arial" w:hAnsi="Arial" w:cs="Arial"/>
          <w:sz w:val="24"/>
          <w:szCs w:val="24"/>
        </w:rPr>
        <w:t xml:space="preserve"> Conflict theory is therefore most relevant here, as they follow Marx’s emphasis on the economic structure of society (Hicks </w:t>
      </w:r>
      <w:r w:rsidR="006A441F">
        <w:rPr>
          <w:rFonts w:ascii="Arial" w:hAnsi="Arial" w:cs="Arial"/>
          <w:i/>
          <w:iCs/>
          <w:sz w:val="24"/>
          <w:szCs w:val="24"/>
        </w:rPr>
        <w:t xml:space="preserve">et al., </w:t>
      </w:r>
      <w:r w:rsidR="006A441F">
        <w:rPr>
          <w:rFonts w:ascii="Arial" w:hAnsi="Arial" w:cs="Arial"/>
          <w:sz w:val="24"/>
          <w:szCs w:val="24"/>
        </w:rPr>
        <w:t xml:space="preserve">2005), viewing education as a tool within capitalism by selecting and allocating in a way that manipulates the public </w:t>
      </w:r>
      <w:r w:rsidR="006A441F">
        <w:rPr>
          <w:rFonts w:ascii="Arial" w:eastAsia="Times New Roman" w:hAnsi="Arial" w:cs="Arial"/>
          <w:sz w:val="24"/>
          <w:szCs w:val="24"/>
        </w:rPr>
        <w:t xml:space="preserve">(Ballantine and Spade, 1993). Weber’s (1961) theories can also be used to view inequalities and conflict as sustained through distributions of status and power (Ballantine and Spade, 1993), and that, until educational systems are reformed, schools cannot provide equal access to all children (Bowles and Gintis, 1976). The conflict </w:t>
      </w:r>
      <w:r w:rsidR="00C44D01">
        <w:rPr>
          <w:rFonts w:ascii="Arial" w:eastAsia="Times New Roman" w:hAnsi="Arial" w:cs="Arial"/>
          <w:sz w:val="24"/>
          <w:szCs w:val="24"/>
        </w:rPr>
        <w:t>theorist’s</w:t>
      </w:r>
      <w:r w:rsidR="006A441F">
        <w:rPr>
          <w:rFonts w:ascii="Arial" w:eastAsia="Times New Roman" w:hAnsi="Arial" w:cs="Arial"/>
          <w:sz w:val="24"/>
          <w:szCs w:val="24"/>
        </w:rPr>
        <w:t xml:space="preserve"> stance on education is therefore used in this submission, as students achievement is not based on ability, but rather reflects the dominant groups within society to perpetuate capitalism (Ballantine and Spade, 1993).</w:t>
      </w:r>
    </w:p>
    <w:p w14:paraId="73F6B21D" w14:textId="77777777" w:rsidR="00C755EA" w:rsidRDefault="00C755EA" w:rsidP="00C755EA">
      <w:pPr>
        <w:pStyle w:val="ListParagraph"/>
        <w:spacing w:line="360" w:lineRule="auto"/>
        <w:jc w:val="both"/>
        <w:rPr>
          <w:rFonts w:ascii="Arial" w:hAnsi="Arial" w:cs="Arial"/>
          <w:sz w:val="24"/>
          <w:szCs w:val="24"/>
        </w:rPr>
      </w:pPr>
    </w:p>
    <w:p w14:paraId="46F98E18" w14:textId="1CC38F40" w:rsidR="00D55A6F" w:rsidRPr="00B9326B" w:rsidRDefault="00B9326B" w:rsidP="00F763F2">
      <w:pPr>
        <w:spacing w:line="360" w:lineRule="auto"/>
        <w:jc w:val="both"/>
        <w:rPr>
          <w:rFonts w:ascii="Arial" w:hAnsi="Arial" w:cs="Arial"/>
          <w:sz w:val="28"/>
          <w:szCs w:val="28"/>
          <w:u w:val="single"/>
        </w:rPr>
      </w:pPr>
      <w:r>
        <w:rPr>
          <w:rFonts w:ascii="Arial" w:hAnsi="Arial" w:cs="Arial"/>
          <w:sz w:val="28"/>
          <w:szCs w:val="28"/>
          <w:u w:val="single"/>
        </w:rPr>
        <w:t>Ability grouping</w:t>
      </w:r>
    </w:p>
    <w:p w14:paraId="3AFE612A" w14:textId="59F0C772" w:rsidR="00C44D01" w:rsidRDefault="00C44D01" w:rsidP="00C44D01">
      <w:pPr>
        <w:spacing w:line="360" w:lineRule="auto"/>
        <w:jc w:val="both"/>
        <w:rPr>
          <w:rFonts w:ascii="Arial" w:hAnsi="Arial" w:cs="Arial"/>
          <w:color w:val="000000"/>
          <w:sz w:val="24"/>
          <w:szCs w:val="24"/>
        </w:rPr>
      </w:pPr>
      <w:r>
        <w:rPr>
          <w:rFonts w:ascii="Arial" w:hAnsi="Arial" w:cs="Arial"/>
          <w:sz w:val="24"/>
          <w:szCs w:val="24"/>
        </w:rPr>
        <w:t xml:space="preserve">Ability grouping within education, associated with meritocracy as those who achieve the higher grades are in top sets, can have a significant impact on the social reproduction of inequality and social mobility. </w:t>
      </w:r>
      <w:r w:rsidR="00D477CA">
        <w:rPr>
          <w:rFonts w:ascii="Arial" w:hAnsi="Arial" w:cs="Arial"/>
          <w:sz w:val="24"/>
          <w:szCs w:val="24"/>
        </w:rPr>
        <w:t xml:space="preserve">This can occur within private and state schools, as ability grouping can lead to top sets receiving more academic </w:t>
      </w:r>
      <w:r w:rsidR="000249BC">
        <w:rPr>
          <w:rFonts w:ascii="Arial" w:hAnsi="Arial" w:cs="Arial"/>
          <w:sz w:val="24"/>
          <w:szCs w:val="24"/>
        </w:rPr>
        <w:t>resources and teaching</w:t>
      </w:r>
      <w:r w:rsidR="00D477CA">
        <w:rPr>
          <w:rFonts w:ascii="Arial" w:hAnsi="Arial" w:cs="Arial"/>
          <w:sz w:val="24"/>
          <w:szCs w:val="24"/>
        </w:rPr>
        <w:t xml:space="preserve"> </w:t>
      </w:r>
      <w:r w:rsidR="00D477CA" w:rsidRPr="00544173">
        <w:rPr>
          <w:rFonts w:ascii="Arial" w:hAnsi="Arial" w:cs="Arial"/>
          <w:sz w:val="24"/>
          <w:szCs w:val="24"/>
        </w:rPr>
        <w:t>(LeTendre</w:t>
      </w:r>
      <w:r w:rsidR="00D477CA">
        <w:rPr>
          <w:rFonts w:ascii="Arial" w:hAnsi="Arial" w:cs="Arial"/>
          <w:sz w:val="24"/>
          <w:szCs w:val="24"/>
        </w:rPr>
        <w:t xml:space="preserve"> </w:t>
      </w:r>
      <w:r w:rsidR="00D477CA">
        <w:rPr>
          <w:rFonts w:ascii="Arial" w:hAnsi="Arial" w:cs="Arial"/>
          <w:i/>
          <w:iCs/>
          <w:sz w:val="24"/>
          <w:szCs w:val="24"/>
        </w:rPr>
        <w:t>et al.</w:t>
      </w:r>
      <w:r w:rsidR="00D477CA" w:rsidRPr="00544173">
        <w:rPr>
          <w:rFonts w:ascii="Arial" w:hAnsi="Arial" w:cs="Arial"/>
          <w:sz w:val="24"/>
          <w:szCs w:val="24"/>
        </w:rPr>
        <w:t>, 2003).</w:t>
      </w:r>
      <w:r w:rsidR="000249BC">
        <w:rPr>
          <w:rFonts w:ascii="Arial" w:hAnsi="Arial" w:cs="Arial"/>
          <w:sz w:val="24"/>
          <w:szCs w:val="24"/>
        </w:rPr>
        <w:t xml:space="preserve"> This difference was highlighted in Britain in the 1950s, when children took the ability based 11-plus to decide if they would attend a grammar school or a secondary modern </w:t>
      </w:r>
      <w:r w:rsidR="000249BC" w:rsidRPr="00320811">
        <w:rPr>
          <w:rFonts w:ascii="Arial" w:hAnsi="Arial" w:cs="Arial"/>
          <w:color w:val="000000"/>
          <w:sz w:val="24"/>
          <w:szCs w:val="24"/>
        </w:rPr>
        <w:t>(Dorling 2011</w:t>
      </w:r>
      <w:r w:rsidR="000249BC">
        <w:rPr>
          <w:rFonts w:ascii="Arial" w:hAnsi="Arial" w:cs="Arial"/>
          <w:color w:val="000000"/>
          <w:sz w:val="24"/>
          <w:szCs w:val="24"/>
        </w:rPr>
        <w:t xml:space="preserve">). The money spent per head on grammar school children was much higher than their secondary modern peers </w:t>
      </w:r>
      <w:r w:rsidR="000249BC" w:rsidRPr="00320811">
        <w:rPr>
          <w:rFonts w:ascii="Arial" w:hAnsi="Arial" w:cs="Arial"/>
          <w:color w:val="000000"/>
          <w:sz w:val="24"/>
          <w:szCs w:val="24"/>
        </w:rPr>
        <w:t>(Dorling 2011</w:t>
      </w:r>
      <w:r w:rsidR="000249BC">
        <w:rPr>
          <w:rFonts w:ascii="Arial" w:hAnsi="Arial" w:cs="Arial"/>
          <w:color w:val="000000"/>
          <w:sz w:val="24"/>
          <w:szCs w:val="24"/>
        </w:rPr>
        <w:t xml:space="preserve">), which was possible because of the ambiguous nature of meritocracy </w:t>
      </w:r>
      <w:r w:rsidR="000249BC" w:rsidRPr="00320811">
        <w:rPr>
          <w:rFonts w:ascii="Arial" w:hAnsi="Arial" w:cs="Arial"/>
          <w:color w:val="000000"/>
          <w:sz w:val="24"/>
          <w:szCs w:val="24"/>
        </w:rPr>
        <w:t>(Littler, 2017)</w:t>
      </w:r>
      <w:r w:rsidR="000249BC">
        <w:rPr>
          <w:rFonts w:ascii="Arial" w:hAnsi="Arial" w:cs="Arial"/>
          <w:color w:val="000000"/>
          <w:sz w:val="24"/>
          <w:szCs w:val="24"/>
        </w:rPr>
        <w:t>.</w:t>
      </w:r>
    </w:p>
    <w:p w14:paraId="2918A6EF" w14:textId="3CAAA8D7" w:rsidR="001857EB" w:rsidRDefault="000249BC" w:rsidP="001857EB">
      <w:pPr>
        <w:spacing w:line="360" w:lineRule="auto"/>
        <w:jc w:val="both"/>
        <w:rPr>
          <w:rFonts w:ascii="Arial" w:eastAsia="Times New Roman" w:hAnsi="Arial" w:cs="Arial"/>
          <w:sz w:val="24"/>
          <w:szCs w:val="24"/>
        </w:rPr>
      </w:pPr>
      <w:r>
        <w:rPr>
          <w:rFonts w:ascii="Arial" w:hAnsi="Arial" w:cs="Arial"/>
          <w:color w:val="000000"/>
          <w:sz w:val="24"/>
          <w:szCs w:val="24"/>
        </w:rPr>
        <w:t xml:space="preserve">A socioeconomic achievement gap exists pre-primary education and continues through school, most notably in numeracy </w:t>
      </w:r>
      <w:r w:rsidRPr="00611670">
        <w:rPr>
          <w:rFonts w:ascii="Arial" w:hAnsi="Arial" w:cs="Arial"/>
          <w:sz w:val="24"/>
          <w:szCs w:val="24"/>
        </w:rPr>
        <w:t xml:space="preserve">(Galindo </w:t>
      </w:r>
      <w:r>
        <w:rPr>
          <w:rFonts w:ascii="Arial" w:hAnsi="Arial" w:cs="Arial"/>
          <w:sz w:val="24"/>
          <w:szCs w:val="24"/>
        </w:rPr>
        <w:t>and</w:t>
      </w:r>
      <w:r w:rsidRPr="00611670">
        <w:rPr>
          <w:rFonts w:ascii="Arial" w:hAnsi="Arial" w:cs="Arial"/>
          <w:sz w:val="24"/>
          <w:szCs w:val="24"/>
        </w:rPr>
        <w:t xml:space="preserve"> Sonnenschein, 2015; Jordan </w:t>
      </w:r>
      <w:r>
        <w:rPr>
          <w:rFonts w:ascii="Arial" w:hAnsi="Arial" w:cs="Arial"/>
          <w:sz w:val="24"/>
          <w:szCs w:val="24"/>
        </w:rPr>
        <w:t>and</w:t>
      </w:r>
      <w:r w:rsidRPr="00611670">
        <w:rPr>
          <w:rFonts w:ascii="Arial" w:hAnsi="Arial" w:cs="Arial"/>
          <w:sz w:val="24"/>
          <w:szCs w:val="24"/>
        </w:rPr>
        <w:t xml:space="preserve"> Levine, 2009)</w:t>
      </w:r>
      <w:r>
        <w:rPr>
          <w:rFonts w:ascii="Arial" w:hAnsi="Arial" w:cs="Arial"/>
          <w:color w:val="000000"/>
          <w:sz w:val="24"/>
          <w:szCs w:val="24"/>
        </w:rPr>
        <w:t xml:space="preserve"> and literacy </w:t>
      </w:r>
      <w:r w:rsidRPr="00611670">
        <w:rPr>
          <w:rFonts w:ascii="Arial" w:hAnsi="Arial" w:cs="Arial"/>
          <w:sz w:val="24"/>
          <w:szCs w:val="24"/>
        </w:rPr>
        <w:t xml:space="preserve">(Aikens </w:t>
      </w:r>
      <w:r>
        <w:rPr>
          <w:rFonts w:ascii="Arial" w:hAnsi="Arial" w:cs="Arial"/>
          <w:sz w:val="24"/>
          <w:szCs w:val="24"/>
        </w:rPr>
        <w:t>and</w:t>
      </w:r>
      <w:r w:rsidRPr="00611670">
        <w:rPr>
          <w:rFonts w:ascii="Arial" w:hAnsi="Arial" w:cs="Arial"/>
          <w:sz w:val="24"/>
          <w:szCs w:val="24"/>
        </w:rPr>
        <w:t xml:space="preserve"> Barbarin, 2008; Arnold </w:t>
      </w:r>
      <w:r>
        <w:rPr>
          <w:rFonts w:ascii="Arial" w:hAnsi="Arial" w:cs="Arial"/>
          <w:sz w:val="24"/>
          <w:szCs w:val="24"/>
        </w:rPr>
        <w:t>and</w:t>
      </w:r>
      <w:r w:rsidRPr="00611670">
        <w:rPr>
          <w:rFonts w:ascii="Arial" w:hAnsi="Arial" w:cs="Arial"/>
          <w:sz w:val="24"/>
          <w:szCs w:val="24"/>
        </w:rPr>
        <w:t xml:space="preserve"> Doctoroff, 2003)</w:t>
      </w:r>
      <w:r>
        <w:rPr>
          <w:rFonts w:ascii="Arial" w:hAnsi="Arial" w:cs="Arial"/>
          <w:color w:val="000000"/>
          <w:sz w:val="24"/>
          <w:szCs w:val="24"/>
        </w:rPr>
        <w:t>. This achievement gap in ability based tests leads to ability grouping, which directly impacts on the quality of teaching and the likelihood of harm from a peer group (</w:t>
      </w:r>
      <w:r w:rsidRPr="004A581B">
        <w:rPr>
          <w:rFonts w:ascii="Arial" w:hAnsi="Arial" w:cs="Arial"/>
          <w:sz w:val="24"/>
          <w:szCs w:val="24"/>
        </w:rPr>
        <w:t>Mijs, 2016</w:t>
      </w:r>
      <w:r>
        <w:rPr>
          <w:rFonts w:ascii="Arial" w:hAnsi="Arial" w:cs="Arial"/>
          <w:sz w:val="24"/>
          <w:szCs w:val="24"/>
        </w:rPr>
        <w:t xml:space="preserve">). Lower ability group students are also more likely to dropout following secondary education and is also indirectly linked to school violence and anxiety </w:t>
      </w:r>
      <w:r w:rsidRPr="004A581B">
        <w:rPr>
          <w:rFonts w:ascii="Arial" w:hAnsi="Arial" w:cs="Arial"/>
          <w:sz w:val="24"/>
          <w:szCs w:val="24"/>
        </w:rPr>
        <w:t xml:space="preserve">(Arum </w:t>
      </w:r>
      <w:r>
        <w:rPr>
          <w:rFonts w:ascii="Arial" w:hAnsi="Arial" w:cs="Arial"/>
          <w:sz w:val="24"/>
          <w:szCs w:val="24"/>
        </w:rPr>
        <w:t>and</w:t>
      </w:r>
      <w:r w:rsidRPr="004A581B">
        <w:rPr>
          <w:rFonts w:ascii="Arial" w:hAnsi="Arial" w:cs="Arial"/>
          <w:sz w:val="24"/>
          <w:szCs w:val="24"/>
        </w:rPr>
        <w:t xml:space="preserve"> Beattie, 1999; Mijs, 2016; Oakes, 2005; Van de Werfhorst </w:t>
      </w:r>
      <w:r>
        <w:rPr>
          <w:rFonts w:ascii="Arial" w:hAnsi="Arial" w:cs="Arial"/>
          <w:sz w:val="24"/>
          <w:szCs w:val="24"/>
        </w:rPr>
        <w:t>and</w:t>
      </w:r>
      <w:r w:rsidRPr="004A581B">
        <w:rPr>
          <w:rFonts w:ascii="Arial" w:hAnsi="Arial" w:cs="Arial"/>
          <w:sz w:val="24"/>
          <w:szCs w:val="24"/>
        </w:rPr>
        <w:t xml:space="preserve"> Mijs, 2010).</w:t>
      </w:r>
      <w:r w:rsidR="001857EB">
        <w:rPr>
          <w:rFonts w:ascii="Arial" w:hAnsi="Arial" w:cs="Arial"/>
          <w:sz w:val="24"/>
          <w:szCs w:val="24"/>
        </w:rPr>
        <w:t xml:space="preserve"> Conflict theorists argue that students being labelled as lower ability by both the teachers and the education system as a whole, leads to students defining themselves </w:t>
      </w:r>
      <w:r w:rsidR="001857EB">
        <w:rPr>
          <w:rFonts w:ascii="Arial" w:hAnsi="Arial" w:cs="Arial"/>
          <w:sz w:val="24"/>
          <w:szCs w:val="24"/>
        </w:rPr>
        <w:lastRenderedPageBreak/>
        <w:t xml:space="preserve">as unsuccessful and ultimately reproduces inequalities within society </w:t>
      </w:r>
      <w:r w:rsidR="001857EB">
        <w:rPr>
          <w:rFonts w:ascii="Arial" w:eastAsia="Times New Roman" w:hAnsi="Arial" w:cs="Arial"/>
          <w:sz w:val="24"/>
          <w:szCs w:val="24"/>
        </w:rPr>
        <w:t xml:space="preserve">(Ballantine and Spade, 1993). The process of grouping students by ability is therefore consequential for the quality of education that they have and for their chances at being successful. Mijs (2016) research showed that even when the process that allocates student uses meritocracy as a basis, for example through scores on tests, a student’s social class and ethnicity has an impact on what group they are placed in. It has been argued that this is due to teacher bias </w:t>
      </w:r>
      <w:r w:rsidR="001857EB" w:rsidRPr="00DA31DD">
        <w:rPr>
          <w:rFonts w:ascii="Arial" w:hAnsi="Arial" w:cs="Arial"/>
          <w:sz w:val="24"/>
          <w:szCs w:val="24"/>
        </w:rPr>
        <w:t>(Steele, 2011; Walton</w:t>
      </w:r>
      <w:r w:rsidR="003F5E5C">
        <w:rPr>
          <w:rFonts w:ascii="Arial" w:hAnsi="Arial" w:cs="Arial"/>
          <w:sz w:val="24"/>
          <w:szCs w:val="24"/>
        </w:rPr>
        <w:t xml:space="preserve"> </w:t>
      </w:r>
      <w:r w:rsidR="003F5E5C">
        <w:rPr>
          <w:rFonts w:ascii="Arial" w:hAnsi="Arial" w:cs="Arial"/>
          <w:i/>
          <w:iCs/>
          <w:sz w:val="24"/>
          <w:szCs w:val="24"/>
        </w:rPr>
        <w:t>et al.</w:t>
      </w:r>
      <w:r w:rsidR="001857EB" w:rsidRPr="00DA31DD">
        <w:rPr>
          <w:rFonts w:ascii="Arial" w:hAnsi="Arial" w:cs="Arial"/>
          <w:sz w:val="24"/>
          <w:szCs w:val="24"/>
        </w:rPr>
        <w:t>, 2013)</w:t>
      </w:r>
      <w:r w:rsidR="001857EB">
        <w:rPr>
          <w:rFonts w:ascii="Arial" w:hAnsi="Arial" w:cs="Arial"/>
          <w:sz w:val="24"/>
          <w:szCs w:val="24"/>
        </w:rPr>
        <w:t xml:space="preserve">, and whilst this is true to an extent it is predominantly because of stereotype threat </w:t>
      </w:r>
      <w:r w:rsidR="001857EB" w:rsidRPr="00DA31DD">
        <w:rPr>
          <w:rFonts w:ascii="Arial" w:hAnsi="Arial" w:cs="Arial"/>
          <w:sz w:val="24"/>
          <w:szCs w:val="24"/>
        </w:rPr>
        <w:t>(Fischer et al., 1996)</w:t>
      </w:r>
      <w:r w:rsidR="001857EB">
        <w:rPr>
          <w:rFonts w:ascii="Arial" w:hAnsi="Arial" w:cs="Arial"/>
          <w:sz w:val="24"/>
          <w:szCs w:val="24"/>
        </w:rPr>
        <w:t xml:space="preserve">: </w:t>
      </w:r>
      <w:r w:rsidR="001857EB">
        <w:rPr>
          <w:rFonts w:ascii="Arial" w:eastAsia="Times New Roman" w:hAnsi="Arial" w:cs="Arial"/>
          <w:sz w:val="24"/>
          <w:szCs w:val="24"/>
        </w:rPr>
        <w:t xml:space="preserve">as dominant groups decide on the criteria and evaluation process, they can choose to reinforce the status quo </w:t>
      </w:r>
      <w:r w:rsidR="001857EB" w:rsidRPr="00970856">
        <w:rPr>
          <w:rFonts w:ascii="Arial" w:hAnsi="Arial" w:cs="Arial"/>
          <w:sz w:val="24"/>
          <w:szCs w:val="24"/>
        </w:rPr>
        <w:t>(</w:t>
      </w:r>
      <w:r w:rsidR="001857EB" w:rsidRPr="00F523B2">
        <w:rPr>
          <w:rFonts w:ascii="Arial" w:hAnsi="Arial" w:cs="Arial"/>
          <w:sz w:val="24"/>
          <w:szCs w:val="24"/>
        </w:rPr>
        <w:t>Bourdieu and Passeron, 19</w:t>
      </w:r>
      <w:r w:rsidR="001857EB">
        <w:rPr>
          <w:rFonts w:ascii="Arial" w:hAnsi="Arial" w:cs="Arial"/>
          <w:sz w:val="24"/>
          <w:szCs w:val="24"/>
        </w:rPr>
        <w:t xml:space="preserve">77; </w:t>
      </w:r>
      <w:r w:rsidR="001857EB" w:rsidRPr="00970856">
        <w:rPr>
          <w:rFonts w:ascii="Arial" w:hAnsi="Arial" w:cs="Arial"/>
          <w:sz w:val="24"/>
          <w:szCs w:val="24"/>
        </w:rPr>
        <w:t>Fischer and Smith, 2003; Haney and Hurtado, 1994;</w:t>
      </w:r>
      <w:r w:rsidR="001857EB">
        <w:rPr>
          <w:rFonts w:ascii="Arial" w:hAnsi="Arial" w:cs="Arial"/>
          <w:sz w:val="24"/>
          <w:szCs w:val="24"/>
        </w:rPr>
        <w:t xml:space="preserve"> McCoy and Major, 2007;</w:t>
      </w:r>
      <w:r w:rsidR="001857EB" w:rsidRPr="00970856">
        <w:rPr>
          <w:rFonts w:ascii="Arial" w:hAnsi="Arial" w:cs="Arial"/>
          <w:sz w:val="24"/>
          <w:szCs w:val="24"/>
        </w:rPr>
        <w:t xml:space="preserve"> Son Hing </w:t>
      </w:r>
      <w:r w:rsidR="001857EB" w:rsidRPr="00970856">
        <w:rPr>
          <w:rFonts w:ascii="Arial" w:hAnsi="Arial" w:cs="Arial"/>
          <w:i/>
          <w:iCs/>
          <w:sz w:val="24"/>
          <w:szCs w:val="24"/>
        </w:rPr>
        <w:t xml:space="preserve">et al., </w:t>
      </w:r>
      <w:r w:rsidR="001857EB" w:rsidRPr="00970856">
        <w:rPr>
          <w:rFonts w:ascii="Arial" w:hAnsi="Arial" w:cs="Arial"/>
          <w:sz w:val="24"/>
          <w:szCs w:val="24"/>
        </w:rPr>
        <w:t>2011</w:t>
      </w:r>
      <w:r w:rsidR="001857EB">
        <w:rPr>
          <w:rFonts w:ascii="Arial" w:hAnsi="Arial" w:cs="Arial"/>
          <w:sz w:val="24"/>
          <w:szCs w:val="24"/>
        </w:rPr>
        <w:t>; Taylor and O’Brien, 2017</w:t>
      </w:r>
      <w:r w:rsidR="001857EB" w:rsidRPr="00970856">
        <w:rPr>
          <w:rFonts w:ascii="Arial" w:hAnsi="Arial" w:cs="Arial"/>
          <w:sz w:val="24"/>
          <w:szCs w:val="24"/>
        </w:rPr>
        <w:t>).</w:t>
      </w:r>
      <w:r w:rsidR="004348F7">
        <w:rPr>
          <w:rFonts w:ascii="Arial" w:hAnsi="Arial" w:cs="Arial"/>
          <w:sz w:val="24"/>
          <w:szCs w:val="24"/>
        </w:rPr>
        <w:t xml:space="preserve"> This means that schools motivate those in higher ability groups to achieve and diminish the ambitions of those in the lower groups, which creates a sense of false consciousness </w:t>
      </w:r>
      <w:r w:rsidR="004348F7">
        <w:rPr>
          <w:rFonts w:ascii="Arial" w:eastAsia="Times New Roman" w:hAnsi="Arial" w:cs="Arial"/>
          <w:sz w:val="24"/>
          <w:szCs w:val="24"/>
        </w:rPr>
        <w:t>(Apple, 1993, 1996; Ballantine and Spade, 1993).</w:t>
      </w:r>
    </w:p>
    <w:p w14:paraId="5975D7FC" w14:textId="35F17ABD" w:rsidR="001857EB" w:rsidRPr="004348F7" w:rsidRDefault="004348F7" w:rsidP="004348F7">
      <w:pPr>
        <w:spacing w:line="360" w:lineRule="auto"/>
        <w:jc w:val="both"/>
        <w:rPr>
          <w:rFonts w:ascii="Arial" w:hAnsi="Arial" w:cs="Arial"/>
          <w:i/>
          <w:iCs/>
          <w:sz w:val="24"/>
          <w:szCs w:val="24"/>
        </w:rPr>
      </w:pPr>
      <w:r w:rsidRPr="004348F7">
        <w:rPr>
          <w:rFonts w:ascii="Arial" w:eastAsia="Times New Roman" w:hAnsi="Arial" w:cs="Arial"/>
          <w:sz w:val="24"/>
          <w:szCs w:val="24"/>
        </w:rPr>
        <w:t xml:space="preserve">The question that is missing within this debate is why a student in a higher ability groups requires a better standard of education </w:t>
      </w:r>
      <w:r w:rsidRPr="004348F7">
        <w:rPr>
          <w:rFonts w:ascii="Arial" w:hAnsi="Arial" w:cs="Arial"/>
          <w:sz w:val="24"/>
          <w:szCs w:val="24"/>
        </w:rPr>
        <w:t>(Mijs, 2016). An alternative to this meritocratic provision would be to measure lower ability scores with more educational resources, relying on a principle of need, or to provide educational resources regardless of their abilities, using the principle of equality. Contemporary debates, including those focussed on education, often focus on investment (Becker, 1964, 1993; Mincer, 1958), which would mean that the allocation of resources are given to those with the highest potential (Mijs, 2016).</w:t>
      </w:r>
      <w:r>
        <w:rPr>
          <w:rFonts w:ascii="Arial" w:hAnsi="Arial" w:cs="Arial"/>
          <w:sz w:val="24"/>
          <w:szCs w:val="24"/>
        </w:rPr>
        <w:t xml:space="preserve"> This is shown for those who go to Oxbridge and are statistically more likely to have been in higher educational sets (Vargas, 2010): 62% of management in the diplomatic services and 58% of elite lawyers</w:t>
      </w:r>
      <w:r w:rsidRPr="004348F7">
        <w:rPr>
          <w:rFonts w:ascii="Arial" w:hAnsi="Arial" w:cs="Arial"/>
          <w:sz w:val="24"/>
          <w:szCs w:val="24"/>
        </w:rPr>
        <w:t xml:space="preserve"> </w:t>
      </w:r>
      <w:r>
        <w:rPr>
          <w:rFonts w:ascii="Arial" w:hAnsi="Arial" w:cs="Arial"/>
          <w:sz w:val="24"/>
          <w:szCs w:val="24"/>
        </w:rPr>
        <w:t xml:space="preserve">attended Oxbridge </w:t>
      </w:r>
      <w:r w:rsidRPr="004348F7">
        <w:rPr>
          <w:rFonts w:ascii="Arial" w:hAnsi="Arial" w:cs="Arial"/>
          <w:sz w:val="24"/>
          <w:szCs w:val="24"/>
        </w:rPr>
        <w:t>(Sutton Trust, 2012),</w:t>
      </w:r>
      <w:r>
        <w:rPr>
          <w:rFonts w:ascii="Arial" w:hAnsi="Arial" w:cs="Arial"/>
          <w:sz w:val="24"/>
          <w:szCs w:val="24"/>
        </w:rPr>
        <w:t xml:space="preserve"> showing the inequality and barriers to social mobility that ability grouping can cause. </w:t>
      </w:r>
      <w:r w:rsidRPr="004348F7">
        <w:rPr>
          <w:rFonts w:ascii="Arial" w:hAnsi="Arial" w:cs="Arial"/>
          <w:sz w:val="24"/>
          <w:szCs w:val="24"/>
        </w:rPr>
        <w:t xml:space="preserve">Mijs (2016) argument is that this cannot be affected by the teachers themselves, but Ballantine and Spade (1993) argue that teachers do not have to participate in this reproduction of inequality. They state that teachers can work with students from all backgrounds to give them a more equal opportunity, to empower students through access to multicultural, interactive and relevant resources </w:t>
      </w:r>
      <w:r w:rsidRPr="004348F7">
        <w:rPr>
          <w:rFonts w:ascii="Arial" w:eastAsia="Times New Roman" w:hAnsi="Arial" w:cs="Arial"/>
          <w:sz w:val="24"/>
          <w:szCs w:val="24"/>
        </w:rPr>
        <w:t>(Ballantine and Spade, 1993; Shor, 1986).</w:t>
      </w:r>
    </w:p>
    <w:p w14:paraId="142589CD" w14:textId="49806666" w:rsidR="00DC6686" w:rsidRDefault="00DC6686" w:rsidP="00F763F2">
      <w:pPr>
        <w:spacing w:line="360" w:lineRule="auto"/>
        <w:jc w:val="both"/>
        <w:rPr>
          <w:rFonts w:ascii="Arial" w:hAnsi="Arial" w:cs="Arial"/>
          <w:sz w:val="24"/>
          <w:szCs w:val="24"/>
          <w:u w:val="single"/>
        </w:rPr>
      </w:pPr>
      <w:r w:rsidRPr="00D55A6F">
        <w:rPr>
          <w:rFonts w:ascii="Arial" w:hAnsi="Arial" w:cs="Arial"/>
          <w:sz w:val="24"/>
          <w:szCs w:val="24"/>
          <w:u w:val="single"/>
        </w:rPr>
        <w:t>Parental wealth impacting on children’s attainment</w:t>
      </w:r>
      <w:r>
        <w:rPr>
          <w:rFonts w:ascii="Arial" w:hAnsi="Arial" w:cs="Arial"/>
          <w:sz w:val="24"/>
          <w:szCs w:val="24"/>
          <w:u w:val="single"/>
        </w:rPr>
        <w:t>/social class</w:t>
      </w:r>
    </w:p>
    <w:p w14:paraId="34B1B6CF" w14:textId="77777777" w:rsidR="00CD50BD" w:rsidRDefault="000A12D2" w:rsidP="00F763F2">
      <w:pPr>
        <w:spacing w:line="360" w:lineRule="auto"/>
        <w:jc w:val="both"/>
        <w:rPr>
          <w:rFonts w:ascii="Arial" w:hAnsi="Arial" w:cs="Arial"/>
          <w:sz w:val="24"/>
          <w:szCs w:val="24"/>
        </w:rPr>
      </w:pPr>
      <w:r>
        <w:rPr>
          <w:rFonts w:ascii="Arial" w:hAnsi="Arial" w:cs="Arial"/>
          <w:sz w:val="24"/>
          <w:szCs w:val="24"/>
        </w:rPr>
        <w:lastRenderedPageBreak/>
        <w:t>Parental wealth, and the subsequent social status of children, is another factor that affects social mobility and reproduces inequality. For meritocracy to work perfectly, ability and effort would be the only factors in a student’s achievement in education, regardless of their social status (</w:t>
      </w:r>
      <w:r w:rsidRPr="00D55A6F">
        <w:rPr>
          <w:rFonts w:ascii="Arial" w:hAnsi="Arial" w:cs="Arial"/>
          <w:sz w:val="24"/>
          <w:szCs w:val="24"/>
        </w:rPr>
        <w:t>Mijs, 2016</w:t>
      </w:r>
      <w:r>
        <w:rPr>
          <w:rFonts w:ascii="Arial" w:hAnsi="Arial" w:cs="Arial"/>
          <w:sz w:val="24"/>
          <w:szCs w:val="24"/>
        </w:rPr>
        <w:t xml:space="preserve">; Souto-Otero, 2010). Despite this, educational achievement is still influenced by social status, as is career progression </w:t>
      </w:r>
      <w:r w:rsidRPr="008755F9">
        <w:rPr>
          <w:rFonts w:ascii="Arial" w:hAnsi="Arial" w:cs="Arial"/>
          <w:sz w:val="24"/>
          <w:szCs w:val="24"/>
        </w:rPr>
        <w:t>(</w:t>
      </w:r>
      <w:r w:rsidRPr="00D55A6F">
        <w:rPr>
          <w:rFonts w:ascii="Arial" w:hAnsi="Arial" w:cs="Arial"/>
          <w:sz w:val="24"/>
          <w:szCs w:val="24"/>
        </w:rPr>
        <w:t xml:space="preserve">Bradley </w:t>
      </w:r>
      <w:r>
        <w:rPr>
          <w:rFonts w:ascii="Arial" w:hAnsi="Arial" w:cs="Arial"/>
          <w:sz w:val="24"/>
          <w:szCs w:val="24"/>
        </w:rPr>
        <w:t>and</w:t>
      </w:r>
      <w:r w:rsidRPr="00D55A6F">
        <w:rPr>
          <w:rFonts w:ascii="Arial" w:hAnsi="Arial" w:cs="Arial"/>
          <w:sz w:val="24"/>
          <w:szCs w:val="24"/>
        </w:rPr>
        <w:t xml:space="preserve"> Corwyn, 2002;</w:t>
      </w:r>
      <w:r>
        <w:rPr>
          <w:rFonts w:ascii="Arial" w:hAnsi="Arial" w:cs="Arial"/>
          <w:sz w:val="24"/>
          <w:szCs w:val="24"/>
        </w:rPr>
        <w:t xml:space="preserve"> Darnon </w:t>
      </w:r>
      <w:r>
        <w:rPr>
          <w:rFonts w:ascii="Arial" w:hAnsi="Arial" w:cs="Arial"/>
          <w:i/>
          <w:iCs/>
          <w:sz w:val="24"/>
          <w:szCs w:val="24"/>
        </w:rPr>
        <w:t>et al.</w:t>
      </w:r>
      <w:r>
        <w:rPr>
          <w:rFonts w:ascii="Arial" w:hAnsi="Arial" w:cs="Arial"/>
          <w:sz w:val="24"/>
          <w:szCs w:val="24"/>
        </w:rPr>
        <w:t>, 2018;</w:t>
      </w:r>
      <w:r w:rsidRPr="00D55A6F">
        <w:rPr>
          <w:rFonts w:ascii="Arial" w:hAnsi="Arial" w:cs="Arial"/>
          <w:sz w:val="24"/>
          <w:szCs w:val="24"/>
        </w:rPr>
        <w:t xml:space="preserve"> Goudeau</w:t>
      </w:r>
      <w:r>
        <w:rPr>
          <w:rFonts w:ascii="Arial" w:hAnsi="Arial" w:cs="Arial"/>
          <w:sz w:val="24"/>
          <w:szCs w:val="24"/>
        </w:rPr>
        <w:t xml:space="preserve"> </w:t>
      </w:r>
      <w:r>
        <w:rPr>
          <w:rFonts w:ascii="Arial" w:hAnsi="Arial" w:cs="Arial"/>
          <w:i/>
          <w:iCs/>
          <w:sz w:val="24"/>
          <w:szCs w:val="24"/>
        </w:rPr>
        <w:t>et al.</w:t>
      </w:r>
      <w:r w:rsidRPr="00D55A6F">
        <w:rPr>
          <w:rFonts w:ascii="Arial" w:hAnsi="Arial" w:cs="Arial"/>
          <w:sz w:val="24"/>
          <w:szCs w:val="24"/>
        </w:rPr>
        <w:t xml:space="preserve">, 2017; Sirin, 2005; </w:t>
      </w:r>
      <w:r w:rsidRPr="008755F9">
        <w:rPr>
          <w:rFonts w:ascii="Arial" w:hAnsi="Arial" w:cs="Arial"/>
          <w:sz w:val="24"/>
          <w:szCs w:val="24"/>
        </w:rPr>
        <w:t>Souto-Otero, 2010</w:t>
      </w:r>
      <w:r>
        <w:rPr>
          <w:rFonts w:ascii="Arial" w:hAnsi="Arial" w:cs="Arial"/>
          <w:sz w:val="24"/>
          <w:szCs w:val="24"/>
        </w:rPr>
        <w:t xml:space="preserve">; </w:t>
      </w:r>
      <w:r w:rsidRPr="00D55A6F">
        <w:rPr>
          <w:rFonts w:ascii="Arial" w:hAnsi="Arial" w:cs="Arial"/>
          <w:sz w:val="24"/>
          <w:szCs w:val="24"/>
        </w:rPr>
        <w:t>White, 1982</w:t>
      </w:r>
      <w:r w:rsidRPr="008755F9">
        <w:rPr>
          <w:rFonts w:ascii="Arial" w:hAnsi="Arial" w:cs="Arial"/>
          <w:sz w:val="24"/>
          <w:szCs w:val="24"/>
        </w:rPr>
        <w:t>)</w:t>
      </w:r>
      <w:r>
        <w:rPr>
          <w:rFonts w:ascii="Arial" w:hAnsi="Arial" w:cs="Arial"/>
          <w:sz w:val="24"/>
          <w:szCs w:val="24"/>
        </w:rPr>
        <w:t>.</w:t>
      </w:r>
      <w:r w:rsidR="00410BC8">
        <w:rPr>
          <w:rFonts w:ascii="Arial" w:hAnsi="Arial" w:cs="Arial"/>
          <w:sz w:val="24"/>
          <w:szCs w:val="24"/>
        </w:rPr>
        <w:t xml:space="preserve"> </w:t>
      </w:r>
    </w:p>
    <w:p w14:paraId="615EC768" w14:textId="43D49662" w:rsidR="00AC085C" w:rsidRDefault="00410BC8" w:rsidP="00F763F2">
      <w:pPr>
        <w:spacing w:line="360" w:lineRule="auto"/>
        <w:jc w:val="both"/>
        <w:rPr>
          <w:rFonts w:ascii="Arial" w:hAnsi="Arial" w:cs="Arial"/>
          <w:sz w:val="24"/>
          <w:szCs w:val="24"/>
        </w:rPr>
      </w:pPr>
      <w:r>
        <w:rPr>
          <w:rFonts w:ascii="Arial" w:hAnsi="Arial" w:cs="Arial"/>
          <w:sz w:val="24"/>
          <w:szCs w:val="24"/>
        </w:rPr>
        <w:t xml:space="preserve">Bourdieu and Passeron (1977) highlight how education expect behaviours that are not taught within schools, also known as cultural capital, which are learnt by high social class children from their parents and are needed to achieve educational success. Although this has been disputed as too generalised by some scholars </w:t>
      </w:r>
      <w:r w:rsidRPr="00305310">
        <w:rPr>
          <w:rFonts w:ascii="Arial" w:hAnsi="Arial" w:cs="Arial"/>
          <w:sz w:val="24"/>
          <w:szCs w:val="24"/>
        </w:rPr>
        <w:t>undisputed (Swift</w:t>
      </w:r>
      <w:r>
        <w:rPr>
          <w:rFonts w:ascii="Arial" w:hAnsi="Arial" w:cs="Arial"/>
          <w:sz w:val="24"/>
          <w:szCs w:val="24"/>
        </w:rPr>
        <w:t>,</w:t>
      </w:r>
      <w:r w:rsidRPr="00305310">
        <w:rPr>
          <w:rFonts w:ascii="Arial" w:hAnsi="Arial" w:cs="Arial"/>
          <w:sz w:val="24"/>
          <w:szCs w:val="24"/>
        </w:rPr>
        <w:t xml:space="preserve"> 2004; Jæger</w:t>
      </w:r>
      <w:r>
        <w:rPr>
          <w:rFonts w:ascii="Arial" w:hAnsi="Arial" w:cs="Arial"/>
          <w:sz w:val="24"/>
          <w:szCs w:val="24"/>
        </w:rPr>
        <w:t>,</w:t>
      </w:r>
      <w:r w:rsidRPr="00305310">
        <w:rPr>
          <w:rFonts w:ascii="Arial" w:hAnsi="Arial" w:cs="Arial"/>
          <w:sz w:val="24"/>
          <w:szCs w:val="24"/>
        </w:rPr>
        <w:t xml:space="preserve"> 2007)</w:t>
      </w:r>
      <w:r>
        <w:rPr>
          <w:rFonts w:ascii="Arial" w:hAnsi="Arial" w:cs="Arial"/>
          <w:sz w:val="24"/>
          <w:szCs w:val="24"/>
        </w:rPr>
        <w:t xml:space="preserve">, further sociological research </w:t>
      </w:r>
      <w:r w:rsidR="00CD50BD">
        <w:rPr>
          <w:rFonts w:ascii="Arial" w:hAnsi="Arial" w:cs="Arial"/>
          <w:sz w:val="24"/>
          <w:szCs w:val="24"/>
        </w:rPr>
        <w:t>h</w:t>
      </w:r>
      <w:r>
        <w:rPr>
          <w:rFonts w:ascii="Arial" w:hAnsi="Arial" w:cs="Arial"/>
          <w:sz w:val="24"/>
          <w:szCs w:val="24"/>
        </w:rPr>
        <w:t xml:space="preserve">as shown that class has a significant impact on educational achievement </w:t>
      </w:r>
      <w:r w:rsidRPr="00305310">
        <w:rPr>
          <w:rFonts w:ascii="Arial" w:hAnsi="Arial" w:cs="Arial"/>
          <w:sz w:val="24"/>
          <w:szCs w:val="24"/>
        </w:rPr>
        <w:t>(Erikson and Goldthorpe</w:t>
      </w:r>
      <w:r>
        <w:rPr>
          <w:rFonts w:ascii="Arial" w:hAnsi="Arial" w:cs="Arial"/>
          <w:sz w:val="24"/>
          <w:szCs w:val="24"/>
        </w:rPr>
        <w:t>,</w:t>
      </w:r>
      <w:r w:rsidRPr="00305310">
        <w:rPr>
          <w:rFonts w:ascii="Arial" w:hAnsi="Arial" w:cs="Arial"/>
          <w:sz w:val="24"/>
          <w:szCs w:val="24"/>
        </w:rPr>
        <w:t xml:space="preserve"> 1992; Shavit and Blossfeld</w:t>
      </w:r>
      <w:r>
        <w:rPr>
          <w:rFonts w:ascii="Arial" w:hAnsi="Arial" w:cs="Arial"/>
          <w:sz w:val="24"/>
          <w:szCs w:val="24"/>
        </w:rPr>
        <w:t>,</w:t>
      </w:r>
      <w:r w:rsidRPr="00305310">
        <w:rPr>
          <w:rFonts w:ascii="Arial" w:hAnsi="Arial" w:cs="Arial"/>
          <w:sz w:val="24"/>
          <w:szCs w:val="24"/>
        </w:rPr>
        <w:t xml:space="preserve"> 1993; Shavit and Muller</w:t>
      </w:r>
      <w:r>
        <w:rPr>
          <w:rFonts w:ascii="Arial" w:hAnsi="Arial" w:cs="Arial"/>
          <w:sz w:val="24"/>
          <w:szCs w:val="24"/>
        </w:rPr>
        <w:t>,</w:t>
      </w:r>
      <w:r w:rsidRPr="00305310">
        <w:rPr>
          <w:rFonts w:ascii="Arial" w:hAnsi="Arial" w:cs="Arial"/>
          <w:sz w:val="24"/>
          <w:szCs w:val="24"/>
        </w:rPr>
        <w:t xml:space="preserve"> 1998</w:t>
      </w:r>
      <w:r>
        <w:rPr>
          <w:rFonts w:ascii="Arial" w:hAnsi="Arial" w:cs="Arial"/>
          <w:sz w:val="24"/>
          <w:szCs w:val="24"/>
        </w:rPr>
        <w:t>) as parents with wealth will ensure that their children are in a privileged position within education (</w:t>
      </w:r>
      <w:r w:rsidRPr="00305310">
        <w:rPr>
          <w:rFonts w:ascii="Arial" w:hAnsi="Arial" w:cs="Arial"/>
          <w:sz w:val="24"/>
          <w:szCs w:val="24"/>
        </w:rPr>
        <w:t>Ball</w:t>
      </w:r>
      <w:r>
        <w:rPr>
          <w:rFonts w:ascii="Arial" w:hAnsi="Arial" w:cs="Arial"/>
          <w:sz w:val="24"/>
          <w:szCs w:val="24"/>
        </w:rPr>
        <w:t xml:space="preserve">, </w:t>
      </w:r>
      <w:r w:rsidRPr="00305310">
        <w:rPr>
          <w:rFonts w:ascii="Arial" w:hAnsi="Arial" w:cs="Arial"/>
          <w:sz w:val="24"/>
          <w:szCs w:val="24"/>
        </w:rPr>
        <w:t>2003; Lucas</w:t>
      </w:r>
      <w:r>
        <w:rPr>
          <w:rFonts w:ascii="Arial" w:hAnsi="Arial" w:cs="Arial"/>
          <w:sz w:val="24"/>
          <w:szCs w:val="24"/>
        </w:rPr>
        <w:t>,</w:t>
      </w:r>
      <w:r w:rsidRPr="00305310">
        <w:rPr>
          <w:rFonts w:ascii="Arial" w:hAnsi="Arial" w:cs="Arial"/>
          <w:sz w:val="24"/>
          <w:szCs w:val="24"/>
        </w:rPr>
        <w:t xml:space="preserve"> 2001; Power </w:t>
      </w:r>
      <w:r w:rsidRPr="00410BC8">
        <w:rPr>
          <w:rFonts w:ascii="Arial" w:hAnsi="Arial" w:cs="Arial"/>
          <w:i/>
          <w:iCs/>
          <w:sz w:val="24"/>
          <w:szCs w:val="24"/>
        </w:rPr>
        <w:t>et al.,</w:t>
      </w:r>
      <w:r w:rsidRPr="00305310">
        <w:rPr>
          <w:rFonts w:ascii="Arial" w:hAnsi="Arial" w:cs="Arial"/>
          <w:sz w:val="24"/>
          <w:szCs w:val="24"/>
        </w:rPr>
        <w:t xml:space="preserve"> 2003)</w:t>
      </w:r>
      <w:r w:rsidR="00D960A9">
        <w:rPr>
          <w:rFonts w:ascii="Arial" w:hAnsi="Arial" w:cs="Arial"/>
          <w:sz w:val="24"/>
          <w:szCs w:val="24"/>
        </w:rPr>
        <w:t xml:space="preserve">, from private schools to accessing one to one tutoring </w:t>
      </w:r>
      <w:r w:rsidR="00D960A9" w:rsidRPr="00355B89">
        <w:rPr>
          <w:rFonts w:ascii="Arial" w:hAnsi="Arial" w:cs="Arial"/>
          <w:color w:val="000000"/>
          <w:sz w:val="24"/>
          <w:szCs w:val="24"/>
        </w:rPr>
        <w:t>(Reay, 2018)</w:t>
      </w:r>
      <w:r>
        <w:rPr>
          <w:rFonts w:ascii="Arial" w:hAnsi="Arial" w:cs="Arial"/>
          <w:sz w:val="24"/>
          <w:szCs w:val="24"/>
        </w:rPr>
        <w:t>.</w:t>
      </w:r>
      <w:r w:rsidR="00AC085C">
        <w:rPr>
          <w:rFonts w:ascii="Arial" w:hAnsi="Arial" w:cs="Arial"/>
          <w:sz w:val="24"/>
          <w:szCs w:val="24"/>
        </w:rPr>
        <w:t xml:space="preserve"> Studies have shown that children from higher-status social backgrounds perform better in education than lower status children (</w:t>
      </w:r>
      <w:r w:rsidR="00AC085C" w:rsidRPr="00955EB4">
        <w:rPr>
          <w:rFonts w:ascii="Arial" w:hAnsi="Arial" w:cs="Arial"/>
          <w:sz w:val="24"/>
          <w:szCs w:val="24"/>
        </w:rPr>
        <w:t>Bidwell and Friedkin, 1988</w:t>
      </w:r>
      <w:r w:rsidR="00AC085C">
        <w:rPr>
          <w:rFonts w:ascii="Arial" w:hAnsi="Arial" w:cs="Arial"/>
          <w:sz w:val="24"/>
          <w:szCs w:val="24"/>
        </w:rPr>
        <w:t xml:space="preserve">; </w:t>
      </w:r>
      <w:r w:rsidR="00AC085C" w:rsidRPr="00955EB4">
        <w:rPr>
          <w:rFonts w:ascii="Arial" w:hAnsi="Arial" w:cs="Arial"/>
          <w:sz w:val="24"/>
          <w:szCs w:val="24"/>
        </w:rPr>
        <w:t>Irwin, 2009)</w:t>
      </w:r>
      <w:r w:rsidR="00AC085C">
        <w:rPr>
          <w:rFonts w:ascii="Arial" w:hAnsi="Arial" w:cs="Arial"/>
          <w:sz w:val="24"/>
          <w:szCs w:val="24"/>
        </w:rPr>
        <w:t>, as the cultural capital of the higher classes is rewarded by teachers, whilst those who do not possess this are penalised (</w:t>
      </w:r>
      <w:r w:rsidR="00AC085C" w:rsidRPr="00B93F5A">
        <w:rPr>
          <w:rFonts w:ascii="Arial" w:hAnsi="Arial" w:cs="Arial"/>
          <w:sz w:val="24"/>
          <w:szCs w:val="24"/>
        </w:rPr>
        <w:t>Bourdieu and Passeron, 1977</w:t>
      </w:r>
      <w:r w:rsidR="00AC085C">
        <w:rPr>
          <w:rFonts w:ascii="Arial" w:hAnsi="Arial" w:cs="Arial"/>
          <w:sz w:val="24"/>
          <w:szCs w:val="24"/>
        </w:rPr>
        <w:t xml:space="preserve">). </w:t>
      </w:r>
      <w:r w:rsidR="00CA6525">
        <w:rPr>
          <w:rFonts w:ascii="Arial" w:hAnsi="Arial" w:cs="Arial"/>
          <w:sz w:val="24"/>
          <w:szCs w:val="24"/>
        </w:rPr>
        <w:t>Using cultural capital as assessment criteria means that schools actively reward higher status behaviours, rather than ability or effort, the</w:t>
      </w:r>
      <w:r w:rsidR="00AC085C">
        <w:rPr>
          <w:rFonts w:ascii="Arial" w:hAnsi="Arial" w:cs="Arial"/>
          <w:sz w:val="24"/>
          <w:szCs w:val="24"/>
        </w:rPr>
        <w:t xml:space="preserve"> outcome of </w:t>
      </w:r>
      <w:r w:rsidR="00CA6525">
        <w:rPr>
          <w:rFonts w:ascii="Arial" w:hAnsi="Arial" w:cs="Arial"/>
          <w:sz w:val="24"/>
          <w:szCs w:val="24"/>
        </w:rPr>
        <w:t>which</w:t>
      </w:r>
      <w:r w:rsidR="00AC085C">
        <w:rPr>
          <w:rFonts w:ascii="Arial" w:hAnsi="Arial" w:cs="Arial"/>
          <w:sz w:val="24"/>
          <w:szCs w:val="24"/>
        </w:rPr>
        <w:t xml:space="preserve"> is that schools </w:t>
      </w:r>
      <w:r w:rsidR="00CA6525">
        <w:rPr>
          <w:rFonts w:ascii="Arial" w:hAnsi="Arial" w:cs="Arial"/>
          <w:sz w:val="24"/>
          <w:szCs w:val="24"/>
        </w:rPr>
        <w:t>become a contributor to the reproduction of social inequalities and a barrier to social mobility (</w:t>
      </w:r>
      <w:r w:rsidR="00CA6525" w:rsidRPr="00B93F5A">
        <w:rPr>
          <w:rFonts w:ascii="Arial" w:hAnsi="Arial" w:cs="Arial"/>
          <w:sz w:val="24"/>
          <w:szCs w:val="24"/>
        </w:rPr>
        <w:t>Tzanakis, 2011)</w:t>
      </w:r>
      <w:r w:rsidR="00CA6525">
        <w:rPr>
          <w:rFonts w:ascii="Arial" w:hAnsi="Arial" w:cs="Arial"/>
          <w:sz w:val="24"/>
          <w:szCs w:val="24"/>
        </w:rPr>
        <w:t>.</w:t>
      </w:r>
    </w:p>
    <w:p w14:paraId="28E6AD2C" w14:textId="2C9E991B" w:rsidR="00AC085C" w:rsidRDefault="00AC085C" w:rsidP="00F763F2">
      <w:pPr>
        <w:spacing w:line="360" w:lineRule="auto"/>
        <w:jc w:val="both"/>
        <w:rPr>
          <w:rFonts w:ascii="Arial" w:hAnsi="Arial" w:cs="Arial"/>
          <w:sz w:val="24"/>
          <w:szCs w:val="24"/>
        </w:rPr>
      </w:pPr>
      <w:r>
        <w:rPr>
          <w:rFonts w:ascii="Arial" w:hAnsi="Arial" w:cs="Arial"/>
          <w:sz w:val="24"/>
          <w:szCs w:val="24"/>
        </w:rPr>
        <w:t>Th</w:t>
      </w:r>
      <w:r w:rsidR="00CA6525">
        <w:rPr>
          <w:rFonts w:ascii="Arial" w:hAnsi="Arial" w:cs="Arial"/>
          <w:sz w:val="24"/>
          <w:szCs w:val="24"/>
        </w:rPr>
        <w:t xml:space="preserve">e relevant </w:t>
      </w:r>
      <w:r>
        <w:rPr>
          <w:rFonts w:ascii="Arial" w:hAnsi="Arial" w:cs="Arial"/>
          <w:sz w:val="24"/>
          <w:szCs w:val="24"/>
        </w:rPr>
        <w:t xml:space="preserve">branch of conflict theory focusses on cultural reproduction and resistance theory </w:t>
      </w:r>
      <w:r>
        <w:rPr>
          <w:rFonts w:ascii="Arial" w:hAnsi="Arial" w:cs="Arial"/>
          <w:color w:val="000000"/>
          <w:sz w:val="24"/>
          <w:szCs w:val="24"/>
        </w:rPr>
        <w:t>(</w:t>
      </w:r>
      <w:r>
        <w:rPr>
          <w:rFonts w:ascii="Arial" w:eastAsia="Times New Roman" w:hAnsi="Arial" w:cs="Arial"/>
          <w:sz w:val="24"/>
          <w:szCs w:val="24"/>
        </w:rPr>
        <w:t xml:space="preserve">Ballantine and Spade, 1993; </w:t>
      </w:r>
      <w:r>
        <w:rPr>
          <w:rFonts w:ascii="Arial" w:hAnsi="Arial" w:cs="Arial"/>
          <w:color w:val="000000"/>
          <w:sz w:val="24"/>
          <w:szCs w:val="24"/>
        </w:rPr>
        <w:t xml:space="preserve">Bourdieu and Passeron, 1977; Bowles and Gintis, 1976) and argues that teachers provide different teaching experiences for students depending on their view of them, with students who are perceived as poorer assumed to have lower ability </w:t>
      </w:r>
      <w:r>
        <w:rPr>
          <w:rFonts w:ascii="Arial" w:eastAsia="Times New Roman" w:hAnsi="Arial" w:cs="Arial"/>
          <w:sz w:val="24"/>
          <w:szCs w:val="24"/>
        </w:rPr>
        <w:t xml:space="preserve">(Ballantine and Spade, 1993; Baron </w:t>
      </w:r>
      <w:r>
        <w:rPr>
          <w:rFonts w:ascii="Arial" w:eastAsia="Times New Roman" w:hAnsi="Arial" w:cs="Arial"/>
          <w:i/>
          <w:iCs/>
          <w:sz w:val="24"/>
          <w:szCs w:val="24"/>
        </w:rPr>
        <w:t xml:space="preserve">et al., </w:t>
      </w:r>
      <w:r>
        <w:rPr>
          <w:rFonts w:ascii="Arial" w:eastAsia="Times New Roman" w:hAnsi="Arial" w:cs="Arial"/>
          <w:sz w:val="24"/>
          <w:szCs w:val="24"/>
        </w:rPr>
        <w:t xml:space="preserve">1995; </w:t>
      </w:r>
      <w:r>
        <w:rPr>
          <w:rFonts w:ascii="Arial" w:hAnsi="Arial" w:cs="Arial"/>
          <w:sz w:val="24"/>
          <w:szCs w:val="24"/>
        </w:rPr>
        <w:t xml:space="preserve">Darnon </w:t>
      </w:r>
      <w:r>
        <w:rPr>
          <w:rFonts w:ascii="Arial" w:hAnsi="Arial" w:cs="Arial"/>
          <w:i/>
          <w:iCs/>
          <w:sz w:val="24"/>
          <w:szCs w:val="24"/>
        </w:rPr>
        <w:t>et al.</w:t>
      </w:r>
      <w:r>
        <w:rPr>
          <w:rFonts w:ascii="Arial" w:hAnsi="Arial" w:cs="Arial"/>
          <w:sz w:val="24"/>
          <w:szCs w:val="24"/>
        </w:rPr>
        <w:t>, 2018</w:t>
      </w:r>
      <w:r>
        <w:rPr>
          <w:rFonts w:ascii="Arial" w:eastAsia="Times New Roman" w:hAnsi="Arial" w:cs="Arial"/>
          <w:sz w:val="24"/>
          <w:szCs w:val="24"/>
        </w:rPr>
        <w:t xml:space="preserve">). Although this is the case, it is a generalised view and ignores intersectional identities, for example someone from a lower social background, of a non-white ethnicity and from a single parent family </w:t>
      </w:r>
      <w:r w:rsidRPr="00320811">
        <w:rPr>
          <w:rFonts w:ascii="Arial" w:hAnsi="Arial" w:cs="Arial"/>
          <w:color w:val="000000"/>
          <w:sz w:val="24"/>
          <w:szCs w:val="24"/>
        </w:rPr>
        <w:t>(Littler, 2017)</w:t>
      </w:r>
      <w:r>
        <w:rPr>
          <w:rFonts w:ascii="Arial" w:eastAsia="Times New Roman" w:hAnsi="Arial" w:cs="Arial"/>
          <w:sz w:val="24"/>
          <w:szCs w:val="24"/>
        </w:rPr>
        <w:t xml:space="preserve">, who would have more assumptions made about them due to the multiple disadvantages that they face. </w:t>
      </w:r>
      <w:r w:rsidR="006F161E">
        <w:rPr>
          <w:rFonts w:ascii="Arial" w:eastAsia="Times New Roman" w:hAnsi="Arial" w:cs="Arial"/>
          <w:sz w:val="24"/>
          <w:szCs w:val="24"/>
        </w:rPr>
        <w:lastRenderedPageBreak/>
        <w:t>Despite Jin and Ball’s (2020) research into social justice as a key element of meritocracy, it is apparent that social inequality is hard to challenge and various critiques have been offered on social justice based meritocracy (</w:t>
      </w:r>
      <w:r w:rsidR="006F161E" w:rsidRPr="00F7423A">
        <w:rPr>
          <w:rFonts w:ascii="Arial" w:hAnsi="Arial" w:cs="Arial"/>
          <w:sz w:val="24"/>
          <w:szCs w:val="24"/>
        </w:rPr>
        <w:t>Brown</w:t>
      </w:r>
      <w:r w:rsidR="006F161E">
        <w:rPr>
          <w:rFonts w:ascii="Arial" w:hAnsi="Arial" w:cs="Arial"/>
          <w:sz w:val="24"/>
          <w:szCs w:val="24"/>
        </w:rPr>
        <w:t>,</w:t>
      </w:r>
      <w:r w:rsidR="006F161E" w:rsidRPr="00F7423A">
        <w:rPr>
          <w:rFonts w:ascii="Arial" w:hAnsi="Arial" w:cs="Arial"/>
          <w:sz w:val="24"/>
          <w:szCs w:val="24"/>
        </w:rPr>
        <w:t xml:space="preserve"> 2013; Norman</w:t>
      </w:r>
      <w:r w:rsidR="006F161E">
        <w:rPr>
          <w:rFonts w:ascii="Arial" w:hAnsi="Arial" w:cs="Arial"/>
          <w:sz w:val="24"/>
          <w:szCs w:val="24"/>
        </w:rPr>
        <w:t>,</w:t>
      </w:r>
      <w:r w:rsidR="006F161E" w:rsidRPr="00F7423A">
        <w:rPr>
          <w:rFonts w:ascii="Arial" w:hAnsi="Arial" w:cs="Arial"/>
          <w:sz w:val="24"/>
          <w:szCs w:val="24"/>
        </w:rPr>
        <w:t xml:space="preserve"> 1987; Radnor</w:t>
      </w:r>
      <w:r w:rsidR="006F161E">
        <w:rPr>
          <w:rFonts w:ascii="Arial" w:hAnsi="Arial" w:cs="Arial"/>
          <w:sz w:val="24"/>
          <w:szCs w:val="24"/>
        </w:rPr>
        <w:t xml:space="preserve"> </w:t>
      </w:r>
      <w:r w:rsidR="006F161E">
        <w:rPr>
          <w:rFonts w:ascii="Arial" w:hAnsi="Arial" w:cs="Arial"/>
          <w:i/>
          <w:iCs/>
          <w:sz w:val="24"/>
          <w:szCs w:val="24"/>
        </w:rPr>
        <w:t xml:space="preserve">et al., </w:t>
      </w:r>
      <w:r w:rsidR="006F161E" w:rsidRPr="00F7423A">
        <w:rPr>
          <w:rFonts w:ascii="Arial" w:hAnsi="Arial" w:cs="Arial"/>
          <w:sz w:val="24"/>
          <w:szCs w:val="24"/>
        </w:rPr>
        <w:t>2007)</w:t>
      </w:r>
      <w:r w:rsidR="006F161E">
        <w:rPr>
          <w:rFonts w:ascii="Arial" w:hAnsi="Arial" w:cs="Arial"/>
          <w:sz w:val="24"/>
          <w:szCs w:val="24"/>
        </w:rPr>
        <w:t xml:space="preserve">, including the various ways that inequality is disguised by the perception of equality of opportunity. There is a much higher prevalence of ability and effort in the general public than there are opportunities to show this </w:t>
      </w:r>
      <w:r w:rsidR="006F161E" w:rsidRPr="00E7044E">
        <w:rPr>
          <w:rFonts w:ascii="Arial" w:hAnsi="Arial" w:cs="Arial"/>
          <w:color w:val="000000"/>
          <w:sz w:val="24"/>
          <w:szCs w:val="24"/>
        </w:rPr>
        <w:t>(McNamee and Miller, 2004</w:t>
      </w:r>
      <w:r w:rsidR="006F161E">
        <w:rPr>
          <w:rFonts w:ascii="Arial" w:hAnsi="Arial" w:cs="Arial"/>
          <w:color w:val="000000"/>
          <w:sz w:val="24"/>
          <w:szCs w:val="24"/>
        </w:rPr>
        <w:t xml:space="preserve">), meaning that meritocracy has become a way for a capitalist culture to be legitimised </w:t>
      </w:r>
      <w:r w:rsidR="006F161E" w:rsidRPr="00E7044E">
        <w:rPr>
          <w:rFonts w:ascii="Arial" w:hAnsi="Arial" w:cs="Arial"/>
          <w:color w:val="000000"/>
          <w:sz w:val="24"/>
          <w:szCs w:val="24"/>
        </w:rPr>
        <w:t>(Littler, 2017)</w:t>
      </w:r>
      <w:r w:rsidR="006F161E">
        <w:rPr>
          <w:rFonts w:ascii="Arial" w:hAnsi="Arial" w:cs="Arial"/>
          <w:color w:val="000000"/>
          <w:sz w:val="24"/>
          <w:szCs w:val="24"/>
        </w:rPr>
        <w:t xml:space="preserve">. Meritocracy exists in a linear, hierarchical structure, in which some people are at the top and some are at the bottom </w:t>
      </w:r>
      <w:r w:rsidR="006F161E" w:rsidRPr="00E7044E">
        <w:rPr>
          <w:rFonts w:ascii="Arial" w:hAnsi="Arial" w:cs="Arial"/>
          <w:color w:val="000000"/>
          <w:sz w:val="24"/>
          <w:szCs w:val="24"/>
        </w:rPr>
        <w:t>(Littler, 2017)</w:t>
      </w:r>
      <w:r w:rsidR="006F161E">
        <w:rPr>
          <w:rFonts w:ascii="Arial" w:hAnsi="Arial" w:cs="Arial"/>
          <w:color w:val="000000"/>
          <w:sz w:val="24"/>
          <w:szCs w:val="24"/>
        </w:rPr>
        <w:t xml:space="preserve">. Despite Trautwein </w:t>
      </w:r>
      <w:r w:rsidR="006F161E">
        <w:rPr>
          <w:rFonts w:ascii="Arial" w:hAnsi="Arial" w:cs="Arial"/>
          <w:i/>
          <w:iCs/>
          <w:color w:val="000000"/>
          <w:sz w:val="24"/>
          <w:szCs w:val="24"/>
        </w:rPr>
        <w:t>et al.</w:t>
      </w:r>
      <w:r w:rsidR="006F161E">
        <w:rPr>
          <w:rFonts w:ascii="Arial" w:hAnsi="Arial" w:cs="Arial"/>
          <w:color w:val="000000"/>
          <w:sz w:val="24"/>
          <w:szCs w:val="24"/>
        </w:rPr>
        <w:t xml:space="preserve">’s (2006) assertion that performance is the only relevant factor in meritocracy, this unequal structure is mirrored in the education system, where grades are unequally distributed dependent upon parental occupation </w:t>
      </w:r>
      <w:r w:rsidR="006F161E" w:rsidRPr="009675E7">
        <w:rPr>
          <w:rFonts w:ascii="Arial" w:hAnsi="Arial" w:cs="Arial"/>
          <w:sz w:val="24"/>
          <w:szCs w:val="24"/>
        </w:rPr>
        <w:t xml:space="preserve">(Dompnier </w:t>
      </w:r>
      <w:r w:rsidR="006F161E">
        <w:rPr>
          <w:rFonts w:ascii="Arial" w:hAnsi="Arial" w:cs="Arial"/>
          <w:sz w:val="24"/>
          <w:szCs w:val="24"/>
        </w:rPr>
        <w:t>and</w:t>
      </w:r>
      <w:r w:rsidR="006F161E" w:rsidRPr="009675E7">
        <w:rPr>
          <w:rFonts w:ascii="Arial" w:hAnsi="Arial" w:cs="Arial"/>
          <w:sz w:val="24"/>
          <w:szCs w:val="24"/>
        </w:rPr>
        <w:t xml:space="preserve"> Pansu, 2010; Pansu, </w:t>
      </w:r>
      <w:r w:rsidR="006F161E">
        <w:rPr>
          <w:rFonts w:ascii="Arial" w:hAnsi="Arial" w:cs="Arial"/>
          <w:i/>
          <w:iCs/>
          <w:sz w:val="24"/>
          <w:szCs w:val="24"/>
        </w:rPr>
        <w:t>et al.</w:t>
      </w:r>
      <w:r w:rsidR="006F161E" w:rsidRPr="009675E7">
        <w:rPr>
          <w:rFonts w:ascii="Arial" w:hAnsi="Arial" w:cs="Arial"/>
          <w:sz w:val="24"/>
          <w:szCs w:val="24"/>
        </w:rPr>
        <w:t>, 2008).</w:t>
      </w:r>
      <w:r w:rsidR="006F161E">
        <w:rPr>
          <w:rFonts w:ascii="Arial" w:hAnsi="Arial" w:cs="Arial"/>
          <w:color w:val="000000"/>
          <w:sz w:val="24"/>
          <w:szCs w:val="24"/>
        </w:rPr>
        <w:t xml:space="preserve">, and students of higher and lower statuses are told that their success, or lack of success, is not due to their social standing, but instead due to their effort and/or ability </w:t>
      </w:r>
      <w:r w:rsidR="006F161E">
        <w:rPr>
          <w:rFonts w:ascii="Arial" w:hAnsi="Arial" w:cs="Arial"/>
          <w:sz w:val="24"/>
          <w:szCs w:val="24"/>
        </w:rPr>
        <w:t xml:space="preserve">(Darnon </w:t>
      </w:r>
      <w:r w:rsidR="006F161E">
        <w:rPr>
          <w:rFonts w:ascii="Arial" w:hAnsi="Arial" w:cs="Arial"/>
          <w:i/>
          <w:iCs/>
          <w:sz w:val="24"/>
          <w:szCs w:val="24"/>
        </w:rPr>
        <w:t xml:space="preserve">et al., </w:t>
      </w:r>
      <w:r w:rsidR="006F161E">
        <w:rPr>
          <w:rFonts w:ascii="Arial" w:hAnsi="Arial" w:cs="Arial"/>
          <w:sz w:val="24"/>
          <w:szCs w:val="24"/>
        </w:rPr>
        <w:t>2018). This is vital, as the extent to which students think they are able to achieve success at school</w:t>
      </w:r>
      <w:r w:rsidR="00F0527A">
        <w:rPr>
          <w:rFonts w:ascii="Arial" w:hAnsi="Arial" w:cs="Arial"/>
          <w:sz w:val="24"/>
          <w:szCs w:val="24"/>
        </w:rPr>
        <w:t xml:space="preserve"> </w:t>
      </w:r>
      <w:r w:rsidR="00F0527A" w:rsidRPr="00611670">
        <w:rPr>
          <w:rFonts w:ascii="Arial" w:hAnsi="Arial" w:cs="Arial"/>
          <w:sz w:val="24"/>
          <w:szCs w:val="24"/>
        </w:rPr>
        <w:t>(Bandura, 1977)</w:t>
      </w:r>
      <w:r w:rsidR="006F161E">
        <w:rPr>
          <w:rFonts w:ascii="Arial" w:hAnsi="Arial" w:cs="Arial"/>
          <w:sz w:val="24"/>
          <w:szCs w:val="24"/>
        </w:rPr>
        <w:t xml:space="preserve"> has a direct correlation to school success</w:t>
      </w:r>
      <w:r w:rsidR="00F0527A">
        <w:rPr>
          <w:rFonts w:ascii="Arial" w:hAnsi="Arial" w:cs="Arial"/>
          <w:sz w:val="24"/>
          <w:szCs w:val="24"/>
        </w:rPr>
        <w:t xml:space="preserve"> </w:t>
      </w:r>
      <w:r w:rsidR="00F0527A" w:rsidRPr="00611670">
        <w:rPr>
          <w:rFonts w:ascii="Arial" w:hAnsi="Arial" w:cs="Arial"/>
          <w:sz w:val="24"/>
          <w:szCs w:val="24"/>
        </w:rPr>
        <w:t xml:space="preserve">(Usher </w:t>
      </w:r>
      <w:r w:rsidR="00F0527A">
        <w:rPr>
          <w:rFonts w:ascii="Arial" w:hAnsi="Arial" w:cs="Arial"/>
          <w:sz w:val="24"/>
          <w:szCs w:val="24"/>
        </w:rPr>
        <w:t>and</w:t>
      </w:r>
      <w:r w:rsidR="00F0527A" w:rsidRPr="00611670">
        <w:rPr>
          <w:rFonts w:ascii="Arial" w:hAnsi="Arial" w:cs="Arial"/>
          <w:sz w:val="24"/>
          <w:szCs w:val="24"/>
        </w:rPr>
        <w:t xml:space="preserve"> Pajares, 2006, 2008)</w:t>
      </w:r>
      <w:r w:rsidR="00F0527A">
        <w:rPr>
          <w:rFonts w:ascii="Arial" w:hAnsi="Arial" w:cs="Arial"/>
          <w:sz w:val="24"/>
          <w:szCs w:val="24"/>
        </w:rPr>
        <w:t xml:space="preserve">, which demonstrates how social inequalities are reproduced. </w:t>
      </w:r>
    </w:p>
    <w:p w14:paraId="6789ABCD" w14:textId="12D72A64" w:rsidR="00DC6686" w:rsidRDefault="00F0527A" w:rsidP="00B36282">
      <w:pPr>
        <w:spacing w:line="360" w:lineRule="auto"/>
        <w:jc w:val="both"/>
        <w:rPr>
          <w:rFonts w:ascii="Arial" w:eastAsia="Times New Roman" w:hAnsi="Arial" w:cs="Arial"/>
          <w:sz w:val="24"/>
          <w:szCs w:val="24"/>
        </w:rPr>
      </w:pPr>
      <w:r>
        <w:rPr>
          <w:rFonts w:ascii="Arial" w:hAnsi="Arial" w:cs="Arial"/>
          <w:sz w:val="24"/>
          <w:szCs w:val="24"/>
        </w:rPr>
        <w:t xml:space="preserve">Parental wealth also impacts on where children are educated and in what format, as entering children into private school creates social capital (Coleman, 1988), whereby networks are built which can lead to future opportunities </w:t>
      </w:r>
      <w:r>
        <w:rPr>
          <w:rFonts w:ascii="Arial" w:eastAsia="Times New Roman" w:hAnsi="Arial" w:cs="Arial"/>
          <w:sz w:val="24"/>
          <w:szCs w:val="24"/>
        </w:rPr>
        <w:t>(Ballantine and Spade, 1993)</w:t>
      </w:r>
      <w:r>
        <w:rPr>
          <w:rFonts w:ascii="Arial" w:hAnsi="Arial" w:cs="Arial"/>
          <w:sz w:val="24"/>
          <w:szCs w:val="24"/>
        </w:rPr>
        <w:t xml:space="preserve">, consequently reproducing social status and limiting mobility. This process can start with attending a good preschool </w:t>
      </w:r>
      <w:r w:rsidRPr="00DA31DD">
        <w:rPr>
          <w:rFonts w:ascii="Arial" w:hAnsi="Arial" w:cs="Arial"/>
          <w:sz w:val="24"/>
          <w:szCs w:val="24"/>
        </w:rPr>
        <w:t>(Lareau, 2000),</w:t>
      </w:r>
      <w:r>
        <w:rPr>
          <w:rFonts w:ascii="Arial" w:hAnsi="Arial" w:cs="Arial"/>
          <w:sz w:val="24"/>
          <w:szCs w:val="24"/>
        </w:rPr>
        <w:t xml:space="preserve"> being encouraged, and able, to stay in education beyond the compulsory age </w:t>
      </w:r>
      <w:r w:rsidRPr="00DA31DD">
        <w:rPr>
          <w:rFonts w:ascii="Arial" w:hAnsi="Arial" w:cs="Arial"/>
          <w:sz w:val="24"/>
          <w:szCs w:val="24"/>
        </w:rPr>
        <w:t xml:space="preserve">(Kalmijn </w:t>
      </w:r>
      <w:r>
        <w:rPr>
          <w:rFonts w:ascii="Arial" w:hAnsi="Arial" w:cs="Arial"/>
          <w:sz w:val="24"/>
          <w:szCs w:val="24"/>
        </w:rPr>
        <w:t>and</w:t>
      </w:r>
      <w:r w:rsidRPr="00DA31DD">
        <w:rPr>
          <w:rFonts w:ascii="Arial" w:hAnsi="Arial" w:cs="Arial"/>
          <w:sz w:val="24"/>
          <w:szCs w:val="24"/>
        </w:rPr>
        <w:t xml:space="preserve"> Kraaykamp, 2003)</w:t>
      </w:r>
      <w:r>
        <w:rPr>
          <w:rFonts w:ascii="Arial" w:hAnsi="Arial" w:cs="Arial"/>
          <w:sz w:val="24"/>
          <w:szCs w:val="24"/>
        </w:rPr>
        <w:t xml:space="preserve"> and having financial support to access higher education</w:t>
      </w:r>
      <w:r w:rsidRPr="00DA31DD">
        <w:rPr>
          <w:rFonts w:ascii="Arial" w:hAnsi="Arial" w:cs="Arial"/>
          <w:sz w:val="24"/>
          <w:szCs w:val="24"/>
        </w:rPr>
        <w:t xml:space="preserve"> (Espenshade </w:t>
      </w:r>
      <w:r>
        <w:rPr>
          <w:rFonts w:ascii="Arial" w:hAnsi="Arial" w:cs="Arial"/>
          <w:sz w:val="24"/>
          <w:szCs w:val="24"/>
        </w:rPr>
        <w:t>and</w:t>
      </w:r>
      <w:r w:rsidRPr="00DA31DD">
        <w:rPr>
          <w:rFonts w:ascii="Arial" w:hAnsi="Arial" w:cs="Arial"/>
          <w:sz w:val="24"/>
          <w:szCs w:val="24"/>
        </w:rPr>
        <w:t xml:space="preserve"> Radford, 2009).</w:t>
      </w:r>
      <w:r>
        <w:rPr>
          <w:rFonts w:ascii="Arial" w:hAnsi="Arial" w:cs="Arial"/>
          <w:sz w:val="24"/>
          <w:szCs w:val="24"/>
        </w:rPr>
        <w:t xml:space="preserve"> Although Boudon (1975) stated that families from lower status backgrounds did not understand the benefits of education and overestimated the costs involved, Jackson </w:t>
      </w:r>
      <w:r>
        <w:rPr>
          <w:rFonts w:ascii="Arial" w:hAnsi="Arial" w:cs="Arial"/>
          <w:i/>
          <w:iCs/>
          <w:sz w:val="24"/>
          <w:szCs w:val="24"/>
        </w:rPr>
        <w:t xml:space="preserve">et al.’s </w:t>
      </w:r>
      <w:r>
        <w:rPr>
          <w:rFonts w:ascii="Arial" w:hAnsi="Arial" w:cs="Arial"/>
          <w:sz w:val="24"/>
          <w:szCs w:val="24"/>
        </w:rPr>
        <w:t>(2007) research showed that, although, children with a similar level of achievement from higher status backgrounds were more likely to continue in education than those in lower status backgrounds, this was because lower-status families needed the income from a job, rather than the long-term benefits of education, despite understanding these (Souter-Otoro, 2010).</w:t>
      </w:r>
      <w:r w:rsidR="00811698">
        <w:rPr>
          <w:rFonts w:ascii="Arial" w:hAnsi="Arial" w:cs="Arial"/>
          <w:sz w:val="24"/>
          <w:szCs w:val="24"/>
        </w:rPr>
        <w:t xml:space="preserve"> Halaby (2003) has further highlighted this, as people from lower status backgrounds are more risk averse, favouring jobs with </w:t>
      </w:r>
      <w:r w:rsidR="00811698">
        <w:rPr>
          <w:rFonts w:ascii="Arial" w:hAnsi="Arial" w:cs="Arial"/>
          <w:sz w:val="24"/>
          <w:szCs w:val="24"/>
        </w:rPr>
        <w:lastRenderedPageBreak/>
        <w:t>pension rights and job security, to avoid adverse outcomes. The assertion is that those from higher class backgrounds can afford to fail, as they have a financial security that others do not have (Breen, 1998).</w:t>
      </w:r>
    </w:p>
    <w:p w14:paraId="320DF95C" w14:textId="08B3A096" w:rsidR="00B36282" w:rsidRPr="00B36282" w:rsidRDefault="00B36282" w:rsidP="00B36282">
      <w:pPr>
        <w:spacing w:line="360" w:lineRule="auto"/>
        <w:jc w:val="both"/>
        <w:rPr>
          <w:rFonts w:ascii="Arial" w:eastAsia="Times New Roman" w:hAnsi="Arial" w:cs="Arial"/>
          <w:sz w:val="24"/>
          <w:szCs w:val="24"/>
        </w:rPr>
      </w:pPr>
      <w:r>
        <w:rPr>
          <w:rFonts w:ascii="Arial" w:eastAsia="Times New Roman" w:hAnsi="Arial" w:cs="Arial"/>
          <w:sz w:val="24"/>
          <w:szCs w:val="24"/>
        </w:rPr>
        <w:t xml:space="preserve">Social mobility is therefore impacted by parental wealth in a variety of ways, including children from higher status backgrounds being more likely to attend elite universities </w:t>
      </w:r>
      <w:r w:rsidRPr="001D4A0A">
        <w:rPr>
          <w:rFonts w:ascii="Arial" w:hAnsi="Arial" w:cs="Arial"/>
          <w:sz w:val="24"/>
          <w:szCs w:val="24"/>
        </w:rPr>
        <w:t xml:space="preserve">(Shiner </w:t>
      </w:r>
      <w:r>
        <w:rPr>
          <w:rFonts w:ascii="Arial" w:hAnsi="Arial" w:cs="Arial"/>
          <w:sz w:val="24"/>
          <w:szCs w:val="24"/>
        </w:rPr>
        <w:t>and</w:t>
      </w:r>
      <w:r w:rsidRPr="001D4A0A">
        <w:rPr>
          <w:rFonts w:ascii="Arial" w:hAnsi="Arial" w:cs="Arial"/>
          <w:sz w:val="24"/>
          <w:szCs w:val="24"/>
        </w:rPr>
        <w:t xml:space="preserve"> Modood, 2002; Archer </w:t>
      </w:r>
      <w:r w:rsidRPr="00B36282">
        <w:rPr>
          <w:rFonts w:ascii="Arial" w:hAnsi="Arial" w:cs="Arial"/>
          <w:i/>
          <w:iCs/>
          <w:sz w:val="24"/>
          <w:szCs w:val="24"/>
        </w:rPr>
        <w:t>et al</w:t>
      </w:r>
      <w:r w:rsidRPr="001D4A0A">
        <w:rPr>
          <w:rFonts w:ascii="Arial" w:hAnsi="Arial" w:cs="Arial"/>
          <w:sz w:val="24"/>
          <w:szCs w:val="24"/>
        </w:rPr>
        <w:t xml:space="preserve">., 2003; Reay </w:t>
      </w:r>
      <w:r w:rsidRPr="00B36282">
        <w:rPr>
          <w:rFonts w:ascii="Arial" w:hAnsi="Arial" w:cs="Arial"/>
          <w:i/>
          <w:iCs/>
          <w:sz w:val="24"/>
          <w:szCs w:val="24"/>
        </w:rPr>
        <w:t>et a</w:t>
      </w:r>
      <w:r>
        <w:rPr>
          <w:rFonts w:ascii="Arial" w:hAnsi="Arial" w:cs="Arial"/>
          <w:i/>
          <w:iCs/>
          <w:sz w:val="24"/>
          <w:szCs w:val="24"/>
        </w:rPr>
        <w:t>l</w:t>
      </w:r>
      <w:r w:rsidRPr="00B36282">
        <w:rPr>
          <w:rFonts w:ascii="Arial" w:hAnsi="Arial" w:cs="Arial"/>
          <w:i/>
          <w:iCs/>
          <w:sz w:val="24"/>
          <w:szCs w:val="24"/>
        </w:rPr>
        <w:t>.,</w:t>
      </w:r>
      <w:r w:rsidRPr="001D4A0A">
        <w:rPr>
          <w:rFonts w:ascii="Arial" w:hAnsi="Arial" w:cs="Arial"/>
          <w:sz w:val="24"/>
          <w:szCs w:val="24"/>
        </w:rPr>
        <w:t xml:space="preserve"> 2005; Warikoo and Fuhr, 2014)</w:t>
      </w:r>
      <w:r>
        <w:rPr>
          <w:rFonts w:ascii="Arial" w:hAnsi="Arial" w:cs="Arial"/>
          <w:sz w:val="24"/>
          <w:szCs w:val="24"/>
        </w:rPr>
        <w:t xml:space="preserve">, become professional sports people </w:t>
      </w:r>
      <w:r w:rsidRPr="00D55A6F">
        <w:rPr>
          <w:rFonts w:ascii="Arial" w:hAnsi="Arial" w:cs="Arial"/>
          <w:color w:val="000000"/>
          <w:sz w:val="24"/>
          <w:szCs w:val="24"/>
        </w:rPr>
        <w:t>(</w:t>
      </w:r>
      <w:hyperlink r:id="rId10" w:anchor="bibr5-0263276418799866" w:history="1">
        <w:r w:rsidRPr="00B36282">
          <w:rPr>
            <w:rStyle w:val="Hyperlink"/>
            <w:rFonts w:ascii="Arial" w:hAnsi="Arial" w:cs="Arial"/>
            <w:color w:val="000000"/>
            <w:sz w:val="24"/>
            <w:szCs w:val="24"/>
            <w:u w:val="none"/>
          </w:rPr>
          <w:t>Pells, 2016</w:t>
        </w:r>
      </w:hyperlink>
      <w:r w:rsidRPr="00D55A6F">
        <w:rPr>
          <w:rFonts w:ascii="Arial" w:hAnsi="Arial" w:cs="Arial"/>
          <w:sz w:val="24"/>
          <w:szCs w:val="24"/>
        </w:rPr>
        <w:t>; Reay, 2018</w:t>
      </w:r>
      <w:r w:rsidRPr="00D55A6F">
        <w:rPr>
          <w:rFonts w:ascii="Arial" w:hAnsi="Arial" w:cs="Arial"/>
          <w:color w:val="000000"/>
          <w:sz w:val="24"/>
          <w:szCs w:val="24"/>
        </w:rPr>
        <w:t>)</w:t>
      </w:r>
      <w:r>
        <w:rPr>
          <w:rFonts w:ascii="Arial" w:hAnsi="Arial" w:cs="Arial"/>
          <w:color w:val="000000"/>
          <w:sz w:val="24"/>
          <w:szCs w:val="24"/>
        </w:rPr>
        <w:t xml:space="preserve"> and have higher paid jobs in their twenties and beyond </w:t>
      </w:r>
      <w:r w:rsidRPr="001D4A0A">
        <w:rPr>
          <w:rFonts w:ascii="Arial" w:hAnsi="Arial" w:cs="Arial"/>
          <w:sz w:val="24"/>
          <w:szCs w:val="24"/>
        </w:rPr>
        <w:t>(Kamens, 1977; Meyer, 1977; Collins, 1979).</w:t>
      </w:r>
      <w:r>
        <w:rPr>
          <w:rFonts w:ascii="Arial" w:hAnsi="Arial" w:cs="Arial"/>
          <w:sz w:val="24"/>
          <w:szCs w:val="24"/>
        </w:rPr>
        <w:t xml:space="preserve"> The cultural capital within high status families and reproduced in schools </w:t>
      </w:r>
      <w:r w:rsidRPr="00551E9C">
        <w:rPr>
          <w:rFonts w:ascii="Arial" w:hAnsi="Arial" w:cs="Arial"/>
          <w:sz w:val="24"/>
          <w:szCs w:val="24"/>
        </w:rPr>
        <w:t>(Bourdieu and Passeron 1977)</w:t>
      </w:r>
      <w:r>
        <w:rPr>
          <w:rFonts w:ascii="Arial" w:hAnsi="Arial" w:cs="Arial"/>
          <w:sz w:val="24"/>
          <w:szCs w:val="24"/>
        </w:rPr>
        <w:t xml:space="preserve"> is used within recruitment strategies for high level organisations, where social skills and networks are needed</w:t>
      </w:r>
      <w:r w:rsidR="00811698">
        <w:rPr>
          <w:rFonts w:ascii="Arial" w:hAnsi="Arial" w:cs="Arial"/>
          <w:sz w:val="24"/>
          <w:szCs w:val="24"/>
        </w:rPr>
        <w:t xml:space="preserve"> </w:t>
      </w:r>
      <w:r w:rsidR="00811698" w:rsidRPr="00551E9C">
        <w:rPr>
          <w:rFonts w:ascii="Arial" w:hAnsi="Arial" w:cs="Arial"/>
          <w:sz w:val="24"/>
          <w:szCs w:val="24"/>
        </w:rPr>
        <w:t>(Boxman</w:t>
      </w:r>
      <w:r w:rsidR="00811698">
        <w:rPr>
          <w:rFonts w:ascii="Arial" w:hAnsi="Arial" w:cs="Arial"/>
          <w:sz w:val="24"/>
          <w:szCs w:val="24"/>
        </w:rPr>
        <w:t xml:space="preserve"> </w:t>
      </w:r>
      <w:r w:rsidR="00811698">
        <w:rPr>
          <w:rFonts w:ascii="Arial" w:hAnsi="Arial" w:cs="Arial"/>
          <w:i/>
          <w:iCs/>
          <w:sz w:val="24"/>
          <w:szCs w:val="24"/>
        </w:rPr>
        <w:t>et al.,</w:t>
      </w:r>
      <w:r w:rsidR="00811698" w:rsidRPr="00551E9C">
        <w:rPr>
          <w:rFonts w:ascii="Arial" w:hAnsi="Arial" w:cs="Arial"/>
          <w:sz w:val="24"/>
          <w:szCs w:val="24"/>
        </w:rPr>
        <w:t xml:space="preserve"> 1991; Lin</w:t>
      </w:r>
      <w:r w:rsidR="00811698">
        <w:rPr>
          <w:rFonts w:ascii="Arial" w:hAnsi="Arial" w:cs="Arial"/>
          <w:sz w:val="24"/>
          <w:szCs w:val="24"/>
        </w:rPr>
        <w:t>,</w:t>
      </w:r>
      <w:r w:rsidR="00811698" w:rsidRPr="00551E9C">
        <w:rPr>
          <w:rFonts w:ascii="Arial" w:hAnsi="Arial" w:cs="Arial"/>
          <w:sz w:val="24"/>
          <w:szCs w:val="24"/>
        </w:rPr>
        <w:t xml:space="preserve"> 1999</w:t>
      </w:r>
      <w:r w:rsidR="00811698">
        <w:rPr>
          <w:rFonts w:ascii="Arial" w:hAnsi="Arial" w:cs="Arial"/>
          <w:sz w:val="24"/>
          <w:szCs w:val="24"/>
        </w:rPr>
        <w:t>; Souto-Otero, 2010).</w:t>
      </w:r>
    </w:p>
    <w:p w14:paraId="0028610F" w14:textId="6145FEC3" w:rsidR="006310B1" w:rsidRDefault="00811698" w:rsidP="00F763F2">
      <w:pPr>
        <w:spacing w:line="360" w:lineRule="auto"/>
        <w:jc w:val="both"/>
        <w:rPr>
          <w:rFonts w:ascii="Arial" w:hAnsi="Arial" w:cs="Arial"/>
          <w:sz w:val="24"/>
          <w:szCs w:val="24"/>
        </w:rPr>
      </w:pPr>
      <w:r>
        <w:rPr>
          <w:rFonts w:ascii="Arial" w:hAnsi="Arial" w:cs="Arial"/>
          <w:sz w:val="24"/>
          <w:szCs w:val="24"/>
        </w:rPr>
        <w:t xml:space="preserve">To conclude, meritocracy within the education system reproduces social inequality and limits social mobility, whilst maintaining the status quo of the dominant classes. Schools reinforce hierarchy rather than engaging with a true meritocracy, including by creating ability groups (Bourdieu and Passeron, 1977; </w:t>
      </w:r>
      <w:r w:rsidRPr="00611670">
        <w:rPr>
          <w:rFonts w:ascii="Arial" w:hAnsi="Arial" w:cs="Arial"/>
          <w:sz w:val="24"/>
          <w:szCs w:val="24"/>
        </w:rPr>
        <w:t xml:space="preserve">Darnon </w:t>
      </w:r>
      <w:r w:rsidRPr="00611670">
        <w:rPr>
          <w:rFonts w:ascii="Arial" w:hAnsi="Arial" w:cs="Arial"/>
          <w:i/>
          <w:iCs/>
          <w:sz w:val="24"/>
          <w:szCs w:val="24"/>
        </w:rPr>
        <w:t xml:space="preserve">et al., </w:t>
      </w:r>
      <w:r w:rsidRPr="00611670">
        <w:rPr>
          <w:rFonts w:ascii="Arial" w:hAnsi="Arial" w:cs="Arial"/>
          <w:sz w:val="24"/>
          <w:szCs w:val="24"/>
        </w:rPr>
        <w:t>2018</w:t>
      </w:r>
      <w:r>
        <w:rPr>
          <w:rFonts w:ascii="Arial" w:hAnsi="Arial" w:cs="Arial"/>
          <w:sz w:val="24"/>
          <w:szCs w:val="24"/>
        </w:rPr>
        <w:t>). Such ability groups are often based on parental wealth, rather than solely on ability, which limits the possibility of social mobility for the lower classes and ultimately reproduced inequality within society.</w:t>
      </w:r>
    </w:p>
    <w:p w14:paraId="78007011" w14:textId="554B6B69" w:rsidR="006310B1" w:rsidRDefault="006310B1" w:rsidP="00F763F2">
      <w:pPr>
        <w:spacing w:line="360" w:lineRule="auto"/>
        <w:jc w:val="both"/>
        <w:rPr>
          <w:rFonts w:ascii="Arial" w:hAnsi="Arial" w:cs="Arial"/>
          <w:sz w:val="24"/>
          <w:szCs w:val="24"/>
          <w:shd w:val="clear" w:color="auto" w:fill="FFFFFF"/>
        </w:rPr>
      </w:pPr>
    </w:p>
    <w:p w14:paraId="49647C8D" w14:textId="2F0B0C28" w:rsidR="00811698" w:rsidRDefault="00811698" w:rsidP="00F763F2">
      <w:pPr>
        <w:spacing w:line="360" w:lineRule="auto"/>
        <w:jc w:val="both"/>
        <w:rPr>
          <w:rFonts w:ascii="Arial" w:hAnsi="Arial" w:cs="Arial"/>
          <w:sz w:val="24"/>
          <w:szCs w:val="24"/>
          <w:shd w:val="clear" w:color="auto" w:fill="FFFFFF"/>
        </w:rPr>
      </w:pPr>
    </w:p>
    <w:p w14:paraId="55DE39B0" w14:textId="49580900" w:rsidR="00811698" w:rsidRDefault="00811698" w:rsidP="00F763F2">
      <w:pPr>
        <w:spacing w:line="360" w:lineRule="auto"/>
        <w:jc w:val="both"/>
        <w:rPr>
          <w:rFonts w:ascii="Arial" w:hAnsi="Arial" w:cs="Arial"/>
          <w:sz w:val="24"/>
          <w:szCs w:val="24"/>
          <w:shd w:val="clear" w:color="auto" w:fill="FFFFFF"/>
        </w:rPr>
      </w:pPr>
    </w:p>
    <w:p w14:paraId="515E2CB3" w14:textId="24E5B7DB" w:rsidR="00811698" w:rsidRDefault="00811698" w:rsidP="00F763F2">
      <w:pPr>
        <w:spacing w:line="360" w:lineRule="auto"/>
        <w:jc w:val="both"/>
        <w:rPr>
          <w:rFonts w:ascii="Arial" w:hAnsi="Arial" w:cs="Arial"/>
          <w:sz w:val="24"/>
          <w:szCs w:val="24"/>
          <w:shd w:val="clear" w:color="auto" w:fill="FFFFFF"/>
        </w:rPr>
      </w:pPr>
    </w:p>
    <w:p w14:paraId="1BCB0475" w14:textId="5676C34F" w:rsidR="00811698" w:rsidRDefault="00811698" w:rsidP="00F763F2">
      <w:pPr>
        <w:spacing w:line="360" w:lineRule="auto"/>
        <w:jc w:val="both"/>
        <w:rPr>
          <w:rFonts w:ascii="Arial" w:hAnsi="Arial" w:cs="Arial"/>
          <w:sz w:val="24"/>
          <w:szCs w:val="24"/>
          <w:shd w:val="clear" w:color="auto" w:fill="FFFFFF"/>
        </w:rPr>
      </w:pPr>
    </w:p>
    <w:p w14:paraId="252FA07E" w14:textId="2F2CBFBE" w:rsidR="00811698" w:rsidRDefault="00811698" w:rsidP="00F763F2">
      <w:pPr>
        <w:spacing w:line="360" w:lineRule="auto"/>
        <w:jc w:val="both"/>
        <w:rPr>
          <w:rFonts w:ascii="Arial" w:hAnsi="Arial" w:cs="Arial"/>
          <w:sz w:val="24"/>
          <w:szCs w:val="24"/>
          <w:shd w:val="clear" w:color="auto" w:fill="FFFFFF"/>
        </w:rPr>
      </w:pPr>
    </w:p>
    <w:p w14:paraId="62C497D0" w14:textId="77777777" w:rsidR="00811698" w:rsidRDefault="00811698" w:rsidP="00F763F2">
      <w:pPr>
        <w:spacing w:line="360" w:lineRule="auto"/>
        <w:jc w:val="both"/>
        <w:rPr>
          <w:rFonts w:ascii="Arial" w:hAnsi="Arial" w:cs="Arial"/>
          <w:sz w:val="24"/>
          <w:szCs w:val="24"/>
        </w:rPr>
      </w:pPr>
    </w:p>
    <w:p w14:paraId="68237041" w14:textId="420EC555" w:rsidR="00553CBD" w:rsidRDefault="00553CBD" w:rsidP="00F763F2">
      <w:pPr>
        <w:spacing w:line="360" w:lineRule="auto"/>
        <w:jc w:val="both"/>
        <w:rPr>
          <w:rFonts w:ascii="Arial" w:hAnsi="Arial" w:cs="Arial"/>
          <w:b/>
          <w:bCs/>
          <w:sz w:val="24"/>
          <w:szCs w:val="24"/>
        </w:rPr>
      </w:pPr>
    </w:p>
    <w:p w14:paraId="4BB51E80" w14:textId="77777777" w:rsidR="001F0DA4" w:rsidRDefault="001F0DA4" w:rsidP="00F763F2">
      <w:pPr>
        <w:spacing w:line="360" w:lineRule="auto"/>
        <w:jc w:val="both"/>
        <w:rPr>
          <w:rFonts w:ascii="Arial" w:hAnsi="Arial" w:cs="Arial"/>
          <w:b/>
          <w:bCs/>
          <w:sz w:val="24"/>
          <w:szCs w:val="24"/>
        </w:rPr>
      </w:pPr>
    </w:p>
    <w:p w14:paraId="4BD54C94" w14:textId="77777777" w:rsidR="00553CBD" w:rsidRDefault="00553CBD" w:rsidP="00F763F2">
      <w:pPr>
        <w:spacing w:line="360" w:lineRule="auto"/>
        <w:jc w:val="both"/>
        <w:rPr>
          <w:rFonts w:ascii="Arial" w:hAnsi="Arial" w:cs="Arial"/>
          <w:b/>
          <w:bCs/>
          <w:sz w:val="24"/>
          <w:szCs w:val="24"/>
        </w:rPr>
      </w:pPr>
    </w:p>
    <w:p w14:paraId="58AE1120" w14:textId="32965205" w:rsidR="006310B1" w:rsidRDefault="006310B1" w:rsidP="00F763F2">
      <w:pPr>
        <w:spacing w:line="360" w:lineRule="auto"/>
        <w:jc w:val="both"/>
        <w:rPr>
          <w:rFonts w:ascii="Arial" w:hAnsi="Arial" w:cs="Arial"/>
          <w:b/>
          <w:bCs/>
          <w:sz w:val="24"/>
          <w:szCs w:val="24"/>
        </w:rPr>
      </w:pPr>
      <w:r>
        <w:rPr>
          <w:rFonts w:ascii="Arial" w:hAnsi="Arial" w:cs="Arial"/>
          <w:b/>
          <w:bCs/>
          <w:sz w:val="24"/>
          <w:szCs w:val="24"/>
        </w:rPr>
        <w:lastRenderedPageBreak/>
        <w:t>Reference List</w:t>
      </w:r>
    </w:p>
    <w:p w14:paraId="20E78C5D" w14:textId="28E787EC" w:rsidR="005203F4" w:rsidRDefault="005203F4" w:rsidP="00F763F2">
      <w:pPr>
        <w:spacing w:line="360" w:lineRule="auto"/>
        <w:jc w:val="both"/>
        <w:rPr>
          <w:rFonts w:ascii="Arial" w:hAnsi="Arial" w:cs="Arial"/>
          <w:sz w:val="24"/>
          <w:szCs w:val="24"/>
        </w:rPr>
      </w:pPr>
      <w:r>
        <w:rPr>
          <w:rFonts w:ascii="Arial" w:hAnsi="Arial" w:cs="Arial"/>
          <w:sz w:val="24"/>
          <w:szCs w:val="24"/>
        </w:rPr>
        <w:t xml:space="preserve">Abercrombie, N., and Warde, A., (1994), </w:t>
      </w:r>
      <w:r>
        <w:rPr>
          <w:rFonts w:ascii="Arial" w:hAnsi="Arial" w:cs="Arial"/>
          <w:i/>
          <w:iCs/>
          <w:sz w:val="24"/>
          <w:szCs w:val="24"/>
        </w:rPr>
        <w:t xml:space="preserve">Contemporary British Society, </w:t>
      </w:r>
      <w:r>
        <w:rPr>
          <w:rFonts w:ascii="Arial" w:hAnsi="Arial" w:cs="Arial"/>
          <w:sz w:val="24"/>
          <w:szCs w:val="24"/>
        </w:rPr>
        <w:t>Oxford: Polity (2</w:t>
      </w:r>
      <w:r w:rsidRPr="00BD74A7">
        <w:rPr>
          <w:rFonts w:ascii="Arial" w:hAnsi="Arial" w:cs="Arial"/>
          <w:sz w:val="24"/>
          <w:szCs w:val="24"/>
          <w:vertAlign w:val="superscript"/>
        </w:rPr>
        <w:t>nd</w:t>
      </w:r>
      <w:r>
        <w:rPr>
          <w:rFonts w:ascii="Arial" w:hAnsi="Arial" w:cs="Arial"/>
          <w:sz w:val="24"/>
          <w:szCs w:val="24"/>
        </w:rPr>
        <w:t xml:space="preserve"> edn.)</w:t>
      </w:r>
    </w:p>
    <w:p w14:paraId="165A5CF8" w14:textId="10A7D58A" w:rsidR="00013AE5" w:rsidRDefault="00013AE5" w:rsidP="00F763F2">
      <w:pPr>
        <w:spacing w:line="360" w:lineRule="auto"/>
        <w:jc w:val="both"/>
        <w:rPr>
          <w:rFonts w:ascii="Arial" w:hAnsi="Arial" w:cs="Arial"/>
          <w:sz w:val="24"/>
          <w:szCs w:val="24"/>
        </w:rPr>
      </w:pPr>
      <w:r w:rsidRPr="0099192B">
        <w:rPr>
          <w:rFonts w:ascii="Arial" w:hAnsi="Arial" w:cs="Arial"/>
          <w:sz w:val="24"/>
          <w:szCs w:val="24"/>
        </w:rPr>
        <w:t xml:space="preserve">Adams, J. S., (1965), ‘Inequity in social exchange’, in L. Berkowitz (Ed.), </w:t>
      </w:r>
      <w:r w:rsidRPr="0099192B">
        <w:rPr>
          <w:rFonts w:ascii="Arial" w:hAnsi="Arial" w:cs="Arial"/>
          <w:i/>
          <w:iCs/>
          <w:sz w:val="24"/>
          <w:szCs w:val="24"/>
        </w:rPr>
        <w:t>Advances in experimental social psychology,</w:t>
      </w:r>
      <w:r w:rsidRPr="0099192B">
        <w:rPr>
          <w:rFonts w:ascii="Arial" w:hAnsi="Arial" w:cs="Arial"/>
          <w:sz w:val="24"/>
          <w:szCs w:val="24"/>
        </w:rPr>
        <w:t xml:space="preserve"> (Vol. 2, pp. 267–299), New York: Academic Press</w:t>
      </w:r>
    </w:p>
    <w:p w14:paraId="502ABDEE" w14:textId="7DE34858" w:rsidR="000249BC" w:rsidRDefault="000249BC" w:rsidP="000249BC">
      <w:pPr>
        <w:spacing w:line="360" w:lineRule="auto"/>
        <w:jc w:val="both"/>
        <w:rPr>
          <w:rFonts w:ascii="Arial" w:hAnsi="Arial" w:cs="Arial"/>
          <w:sz w:val="24"/>
          <w:szCs w:val="24"/>
        </w:rPr>
      </w:pPr>
      <w:r w:rsidRPr="00D133CA">
        <w:rPr>
          <w:rFonts w:ascii="Arial" w:hAnsi="Arial" w:cs="Arial"/>
          <w:sz w:val="24"/>
          <w:szCs w:val="24"/>
        </w:rPr>
        <w:t xml:space="preserve">Aikens, N. L., and Barbarin, O., (2008), ‘Socioeconomic differences in reading trajectories: The contribution of family, neighborhood, and school context’, </w:t>
      </w:r>
      <w:r w:rsidRPr="00D133CA">
        <w:rPr>
          <w:rFonts w:ascii="Arial" w:hAnsi="Arial" w:cs="Arial"/>
          <w:i/>
          <w:iCs/>
          <w:sz w:val="24"/>
          <w:szCs w:val="24"/>
        </w:rPr>
        <w:t>Journal of Educational Psychology</w:t>
      </w:r>
      <w:r w:rsidRPr="00D133CA">
        <w:rPr>
          <w:rFonts w:ascii="Arial" w:hAnsi="Arial" w:cs="Arial"/>
          <w:sz w:val="24"/>
          <w:szCs w:val="24"/>
        </w:rPr>
        <w:t xml:space="preserve">, 100, pp.235–251 </w:t>
      </w:r>
    </w:p>
    <w:p w14:paraId="3160EC99" w14:textId="77777777" w:rsidR="004348F7" w:rsidRPr="001F0DA4" w:rsidRDefault="004348F7" w:rsidP="004348F7">
      <w:pPr>
        <w:spacing w:line="360" w:lineRule="auto"/>
        <w:jc w:val="both"/>
        <w:rPr>
          <w:rFonts w:ascii="Arial" w:hAnsi="Arial" w:cs="Arial"/>
          <w:sz w:val="24"/>
          <w:szCs w:val="24"/>
        </w:rPr>
      </w:pPr>
      <w:r>
        <w:rPr>
          <w:rFonts w:ascii="Arial" w:hAnsi="Arial" w:cs="Arial"/>
          <w:sz w:val="24"/>
          <w:szCs w:val="24"/>
        </w:rPr>
        <w:t xml:space="preserve">Apple, M. W., (1993), </w:t>
      </w:r>
      <w:r>
        <w:rPr>
          <w:rFonts w:ascii="Arial" w:hAnsi="Arial" w:cs="Arial"/>
          <w:i/>
          <w:iCs/>
          <w:sz w:val="24"/>
          <w:szCs w:val="24"/>
        </w:rPr>
        <w:t xml:space="preserve">Official knowledge, </w:t>
      </w:r>
      <w:r>
        <w:rPr>
          <w:rFonts w:ascii="Arial" w:hAnsi="Arial" w:cs="Arial"/>
          <w:sz w:val="24"/>
          <w:szCs w:val="24"/>
        </w:rPr>
        <w:t>New York: Routledge</w:t>
      </w:r>
    </w:p>
    <w:p w14:paraId="135B51E1" w14:textId="29586D52" w:rsidR="004348F7" w:rsidRPr="004348F7" w:rsidRDefault="004348F7" w:rsidP="000249BC">
      <w:pPr>
        <w:spacing w:line="360" w:lineRule="auto"/>
        <w:jc w:val="both"/>
        <w:rPr>
          <w:rFonts w:ascii="Arial" w:hAnsi="Arial" w:cs="Arial"/>
          <w:i/>
          <w:iCs/>
          <w:sz w:val="24"/>
          <w:szCs w:val="24"/>
        </w:rPr>
      </w:pPr>
      <w:r>
        <w:rPr>
          <w:rFonts w:ascii="Arial" w:hAnsi="Arial" w:cs="Arial"/>
          <w:sz w:val="24"/>
          <w:szCs w:val="24"/>
        </w:rPr>
        <w:t xml:space="preserve">Apple, M. W., (1996), </w:t>
      </w:r>
      <w:r>
        <w:rPr>
          <w:rFonts w:ascii="Arial" w:hAnsi="Arial" w:cs="Arial"/>
          <w:i/>
          <w:iCs/>
          <w:sz w:val="24"/>
          <w:szCs w:val="24"/>
        </w:rPr>
        <w:t xml:space="preserve">Cultural politics and education, </w:t>
      </w:r>
      <w:r>
        <w:rPr>
          <w:rFonts w:ascii="Arial" w:hAnsi="Arial" w:cs="Arial"/>
          <w:sz w:val="24"/>
          <w:szCs w:val="24"/>
        </w:rPr>
        <w:t>New York: Teachers College Press</w:t>
      </w:r>
      <w:r>
        <w:rPr>
          <w:rFonts w:ascii="Arial" w:hAnsi="Arial" w:cs="Arial"/>
          <w:i/>
          <w:iCs/>
          <w:sz w:val="24"/>
          <w:szCs w:val="24"/>
        </w:rPr>
        <w:t xml:space="preserve"> </w:t>
      </w:r>
    </w:p>
    <w:p w14:paraId="347518A7" w14:textId="231A2427" w:rsidR="00BC5467" w:rsidRDefault="00BC5467" w:rsidP="00F763F2">
      <w:pPr>
        <w:spacing w:line="360" w:lineRule="auto"/>
        <w:jc w:val="both"/>
        <w:rPr>
          <w:rFonts w:ascii="Arial" w:hAnsi="Arial" w:cs="Arial"/>
          <w:sz w:val="24"/>
          <w:szCs w:val="24"/>
        </w:rPr>
      </w:pPr>
      <w:r>
        <w:rPr>
          <w:rFonts w:ascii="Arial" w:hAnsi="Arial" w:cs="Arial"/>
          <w:sz w:val="24"/>
          <w:szCs w:val="24"/>
        </w:rPr>
        <w:t xml:space="preserve">Arendt, Hannah, (2006), </w:t>
      </w:r>
      <w:r>
        <w:rPr>
          <w:rFonts w:ascii="Arial" w:hAnsi="Arial" w:cs="Arial"/>
          <w:i/>
          <w:iCs/>
          <w:sz w:val="24"/>
          <w:szCs w:val="24"/>
        </w:rPr>
        <w:t xml:space="preserve">Between Past and Future, </w:t>
      </w:r>
      <w:r>
        <w:rPr>
          <w:rFonts w:ascii="Arial" w:hAnsi="Arial" w:cs="Arial"/>
          <w:sz w:val="24"/>
          <w:szCs w:val="24"/>
        </w:rPr>
        <w:t>New York: Penguin</w:t>
      </w:r>
    </w:p>
    <w:p w14:paraId="3CE9B479" w14:textId="39B1B408" w:rsidR="000249BC" w:rsidRDefault="000249BC" w:rsidP="00F763F2">
      <w:pPr>
        <w:spacing w:line="360" w:lineRule="auto"/>
        <w:jc w:val="both"/>
        <w:rPr>
          <w:rFonts w:ascii="Arial" w:hAnsi="Arial" w:cs="Arial"/>
          <w:sz w:val="24"/>
          <w:szCs w:val="24"/>
        </w:rPr>
      </w:pPr>
      <w:r w:rsidRPr="00D133CA">
        <w:rPr>
          <w:rFonts w:ascii="Arial" w:hAnsi="Arial" w:cs="Arial"/>
          <w:sz w:val="24"/>
          <w:szCs w:val="24"/>
        </w:rPr>
        <w:t xml:space="preserve">Arnold, D. H., and Doctoroff, G. L., (2003), ‘The early education of socioeconomically disadvantaged children’, </w:t>
      </w:r>
      <w:r w:rsidRPr="00D133CA">
        <w:rPr>
          <w:rFonts w:ascii="Arial" w:hAnsi="Arial" w:cs="Arial"/>
          <w:i/>
          <w:iCs/>
          <w:sz w:val="24"/>
          <w:szCs w:val="24"/>
        </w:rPr>
        <w:t>Annual Review of Psychology</w:t>
      </w:r>
      <w:r w:rsidRPr="00D133CA">
        <w:rPr>
          <w:rFonts w:ascii="Arial" w:hAnsi="Arial" w:cs="Arial"/>
          <w:sz w:val="24"/>
          <w:szCs w:val="24"/>
        </w:rPr>
        <w:t>, 54, pp.517–545</w:t>
      </w:r>
    </w:p>
    <w:p w14:paraId="38D9005B" w14:textId="718289D5" w:rsidR="004B5314" w:rsidRDefault="004B5314" w:rsidP="00F763F2">
      <w:pPr>
        <w:spacing w:line="360" w:lineRule="auto"/>
        <w:jc w:val="both"/>
        <w:rPr>
          <w:rFonts w:ascii="Arial" w:hAnsi="Arial" w:cs="Arial"/>
          <w:sz w:val="24"/>
          <w:szCs w:val="24"/>
        </w:rPr>
      </w:pPr>
      <w:r w:rsidRPr="007C61C8">
        <w:rPr>
          <w:rFonts w:ascii="Arial" w:hAnsi="Arial" w:cs="Arial"/>
          <w:sz w:val="24"/>
          <w:szCs w:val="24"/>
        </w:rPr>
        <w:t xml:space="preserve">Aronson, E.; Wilson, T. D., and Akert, R. M., (2013), </w:t>
      </w:r>
      <w:r w:rsidRPr="007C61C8">
        <w:rPr>
          <w:rFonts w:ascii="Arial" w:hAnsi="Arial" w:cs="Arial"/>
          <w:i/>
          <w:iCs/>
          <w:sz w:val="24"/>
          <w:szCs w:val="24"/>
        </w:rPr>
        <w:t>Social psychology (eighth ed.),</w:t>
      </w:r>
      <w:r w:rsidRPr="007C61C8">
        <w:rPr>
          <w:rFonts w:ascii="Arial" w:hAnsi="Arial" w:cs="Arial"/>
          <w:sz w:val="24"/>
          <w:szCs w:val="24"/>
        </w:rPr>
        <w:t xml:space="preserve"> New Jersey: Pearson Education</w:t>
      </w:r>
    </w:p>
    <w:p w14:paraId="37EE9515" w14:textId="73BB02AB" w:rsidR="00ED4AED" w:rsidRDefault="00ED4AED" w:rsidP="00F763F2">
      <w:pPr>
        <w:spacing w:line="360" w:lineRule="auto"/>
        <w:jc w:val="both"/>
        <w:rPr>
          <w:rFonts w:ascii="Arial" w:hAnsi="Arial" w:cs="Arial"/>
          <w:sz w:val="24"/>
          <w:szCs w:val="24"/>
        </w:rPr>
      </w:pPr>
      <w:r w:rsidRPr="00212090">
        <w:rPr>
          <w:rFonts w:ascii="Arial" w:hAnsi="Arial" w:cs="Arial"/>
          <w:sz w:val="24"/>
          <w:szCs w:val="24"/>
        </w:rPr>
        <w:t xml:space="preserve">Arrow, K. J.; Bowles, S., and Durlauf, S. N., (2000), </w:t>
      </w:r>
      <w:r w:rsidRPr="00212090">
        <w:rPr>
          <w:rFonts w:ascii="Arial" w:hAnsi="Arial" w:cs="Arial"/>
          <w:i/>
          <w:iCs/>
          <w:sz w:val="24"/>
          <w:szCs w:val="24"/>
        </w:rPr>
        <w:t>Meritocracy and economic inequality</w:t>
      </w:r>
      <w:r w:rsidRPr="00212090">
        <w:rPr>
          <w:rFonts w:ascii="Arial" w:hAnsi="Arial" w:cs="Arial"/>
          <w:sz w:val="24"/>
          <w:szCs w:val="24"/>
        </w:rPr>
        <w:t>, Princeton: Princeton University Press</w:t>
      </w:r>
    </w:p>
    <w:p w14:paraId="68626257" w14:textId="78D6A8D1" w:rsidR="001857EB" w:rsidRDefault="001857EB" w:rsidP="00F763F2">
      <w:pPr>
        <w:spacing w:line="360" w:lineRule="auto"/>
        <w:jc w:val="both"/>
        <w:rPr>
          <w:rFonts w:ascii="Arial" w:hAnsi="Arial" w:cs="Arial"/>
          <w:sz w:val="24"/>
          <w:szCs w:val="24"/>
        </w:rPr>
      </w:pPr>
      <w:r w:rsidRPr="00A823D5">
        <w:rPr>
          <w:rFonts w:ascii="Arial" w:hAnsi="Arial" w:cs="Arial"/>
          <w:sz w:val="24"/>
          <w:szCs w:val="24"/>
        </w:rPr>
        <w:t xml:space="preserve">Arum, R., and Beattie, I. R., (1999), ‘High school experience and the risk of adult incarceration’, </w:t>
      </w:r>
      <w:r w:rsidRPr="00A823D5">
        <w:rPr>
          <w:rFonts w:ascii="Arial" w:hAnsi="Arial" w:cs="Arial"/>
          <w:i/>
          <w:iCs/>
          <w:sz w:val="24"/>
          <w:szCs w:val="24"/>
        </w:rPr>
        <w:t>Criminology</w:t>
      </w:r>
      <w:r w:rsidRPr="00A823D5">
        <w:rPr>
          <w:rFonts w:ascii="Arial" w:hAnsi="Arial" w:cs="Arial"/>
          <w:sz w:val="24"/>
          <w:szCs w:val="24"/>
        </w:rPr>
        <w:t>, 37 (3), pp.515–540</w:t>
      </w:r>
    </w:p>
    <w:p w14:paraId="5E175DDF" w14:textId="61173C30" w:rsidR="00410BC8" w:rsidRPr="00410BC8" w:rsidRDefault="00410BC8" w:rsidP="00F763F2">
      <w:pPr>
        <w:spacing w:line="360" w:lineRule="auto"/>
        <w:jc w:val="both"/>
        <w:rPr>
          <w:rFonts w:ascii="Arial" w:hAnsi="Arial" w:cs="Arial"/>
          <w:sz w:val="24"/>
          <w:szCs w:val="24"/>
        </w:rPr>
      </w:pPr>
      <w:r w:rsidRPr="00E15C36">
        <w:rPr>
          <w:rFonts w:ascii="Arial" w:hAnsi="Arial" w:cs="Arial"/>
          <w:sz w:val="24"/>
          <w:szCs w:val="24"/>
        </w:rPr>
        <w:t>Ball, S.</w:t>
      </w:r>
      <w:r>
        <w:rPr>
          <w:rFonts w:ascii="Arial" w:hAnsi="Arial" w:cs="Arial"/>
          <w:sz w:val="24"/>
          <w:szCs w:val="24"/>
        </w:rPr>
        <w:t>,</w:t>
      </w:r>
      <w:r w:rsidRPr="00E15C36">
        <w:rPr>
          <w:rFonts w:ascii="Arial" w:hAnsi="Arial" w:cs="Arial"/>
          <w:sz w:val="24"/>
          <w:szCs w:val="24"/>
        </w:rPr>
        <w:t xml:space="preserve"> </w:t>
      </w:r>
      <w:r>
        <w:rPr>
          <w:rFonts w:ascii="Arial" w:hAnsi="Arial" w:cs="Arial"/>
          <w:sz w:val="24"/>
          <w:szCs w:val="24"/>
        </w:rPr>
        <w:t>(</w:t>
      </w:r>
      <w:r w:rsidRPr="00E15C36">
        <w:rPr>
          <w:rFonts w:ascii="Arial" w:hAnsi="Arial" w:cs="Arial"/>
          <w:sz w:val="24"/>
          <w:szCs w:val="24"/>
        </w:rPr>
        <w:t>2003</w:t>
      </w:r>
      <w:r>
        <w:rPr>
          <w:rFonts w:ascii="Arial" w:hAnsi="Arial" w:cs="Arial"/>
          <w:sz w:val="24"/>
          <w:szCs w:val="24"/>
        </w:rPr>
        <w:t>),</w:t>
      </w:r>
      <w:r w:rsidRPr="00E15C36">
        <w:rPr>
          <w:rFonts w:ascii="Arial" w:hAnsi="Arial" w:cs="Arial"/>
          <w:i/>
          <w:iCs/>
          <w:sz w:val="24"/>
          <w:szCs w:val="24"/>
        </w:rPr>
        <w:t xml:space="preserve"> Class strategies and the education market: The middle class and social advantage</w:t>
      </w:r>
      <w:r>
        <w:rPr>
          <w:rFonts w:ascii="Arial" w:hAnsi="Arial" w:cs="Arial"/>
          <w:sz w:val="24"/>
          <w:szCs w:val="24"/>
        </w:rPr>
        <w:t xml:space="preserve">, </w:t>
      </w:r>
      <w:r w:rsidRPr="00E15C36">
        <w:rPr>
          <w:rFonts w:ascii="Arial" w:hAnsi="Arial" w:cs="Arial"/>
          <w:sz w:val="24"/>
          <w:szCs w:val="24"/>
        </w:rPr>
        <w:t>London: Routledge</w:t>
      </w:r>
    </w:p>
    <w:p w14:paraId="080E098A" w14:textId="2C3E31EB" w:rsidR="00EA6F5E" w:rsidRDefault="00EA6F5E" w:rsidP="00F763F2">
      <w:pPr>
        <w:spacing w:line="360" w:lineRule="auto"/>
        <w:jc w:val="both"/>
        <w:rPr>
          <w:rFonts w:ascii="Arial" w:hAnsi="Arial" w:cs="Arial"/>
          <w:sz w:val="24"/>
          <w:szCs w:val="24"/>
        </w:rPr>
      </w:pPr>
      <w:r>
        <w:rPr>
          <w:rFonts w:ascii="Arial" w:hAnsi="Arial" w:cs="Arial"/>
          <w:sz w:val="24"/>
          <w:szCs w:val="24"/>
        </w:rPr>
        <w:t xml:space="preserve">Ballantine, Jeanne H., and Spade, Joan Z., (1993), ‘Getting Started: Understanding Education Through Sociological Theory’, in Ballantine, Jeanne H., (1993), </w:t>
      </w:r>
      <w:r>
        <w:rPr>
          <w:rFonts w:ascii="Arial" w:hAnsi="Arial" w:cs="Arial"/>
          <w:i/>
          <w:iCs/>
          <w:sz w:val="24"/>
          <w:szCs w:val="24"/>
        </w:rPr>
        <w:t xml:space="preserve">Schools and Society: A Sociological Approach to Education, </w:t>
      </w:r>
      <w:r>
        <w:rPr>
          <w:rFonts w:ascii="Arial" w:hAnsi="Arial" w:cs="Arial"/>
          <w:sz w:val="24"/>
          <w:szCs w:val="24"/>
        </w:rPr>
        <w:t>California: Pine Forge Press</w:t>
      </w:r>
    </w:p>
    <w:p w14:paraId="690DC16F" w14:textId="7D710D41" w:rsidR="00F0527A" w:rsidRDefault="00F0527A" w:rsidP="00F763F2">
      <w:pPr>
        <w:spacing w:line="360" w:lineRule="auto"/>
        <w:jc w:val="both"/>
        <w:rPr>
          <w:rFonts w:ascii="Arial" w:hAnsi="Arial" w:cs="Arial"/>
          <w:sz w:val="24"/>
          <w:szCs w:val="24"/>
        </w:rPr>
      </w:pPr>
      <w:r w:rsidRPr="00611670">
        <w:rPr>
          <w:rFonts w:ascii="Arial" w:hAnsi="Arial" w:cs="Arial"/>
          <w:sz w:val="24"/>
          <w:szCs w:val="24"/>
        </w:rPr>
        <w:t xml:space="preserve">Bandura, A., (1977), ‘Self-efficacy: Toward a unifying theory of behavioral change’, </w:t>
      </w:r>
      <w:r w:rsidRPr="00611670">
        <w:rPr>
          <w:rFonts w:ascii="Arial" w:hAnsi="Arial" w:cs="Arial"/>
          <w:i/>
          <w:iCs/>
          <w:sz w:val="24"/>
          <w:szCs w:val="24"/>
        </w:rPr>
        <w:t>Psychological Review</w:t>
      </w:r>
      <w:r w:rsidRPr="00611670">
        <w:rPr>
          <w:rFonts w:ascii="Arial" w:hAnsi="Arial" w:cs="Arial"/>
          <w:sz w:val="24"/>
          <w:szCs w:val="24"/>
        </w:rPr>
        <w:t>, 84, pp.191–215</w:t>
      </w:r>
    </w:p>
    <w:p w14:paraId="6DC3BF98" w14:textId="793ACFE9" w:rsidR="00AC085C" w:rsidRDefault="00AC085C" w:rsidP="00F763F2">
      <w:pPr>
        <w:spacing w:line="360" w:lineRule="auto"/>
        <w:jc w:val="both"/>
        <w:rPr>
          <w:rFonts w:ascii="Arial" w:hAnsi="Arial" w:cs="Arial"/>
          <w:sz w:val="24"/>
          <w:szCs w:val="24"/>
        </w:rPr>
      </w:pPr>
      <w:r w:rsidRPr="0012291B">
        <w:rPr>
          <w:rFonts w:ascii="Arial" w:hAnsi="Arial" w:cs="Arial"/>
          <w:sz w:val="24"/>
          <w:szCs w:val="24"/>
        </w:rPr>
        <w:lastRenderedPageBreak/>
        <w:t xml:space="preserve">Baron, R. M.; Albright, L., and Malloy, T. E., (1995), ‘Effects of behavioral and social class information on social judgment’, </w:t>
      </w:r>
      <w:r w:rsidRPr="0012291B">
        <w:rPr>
          <w:rFonts w:ascii="Arial" w:hAnsi="Arial" w:cs="Arial"/>
          <w:i/>
          <w:iCs/>
          <w:sz w:val="24"/>
          <w:szCs w:val="24"/>
        </w:rPr>
        <w:t>Personality and Social Psychology Bulletin</w:t>
      </w:r>
      <w:r w:rsidRPr="0012291B">
        <w:rPr>
          <w:rFonts w:ascii="Arial" w:hAnsi="Arial" w:cs="Arial"/>
          <w:sz w:val="24"/>
          <w:szCs w:val="24"/>
        </w:rPr>
        <w:t>, 21, pp.308–315</w:t>
      </w:r>
    </w:p>
    <w:p w14:paraId="5607A400" w14:textId="77777777" w:rsidR="004348F7" w:rsidRPr="00C503FC" w:rsidRDefault="004348F7" w:rsidP="004348F7">
      <w:pPr>
        <w:spacing w:line="360" w:lineRule="auto"/>
        <w:jc w:val="both"/>
        <w:rPr>
          <w:rFonts w:ascii="Arial" w:hAnsi="Arial" w:cs="Arial"/>
          <w:sz w:val="24"/>
          <w:szCs w:val="24"/>
        </w:rPr>
      </w:pPr>
      <w:r w:rsidRPr="00C503FC">
        <w:rPr>
          <w:rFonts w:ascii="Arial" w:hAnsi="Arial" w:cs="Arial"/>
          <w:sz w:val="24"/>
          <w:szCs w:val="24"/>
        </w:rPr>
        <w:t xml:space="preserve">Becker, G. S., (1964), </w:t>
      </w:r>
      <w:r w:rsidRPr="00C503FC">
        <w:rPr>
          <w:rFonts w:ascii="Arial" w:hAnsi="Arial" w:cs="Arial"/>
          <w:i/>
          <w:iCs/>
          <w:sz w:val="24"/>
          <w:szCs w:val="24"/>
        </w:rPr>
        <w:t>Human capital: A theoretical and empirical analysis, with special reference to education</w:t>
      </w:r>
      <w:r w:rsidRPr="00C503FC">
        <w:rPr>
          <w:rFonts w:ascii="Arial" w:hAnsi="Arial" w:cs="Arial"/>
          <w:sz w:val="24"/>
          <w:szCs w:val="24"/>
        </w:rPr>
        <w:t xml:space="preserve">, Chicago: University of Chicago Press </w:t>
      </w:r>
    </w:p>
    <w:p w14:paraId="60451A1D" w14:textId="515A08BD" w:rsidR="004348F7" w:rsidRDefault="004348F7" w:rsidP="00F763F2">
      <w:pPr>
        <w:spacing w:line="360" w:lineRule="auto"/>
        <w:jc w:val="both"/>
        <w:rPr>
          <w:rFonts w:ascii="Arial" w:hAnsi="Arial" w:cs="Arial"/>
          <w:sz w:val="24"/>
          <w:szCs w:val="24"/>
        </w:rPr>
      </w:pPr>
      <w:r w:rsidRPr="00C503FC">
        <w:rPr>
          <w:rFonts w:ascii="Arial" w:hAnsi="Arial" w:cs="Arial"/>
          <w:sz w:val="24"/>
          <w:szCs w:val="24"/>
        </w:rPr>
        <w:t xml:space="preserve">Becker, G. S., (1993), ‘Nobel lecture: The economic way of looking at behavior’, </w:t>
      </w:r>
      <w:r w:rsidRPr="00C503FC">
        <w:rPr>
          <w:rFonts w:ascii="Arial" w:hAnsi="Arial" w:cs="Arial"/>
          <w:i/>
          <w:iCs/>
          <w:sz w:val="24"/>
          <w:szCs w:val="24"/>
        </w:rPr>
        <w:t>Journal of Political Economy</w:t>
      </w:r>
      <w:r w:rsidRPr="00C503FC">
        <w:rPr>
          <w:rFonts w:ascii="Arial" w:hAnsi="Arial" w:cs="Arial"/>
          <w:sz w:val="24"/>
          <w:szCs w:val="24"/>
        </w:rPr>
        <w:t>, 101 (3), pp.385–409</w:t>
      </w:r>
    </w:p>
    <w:p w14:paraId="060E1B52" w14:textId="7A8CC96C" w:rsidR="00AC085C" w:rsidRDefault="00AC085C" w:rsidP="00F763F2">
      <w:pPr>
        <w:spacing w:line="360" w:lineRule="auto"/>
        <w:jc w:val="both"/>
        <w:rPr>
          <w:rFonts w:ascii="Arial" w:hAnsi="Arial" w:cs="Arial"/>
          <w:sz w:val="24"/>
          <w:szCs w:val="24"/>
        </w:rPr>
      </w:pPr>
      <w:r w:rsidRPr="007B0F05">
        <w:rPr>
          <w:rFonts w:ascii="Arial" w:hAnsi="Arial" w:cs="Arial"/>
          <w:sz w:val="24"/>
          <w:szCs w:val="24"/>
        </w:rPr>
        <w:t xml:space="preserve">Bidwell, C. E., and Friedkin, N. E., (1988), ‘The Sociology of Education’, in N. J. Smelser (ed.), </w:t>
      </w:r>
      <w:r w:rsidRPr="007B0F05">
        <w:rPr>
          <w:rFonts w:ascii="Arial" w:hAnsi="Arial" w:cs="Arial"/>
          <w:i/>
          <w:iCs/>
          <w:sz w:val="24"/>
          <w:szCs w:val="24"/>
        </w:rPr>
        <w:t>Handbook of Sociology</w:t>
      </w:r>
      <w:r w:rsidRPr="007B0F05">
        <w:rPr>
          <w:rFonts w:ascii="Arial" w:hAnsi="Arial" w:cs="Arial"/>
          <w:sz w:val="24"/>
          <w:szCs w:val="24"/>
        </w:rPr>
        <w:t>, London: Sage Publications, pp.449-470</w:t>
      </w:r>
    </w:p>
    <w:p w14:paraId="469D0102" w14:textId="3E662F4C" w:rsidR="00AB1411" w:rsidRDefault="00AB1411" w:rsidP="00F763F2">
      <w:pPr>
        <w:spacing w:line="360" w:lineRule="auto"/>
        <w:jc w:val="both"/>
        <w:rPr>
          <w:rFonts w:ascii="Arial" w:hAnsi="Arial" w:cs="Arial"/>
          <w:sz w:val="24"/>
          <w:szCs w:val="24"/>
        </w:rPr>
      </w:pPr>
      <w:r>
        <w:rPr>
          <w:rFonts w:ascii="Arial" w:hAnsi="Arial" w:cs="Arial"/>
          <w:sz w:val="24"/>
          <w:szCs w:val="24"/>
        </w:rPr>
        <w:t xml:space="preserve">Blau, P., and Duncan, O. D., (1967), </w:t>
      </w:r>
      <w:r>
        <w:rPr>
          <w:rFonts w:ascii="Arial" w:hAnsi="Arial" w:cs="Arial"/>
          <w:i/>
          <w:iCs/>
          <w:sz w:val="24"/>
          <w:szCs w:val="24"/>
        </w:rPr>
        <w:t xml:space="preserve">The American Occupational Structure, </w:t>
      </w:r>
      <w:r>
        <w:rPr>
          <w:rFonts w:ascii="Arial" w:hAnsi="Arial" w:cs="Arial"/>
          <w:sz w:val="24"/>
          <w:szCs w:val="24"/>
        </w:rPr>
        <w:t>New York: John Wiley</w:t>
      </w:r>
    </w:p>
    <w:p w14:paraId="71315E62" w14:textId="01E78DD6" w:rsidR="00B36282" w:rsidRPr="00B36282" w:rsidRDefault="00B36282" w:rsidP="00F763F2">
      <w:pPr>
        <w:spacing w:line="360" w:lineRule="auto"/>
        <w:jc w:val="both"/>
        <w:rPr>
          <w:rFonts w:ascii="Arial" w:hAnsi="Arial" w:cs="Arial"/>
          <w:sz w:val="24"/>
          <w:szCs w:val="24"/>
        </w:rPr>
      </w:pPr>
      <w:r w:rsidRPr="00551E9C">
        <w:rPr>
          <w:rFonts w:ascii="Arial" w:hAnsi="Arial" w:cs="Arial"/>
          <w:sz w:val="24"/>
          <w:szCs w:val="24"/>
        </w:rPr>
        <w:t>Boudon, R.</w:t>
      </w:r>
      <w:r>
        <w:rPr>
          <w:rFonts w:ascii="Arial" w:hAnsi="Arial" w:cs="Arial"/>
          <w:sz w:val="24"/>
          <w:szCs w:val="24"/>
        </w:rPr>
        <w:t>,</w:t>
      </w:r>
      <w:r w:rsidRPr="00551E9C">
        <w:rPr>
          <w:rFonts w:ascii="Arial" w:hAnsi="Arial" w:cs="Arial"/>
          <w:sz w:val="24"/>
          <w:szCs w:val="24"/>
        </w:rPr>
        <w:t xml:space="preserve"> </w:t>
      </w:r>
      <w:r>
        <w:rPr>
          <w:rFonts w:ascii="Arial" w:hAnsi="Arial" w:cs="Arial"/>
          <w:sz w:val="24"/>
          <w:szCs w:val="24"/>
        </w:rPr>
        <w:t>(</w:t>
      </w:r>
      <w:r w:rsidRPr="00551E9C">
        <w:rPr>
          <w:rFonts w:ascii="Arial" w:hAnsi="Arial" w:cs="Arial"/>
          <w:sz w:val="24"/>
          <w:szCs w:val="24"/>
        </w:rPr>
        <w:t>1974</w:t>
      </w:r>
      <w:r>
        <w:rPr>
          <w:rFonts w:ascii="Arial" w:hAnsi="Arial" w:cs="Arial"/>
          <w:sz w:val="24"/>
          <w:szCs w:val="24"/>
        </w:rPr>
        <w:t xml:space="preserve">), </w:t>
      </w:r>
      <w:r w:rsidRPr="00551E9C">
        <w:rPr>
          <w:rFonts w:ascii="Arial" w:hAnsi="Arial" w:cs="Arial"/>
          <w:i/>
          <w:iCs/>
          <w:sz w:val="24"/>
          <w:szCs w:val="24"/>
        </w:rPr>
        <w:t>Education, opportunity, and social inequality</w:t>
      </w:r>
      <w:r>
        <w:rPr>
          <w:rFonts w:ascii="Arial" w:hAnsi="Arial" w:cs="Arial"/>
          <w:sz w:val="24"/>
          <w:szCs w:val="24"/>
        </w:rPr>
        <w:t xml:space="preserve">, </w:t>
      </w:r>
      <w:r w:rsidRPr="00551E9C">
        <w:rPr>
          <w:rFonts w:ascii="Arial" w:hAnsi="Arial" w:cs="Arial"/>
          <w:sz w:val="24"/>
          <w:szCs w:val="24"/>
        </w:rPr>
        <w:t>New York: Wiley</w:t>
      </w:r>
    </w:p>
    <w:p w14:paraId="4BC094BD" w14:textId="71CC3896" w:rsidR="00EC6725" w:rsidRDefault="00EC6725" w:rsidP="00F763F2">
      <w:pPr>
        <w:spacing w:line="360" w:lineRule="auto"/>
        <w:jc w:val="both"/>
        <w:rPr>
          <w:rFonts w:ascii="Arial" w:hAnsi="Arial" w:cs="Arial"/>
          <w:sz w:val="24"/>
          <w:szCs w:val="24"/>
        </w:rPr>
      </w:pPr>
      <w:r w:rsidRPr="006F744A">
        <w:rPr>
          <w:rFonts w:ascii="Arial" w:hAnsi="Arial" w:cs="Arial"/>
          <w:sz w:val="24"/>
          <w:szCs w:val="24"/>
        </w:rPr>
        <w:t xml:space="preserve">Bourdieu, P., (1984), </w:t>
      </w:r>
      <w:r w:rsidRPr="006F744A">
        <w:rPr>
          <w:rFonts w:ascii="Arial" w:hAnsi="Arial" w:cs="Arial"/>
          <w:i/>
          <w:iCs/>
          <w:sz w:val="24"/>
          <w:szCs w:val="24"/>
        </w:rPr>
        <w:t>Distinction: A social critique of the judgment of taste</w:t>
      </w:r>
      <w:r w:rsidRPr="006F744A">
        <w:rPr>
          <w:rFonts w:ascii="Arial" w:hAnsi="Arial" w:cs="Arial"/>
          <w:sz w:val="24"/>
          <w:szCs w:val="24"/>
        </w:rPr>
        <w:t>, Cambridge: Harvard University Press</w:t>
      </w:r>
    </w:p>
    <w:p w14:paraId="42A3B626" w14:textId="3DC5788E" w:rsidR="001A73B7" w:rsidRDefault="001A73B7" w:rsidP="00F763F2">
      <w:pPr>
        <w:spacing w:line="360" w:lineRule="auto"/>
        <w:jc w:val="both"/>
        <w:rPr>
          <w:rFonts w:ascii="Arial" w:hAnsi="Arial" w:cs="Arial"/>
          <w:sz w:val="24"/>
          <w:szCs w:val="24"/>
        </w:rPr>
      </w:pPr>
      <w:r>
        <w:rPr>
          <w:rFonts w:ascii="Arial" w:hAnsi="Arial" w:cs="Arial"/>
          <w:sz w:val="24"/>
          <w:szCs w:val="24"/>
        </w:rPr>
        <w:t xml:space="preserve">Bourdieu, Pierre, and Passeron, Jean-Claude, (1977), </w:t>
      </w:r>
      <w:r>
        <w:rPr>
          <w:rFonts w:ascii="Arial" w:hAnsi="Arial" w:cs="Arial"/>
          <w:i/>
          <w:iCs/>
          <w:sz w:val="24"/>
          <w:szCs w:val="24"/>
        </w:rPr>
        <w:t xml:space="preserve">Reproduction in education, society and culture, </w:t>
      </w:r>
      <w:r>
        <w:rPr>
          <w:rFonts w:ascii="Arial" w:hAnsi="Arial" w:cs="Arial"/>
          <w:sz w:val="24"/>
          <w:szCs w:val="24"/>
        </w:rPr>
        <w:t>London: Sage</w:t>
      </w:r>
    </w:p>
    <w:p w14:paraId="5BAEC3D7" w14:textId="2CA0026E" w:rsidR="00811698" w:rsidRDefault="00811698" w:rsidP="00F763F2">
      <w:pPr>
        <w:spacing w:line="360" w:lineRule="auto"/>
        <w:jc w:val="both"/>
        <w:rPr>
          <w:rFonts w:ascii="Arial" w:hAnsi="Arial" w:cs="Arial"/>
          <w:sz w:val="24"/>
          <w:szCs w:val="24"/>
        </w:rPr>
      </w:pPr>
      <w:r w:rsidRPr="00551E9C">
        <w:rPr>
          <w:rFonts w:ascii="Arial" w:hAnsi="Arial" w:cs="Arial"/>
          <w:sz w:val="24"/>
          <w:szCs w:val="24"/>
        </w:rPr>
        <w:t xml:space="preserve">Boxman, E. A. W.; De Graaf, P. M., and Flap, H. D., (1991), ‘The impact of social and human capital on the income attainment of Dutch managers’, </w:t>
      </w:r>
      <w:r w:rsidRPr="00551E9C">
        <w:rPr>
          <w:rFonts w:ascii="Arial" w:hAnsi="Arial" w:cs="Arial"/>
          <w:i/>
          <w:iCs/>
          <w:sz w:val="24"/>
          <w:szCs w:val="24"/>
        </w:rPr>
        <w:t>Social Networks</w:t>
      </w:r>
      <w:r w:rsidRPr="00551E9C">
        <w:rPr>
          <w:rFonts w:ascii="Arial" w:hAnsi="Arial" w:cs="Arial"/>
          <w:sz w:val="24"/>
          <w:szCs w:val="24"/>
        </w:rPr>
        <w:t>, 13, pp.51–73</w:t>
      </w:r>
    </w:p>
    <w:p w14:paraId="22E0F482" w14:textId="772FEBD2" w:rsidR="000A12D2" w:rsidRDefault="000A12D2" w:rsidP="00F763F2">
      <w:pPr>
        <w:spacing w:line="360" w:lineRule="auto"/>
        <w:jc w:val="both"/>
        <w:rPr>
          <w:rFonts w:ascii="Arial" w:hAnsi="Arial" w:cs="Arial"/>
          <w:sz w:val="24"/>
          <w:szCs w:val="24"/>
        </w:rPr>
      </w:pPr>
      <w:r w:rsidRPr="00D55A6F">
        <w:rPr>
          <w:rFonts w:ascii="Arial" w:hAnsi="Arial" w:cs="Arial"/>
          <w:sz w:val="24"/>
          <w:szCs w:val="24"/>
        </w:rPr>
        <w:t xml:space="preserve">Bradley, R. H., and Corwyn, R. F., (2002), ‘Socioeconomic status and child development’, </w:t>
      </w:r>
      <w:r w:rsidRPr="00D55A6F">
        <w:rPr>
          <w:rFonts w:ascii="Arial" w:hAnsi="Arial" w:cs="Arial"/>
          <w:i/>
          <w:iCs/>
          <w:sz w:val="24"/>
          <w:szCs w:val="24"/>
        </w:rPr>
        <w:t>Annual Review of Psychology</w:t>
      </w:r>
      <w:r w:rsidRPr="00D55A6F">
        <w:rPr>
          <w:rFonts w:ascii="Arial" w:hAnsi="Arial" w:cs="Arial"/>
          <w:sz w:val="24"/>
          <w:szCs w:val="24"/>
        </w:rPr>
        <w:t>, 53, pp.371–399</w:t>
      </w:r>
    </w:p>
    <w:p w14:paraId="0476C750" w14:textId="45D74C4A" w:rsidR="00811698" w:rsidRDefault="00811698" w:rsidP="00F763F2">
      <w:pPr>
        <w:spacing w:line="360" w:lineRule="auto"/>
        <w:jc w:val="both"/>
        <w:rPr>
          <w:rFonts w:ascii="Arial" w:hAnsi="Arial" w:cs="Arial"/>
          <w:sz w:val="24"/>
          <w:szCs w:val="24"/>
        </w:rPr>
      </w:pPr>
      <w:r w:rsidRPr="00551E9C">
        <w:rPr>
          <w:rFonts w:ascii="Arial" w:hAnsi="Arial" w:cs="Arial"/>
          <w:sz w:val="24"/>
          <w:szCs w:val="24"/>
        </w:rPr>
        <w:t>Breen, R.</w:t>
      </w:r>
      <w:r>
        <w:rPr>
          <w:rFonts w:ascii="Arial" w:hAnsi="Arial" w:cs="Arial"/>
          <w:sz w:val="24"/>
          <w:szCs w:val="24"/>
        </w:rPr>
        <w:t>,</w:t>
      </w:r>
      <w:r w:rsidRPr="00551E9C">
        <w:rPr>
          <w:rFonts w:ascii="Arial" w:hAnsi="Arial" w:cs="Arial"/>
          <w:sz w:val="24"/>
          <w:szCs w:val="24"/>
        </w:rPr>
        <w:t xml:space="preserve"> </w:t>
      </w:r>
      <w:r>
        <w:rPr>
          <w:rFonts w:ascii="Arial" w:hAnsi="Arial" w:cs="Arial"/>
          <w:sz w:val="24"/>
          <w:szCs w:val="24"/>
        </w:rPr>
        <w:t>(</w:t>
      </w:r>
      <w:r w:rsidRPr="00551E9C">
        <w:rPr>
          <w:rFonts w:ascii="Arial" w:hAnsi="Arial" w:cs="Arial"/>
          <w:sz w:val="24"/>
          <w:szCs w:val="24"/>
        </w:rPr>
        <w:t>1998</w:t>
      </w:r>
      <w:r>
        <w:rPr>
          <w:rFonts w:ascii="Arial" w:hAnsi="Arial" w:cs="Arial"/>
          <w:sz w:val="24"/>
          <w:szCs w:val="24"/>
        </w:rPr>
        <w:t>),</w:t>
      </w:r>
      <w:r w:rsidRPr="00551E9C">
        <w:rPr>
          <w:rFonts w:ascii="Arial" w:hAnsi="Arial" w:cs="Arial"/>
          <w:sz w:val="24"/>
          <w:szCs w:val="24"/>
        </w:rPr>
        <w:t xml:space="preserve"> </w:t>
      </w:r>
      <w:r>
        <w:rPr>
          <w:rFonts w:ascii="Arial" w:hAnsi="Arial" w:cs="Arial"/>
          <w:sz w:val="24"/>
          <w:szCs w:val="24"/>
        </w:rPr>
        <w:t>‘</w:t>
      </w:r>
      <w:r w:rsidRPr="00551E9C">
        <w:rPr>
          <w:rFonts w:ascii="Arial" w:hAnsi="Arial" w:cs="Arial"/>
          <w:sz w:val="24"/>
          <w:szCs w:val="24"/>
        </w:rPr>
        <w:t>The persistence of class origins inequalities amongst school leavers in the</w:t>
      </w:r>
      <w:r>
        <w:rPr>
          <w:rFonts w:ascii="Arial" w:hAnsi="Arial" w:cs="Arial"/>
          <w:sz w:val="24"/>
          <w:szCs w:val="24"/>
        </w:rPr>
        <w:t xml:space="preserve"> </w:t>
      </w:r>
      <w:r w:rsidRPr="00551E9C">
        <w:rPr>
          <w:rFonts w:ascii="Arial" w:hAnsi="Arial" w:cs="Arial"/>
          <w:sz w:val="24"/>
          <w:szCs w:val="24"/>
        </w:rPr>
        <w:t>Republic of Ireland 1984–1993</w:t>
      </w:r>
      <w:r>
        <w:rPr>
          <w:rFonts w:ascii="Arial" w:hAnsi="Arial" w:cs="Arial"/>
          <w:sz w:val="24"/>
          <w:szCs w:val="24"/>
        </w:rPr>
        <w:t xml:space="preserve">’, </w:t>
      </w:r>
      <w:r w:rsidRPr="00551E9C">
        <w:rPr>
          <w:rFonts w:ascii="Arial" w:hAnsi="Arial" w:cs="Arial"/>
          <w:i/>
          <w:iCs/>
          <w:sz w:val="24"/>
          <w:szCs w:val="24"/>
        </w:rPr>
        <w:t>British Journal of Sociology</w:t>
      </w:r>
      <w:r>
        <w:rPr>
          <w:rFonts w:ascii="Arial" w:hAnsi="Arial" w:cs="Arial"/>
          <w:sz w:val="24"/>
          <w:szCs w:val="24"/>
        </w:rPr>
        <w:t xml:space="preserve">, </w:t>
      </w:r>
      <w:r w:rsidRPr="00551E9C">
        <w:rPr>
          <w:rFonts w:ascii="Arial" w:hAnsi="Arial" w:cs="Arial"/>
          <w:sz w:val="24"/>
          <w:szCs w:val="24"/>
        </w:rPr>
        <w:t xml:space="preserve">49, </w:t>
      </w:r>
      <w:r>
        <w:rPr>
          <w:rFonts w:ascii="Arial" w:hAnsi="Arial" w:cs="Arial"/>
          <w:sz w:val="24"/>
          <w:szCs w:val="24"/>
        </w:rPr>
        <w:t>(</w:t>
      </w:r>
      <w:r w:rsidRPr="00551E9C">
        <w:rPr>
          <w:rFonts w:ascii="Arial" w:hAnsi="Arial" w:cs="Arial"/>
          <w:sz w:val="24"/>
          <w:szCs w:val="24"/>
        </w:rPr>
        <w:t>2</w:t>
      </w:r>
      <w:r>
        <w:rPr>
          <w:rFonts w:ascii="Arial" w:hAnsi="Arial" w:cs="Arial"/>
          <w:sz w:val="24"/>
          <w:szCs w:val="24"/>
        </w:rPr>
        <w:t>),</w:t>
      </w:r>
      <w:r w:rsidRPr="00551E9C">
        <w:rPr>
          <w:rFonts w:ascii="Arial" w:hAnsi="Arial" w:cs="Arial"/>
          <w:sz w:val="24"/>
          <w:szCs w:val="24"/>
        </w:rPr>
        <w:t xml:space="preserve"> </w:t>
      </w:r>
      <w:r>
        <w:rPr>
          <w:rFonts w:ascii="Arial" w:hAnsi="Arial" w:cs="Arial"/>
          <w:sz w:val="24"/>
          <w:szCs w:val="24"/>
        </w:rPr>
        <w:t>pp.</w:t>
      </w:r>
      <w:r w:rsidRPr="00551E9C">
        <w:rPr>
          <w:rFonts w:ascii="Arial" w:hAnsi="Arial" w:cs="Arial"/>
          <w:sz w:val="24"/>
          <w:szCs w:val="24"/>
        </w:rPr>
        <w:t>275–98</w:t>
      </w:r>
    </w:p>
    <w:p w14:paraId="76D1F5A9" w14:textId="40AEDCCF" w:rsidR="0037652A" w:rsidRPr="0037652A" w:rsidRDefault="0037652A" w:rsidP="00F763F2">
      <w:pPr>
        <w:spacing w:line="360" w:lineRule="auto"/>
        <w:jc w:val="both"/>
        <w:rPr>
          <w:rFonts w:ascii="Arial" w:hAnsi="Arial" w:cs="Arial"/>
          <w:sz w:val="32"/>
          <w:szCs w:val="32"/>
        </w:rPr>
      </w:pPr>
      <w:r w:rsidRPr="00977325">
        <w:rPr>
          <w:rFonts w:ascii="Arial" w:hAnsi="Arial" w:cs="Arial"/>
          <w:sz w:val="24"/>
          <w:szCs w:val="24"/>
        </w:rPr>
        <w:t xml:space="preserve">Breen, R., and Jonsson, J. O., (2005), ‘Inequality of opportunity in comparative perspective: Recent research on educational attainment and social mobility’, </w:t>
      </w:r>
      <w:r w:rsidRPr="00977325">
        <w:rPr>
          <w:rFonts w:ascii="Arial" w:hAnsi="Arial" w:cs="Arial"/>
          <w:i/>
          <w:iCs/>
          <w:sz w:val="24"/>
          <w:szCs w:val="24"/>
        </w:rPr>
        <w:t>Annual Review of Sociology</w:t>
      </w:r>
      <w:r w:rsidRPr="00977325">
        <w:rPr>
          <w:rFonts w:ascii="Arial" w:hAnsi="Arial" w:cs="Arial"/>
          <w:sz w:val="24"/>
          <w:szCs w:val="24"/>
        </w:rPr>
        <w:t>, 31 (1), pp.223–243</w:t>
      </w:r>
    </w:p>
    <w:p w14:paraId="58524EFF" w14:textId="66D80ECB" w:rsidR="00914764" w:rsidRDefault="00914764" w:rsidP="00F763F2">
      <w:pPr>
        <w:spacing w:line="360" w:lineRule="auto"/>
        <w:jc w:val="both"/>
        <w:rPr>
          <w:rFonts w:ascii="Arial" w:hAnsi="Arial" w:cs="Arial"/>
          <w:sz w:val="24"/>
          <w:szCs w:val="24"/>
        </w:rPr>
      </w:pPr>
      <w:r>
        <w:rPr>
          <w:rFonts w:ascii="Arial" w:hAnsi="Arial" w:cs="Arial"/>
          <w:sz w:val="24"/>
          <w:szCs w:val="24"/>
        </w:rPr>
        <w:t xml:space="preserve">Bronfenbrenner, M., (1973), ‘Equality and Equity’, </w:t>
      </w:r>
      <w:r>
        <w:rPr>
          <w:rFonts w:ascii="Arial" w:hAnsi="Arial" w:cs="Arial"/>
          <w:i/>
          <w:iCs/>
          <w:sz w:val="24"/>
          <w:szCs w:val="24"/>
        </w:rPr>
        <w:t xml:space="preserve">The Annals of the American Academy of Political and Social Science, </w:t>
      </w:r>
      <w:r>
        <w:rPr>
          <w:rFonts w:ascii="Arial" w:hAnsi="Arial" w:cs="Arial"/>
          <w:sz w:val="24"/>
          <w:szCs w:val="24"/>
        </w:rPr>
        <w:t>409, pp.9-23</w:t>
      </w:r>
    </w:p>
    <w:p w14:paraId="09BC6F85" w14:textId="626A3A90" w:rsidR="006F161E" w:rsidRDefault="006F161E" w:rsidP="00F763F2">
      <w:pPr>
        <w:spacing w:line="360" w:lineRule="auto"/>
        <w:jc w:val="both"/>
        <w:rPr>
          <w:rFonts w:ascii="Arial" w:hAnsi="Arial" w:cs="Arial"/>
          <w:sz w:val="24"/>
          <w:szCs w:val="24"/>
        </w:rPr>
      </w:pPr>
      <w:r w:rsidRPr="00F7423A">
        <w:rPr>
          <w:rFonts w:ascii="Arial" w:hAnsi="Arial" w:cs="Arial"/>
          <w:sz w:val="24"/>
          <w:szCs w:val="24"/>
        </w:rPr>
        <w:lastRenderedPageBreak/>
        <w:t>Brown, P.</w:t>
      </w:r>
      <w:r>
        <w:rPr>
          <w:rFonts w:ascii="Arial" w:hAnsi="Arial" w:cs="Arial"/>
          <w:sz w:val="24"/>
          <w:szCs w:val="24"/>
        </w:rPr>
        <w:t>,</w:t>
      </w:r>
      <w:r w:rsidRPr="00F7423A">
        <w:rPr>
          <w:rFonts w:ascii="Arial" w:hAnsi="Arial" w:cs="Arial"/>
          <w:sz w:val="24"/>
          <w:szCs w:val="24"/>
        </w:rPr>
        <w:t xml:space="preserve"> </w:t>
      </w:r>
      <w:r>
        <w:rPr>
          <w:rFonts w:ascii="Arial" w:hAnsi="Arial" w:cs="Arial"/>
          <w:sz w:val="24"/>
          <w:szCs w:val="24"/>
        </w:rPr>
        <w:t>(</w:t>
      </w:r>
      <w:r w:rsidRPr="00F7423A">
        <w:rPr>
          <w:rFonts w:ascii="Arial" w:hAnsi="Arial" w:cs="Arial"/>
          <w:sz w:val="24"/>
          <w:szCs w:val="24"/>
        </w:rPr>
        <w:t>2013</w:t>
      </w:r>
      <w:r>
        <w:rPr>
          <w:rFonts w:ascii="Arial" w:hAnsi="Arial" w:cs="Arial"/>
          <w:sz w:val="24"/>
          <w:szCs w:val="24"/>
        </w:rPr>
        <w:t>),</w:t>
      </w:r>
      <w:r w:rsidRPr="00F7423A">
        <w:rPr>
          <w:rFonts w:ascii="Arial" w:hAnsi="Arial" w:cs="Arial"/>
          <w:sz w:val="24"/>
          <w:szCs w:val="24"/>
        </w:rPr>
        <w:t xml:space="preserve"> “Education, Opportunity and the Prospects for Social Mobility”</w:t>
      </w:r>
      <w:r>
        <w:rPr>
          <w:rFonts w:ascii="Arial" w:hAnsi="Arial" w:cs="Arial"/>
          <w:sz w:val="24"/>
          <w:szCs w:val="24"/>
        </w:rPr>
        <w:t>,</w:t>
      </w:r>
      <w:r w:rsidRPr="00F7423A">
        <w:rPr>
          <w:rFonts w:ascii="Arial" w:hAnsi="Arial" w:cs="Arial"/>
          <w:sz w:val="24"/>
          <w:szCs w:val="24"/>
        </w:rPr>
        <w:t xml:space="preserve"> </w:t>
      </w:r>
      <w:r w:rsidRPr="00F7423A">
        <w:rPr>
          <w:rFonts w:ascii="Arial" w:hAnsi="Arial" w:cs="Arial"/>
          <w:i/>
          <w:iCs/>
          <w:sz w:val="24"/>
          <w:szCs w:val="24"/>
        </w:rPr>
        <w:t>British Journal of Sociology of Education</w:t>
      </w:r>
      <w:r>
        <w:rPr>
          <w:rFonts w:ascii="Arial" w:hAnsi="Arial" w:cs="Arial"/>
          <w:sz w:val="24"/>
          <w:szCs w:val="24"/>
        </w:rPr>
        <w:t>,</w:t>
      </w:r>
      <w:r w:rsidRPr="00F7423A">
        <w:rPr>
          <w:rFonts w:ascii="Arial" w:hAnsi="Arial" w:cs="Arial"/>
          <w:sz w:val="24"/>
          <w:szCs w:val="24"/>
        </w:rPr>
        <w:t xml:space="preserve"> 34 (5–6)</w:t>
      </w:r>
      <w:r>
        <w:rPr>
          <w:rFonts w:ascii="Arial" w:hAnsi="Arial" w:cs="Arial"/>
          <w:sz w:val="24"/>
          <w:szCs w:val="24"/>
        </w:rPr>
        <w:t>,</w:t>
      </w:r>
      <w:r w:rsidRPr="00F7423A">
        <w:rPr>
          <w:rFonts w:ascii="Arial" w:hAnsi="Arial" w:cs="Arial"/>
          <w:sz w:val="24"/>
          <w:szCs w:val="24"/>
        </w:rPr>
        <w:t xml:space="preserve"> </w:t>
      </w:r>
      <w:r>
        <w:rPr>
          <w:rFonts w:ascii="Arial" w:hAnsi="Arial" w:cs="Arial"/>
          <w:sz w:val="24"/>
          <w:szCs w:val="24"/>
        </w:rPr>
        <w:t>pp.</w:t>
      </w:r>
      <w:r w:rsidRPr="00F7423A">
        <w:rPr>
          <w:rFonts w:ascii="Arial" w:hAnsi="Arial" w:cs="Arial"/>
          <w:sz w:val="24"/>
          <w:szCs w:val="24"/>
        </w:rPr>
        <w:t>678–700</w:t>
      </w:r>
    </w:p>
    <w:p w14:paraId="3D275706" w14:textId="721ABB71" w:rsidR="00EC6725" w:rsidRPr="00EC6725" w:rsidRDefault="00EC6725" w:rsidP="00F763F2">
      <w:pPr>
        <w:spacing w:line="360" w:lineRule="auto"/>
        <w:jc w:val="both"/>
        <w:rPr>
          <w:rFonts w:ascii="Arial" w:hAnsi="Arial" w:cs="Arial"/>
          <w:sz w:val="24"/>
          <w:szCs w:val="24"/>
        </w:rPr>
      </w:pPr>
      <w:r>
        <w:rPr>
          <w:rFonts w:ascii="Arial" w:hAnsi="Arial" w:cs="Arial"/>
          <w:sz w:val="24"/>
          <w:szCs w:val="24"/>
        </w:rPr>
        <w:t xml:space="preserve">Bukodi, Erzsebet; Goldthorpe, John H.; Waller, Lorraine, and Kuha, Jouni, (2015), ‘The mobility problem in Britain: new findings from the analysis of birth cohort data’, </w:t>
      </w:r>
      <w:r>
        <w:rPr>
          <w:rFonts w:ascii="Arial" w:hAnsi="Arial" w:cs="Arial"/>
          <w:i/>
          <w:iCs/>
          <w:sz w:val="24"/>
          <w:szCs w:val="24"/>
        </w:rPr>
        <w:t xml:space="preserve">The British Journal of Sociology, </w:t>
      </w:r>
      <w:r>
        <w:rPr>
          <w:rFonts w:ascii="Arial" w:hAnsi="Arial" w:cs="Arial"/>
          <w:sz w:val="24"/>
          <w:szCs w:val="24"/>
        </w:rPr>
        <w:t>66 (1), pp.93-117</w:t>
      </w:r>
    </w:p>
    <w:p w14:paraId="04480EC6" w14:textId="06994355" w:rsidR="00EC6725" w:rsidRDefault="00EC6725" w:rsidP="00F763F2">
      <w:pPr>
        <w:spacing w:line="360" w:lineRule="auto"/>
        <w:jc w:val="both"/>
        <w:rPr>
          <w:rFonts w:ascii="Arial" w:hAnsi="Arial" w:cs="Arial"/>
          <w:sz w:val="24"/>
          <w:szCs w:val="24"/>
        </w:rPr>
      </w:pPr>
      <w:r w:rsidRPr="006F744A">
        <w:rPr>
          <w:rFonts w:ascii="Arial" w:hAnsi="Arial" w:cs="Arial"/>
          <w:sz w:val="24"/>
          <w:szCs w:val="24"/>
        </w:rPr>
        <w:t xml:space="preserve">Bowles, S., and Ģintis, H., (1976), </w:t>
      </w:r>
      <w:r w:rsidRPr="006F744A">
        <w:rPr>
          <w:rFonts w:ascii="Arial" w:hAnsi="Arial" w:cs="Arial"/>
          <w:i/>
          <w:iCs/>
          <w:sz w:val="24"/>
          <w:szCs w:val="24"/>
        </w:rPr>
        <w:t>Schooling in capitalist America: Educational reform and the contradictions of economic life</w:t>
      </w:r>
      <w:r w:rsidRPr="006F744A">
        <w:rPr>
          <w:rFonts w:ascii="Arial" w:hAnsi="Arial" w:cs="Arial"/>
          <w:sz w:val="24"/>
          <w:szCs w:val="24"/>
        </w:rPr>
        <w:t>, New York: Basic Books</w:t>
      </w:r>
    </w:p>
    <w:p w14:paraId="40B8C734" w14:textId="6422D090" w:rsidR="00F0527A" w:rsidRPr="00F0527A" w:rsidRDefault="00F0527A" w:rsidP="00F763F2">
      <w:pPr>
        <w:spacing w:line="360" w:lineRule="auto"/>
        <w:jc w:val="both"/>
        <w:rPr>
          <w:rFonts w:ascii="Arial" w:hAnsi="Arial" w:cs="Arial"/>
          <w:sz w:val="24"/>
          <w:szCs w:val="24"/>
        </w:rPr>
      </w:pPr>
      <w:r>
        <w:rPr>
          <w:rFonts w:ascii="Arial" w:hAnsi="Arial" w:cs="Arial"/>
          <w:sz w:val="24"/>
          <w:szCs w:val="24"/>
        </w:rPr>
        <w:t xml:space="preserve">Coleman, James S., (1988), ‘Social Capital in the Creation of Human Capital’, </w:t>
      </w:r>
      <w:r>
        <w:rPr>
          <w:rFonts w:ascii="Arial" w:hAnsi="Arial" w:cs="Arial"/>
          <w:i/>
          <w:iCs/>
          <w:sz w:val="24"/>
          <w:szCs w:val="24"/>
        </w:rPr>
        <w:t xml:space="preserve">American Journal of Sociology, </w:t>
      </w:r>
      <w:r>
        <w:rPr>
          <w:rFonts w:ascii="Arial" w:hAnsi="Arial" w:cs="Arial"/>
          <w:sz w:val="24"/>
          <w:szCs w:val="24"/>
        </w:rPr>
        <w:t>94, pp.95-120</w:t>
      </w:r>
    </w:p>
    <w:p w14:paraId="08305DD5" w14:textId="60595046" w:rsidR="00A66CE8" w:rsidRDefault="00A66CE8" w:rsidP="00F763F2">
      <w:pPr>
        <w:spacing w:line="360" w:lineRule="auto"/>
        <w:jc w:val="both"/>
        <w:rPr>
          <w:rFonts w:ascii="Arial" w:hAnsi="Arial" w:cs="Arial"/>
          <w:sz w:val="24"/>
          <w:szCs w:val="24"/>
        </w:rPr>
      </w:pPr>
      <w:r>
        <w:rPr>
          <w:rFonts w:ascii="Arial" w:hAnsi="Arial" w:cs="Arial"/>
          <w:sz w:val="24"/>
          <w:szCs w:val="24"/>
        </w:rPr>
        <w:t xml:space="preserve">Darnon, Celine; Wiederkehr, Virginie;, Dompnier, Benoit, and Martinot, Delphine, (2018), ‘’Where there is a will, there is a way’: Belief in school meritocracy and the social-class achievement gap’, </w:t>
      </w:r>
      <w:r>
        <w:rPr>
          <w:rFonts w:ascii="Arial" w:hAnsi="Arial" w:cs="Arial"/>
          <w:i/>
          <w:iCs/>
          <w:sz w:val="24"/>
          <w:szCs w:val="24"/>
        </w:rPr>
        <w:t xml:space="preserve">British journal of social psychology, </w:t>
      </w:r>
      <w:r>
        <w:rPr>
          <w:rFonts w:ascii="Arial" w:hAnsi="Arial" w:cs="Arial"/>
          <w:sz w:val="24"/>
          <w:szCs w:val="24"/>
        </w:rPr>
        <w:t>57 (1), pp.250-262</w:t>
      </w:r>
    </w:p>
    <w:p w14:paraId="5D6965EB" w14:textId="235C2105" w:rsidR="00AB1411" w:rsidRPr="00AB1411" w:rsidRDefault="00AB1411" w:rsidP="00F763F2">
      <w:pPr>
        <w:spacing w:line="360" w:lineRule="auto"/>
        <w:jc w:val="both"/>
        <w:rPr>
          <w:rFonts w:ascii="Arial" w:hAnsi="Arial" w:cs="Arial"/>
          <w:sz w:val="28"/>
          <w:szCs w:val="28"/>
        </w:rPr>
      </w:pPr>
      <w:r w:rsidRPr="00A62635">
        <w:rPr>
          <w:rFonts w:ascii="Arial" w:hAnsi="Arial" w:cs="Arial"/>
          <w:sz w:val="24"/>
          <w:szCs w:val="24"/>
        </w:rPr>
        <w:t xml:space="preserve">Davies, S., (1995), ‘Leaps of faith: Shifting currents in critical sociology of education’, </w:t>
      </w:r>
      <w:r w:rsidRPr="00A62635">
        <w:rPr>
          <w:rFonts w:ascii="Arial" w:hAnsi="Arial" w:cs="Arial"/>
          <w:i/>
          <w:iCs/>
          <w:sz w:val="24"/>
          <w:szCs w:val="24"/>
        </w:rPr>
        <w:t>American Journal of Sociology</w:t>
      </w:r>
      <w:r w:rsidRPr="00A62635">
        <w:rPr>
          <w:rFonts w:ascii="Arial" w:hAnsi="Arial" w:cs="Arial"/>
          <w:sz w:val="24"/>
          <w:szCs w:val="24"/>
        </w:rPr>
        <w:t>, 100 (6), pp.1448-1478</w:t>
      </w:r>
    </w:p>
    <w:p w14:paraId="7EAEF047" w14:textId="5533D9A3" w:rsidR="00ED4AED" w:rsidRDefault="00ED4AED" w:rsidP="00F763F2">
      <w:pPr>
        <w:spacing w:line="360" w:lineRule="auto"/>
        <w:jc w:val="both"/>
        <w:rPr>
          <w:rFonts w:ascii="Arial" w:hAnsi="Arial" w:cs="Arial"/>
          <w:sz w:val="24"/>
          <w:szCs w:val="24"/>
        </w:rPr>
      </w:pPr>
      <w:r w:rsidRPr="00A406FC">
        <w:rPr>
          <w:rFonts w:ascii="Arial" w:hAnsi="Arial" w:cs="Arial"/>
          <w:sz w:val="24"/>
          <w:szCs w:val="24"/>
        </w:rPr>
        <w:t>Dench, G</w:t>
      </w:r>
      <w:r>
        <w:rPr>
          <w:rFonts w:ascii="Arial" w:hAnsi="Arial" w:cs="Arial"/>
          <w:sz w:val="24"/>
          <w:szCs w:val="24"/>
        </w:rPr>
        <w:t>. (Ed.),</w:t>
      </w:r>
      <w:r w:rsidRPr="00A406FC">
        <w:rPr>
          <w:rFonts w:ascii="Arial" w:hAnsi="Arial" w:cs="Arial"/>
          <w:sz w:val="24"/>
          <w:szCs w:val="24"/>
        </w:rPr>
        <w:t xml:space="preserve"> </w:t>
      </w:r>
      <w:r>
        <w:rPr>
          <w:rFonts w:ascii="Arial" w:hAnsi="Arial" w:cs="Arial"/>
          <w:sz w:val="24"/>
          <w:szCs w:val="24"/>
        </w:rPr>
        <w:t>(</w:t>
      </w:r>
      <w:r w:rsidRPr="00A406FC">
        <w:rPr>
          <w:rFonts w:ascii="Arial" w:hAnsi="Arial" w:cs="Arial"/>
          <w:sz w:val="24"/>
          <w:szCs w:val="24"/>
        </w:rPr>
        <w:t>2006</w:t>
      </w:r>
      <w:r>
        <w:rPr>
          <w:rFonts w:ascii="Arial" w:hAnsi="Arial" w:cs="Arial"/>
          <w:sz w:val="24"/>
          <w:szCs w:val="24"/>
        </w:rPr>
        <w:t>),</w:t>
      </w:r>
      <w:r w:rsidRPr="00A406FC">
        <w:rPr>
          <w:rFonts w:ascii="Arial" w:hAnsi="Arial" w:cs="Arial"/>
          <w:sz w:val="24"/>
          <w:szCs w:val="24"/>
        </w:rPr>
        <w:t xml:space="preserve"> </w:t>
      </w:r>
      <w:r w:rsidRPr="00A406FC">
        <w:rPr>
          <w:rFonts w:ascii="Arial" w:hAnsi="Arial" w:cs="Arial"/>
          <w:i/>
          <w:iCs/>
          <w:sz w:val="24"/>
          <w:szCs w:val="24"/>
        </w:rPr>
        <w:t>The Rise and Rise of Meritocracy</w:t>
      </w:r>
      <w:r>
        <w:rPr>
          <w:rFonts w:ascii="Arial" w:hAnsi="Arial" w:cs="Arial"/>
          <w:sz w:val="24"/>
          <w:szCs w:val="24"/>
        </w:rPr>
        <w:t>,</w:t>
      </w:r>
      <w:r w:rsidRPr="00A406FC">
        <w:rPr>
          <w:rFonts w:ascii="Arial" w:hAnsi="Arial" w:cs="Arial"/>
          <w:sz w:val="24"/>
          <w:szCs w:val="24"/>
        </w:rPr>
        <w:t xml:space="preserve"> London: Blackwell</w:t>
      </w:r>
    </w:p>
    <w:p w14:paraId="4131262B" w14:textId="22ADC11C" w:rsidR="0037652A" w:rsidRPr="0037652A" w:rsidRDefault="0037652A" w:rsidP="00F763F2">
      <w:pPr>
        <w:spacing w:line="360" w:lineRule="auto"/>
        <w:jc w:val="both"/>
        <w:rPr>
          <w:rFonts w:ascii="Arial" w:hAnsi="Arial" w:cs="Arial"/>
          <w:sz w:val="28"/>
          <w:szCs w:val="28"/>
        </w:rPr>
      </w:pPr>
      <w:r w:rsidRPr="0037362F">
        <w:rPr>
          <w:rFonts w:ascii="Arial" w:hAnsi="Arial" w:cs="Arial"/>
          <w:sz w:val="24"/>
          <w:szCs w:val="24"/>
        </w:rPr>
        <w:t xml:space="preserve">Depaepe, M., and Smeyers, P., (2008), ‘Educationalization as an ongoing modernization process’, </w:t>
      </w:r>
      <w:r w:rsidRPr="0037362F">
        <w:rPr>
          <w:rFonts w:ascii="Arial" w:hAnsi="Arial" w:cs="Arial"/>
          <w:i/>
          <w:iCs/>
          <w:sz w:val="24"/>
          <w:szCs w:val="24"/>
        </w:rPr>
        <w:t>Educational Theory</w:t>
      </w:r>
      <w:r w:rsidRPr="0037362F">
        <w:rPr>
          <w:rFonts w:ascii="Arial" w:hAnsi="Arial" w:cs="Arial"/>
          <w:sz w:val="24"/>
          <w:szCs w:val="24"/>
        </w:rPr>
        <w:t>, 58 (4), pp.379–389</w:t>
      </w:r>
    </w:p>
    <w:p w14:paraId="4C1F52B9" w14:textId="5FDFE9D6" w:rsidR="00013AE5" w:rsidRDefault="00013AE5" w:rsidP="00F763F2">
      <w:pPr>
        <w:spacing w:line="360" w:lineRule="auto"/>
        <w:jc w:val="both"/>
        <w:rPr>
          <w:rFonts w:ascii="Arial" w:hAnsi="Arial" w:cs="Arial"/>
          <w:sz w:val="24"/>
          <w:szCs w:val="24"/>
        </w:rPr>
      </w:pPr>
      <w:r w:rsidRPr="0099192B">
        <w:rPr>
          <w:rFonts w:ascii="Arial" w:hAnsi="Arial" w:cs="Arial"/>
          <w:sz w:val="24"/>
          <w:szCs w:val="24"/>
        </w:rPr>
        <w:t xml:space="preserve">Deutsch, M., (1975), ‘Equity, equality and need: What determines which value will be used as the basis of distributive justice?’, </w:t>
      </w:r>
      <w:r w:rsidRPr="0099192B">
        <w:rPr>
          <w:rFonts w:ascii="Arial" w:hAnsi="Arial" w:cs="Arial"/>
          <w:i/>
          <w:iCs/>
          <w:sz w:val="24"/>
          <w:szCs w:val="24"/>
        </w:rPr>
        <w:t>Journal of Social Issues</w:t>
      </w:r>
      <w:r w:rsidRPr="0099192B">
        <w:rPr>
          <w:rFonts w:ascii="Arial" w:hAnsi="Arial" w:cs="Arial"/>
          <w:sz w:val="24"/>
          <w:szCs w:val="24"/>
        </w:rPr>
        <w:t>, 31, pp. 137–149</w:t>
      </w:r>
    </w:p>
    <w:p w14:paraId="2C1A917B" w14:textId="06B68804" w:rsidR="00730048" w:rsidRDefault="00730048" w:rsidP="00F763F2">
      <w:pPr>
        <w:spacing w:line="360" w:lineRule="auto"/>
        <w:jc w:val="both"/>
        <w:rPr>
          <w:rFonts w:ascii="Arial" w:hAnsi="Arial" w:cs="Arial"/>
          <w:sz w:val="24"/>
          <w:szCs w:val="24"/>
        </w:rPr>
      </w:pPr>
      <w:r>
        <w:rPr>
          <w:rFonts w:ascii="Arial" w:hAnsi="Arial" w:cs="Arial"/>
          <w:sz w:val="24"/>
          <w:szCs w:val="24"/>
        </w:rPr>
        <w:t xml:space="preserve">Dex, S., (1987), </w:t>
      </w:r>
      <w:r>
        <w:rPr>
          <w:rFonts w:ascii="Arial" w:hAnsi="Arial" w:cs="Arial"/>
          <w:i/>
          <w:iCs/>
          <w:sz w:val="24"/>
          <w:szCs w:val="24"/>
        </w:rPr>
        <w:t xml:space="preserve">Women’s Occupational Mobility, </w:t>
      </w:r>
      <w:r>
        <w:rPr>
          <w:rFonts w:ascii="Arial" w:hAnsi="Arial" w:cs="Arial"/>
          <w:sz w:val="24"/>
          <w:szCs w:val="24"/>
        </w:rPr>
        <w:t>London: Macmillan</w:t>
      </w:r>
    </w:p>
    <w:p w14:paraId="238CBDB3" w14:textId="2AA2B6F3" w:rsidR="006F161E" w:rsidRPr="006F161E" w:rsidRDefault="006F161E" w:rsidP="00F763F2">
      <w:pPr>
        <w:spacing w:line="360" w:lineRule="auto"/>
        <w:jc w:val="both"/>
        <w:rPr>
          <w:rFonts w:ascii="Arial" w:hAnsi="Arial" w:cs="Arial"/>
          <w:sz w:val="28"/>
          <w:szCs w:val="28"/>
        </w:rPr>
      </w:pPr>
      <w:r w:rsidRPr="009675E7">
        <w:rPr>
          <w:rFonts w:ascii="Arial" w:hAnsi="Arial" w:cs="Arial"/>
          <w:sz w:val="24"/>
          <w:szCs w:val="24"/>
        </w:rPr>
        <w:t xml:space="preserve">Dompnier, B., and Pansu, P., (2010), ‘La valeur sociale des explications causales en contexte educatif: Autopresentation des eleves et representation des enseignants [Social value of causal explanations in educational settings: Pupils’ self-presentation and teachers’ representations]’, </w:t>
      </w:r>
      <w:r w:rsidRPr="009675E7">
        <w:rPr>
          <w:rFonts w:ascii="Arial" w:hAnsi="Arial" w:cs="Arial"/>
          <w:i/>
          <w:iCs/>
          <w:sz w:val="24"/>
          <w:szCs w:val="24"/>
        </w:rPr>
        <w:t>Swiss Journal of Psychology</w:t>
      </w:r>
      <w:r w:rsidRPr="009675E7">
        <w:rPr>
          <w:rFonts w:ascii="Arial" w:hAnsi="Arial" w:cs="Arial"/>
          <w:sz w:val="24"/>
          <w:szCs w:val="24"/>
        </w:rPr>
        <w:t>, 69, pp.39–51</w:t>
      </w:r>
    </w:p>
    <w:p w14:paraId="3ED98AEC" w14:textId="0E7762F5" w:rsidR="000249BC" w:rsidRDefault="000249BC" w:rsidP="00F763F2">
      <w:pPr>
        <w:spacing w:line="360" w:lineRule="auto"/>
        <w:jc w:val="both"/>
        <w:rPr>
          <w:rFonts w:ascii="Arial" w:hAnsi="Arial" w:cs="Arial"/>
          <w:sz w:val="24"/>
          <w:szCs w:val="24"/>
        </w:rPr>
      </w:pPr>
      <w:r>
        <w:rPr>
          <w:rFonts w:ascii="Arial" w:hAnsi="Arial" w:cs="Arial"/>
          <w:sz w:val="24"/>
          <w:szCs w:val="24"/>
        </w:rPr>
        <w:t xml:space="preserve">Dorling, Danny, (2011), </w:t>
      </w:r>
      <w:r>
        <w:rPr>
          <w:rFonts w:ascii="Arial" w:hAnsi="Arial" w:cs="Arial"/>
          <w:i/>
          <w:iCs/>
          <w:sz w:val="24"/>
          <w:szCs w:val="24"/>
        </w:rPr>
        <w:t xml:space="preserve">So You Think you know about Britain? </w:t>
      </w:r>
      <w:r>
        <w:rPr>
          <w:rFonts w:ascii="Arial" w:hAnsi="Arial" w:cs="Arial"/>
          <w:sz w:val="24"/>
          <w:szCs w:val="24"/>
        </w:rPr>
        <w:t>Boston: Little, Brown Book Group</w:t>
      </w:r>
    </w:p>
    <w:p w14:paraId="2D9B25A8" w14:textId="2F9F7F80" w:rsidR="00A66CE8" w:rsidRDefault="00A66CE8" w:rsidP="00F763F2">
      <w:pPr>
        <w:spacing w:line="360" w:lineRule="auto"/>
        <w:jc w:val="both"/>
        <w:rPr>
          <w:rFonts w:ascii="Arial" w:hAnsi="Arial" w:cs="Arial"/>
          <w:sz w:val="24"/>
          <w:szCs w:val="24"/>
        </w:rPr>
      </w:pPr>
      <w:r w:rsidRPr="0011217A">
        <w:rPr>
          <w:rFonts w:ascii="Arial" w:hAnsi="Arial" w:cs="Arial"/>
          <w:sz w:val="24"/>
          <w:szCs w:val="24"/>
        </w:rPr>
        <w:t xml:space="preserve">Duru-Bellat, M., and Tenret, E., (2012), ‘Who's for meritocracy? Individual and contextual variations in the faith’, </w:t>
      </w:r>
      <w:r w:rsidRPr="0011217A">
        <w:rPr>
          <w:rFonts w:ascii="Arial" w:hAnsi="Arial" w:cs="Arial"/>
          <w:i/>
          <w:iCs/>
          <w:sz w:val="24"/>
          <w:szCs w:val="24"/>
        </w:rPr>
        <w:t>Comparative Education Review</w:t>
      </w:r>
      <w:r w:rsidRPr="0011217A">
        <w:rPr>
          <w:rFonts w:ascii="Arial" w:hAnsi="Arial" w:cs="Arial"/>
          <w:sz w:val="24"/>
          <w:szCs w:val="24"/>
        </w:rPr>
        <w:t>, 56 (2), pp.223-247</w:t>
      </w:r>
    </w:p>
    <w:p w14:paraId="14EB20ED" w14:textId="7D65DE00" w:rsidR="00410BC8" w:rsidRDefault="00410BC8" w:rsidP="00F763F2">
      <w:pPr>
        <w:spacing w:line="360" w:lineRule="auto"/>
        <w:jc w:val="both"/>
        <w:rPr>
          <w:rFonts w:ascii="Arial" w:hAnsi="Arial" w:cs="Arial"/>
          <w:sz w:val="24"/>
          <w:szCs w:val="24"/>
        </w:rPr>
      </w:pPr>
      <w:r>
        <w:rPr>
          <w:rFonts w:ascii="Arial" w:hAnsi="Arial" w:cs="Arial"/>
          <w:sz w:val="24"/>
          <w:szCs w:val="24"/>
        </w:rPr>
        <w:t xml:space="preserve">Erikson, R., and Goldthorpe, J. H., (1992), </w:t>
      </w:r>
      <w:r>
        <w:rPr>
          <w:rFonts w:ascii="Arial" w:hAnsi="Arial" w:cs="Arial"/>
          <w:i/>
          <w:iCs/>
          <w:sz w:val="24"/>
          <w:szCs w:val="24"/>
        </w:rPr>
        <w:t xml:space="preserve">The Constant Flux, </w:t>
      </w:r>
      <w:r>
        <w:rPr>
          <w:rFonts w:ascii="Arial" w:hAnsi="Arial" w:cs="Arial"/>
          <w:sz w:val="24"/>
          <w:szCs w:val="24"/>
        </w:rPr>
        <w:t>Oxford: Clarendon</w:t>
      </w:r>
    </w:p>
    <w:p w14:paraId="4802AA40" w14:textId="1C46A5AC" w:rsidR="00F0527A" w:rsidRPr="00F0527A" w:rsidRDefault="00F0527A" w:rsidP="00F763F2">
      <w:pPr>
        <w:spacing w:line="360" w:lineRule="auto"/>
        <w:jc w:val="both"/>
        <w:rPr>
          <w:rFonts w:ascii="Arial" w:hAnsi="Arial" w:cs="Arial"/>
          <w:sz w:val="32"/>
          <w:szCs w:val="32"/>
        </w:rPr>
      </w:pPr>
      <w:r w:rsidRPr="00D33043">
        <w:rPr>
          <w:rFonts w:ascii="Arial" w:hAnsi="Arial" w:cs="Arial"/>
          <w:sz w:val="24"/>
          <w:szCs w:val="24"/>
        </w:rPr>
        <w:lastRenderedPageBreak/>
        <w:t xml:space="preserve">Espenshade, T. J., and Radford, A. W., (2009), </w:t>
      </w:r>
      <w:r w:rsidRPr="00D33043">
        <w:rPr>
          <w:rFonts w:ascii="Arial" w:hAnsi="Arial" w:cs="Arial"/>
          <w:i/>
          <w:iCs/>
          <w:sz w:val="24"/>
          <w:szCs w:val="24"/>
        </w:rPr>
        <w:t>No longer separate, not yet equal: Race and class in elite college admission and campus life</w:t>
      </w:r>
      <w:r w:rsidRPr="00D33043">
        <w:rPr>
          <w:rFonts w:ascii="Arial" w:hAnsi="Arial" w:cs="Arial"/>
          <w:sz w:val="24"/>
          <w:szCs w:val="24"/>
        </w:rPr>
        <w:t>, Princeton: Princeton University Press</w:t>
      </w:r>
    </w:p>
    <w:p w14:paraId="6DD4943D" w14:textId="50F85428" w:rsidR="002D0D63" w:rsidRDefault="002D0D63" w:rsidP="00F763F2">
      <w:pPr>
        <w:spacing w:line="360" w:lineRule="auto"/>
        <w:jc w:val="both"/>
        <w:rPr>
          <w:rFonts w:ascii="Arial" w:hAnsi="Arial" w:cs="Arial"/>
          <w:sz w:val="24"/>
          <w:szCs w:val="24"/>
        </w:rPr>
      </w:pPr>
      <w:r>
        <w:rPr>
          <w:rFonts w:ascii="Arial" w:hAnsi="Arial" w:cs="Arial"/>
          <w:sz w:val="24"/>
          <w:szCs w:val="24"/>
        </w:rPr>
        <w:t xml:space="preserve">Fischer, Claude S.; Hout, Michael; Jankowski, Martin; Lucas, Samuel R.; Swidler, Ann and Voss, Kim, (1996), </w:t>
      </w:r>
      <w:r>
        <w:rPr>
          <w:rFonts w:ascii="Arial" w:hAnsi="Arial" w:cs="Arial"/>
          <w:i/>
          <w:iCs/>
          <w:sz w:val="24"/>
          <w:szCs w:val="24"/>
        </w:rPr>
        <w:t xml:space="preserve">Inequality by Design: Cracking the Bell Curve Myth, </w:t>
      </w:r>
      <w:r>
        <w:rPr>
          <w:rFonts w:ascii="Arial" w:hAnsi="Arial" w:cs="Arial"/>
          <w:sz w:val="24"/>
          <w:szCs w:val="24"/>
        </w:rPr>
        <w:t>New Jersey: Princeton University Press</w:t>
      </w:r>
    </w:p>
    <w:p w14:paraId="1A6D6205" w14:textId="4EA641BE" w:rsidR="00FC2051" w:rsidRDefault="00FC2051" w:rsidP="00F763F2">
      <w:pPr>
        <w:spacing w:line="360" w:lineRule="auto"/>
        <w:jc w:val="both"/>
        <w:rPr>
          <w:rFonts w:ascii="Arial" w:hAnsi="Arial" w:cs="Arial"/>
          <w:sz w:val="24"/>
          <w:szCs w:val="24"/>
        </w:rPr>
      </w:pPr>
      <w:r w:rsidRPr="00395BAD">
        <w:rPr>
          <w:rFonts w:ascii="Arial" w:hAnsi="Arial" w:cs="Arial"/>
          <w:sz w:val="24"/>
          <w:szCs w:val="24"/>
        </w:rPr>
        <w:t xml:space="preserve">Fischer, R., and Smith, P. B., (2003), ‘Reward allocation and culture: A meta-analysis’, </w:t>
      </w:r>
      <w:r w:rsidRPr="00395BAD">
        <w:rPr>
          <w:rFonts w:ascii="Arial" w:hAnsi="Arial" w:cs="Arial"/>
          <w:i/>
          <w:iCs/>
          <w:sz w:val="24"/>
          <w:szCs w:val="24"/>
        </w:rPr>
        <w:t>Journal of Cross-Cultural Psychology</w:t>
      </w:r>
      <w:r w:rsidRPr="00395BAD">
        <w:rPr>
          <w:rFonts w:ascii="Arial" w:hAnsi="Arial" w:cs="Arial"/>
          <w:sz w:val="24"/>
          <w:szCs w:val="24"/>
        </w:rPr>
        <w:t>, 34, pp. 251–268</w:t>
      </w:r>
    </w:p>
    <w:p w14:paraId="5B34ED3D" w14:textId="3ABD9039" w:rsidR="002D1DEE" w:rsidRDefault="002D1DEE" w:rsidP="00F763F2">
      <w:pPr>
        <w:spacing w:line="360" w:lineRule="auto"/>
        <w:jc w:val="both"/>
        <w:rPr>
          <w:rFonts w:ascii="Arial" w:hAnsi="Arial" w:cs="Arial"/>
          <w:sz w:val="24"/>
          <w:szCs w:val="24"/>
        </w:rPr>
      </w:pPr>
      <w:r>
        <w:rPr>
          <w:rFonts w:ascii="Arial" w:hAnsi="Arial" w:cs="Arial"/>
          <w:sz w:val="24"/>
          <w:szCs w:val="24"/>
        </w:rPr>
        <w:t xml:space="preserve">Fogelman, K., (1983), </w:t>
      </w:r>
      <w:r>
        <w:rPr>
          <w:rFonts w:ascii="Arial" w:hAnsi="Arial" w:cs="Arial"/>
          <w:i/>
          <w:iCs/>
          <w:sz w:val="24"/>
          <w:szCs w:val="24"/>
        </w:rPr>
        <w:t xml:space="preserve">Growing Up in Great Britain, </w:t>
      </w:r>
      <w:r>
        <w:rPr>
          <w:rFonts w:ascii="Arial" w:hAnsi="Arial" w:cs="Arial"/>
          <w:sz w:val="24"/>
          <w:szCs w:val="24"/>
        </w:rPr>
        <w:t>London: Macmillan</w:t>
      </w:r>
    </w:p>
    <w:p w14:paraId="245B7481" w14:textId="4AB6C0D2" w:rsidR="007045A8" w:rsidRDefault="007045A8" w:rsidP="00F763F2">
      <w:pPr>
        <w:spacing w:line="360" w:lineRule="auto"/>
        <w:jc w:val="both"/>
        <w:rPr>
          <w:rFonts w:ascii="Arial" w:hAnsi="Arial" w:cs="Arial"/>
          <w:sz w:val="24"/>
          <w:szCs w:val="24"/>
        </w:rPr>
      </w:pPr>
      <w:r w:rsidRPr="00FD006F">
        <w:rPr>
          <w:rFonts w:ascii="Arial" w:hAnsi="Arial" w:cs="Arial"/>
          <w:sz w:val="24"/>
          <w:szCs w:val="24"/>
        </w:rPr>
        <w:t xml:space="preserve">Foster, M. D., Sloto, L., and Ruby, R., (2006), ‘Responding to discrimination as a function of meritocracy beliefs and personal experiences: Testing the model for shattered assumptions’, </w:t>
      </w:r>
      <w:r w:rsidRPr="00FD006F">
        <w:rPr>
          <w:rFonts w:ascii="Arial" w:hAnsi="Arial" w:cs="Arial"/>
          <w:i/>
          <w:iCs/>
          <w:sz w:val="24"/>
          <w:szCs w:val="24"/>
        </w:rPr>
        <w:t>Group Processes &amp; Intergroup Relations</w:t>
      </w:r>
      <w:r w:rsidRPr="00FD006F">
        <w:rPr>
          <w:rFonts w:ascii="Arial" w:hAnsi="Arial" w:cs="Arial"/>
          <w:sz w:val="24"/>
          <w:szCs w:val="24"/>
        </w:rPr>
        <w:t>, 9, pp.401– 411</w:t>
      </w:r>
    </w:p>
    <w:p w14:paraId="60101EF0" w14:textId="747CE116" w:rsidR="000249BC" w:rsidRDefault="000249BC" w:rsidP="00F763F2">
      <w:pPr>
        <w:spacing w:line="360" w:lineRule="auto"/>
        <w:jc w:val="both"/>
        <w:rPr>
          <w:rFonts w:ascii="Arial" w:hAnsi="Arial" w:cs="Arial"/>
          <w:sz w:val="24"/>
          <w:szCs w:val="24"/>
        </w:rPr>
      </w:pPr>
      <w:r w:rsidRPr="00D133CA">
        <w:rPr>
          <w:rFonts w:ascii="Arial" w:hAnsi="Arial" w:cs="Arial"/>
          <w:sz w:val="24"/>
          <w:szCs w:val="24"/>
        </w:rPr>
        <w:t xml:space="preserve">Galindo, C., and Sonnenschein, S., (2015), ‘Decreasing the SES math achievement gap: Initial math proficiency and home learning environments’, </w:t>
      </w:r>
      <w:r w:rsidRPr="00D133CA">
        <w:rPr>
          <w:rFonts w:ascii="Arial" w:hAnsi="Arial" w:cs="Arial"/>
          <w:i/>
          <w:iCs/>
          <w:sz w:val="24"/>
          <w:szCs w:val="24"/>
        </w:rPr>
        <w:t>Contemporary Educational Psychology</w:t>
      </w:r>
      <w:r w:rsidRPr="00D133CA">
        <w:rPr>
          <w:rFonts w:ascii="Arial" w:hAnsi="Arial" w:cs="Arial"/>
          <w:sz w:val="24"/>
          <w:szCs w:val="24"/>
        </w:rPr>
        <w:t>, 43, pp.25–38</w:t>
      </w:r>
    </w:p>
    <w:p w14:paraId="0D3361F6" w14:textId="5AA68B82" w:rsidR="005203F4" w:rsidRDefault="005203F4" w:rsidP="00F763F2">
      <w:pPr>
        <w:spacing w:line="360" w:lineRule="auto"/>
        <w:jc w:val="both"/>
        <w:rPr>
          <w:rFonts w:ascii="Arial" w:hAnsi="Arial" w:cs="Arial"/>
          <w:sz w:val="24"/>
          <w:szCs w:val="24"/>
        </w:rPr>
      </w:pPr>
      <w:r>
        <w:rPr>
          <w:rFonts w:ascii="Arial" w:hAnsi="Arial" w:cs="Arial"/>
          <w:sz w:val="24"/>
          <w:szCs w:val="24"/>
        </w:rPr>
        <w:t xml:space="preserve">Giddens, A., (1989), </w:t>
      </w:r>
      <w:r>
        <w:rPr>
          <w:rFonts w:ascii="Arial" w:hAnsi="Arial" w:cs="Arial"/>
          <w:i/>
          <w:iCs/>
          <w:sz w:val="24"/>
          <w:szCs w:val="24"/>
        </w:rPr>
        <w:t xml:space="preserve">Sociology, </w:t>
      </w:r>
      <w:r>
        <w:rPr>
          <w:rFonts w:ascii="Arial" w:hAnsi="Arial" w:cs="Arial"/>
          <w:sz w:val="24"/>
          <w:szCs w:val="24"/>
        </w:rPr>
        <w:t>Oxford: Polity</w:t>
      </w:r>
    </w:p>
    <w:p w14:paraId="4242E6F3" w14:textId="4DDCD7AB" w:rsidR="00B055C9" w:rsidRDefault="00B055C9" w:rsidP="00F763F2">
      <w:pPr>
        <w:spacing w:line="360" w:lineRule="auto"/>
        <w:jc w:val="both"/>
        <w:rPr>
          <w:rFonts w:ascii="Arial" w:hAnsi="Arial" w:cs="Arial"/>
          <w:sz w:val="24"/>
          <w:szCs w:val="24"/>
        </w:rPr>
      </w:pPr>
      <w:r>
        <w:rPr>
          <w:rFonts w:ascii="Arial" w:hAnsi="Arial" w:cs="Arial"/>
          <w:sz w:val="24"/>
          <w:szCs w:val="24"/>
        </w:rPr>
        <w:t xml:space="preserve">Glucksberg, Luna, (2018), ‘A gendered ethnography of elites: Women, inequality and social reproduction’, </w:t>
      </w:r>
      <w:r>
        <w:rPr>
          <w:rFonts w:ascii="Arial" w:hAnsi="Arial" w:cs="Arial"/>
          <w:i/>
          <w:iCs/>
          <w:sz w:val="24"/>
          <w:szCs w:val="24"/>
        </w:rPr>
        <w:t xml:space="preserve">Focaal, </w:t>
      </w:r>
      <w:r>
        <w:rPr>
          <w:rFonts w:ascii="Arial" w:hAnsi="Arial" w:cs="Arial"/>
          <w:sz w:val="24"/>
          <w:szCs w:val="24"/>
        </w:rPr>
        <w:t>2018 (81), pp.16-28</w:t>
      </w:r>
    </w:p>
    <w:p w14:paraId="0741DC3C" w14:textId="77777777" w:rsidR="005203F4" w:rsidRDefault="005203F4" w:rsidP="00F763F2">
      <w:pPr>
        <w:spacing w:line="360" w:lineRule="auto"/>
        <w:jc w:val="both"/>
        <w:rPr>
          <w:rFonts w:ascii="Arial" w:hAnsi="Arial" w:cs="Arial"/>
          <w:sz w:val="24"/>
          <w:szCs w:val="24"/>
        </w:rPr>
      </w:pPr>
      <w:r>
        <w:rPr>
          <w:rFonts w:ascii="Arial" w:hAnsi="Arial" w:cs="Arial"/>
          <w:sz w:val="24"/>
          <w:szCs w:val="24"/>
        </w:rPr>
        <w:t xml:space="preserve">Goldthorpe, J. H., (1980) </w:t>
      </w:r>
      <w:r>
        <w:rPr>
          <w:rFonts w:ascii="Arial" w:hAnsi="Arial" w:cs="Arial"/>
          <w:i/>
          <w:iCs/>
          <w:sz w:val="24"/>
          <w:szCs w:val="24"/>
        </w:rPr>
        <w:t xml:space="preserve">Social Mobility and Class Structure in Modern Britain, </w:t>
      </w:r>
      <w:r>
        <w:rPr>
          <w:rFonts w:ascii="Arial" w:hAnsi="Arial" w:cs="Arial"/>
          <w:sz w:val="24"/>
          <w:szCs w:val="24"/>
        </w:rPr>
        <w:t>Oxford: Clarendon</w:t>
      </w:r>
    </w:p>
    <w:p w14:paraId="04AA9050" w14:textId="77777777" w:rsidR="005203F4" w:rsidRPr="00894E37" w:rsidRDefault="005203F4" w:rsidP="00F763F2">
      <w:pPr>
        <w:spacing w:line="360" w:lineRule="auto"/>
        <w:jc w:val="both"/>
        <w:rPr>
          <w:rFonts w:ascii="Arial" w:hAnsi="Arial" w:cs="Arial"/>
          <w:sz w:val="24"/>
          <w:szCs w:val="24"/>
        </w:rPr>
      </w:pPr>
      <w:r>
        <w:rPr>
          <w:rFonts w:ascii="Arial" w:hAnsi="Arial" w:cs="Arial"/>
          <w:sz w:val="24"/>
          <w:szCs w:val="24"/>
        </w:rPr>
        <w:t xml:space="preserve">Goldthorpe, J. H., (1983), ‘Women and Class Analysis: In Defence of the Conventional View’, </w:t>
      </w:r>
      <w:r>
        <w:rPr>
          <w:rFonts w:ascii="Arial" w:hAnsi="Arial" w:cs="Arial"/>
          <w:i/>
          <w:iCs/>
          <w:sz w:val="24"/>
          <w:szCs w:val="24"/>
        </w:rPr>
        <w:t xml:space="preserve">Sociology, </w:t>
      </w:r>
      <w:r>
        <w:rPr>
          <w:rFonts w:ascii="Arial" w:hAnsi="Arial" w:cs="Arial"/>
          <w:sz w:val="24"/>
          <w:szCs w:val="24"/>
        </w:rPr>
        <w:t>17, pp.465-478</w:t>
      </w:r>
    </w:p>
    <w:p w14:paraId="371073B3" w14:textId="5FC0702B" w:rsidR="005203F4" w:rsidRDefault="005203F4" w:rsidP="00F763F2">
      <w:pPr>
        <w:spacing w:line="360" w:lineRule="auto"/>
        <w:jc w:val="both"/>
        <w:rPr>
          <w:rFonts w:ascii="Arial" w:hAnsi="Arial" w:cs="Arial"/>
          <w:sz w:val="24"/>
          <w:szCs w:val="24"/>
        </w:rPr>
      </w:pPr>
      <w:r w:rsidRPr="00530F7C">
        <w:rPr>
          <w:rFonts w:ascii="Arial" w:hAnsi="Arial" w:cs="Arial"/>
          <w:sz w:val="24"/>
          <w:szCs w:val="24"/>
        </w:rPr>
        <w:t xml:space="preserve">Goldthorpe, J. H., (1996), ‘Class Analysis and the Reorientation of Class Theory: The Case of Persisting Differentials in Educational Attainment’, </w:t>
      </w:r>
      <w:r w:rsidRPr="00530F7C">
        <w:rPr>
          <w:rFonts w:ascii="Arial" w:hAnsi="Arial" w:cs="Arial"/>
          <w:i/>
          <w:iCs/>
          <w:sz w:val="24"/>
          <w:szCs w:val="24"/>
        </w:rPr>
        <w:t>The British Journal of Sociology,</w:t>
      </w:r>
      <w:r w:rsidRPr="00530F7C">
        <w:rPr>
          <w:rFonts w:ascii="Arial" w:hAnsi="Arial" w:cs="Arial"/>
          <w:sz w:val="24"/>
          <w:szCs w:val="24"/>
        </w:rPr>
        <w:t xml:space="preserve"> 47 (3), pp.481-505</w:t>
      </w:r>
    </w:p>
    <w:p w14:paraId="230441C2" w14:textId="77777777" w:rsidR="00EC6725" w:rsidRDefault="00EC6725" w:rsidP="00F763F2">
      <w:pPr>
        <w:spacing w:line="360" w:lineRule="auto"/>
        <w:jc w:val="both"/>
        <w:rPr>
          <w:rFonts w:ascii="Arial" w:hAnsi="Arial" w:cs="Arial"/>
          <w:sz w:val="24"/>
          <w:szCs w:val="24"/>
        </w:rPr>
      </w:pPr>
      <w:r>
        <w:rPr>
          <w:rFonts w:ascii="Arial" w:hAnsi="Arial" w:cs="Arial"/>
          <w:sz w:val="24"/>
          <w:szCs w:val="24"/>
        </w:rPr>
        <w:t xml:space="preserve">Goldthorpe, J. H., (2013), ‘Social class mobility in modern Britain: changing structure, constant process’, </w:t>
      </w:r>
      <w:r>
        <w:rPr>
          <w:rFonts w:ascii="Arial" w:hAnsi="Arial" w:cs="Arial"/>
          <w:i/>
          <w:iCs/>
          <w:sz w:val="24"/>
          <w:szCs w:val="24"/>
        </w:rPr>
        <w:t xml:space="preserve">Journal of the British Academy, </w:t>
      </w:r>
      <w:r>
        <w:rPr>
          <w:rFonts w:ascii="Arial" w:hAnsi="Arial" w:cs="Arial"/>
          <w:sz w:val="24"/>
          <w:szCs w:val="24"/>
        </w:rPr>
        <w:t>4, pp.89-111</w:t>
      </w:r>
    </w:p>
    <w:p w14:paraId="749C15FB" w14:textId="53763CAF" w:rsidR="00EC6725" w:rsidRDefault="00EC6725" w:rsidP="00F763F2">
      <w:pPr>
        <w:spacing w:line="360" w:lineRule="auto"/>
        <w:jc w:val="both"/>
        <w:rPr>
          <w:rFonts w:ascii="Arial" w:hAnsi="Arial" w:cs="Arial"/>
          <w:sz w:val="24"/>
          <w:szCs w:val="24"/>
        </w:rPr>
      </w:pPr>
      <w:r>
        <w:rPr>
          <w:rFonts w:ascii="Arial" w:hAnsi="Arial" w:cs="Arial"/>
          <w:sz w:val="24"/>
          <w:szCs w:val="24"/>
        </w:rPr>
        <w:lastRenderedPageBreak/>
        <w:t xml:space="preserve">Goldthorpe, J. H., and Jackson, Michelle, (2007), ‘Intergenerational class mobility in contemporary Britain: political concern and empirical findings’, </w:t>
      </w:r>
      <w:r>
        <w:rPr>
          <w:rFonts w:ascii="Arial" w:hAnsi="Arial" w:cs="Arial"/>
          <w:i/>
          <w:iCs/>
          <w:sz w:val="24"/>
          <w:szCs w:val="24"/>
        </w:rPr>
        <w:t xml:space="preserve">The British Journal of Sociology, </w:t>
      </w:r>
      <w:r>
        <w:rPr>
          <w:rFonts w:ascii="Arial" w:hAnsi="Arial" w:cs="Arial"/>
          <w:sz w:val="24"/>
          <w:szCs w:val="24"/>
        </w:rPr>
        <w:t>58 (4), pp.525-546</w:t>
      </w:r>
    </w:p>
    <w:p w14:paraId="6A93C4B0" w14:textId="4DD47E0E" w:rsidR="00BC5467" w:rsidRDefault="00BC5467" w:rsidP="00F763F2">
      <w:pPr>
        <w:spacing w:line="360" w:lineRule="auto"/>
        <w:jc w:val="both"/>
        <w:rPr>
          <w:rFonts w:ascii="Arial" w:hAnsi="Arial" w:cs="Arial"/>
          <w:sz w:val="24"/>
          <w:szCs w:val="24"/>
        </w:rPr>
      </w:pPr>
      <w:r w:rsidRPr="005E53E0">
        <w:rPr>
          <w:rFonts w:ascii="Arial" w:hAnsi="Arial" w:cs="Arial"/>
          <w:sz w:val="24"/>
          <w:szCs w:val="24"/>
        </w:rPr>
        <w:t xml:space="preserve">Goldthorpe, J. H., and Jackson, M., (2008), ‘Education-based meritocracy: The barriers to its realization’, In A. Lareau and D. Conley (Eds.), </w:t>
      </w:r>
      <w:r w:rsidRPr="005E53E0">
        <w:rPr>
          <w:rFonts w:ascii="Arial" w:hAnsi="Arial" w:cs="Arial"/>
          <w:i/>
          <w:iCs/>
          <w:sz w:val="24"/>
          <w:szCs w:val="24"/>
        </w:rPr>
        <w:t>Social class. How does it work?</w:t>
      </w:r>
      <w:r w:rsidRPr="005E53E0">
        <w:rPr>
          <w:rFonts w:ascii="Arial" w:hAnsi="Arial" w:cs="Arial"/>
          <w:sz w:val="24"/>
          <w:szCs w:val="24"/>
        </w:rPr>
        <w:t xml:space="preserve"> New York: Russell Sage Foundation, pp. 118–151</w:t>
      </w:r>
    </w:p>
    <w:p w14:paraId="6BF4C91B" w14:textId="6ABD107D" w:rsidR="000A12D2" w:rsidRDefault="000A12D2" w:rsidP="00F763F2">
      <w:pPr>
        <w:spacing w:line="360" w:lineRule="auto"/>
        <w:jc w:val="both"/>
        <w:rPr>
          <w:rFonts w:ascii="Arial" w:hAnsi="Arial" w:cs="Arial"/>
          <w:sz w:val="24"/>
          <w:szCs w:val="24"/>
        </w:rPr>
      </w:pPr>
      <w:r w:rsidRPr="00D55A6F">
        <w:rPr>
          <w:rFonts w:ascii="Arial" w:hAnsi="Arial" w:cs="Arial"/>
          <w:sz w:val="24"/>
          <w:szCs w:val="24"/>
        </w:rPr>
        <w:t>Goudeau, S.; Autin, F., and Croizet, J. C., (2017), ‘Studying social class in psychology: Economic, symbolic and cultural approaches’</w:t>
      </w:r>
      <w:r w:rsidRPr="00D55A6F">
        <w:rPr>
          <w:rFonts w:ascii="Arial" w:hAnsi="Arial" w:cs="Arial"/>
          <w:i/>
          <w:iCs/>
          <w:sz w:val="24"/>
          <w:szCs w:val="24"/>
        </w:rPr>
        <w:t>, International Review of Social Psychology</w:t>
      </w:r>
      <w:r w:rsidRPr="00D55A6F">
        <w:rPr>
          <w:rFonts w:ascii="Arial" w:hAnsi="Arial" w:cs="Arial"/>
          <w:sz w:val="24"/>
          <w:szCs w:val="24"/>
        </w:rPr>
        <w:t>, 30, pp.1–19</w:t>
      </w:r>
    </w:p>
    <w:p w14:paraId="0B319AAF" w14:textId="0DF1FD4F" w:rsidR="0037652A" w:rsidRDefault="0037652A" w:rsidP="00F763F2">
      <w:pPr>
        <w:spacing w:line="360" w:lineRule="auto"/>
        <w:jc w:val="both"/>
        <w:rPr>
          <w:rFonts w:ascii="Arial" w:hAnsi="Arial" w:cs="Arial"/>
          <w:sz w:val="24"/>
          <w:szCs w:val="24"/>
        </w:rPr>
      </w:pPr>
      <w:r w:rsidRPr="0037362F">
        <w:rPr>
          <w:rFonts w:ascii="Arial" w:hAnsi="Arial" w:cs="Arial"/>
          <w:sz w:val="24"/>
          <w:szCs w:val="24"/>
        </w:rPr>
        <w:t xml:space="preserve">Grusky, D., and DiPrete, T., (1990), ‘Recent trends in the process of stratification’, </w:t>
      </w:r>
      <w:r w:rsidRPr="0037362F">
        <w:rPr>
          <w:rFonts w:ascii="Arial" w:hAnsi="Arial" w:cs="Arial"/>
          <w:i/>
          <w:iCs/>
          <w:sz w:val="24"/>
          <w:szCs w:val="24"/>
        </w:rPr>
        <w:t>Demography</w:t>
      </w:r>
      <w:r w:rsidRPr="0037362F">
        <w:rPr>
          <w:rFonts w:ascii="Arial" w:hAnsi="Arial" w:cs="Arial"/>
          <w:sz w:val="24"/>
          <w:szCs w:val="24"/>
        </w:rPr>
        <w:t>, 27 (4), pp.617–637</w:t>
      </w:r>
    </w:p>
    <w:p w14:paraId="178F7C65" w14:textId="08E614C3" w:rsidR="00811698" w:rsidRPr="00811698" w:rsidRDefault="00811698" w:rsidP="00F763F2">
      <w:pPr>
        <w:spacing w:line="360" w:lineRule="auto"/>
        <w:jc w:val="both"/>
        <w:rPr>
          <w:rFonts w:ascii="Arial" w:hAnsi="Arial" w:cs="Arial"/>
          <w:sz w:val="24"/>
          <w:szCs w:val="24"/>
        </w:rPr>
      </w:pPr>
      <w:r w:rsidRPr="0026029F">
        <w:rPr>
          <w:rFonts w:ascii="Arial" w:hAnsi="Arial" w:cs="Arial"/>
          <w:sz w:val="24"/>
          <w:szCs w:val="24"/>
        </w:rPr>
        <w:t>Halaby, C.H.</w:t>
      </w:r>
      <w:r>
        <w:rPr>
          <w:rFonts w:ascii="Arial" w:hAnsi="Arial" w:cs="Arial"/>
          <w:sz w:val="24"/>
          <w:szCs w:val="24"/>
        </w:rPr>
        <w:t>,</w:t>
      </w:r>
      <w:r w:rsidRPr="0026029F">
        <w:rPr>
          <w:rFonts w:ascii="Arial" w:hAnsi="Arial" w:cs="Arial"/>
          <w:sz w:val="24"/>
          <w:szCs w:val="24"/>
        </w:rPr>
        <w:t xml:space="preserve"> </w:t>
      </w:r>
      <w:r>
        <w:rPr>
          <w:rFonts w:ascii="Arial" w:hAnsi="Arial" w:cs="Arial"/>
          <w:sz w:val="24"/>
          <w:szCs w:val="24"/>
        </w:rPr>
        <w:t>(</w:t>
      </w:r>
      <w:r w:rsidRPr="0026029F">
        <w:rPr>
          <w:rFonts w:ascii="Arial" w:hAnsi="Arial" w:cs="Arial"/>
          <w:sz w:val="24"/>
          <w:szCs w:val="24"/>
        </w:rPr>
        <w:t>2003</w:t>
      </w:r>
      <w:r>
        <w:rPr>
          <w:rFonts w:ascii="Arial" w:hAnsi="Arial" w:cs="Arial"/>
          <w:sz w:val="24"/>
          <w:szCs w:val="24"/>
        </w:rPr>
        <w:t>),</w:t>
      </w:r>
      <w:r w:rsidRPr="0026029F">
        <w:rPr>
          <w:rFonts w:ascii="Arial" w:hAnsi="Arial" w:cs="Arial"/>
          <w:sz w:val="24"/>
          <w:szCs w:val="24"/>
        </w:rPr>
        <w:t xml:space="preserve"> </w:t>
      </w:r>
      <w:r>
        <w:rPr>
          <w:rFonts w:ascii="Arial" w:hAnsi="Arial" w:cs="Arial"/>
          <w:sz w:val="24"/>
          <w:szCs w:val="24"/>
        </w:rPr>
        <w:t>‘</w:t>
      </w:r>
      <w:r w:rsidRPr="0026029F">
        <w:rPr>
          <w:rFonts w:ascii="Arial" w:hAnsi="Arial" w:cs="Arial"/>
          <w:sz w:val="24"/>
          <w:szCs w:val="24"/>
        </w:rPr>
        <w:t>Where job values come from: Family and schooling background, cognitive</w:t>
      </w:r>
      <w:r>
        <w:rPr>
          <w:rFonts w:ascii="Arial" w:hAnsi="Arial" w:cs="Arial"/>
          <w:sz w:val="24"/>
          <w:szCs w:val="24"/>
        </w:rPr>
        <w:t xml:space="preserve"> </w:t>
      </w:r>
      <w:r w:rsidRPr="0026029F">
        <w:rPr>
          <w:rFonts w:ascii="Arial" w:hAnsi="Arial" w:cs="Arial"/>
          <w:sz w:val="24"/>
          <w:szCs w:val="24"/>
        </w:rPr>
        <w:t>ability and gender</w:t>
      </w:r>
      <w:r>
        <w:rPr>
          <w:rFonts w:ascii="Arial" w:hAnsi="Arial" w:cs="Arial"/>
          <w:sz w:val="24"/>
          <w:szCs w:val="24"/>
        </w:rPr>
        <w:t xml:space="preserve">’, </w:t>
      </w:r>
      <w:r w:rsidRPr="0026029F">
        <w:rPr>
          <w:rFonts w:ascii="Arial" w:hAnsi="Arial" w:cs="Arial"/>
          <w:i/>
          <w:iCs/>
          <w:sz w:val="24"/>
          <w:szCs w:val="24"/>
        </w:rPr>
        <w:t>American Sociological Review</w:t>
      </w:r>
      <w:r>
        <w:rPr>
          <w:rFonts w:ascii="Arial" w:hAnsi="Arial" w:cs="Arial"/>
          <w:sz w:val="24"/>
          <w:szCs w:val="24"/>
        </w:rPr>
        <w:t xml:space="preserve">, </w:t>
      </w:r>
      <w:r w:rsidRPr="0026029F">
        <w:rPr>
          <w:rFonts w:ascii="Arial" w:hAnsi="Arial" w:cs="Arial"/>
          <w:sz w:val="24"/>
          <w:szCs w:val="24"/>
        </w:rPr>
        <w:t>68</w:t>
      </w:r>
      <w:r>
        <w:rPr>
          <w:rFonts w:ascii="Arial" w:hAnsi="Arial" w:cs="Arial"/>
          <w:sz w:val="24"/>
          <w:szCs w:val="24"/>
        </w:rPr>
        <w:t xml:space="preserve"> (</w:t>
      </w:r>
      <w:r w:rsidRPr="0026029F">
        <w:rPr>
          <w:rFonts w:ascii="Arial" w:hAnsi="Arial" w:cs="Arial"/>
          <w:sz w:val="24"/>
          <w:szCs w:val="24"/>
        </w:rPr>
        <w:t>2</w:t>
      </w:r>
      <w:r>
        <w:rPr>
          <w:rFonts w:ascii="Arial" w:hAnsi="Arial" w:cs="Arial"/>
          <w:sz w:val="24"/>
          <w:szCs w:val="24"/>
        </w:rPr>
        <w:t>),</w:t>
      </w:r>
      <w:r w:rsidRPr="0026029F">
        <w:rPr>
          <w:rFonts w:ascii="Arial" w:hAnsi="Arial" w:cs="Arial"/>
          <w:sz w:val="24"/>
          <w:szCs w:val="24"/>
        </w:rPr>
        <w:t xml:space="preserve"> </w:t>
      </w:r>
      <w:r>
        <w:rPr>
          <w:rFonts w:ascii="Arial" w:hAnsi="Arial" w:cs="Arial"/>
          <w:sz w:val="24"/>
          <w:szCs w:val="24"/>
        </w:rPr>
        <w:t>pp.</w:t>
      </w:r>
      <w:r w:rsidRPr="0026029F">
        <w:rPr>
          <w:rFonts w:ascii="Arial" w:hAnsi="Arial" w:cs="Arial"/>
          <w:sz w:val="24"/>
          <w:szCs w:val="24"/>
        </w:rPr>
        <w:t>251–78</w:t>
      </w:r>
    </w:p>
    <w:p w14:paraId="09F0B134" w14:textId="407CDE9B" w:rsidR="007045A8" w:rsidRDefault="007045A8" w:rsidP="00F763F2">
      <w:pPr>
        <w:spacing w:line="360" w:lineRule="auto"/>
        <w:jc w:val="both"/>
        <w:rPr>
          <w:rFonts w:ascii="Arial" w:hAnsi="Arial" w:cs="Arial"/>
          <w:sz w:val="24"/>
          <w:szCs w:val="24"/>
        </w:rPr>
      </w:pPr>
      <w:r w:rsidRPr="00A70B22">
        <w:rPr>
          <w:rFonts w:ascii="Arial" w:hAnsi="Arial" w:cs="Arial"/>
          <w:sz w:val="24"/>
          <w:szCs w:val="24"/>
        </w:rPr>
        <w:t xml:space="preserve">Haley, H., and Sidanius, J., (2006), ‘The positive and negative framing of affirmative action: A group dominance perspective’, </w:t>
      </w:r>
      <w:r w:rsidRPr="00A70B22">
        <w:rPr>
          <w:rFonts w:ascii="Arial" w:hAnsi="Arial" w:cs="Arial"/>
          <w:i/>
          <w:iCs/>
          <w:sz w:val="24"/>
          <w:szCs w:val="24"/>
        </w:rPr>
        <w:t>Personality and Social Psychology Bulletin</w:t>
      </w:r>
      <w:r w:rsidRPr="00A70B22">
        <w:rPr>
          <w:rFonts w:ascii="Arial" w:hAnsi="Arial" w:cs="Arial"/>
          <w:sz w:val="24"/>
          <w:szCs w:val="24"/>
        </w:rPr>
        <w:t>, 32, pp.656 – 668</w:t>
      </w:r>
    </w:p>
    <w:p w14:paraId="1174C46A" w14:textId="5BF16DBB" w:rsidR="001857EB" w:rsidRDefault="001857EB" w:rsidP="00F763F2">
      <w:pPr>
        <w:spacing w:line="360" w:lineRule="auto"/>
        <w:jc w:val="both"/>
        <w:rPr>
          <w:rFonts w:ascii="Arial" w:hAnsi="Arial" w:cs="Arial"/>
          <w:sz w:val="24"/>
          <w:szCs w:val="24"/>
        </w:rPr>
      </w:pPr>
      <w:r w:rsidRPr="00395BAD">
        <w:rPr>
          <w:rFonts w:ascii="Arial" w:hAnsi="Arial" w:cs="Arial"/>
          <w:sz w:val="24"/>
          <w:szCs w:val="24"/>
        </w:rPr>
        <w:t xml:space="preserve">Haney, C., and Hurtado, A., (1994), ‘The jurisprudence of race and meritocracy: Standardized testing and “race neutral” racism in the workplace’, </w:t>
      </w:r>
      <w:r w:rsidRPr="00395BAD">
        <w:rPr>
          <w:rFonts w:ascii="Arial" w:hAnsi="Arial" w:cs="Arial"/>
          <w:i/>
          <w:iCs/>
          <w:sz w:val="24"/>
          <w:szCs w:val="24"/>
        </w:rPr>
        <w:t>Law and Human Behaviour</w:t>
      </w:r>
      <w:r w:rsidRPr="00395BAD">
        <w:rPr>
          <w:rFonts w:ascii="Arial" w:hAnsi="Arial" w:cs="Arial"/>
          <w:sz w:val="24"/>
          <w:szCs w:val="24"/>
        </w:rPr>
        <w:t>, 18, pp.223–248</w:t>
      </w:r>
    </w:p>
    <w:p w14:paraId="1C357F11" w14:textId="4B2F81EA" w:rsidR="009C5AF1" w:rsidRDefault="009C5AF1" w:rsidP="00F763F2">
      <w:pPr>
        <w:spacing w:line="360" w:lineRule="auto"/>
        <w:jc w:val="both"/>
        <w:rPr>
          <w:rFonts w:ascii="Arial" w:hAnsi="Arial" w:cs="Arial"/>
          <w:sz w:val="24"/>
          <w:szCs w:val="24"/>
        </w:rPr>
      </w:pPr>
      <w:r>
        <w:rPr>
          <w:rFonts w:ascii="Arial" w:hAnsi="Arial" w:cs="Arial"/>
          <w:sz w:val="24"/>
          <w:szCs w:val="24"/>
        </w:rPr>
        <w:t xml:space="preserve">Hanson, Sandra L., (1994), ‘Lost Talent: Unrealized Educational Aspirations and Expectations among U.S. Youths’, </w:t>
      </w:r>
      <w:r>
        <w:rPr>
          <w:rFonts w:ascii="Arial" w:hAnsi="Arial" w:cs="Arial"/>
          <w:i/>
          <w:iCs/>
          <w:sz w:val="24"/>
          <w:szCs w:val="24"/>
        </w:rPr>
        <w:t xml:space="preserve">Sociology of Education, </w:t>
      </w:r>
      <w:r>
        <w:rPr>
          <w:rFonts w:ascii="Arial" w:hAnsi="Arial" w:cs="Arial"/>
          <w:sz w:val="24"/>
          <w:szCs w:val="24"/>
        </w:rPr>
        <w:t>67 (3), pp.159-183</w:t>
      </w:r>
    </w:p>
    <w:p w14:paraId="7897C2A3" w14:textId="07584CF2" w:rsidR="004B5314" w:rsidRDefault="004B5314" w:rsidP="00F763F2">
      <w:pPr>
        <w:spacing w:line="360" w:lineRule="auto"/>
        <w:jc w:val="both"/>
        <w:rPr>
          <w:rFonts w:ascii="Arial" w:hAnsi="Arial" w:cs="Arial"/>
          <w:sz w:val="24"/>
          <w:szCs w:val="24"/>
        </w:rPr>
      </w:pPr>
      <w:r w:rsidRPr="007C61C8">
        <w:rPr>
          <w:rFonts w:ascii="Arial" w:hAnsi="Arial" w:cs="Arial"/>
          <w:sz w:val="24"/>
          <w:szCs w:val="24"/>
        </w:rPr>
        <w:t xml:space="preserve">Hewstone, M.; Stroebe, W., and Jonas, K., (2012), </w:t>
      </w:r>
      <w:r w:rsidRPr="007C61C8">
        <w:rPr>
          <w:rFonts w:ascii="Arial" w:hAnsi="Arial" w:cs="Arial"/>
          <w:i/>
          <w:iCs/>
          <w:sz w:val="24"/>
          <w:szCs w:val="24"/>
        </w:rPr>
        <w:t>An introduction to social psychology (fifth ed.),</w:t>
      </w:r>
      <w:r w:rsidRPr="007C61C8">
        <w:rPr>
          <w:rFonts w:ascii="Arial" w:hAnsi="Arial" w:cs="Arial"/>
          <w:sz w:val="24"/>
          <w:szCs w:val="24"/>
        </w:rPr>
        <w:t xml:space="preserve"> Chichester: Blackwell</w:t>
      </w:r>
    </w:p>
    <w:p w14:paraId="618C9F14" w14:textId="5489A155" w:rsidR="006A441F" w:rsidRDefault="006A441F" w:rsidP="00F763F2">
      <w:pPr>
        <w:spacing w:line="360" w:lineRule="auto"/>
        <w:jc w:val="both"/>
        <w:rPr>
          <w:rFonts w:ascii="Arial" w:hAnsi="Arial" w:cs="Arial"/>
          <w:sz w:val="24"/>
          <w:szCs w:val="24"/>
        </w:rPr>
      </w:pPr>
      <w:r>
        <w:rPr>
          <w:rFonts w:ascii="Arial" w:hAnsi="Arial" w:cs="Arial"/>
          <w:sz w:val="24"/>
          <w:szCs w:val="24"/>
        </w:rPr>
        <w:t xml:space="preserve">Hicks, Alexander M.; Svhwartz, Mildred; Alford, Robert and Janoski, Thomas, (2005), </w:t>
      </w:r>
      <w:r w:rsidRPr="00036215">
        <w:rPr>
          <w:rFonts w:ascii="Arial" w:hAnsi="Arial" w:cs="Arial"/>
          <w:i/>
          <w:iCs/>
          <w:sz w:val="24"/>
          <w:szCs w:val="24"/>
        </w:rPr>
        <w:t>The Handbook of Political Sociology: States, Civil Societies and Globalization</w:t>
      </w:r>
      <w:r>
        <w:rPr>
          <w:rFonts w:ascii="Arial" w:hAnsi="Arial" w:cs="Arial"/>
          <w:sz w:val="24"/>
          <w:szCs w:val="24"/>
        </w:rPr>
        <w:t>, Cambridge: Cambridge University Press</w:t>
      </w:r>
    </w:p>
    <w:p w14:paraId="4BDDC5C0" w14:textId="673F19D9" w:rsidR="004B5314" w:rsidRDefault="004B5314" w:rsidP="00F763F2">
      <w:pPr>
        <w:spacing w:line="360" w:lineRule="auto"/>
        <w:jc w:val="both"/>
        <w:rPr>
          <w:rFonts w:ascii="Arial" w:hAnsi="Arial" w:cs="Arial"/>
          <w:sz w:val="24"/>
          <w:szCs w:val="24"/>
        </w:rPr>
      </w:pPr>
      <w:r w:rsidRPr="007C61C8">
        <w:rPr>
          <w:rFonts w:ascii="Arial" w:hAnsi="Arial" w:cs="Arial"/>
          <w:sz w:val="24"/>
          <w:szCs w:val="24"/>
        </w:rPr>
        <w:t xml:space="preserve">Hogg, M. A. and Vaughan, G. M., (2008), </w:t>
      </w:r>
      <w:r w:rsidRPr="007C61C8">
        <w:rPr>
          <w:rFonts w:ascii="Arial" w:hAnsi="Arial" w:cs="Arial"/>
          <w:i/>
          <w:iCs/>
          <w:sz w:val="24"/>
          <w:szCs w:val="24"/>
        </w:rPr>
        <w:t>Social psychology (fifth ed.),</w:t>
      </w:r>
      <w:r w:rsidRPr="007C61C8">
        <w:rPr>
          <w:rFonts w:ascii="Arial" w:hAnsi="Arial" w:cs="Arial"/>
          <w:sz w:val="24"/>
          <w:szCs w:val="24"/>
        </w:rPr>
        <w:t xml:space="preserve"> Harlow: Pearson Education</w:t>
      </w:r>
    </w:p>
    <w:p w14:paraId="7ACF97DC" w14:textId="41B1BC38" w:rsidR="00AC085C" w:rsidRDefault="00AC085C" w:rsidP="00F763F2">
      <w:pPr>
        <w:spacing w:line="360" w:lineRule="auto"/>
        <w:jc w:val="both"/>
        <w:rPr>
          <w:rFonts w:ascii="Arial" w:hAnsi="Arial" w:cs="Arial"/>
          <w:sz w:val="24"/>
          <w:szCs w:val="24"/>
        </w:rPr>
      </w:pPr>
      <w:r w:rsidRPr="007B0F05">
        <w:rPr>
          <w:rFonts w:ascii="Arial" w:hAnsi="Arial" w:cs="Arial"/>
          <w:sz w:val="24"/>
          <w:szCs w:val="24"/>
        </w:rPr>
        <w:lastRenderedPageBreak/>
        <w:t xml:space="preserve">Irwin, S., (2009), ‘Family Contexts, Norms and Young People’s Orientations: Researching Diversity’, </w:t>
      </w:r>
      <w:r w:rsidRPr="007B0F05">
        <w:rPr>
          <w:rFonts w:ascii="Arial" w:hAnsi="Arial" w:cs="Arial"/>
          <w:i/>
          <w:iCs/>
          <w:sz w:val="24"/>
          <w:szCs w:val="24"/>
        </w:rPr>
        <w:t>Journal of Youth Studies,</w:t>
      </w:r>
      <w:r w:rsidRPr="007B0F05">
        <w:rPr>
          <w:rFonts w:ascii="Arial" w:hAnsi="Arial" w:cs="Arial"/>
          <w:sz w:val="24"/>
          <w:szCs w:val="24"/>
        </w:rPr>
        <w:t xml:space="preserve"> 12 (4), pp.337-354</w:t>
      </w:r>
    </w:p>
    <w:p w14:paraId="5A8E9712" w14:textId="4723E3F8" w:rsidR="00B36282" w:rsidRDefault="00B36282" w:rsidP="00F763F2">
      <w:pPr>
        <w:spacing w:line="360" w:lineRule="auto"/>
        <w:jc w:val="both"/>
        <w:rPr>
          <w:rFonts w:ascii="Arial" w:hAnsi="Arial" w:cs="Arial"/>
          <w:sz w:val="24"/>
          <w:szCs w:val="24"/>
        </w:rPr>
      </w:pPr>
      <w:r w:rsidRPr="00DA31DD">
        <w:rPr>
          <w:rFonts w:ascii="Arial" w:hAnsi="Arial" w:cs="Arial"/>
          <w:sz w:val="24"/>
          <w:szCs w:val="24"/>
        </w:rPr>
        <w:t xml:space="preserve">Jackson, M.; Erikson, R.; Goldthorpe, J. H., and Yaish, M., (2007), ‘Primary and secondary effects in class differentials in educational attainment the transition to A-level courses in England and Wales’, </w:t>
      </w:r>
      <w:r w:rsidRPr="00DA31DD">
        <w:rPr>
          <w:rFonts w:ascii="Arial" w:hAnsi="Arial" w:cs="Arial"/>
          <w:i/>
          <w:iCs/>
          <w:sz w:val="24"/>
          <w:szCs w:val="24"/>
        </w:rPr>
        <w:t>Acta Sociologica</w:t>
      </w:r>
      <w:r w:rsidRPr="00DA31DD">
        <w:rPr>
          <w:rFonts w:ascii="Arial" w:hAnsi="Arial" w:cs="Arial"/>
          <w:sz w:val="24"/>
          <w:szCs w:val="24"/>
        </w:rPr>
        <w:t>, 50 (3), pp.211–229</w:t>
      </w:r>
    </w:p>
    <w:p w14:paraId="2D72CFFE" w14:textId="77777777" w:rsidR="00410BC8" w:rsidRDefault="00410BC8" w:rsidP="00410BC8">
      <w:pPr>
        <w:spacing w:line="360" w:lineRule="auto"/>
        <w:jc w:val="both"/>
        <w:rPr>
          <w:rFonts w:ascii="Arial" w:hAnsi="Arial" w:cs="Arial"/>
          <w:sz w:val="24"/>
          <w:szCs w:val="24"/>
        </w:rPr>
      </w:pPr>
      <w:r w:rsidRPr="00305310">
        <w:rPr>
          <w:rFonts w:ascii="Arial" w:hAnsi="Arial" w:cs="Arial"/>
          <w:sz w:val="24"/>
          <w:szCs w:val="24"/>
        </w:rPr>
        <w:t>Jæger, M.</w:t>
      </w:r>
      <w:r>
        <w:rPr>
          <w:rFonts w:ascii="Arial" w:hAnsi="Arial" w:cs="Arial"/>
          <w:sz w:val="24"/>
          <w:szCs w:val="24"/>
        </w:rPr>
        <w:t xml:space="preserve"> </w:t>
      </w:r>
      <w:r w:rsidRPr="00305310">
        <w:rPr>
          <w:rFonts w:ascii="Arial" w:hAnsi="Arial" w:cs="Arial"/>
          <w:sz w:val="24"/>
          <w:szCs w:val="24"/>
        </w:rPr>
        <w:t>M.</w:t>
      </w:r>
      <w:r>
        <w:rPr>
          <w:rFonts w:ascii="Arial" w:hAnsi="Arial" w:cs="Arial"/>
          <w:sz w:val="24"/>
          <w:szCs w:val="24"/>
        </w:rPr>
        <w:t>,</w:t>
      </w:r>
      <w:r w:rsidRPr="00305310">
        <w:rPr>
          <w:rFonts w:ascii="Arial" w:hAnsi="Arial" w:cs="Arial"/>
          <w:sz w:val="24"/>
          <w:szCs w:val="24"/>
        </w:rPr>
        <w:t xml:space="preserve"> </w:t>
      </w:r>
      <w:r>
        <w:rPr>
          <w:rFonts w:ascii="Arial" w:hAnsi="Arial" w:cs="Arial"/>
          <w:sz w:val="24"/>
          <w:szCs w:val="24"/>
        </w:rPr>
        <w:t>(</w:t>
      </w:r>
      <w:r w:rsidRPr="00305310">
        <w:rPr>
          <w:rFonts w:ascii="Arial" w:hAnsi="Arial" w:cs="Arial"/>
          <w:sz w:val="24"/>
          <w:szCs w:val="24"/>
        </w:rPr>
        <w:t>2007</w:t>
      </w:r>
      <w:r>
        <w:rPr>
          <w:rFonts w:ascii="Arial" w:hAnsi="Arial" w:cs="Arial"/>
          <w:sz w:val="24"/>
          <w:szCs w:val="24"/>
        </w:rPr>
        <w:t>),</w:t>
      </w:r>
      <w:r w:rsidRPr="00305310">
        <w:rPr>
          <w:rFonts w:ascii="Arial" w:hAnsi="Arial" w:cs="Arial"/>
          <w:sz w:val="24"/>
          <w:szCs w:val="24"/>
        </w:rPr>
        <w:t xml:space="preserve"> </w:t>
      </w:r>
      <w:r>
        <w:rPr>
          <w:rFonts w:ascii="Arial" w:hAnsi="Arial" w:cs="Arial"/>
          <w:sz w:val="24"/>
          <w:szCs w:val="24"/>
        </w:rPr>
        <w:t>‘</w:t>
      </w:r>
      <w:r w:rsidRPr="00305310">
        <w:rPr>
          <w:rFonts w:ascii="Arial" w:hAnsi="Arial" w:cs="Arial"/>
          <w:sz w:val="24"/>
          <w:szCs w:val="24"/>
        </w:rPr>
        <w:t>Educational  mobility  across  three  generations:  The  changing  impact  of</w:t>
      </w:r>
      <w:r>
        <w:rPr>
          <w:rFonts w:ascii="Arial" w:hAnsi="Arial" w:cs="Arial"/>
          <w:sz w:val="24"/>
          <w:szCs w:val="24"/>
        </w:rPr>
        <w:t xml:space="preserve"> </w:t>
      </w:r>
      <w:r w:rsidRPr="00305310">
        <w:rPr>
          <w:rFonts w:ascii="Arial" w:hAnsi="Arial" w:cs="Arial"/>
          <w:sz w:val="24"/>
          <w:szCs w:val="24"/>
        </w:rPr>
        <w:t>parental social class, economic, cultural and social capita</w:t>
      </w:r>
      <w:r>
        <w:rPr>
          <w:rFonts w:ascii="Arial" w:hAnsi="Arial" w:cs="Arial"/>
          <w:sz w:val="24"/>
          <w:szCs w:val="24"/>
        </w:rPr>
        <w:t xml:space="preserve">’, </w:t>
      </w:r>
      <w:r w:rsidRPr="00305310">
        <w:rPr>
          <w:rFonts w:ascii="Arial" w:hAnsi="Arial" w:cs="Arial"/>
          <w:i/>
          <w:iCs/>
          <w:sz w:val="24"/>
          <w:szCs w:val="24"/>
        </w:rPr>
        <w:t>European Societies</w:t>
      </w:r>
      <w:r>
        <w:rPr>
          <w:rFonts w:ascii="Arial" w:hAnsi="Arial" w:cs="Arial"/>
          <w:sz w:val="24"/>
          <w:szCs w:val="24"/>
        </w:rPr>
        <w:t xml:space="preserve">, </w:t>
      </w:r>
      <w:r w:rsidRPr="00305310">
        <w:rPr>
          <w:rFonts w:ascii="Arial" w:hAnsi="Arial" w:cs="Arial"/>
          <w:sz w:val="24"/>
          <w:szCs w:val="24"/>
        </w:rPr>
        <w:t>9</w:t>
      </w:r>
      <w:r>
        <w:rPr>
          <w:rFonts w:ascii="Arial" w:hAnsi="Arial" w:cs="Arial"/>
          <w:sz w:val="24"/>
          <w:szCs w:val="24"/>
        </w:rPr>
        <w:t xml:space="preserve"> (</w:t>
      </w:r>
      <w:r w:rsidRPr="00305310">
        <w:rPr>
          <w:rFonts w:ascii="Arial" w:hAnsi="Arial" w:cs="Arial"/>
          <w:sz w:val="24"/>
          <w:szCs w:val="24"/>
        </w:rPr>
        <w:t>4</w:t>
      </w:r>
      <w:r>
        <w:rPr>
          <w:rFonts w:ascii="Arial" w:hAnsi="Arial" w:cs="Arial"/>
          <w:sz w:val="24"/>
          <w:szCs w:val="24"/>
        </w:rPr>
        <w:t>), pp.</w:t>
      </w:r>
      <w:r w:rsidRPr="00305310">
        <w:rPr>
          <w:rFonts w:ascii="Arial" w:hAnsi="Arial" w:cs="Arial"/>
          <w:sz w:val="24"/>
          <w:szCs w:val="24"/>
        </w:rPr>
        <w:t>527–50</w:t>
      </w:r>
    </w:p>
    <w:p w14:paraId="762E1DA0" w14:textId="5ECE3ED0" w:rsidR="00480774" w:rsidRDefault="00480774" w:rsidP="00F763F2">
      <w:pPr>
        <w:spacing w:line="360" w:lineRule="auto"/>
        <w:jc w:val="both"/>
        <w:rPr>
          <w:rFonts w:ascii="Arial" w:hAnsi="Arial" w:cs="Arial"/>
          <w:sz w:val="24"/>
          <w:szCs w:val="24"/>
        </w:rPr>
      </w:pPr>
      <w:r>
        <w:rPr>
          <w:rFonts w:ascii="Arial" w:hAnsi="Arial" w:cs="Arial"/>
          <w:sz w:val="24"/>
          <w:szCs w:val="24"/>
        </w:rPr>
        <w:t xml:space="preserve">Jin, Jin, and Ball, Stephen J., (2020), ‘Meritocracy, social mobility and a new form of class domination’, </w:t>
      </w:r>
      <w:r>
        <w:rPr>
          <w:rFonts w:ascii="Arial" w:hAnsi="Arial" w:cs="Arial"/>
          <w:i/>
          <w:iCs/>
          <w:sz w:val="24"/>
          <w:szCs w:val="24"/>
        </w:rPr>
        <w:t xml:space="preserve">British journal of sociology of education, </w:t>
      </w:r>
      <w:r>
        <w:rPr>
          <w:rFonts w:ascii="Arial" w:hAnsi="Arial" w:cs="Arial"/>
          <w:sz w:val="24"/>
          <w:szCs w:val="24"/>
        </w:rPr>
        <w:t>41 (1), pp.64-79</w:t>
      </w:r>
    </w:p>
    <w:p w14:paraId="294C8A81" w14:textId="1F65150F" w:rsidR="000249BC" w:rsidRDefault="000249BC" w:rsidP="00F763F2">
      <w:pPr>
        <w:spacing w:line="360" w:lineRule="auto"/>
        <w:jc w:val="both"/>
        <w:rPr>
          <w:rFonts w:ascii="Arial" w:hAnsi="Arial" w:cs="Arial"/>
          <w:sz w:val="24"/>
          <w:szCs w:val="24"/>
        </w:rPr>
      </w:pPr>
      <w:r w:rsidRPr="00D133CA">
        <w:rPr>
          <w:rFonts w:ascii="Arial" w:hAnsi="Arial" w:cs="Arial"/>
          <w:sz w:val="24"/>
          <w:szCs w:val="24"/>
        </w:rPr>
        <w:t xml:space="preserve">Jordan, N. C., and Levine, S. C., (2009), ‘Socioeconomic variation, number competence, and mathematics learning difficulties in young children’, </w:t>
      </w:r>
      <w:r w:rsidRPr="00D133CA">
        <w:rPr>
          <w:rFonts w:ascii="Arial" w:hAnsi="Arial" w:cs="Arial"/>
          <w:i/>
          <w:iCs/>
          <w:sz w:val="24"/>
          <w:szCs w:val="24"/>
        </w:rPr>
        <w:t>Developmental Disabilities Research Reviews</w:t>
      </w:r>
      <w:r w:rsidRPr="00D133CA">
        <w:rPr>
          <w:rFonts w:ascii="Arial" w:hAnsi="Arial" w:cs="Arial"/>
          <w:sz w:val="24"/>
          <w:szCs w:val="24"/>
        </w:rPr>
        <w:t>, 15, pp.60–68</w:t>
      </w:r>
    </w:p>
    <w:p w14:paraId="4BE03A7C" w14:textId="01A84ED8" w:rsidR="00A66CE8" w:rsidRPr="00A66CE8" w:rsidRDefault="00A66CE8" w:rsidP="00F763F2">
      <w:pPr>
        <w:spacing w:line="360" w:lineRule="auto"/>
        <w:jc w:val="both"/>
        <w:rPr>
          <w:rFonts w:ascii="Arial" w:hAnsi="Arial" w:cs="Arial"/>
          <w:sz w:val="32"/>
          <w:szCs w:val="32"/>
        </w:rPr>
      </w:pPr>
      <w:r w:rsidRPr="00086FC8">
        <w:rPr>
          <w:rFonts w:ascii="Arial" w:hAnsi="Arial" w:cs="Arial"/>
          <w:sz w:val="24"/>
          <w:szCs w:val="24"/>
        </w:rPr>
        <w:t xml:space="preserve">Jost, J. T. and Hunyady, O., (2002), ‘The psychology of system justification and the palliative function of ideology’, </w:t>
      </w:r>
      <w:r w:rsidRPr="00086FC8">
        <w:rPr>
          <w:rFonts w:ascii="Arial" w:hAnsi="Arial" w:cs="Arial"/>
          <w:i/>
          <w:iCs/>
          <w:sz w:val="24"/>
          <w:szCs w:val="24"/>
        </w:rPr>
        <w:t>European Review of Social Psychology</w:t>
      </w:r>
      <w:r w:rsidRPr="00086FC8">
        <w:rPr>
          <w:rFonts w:ascii="Arial" w:hAnsi="Arial" w:cs="Arial"/>
          <w:sz w:val="24"/>
          <w:szCs w:val="24"/>
        </w:rPr>
        <w:t>, 13, pp.111–153</w:t>
      </w:r>
    </w:p>
    <w:p w14:paraId="23B18B84" w14:textId="66F58380" w:rsidR="00FC2051" w:rsidRDefault="00FC2051" w:rsidP="00F763F2">
      <w:pPr>
        <w:spacing w:line="360" w:lineRule="auto"/>
        <w:jc w:val="both"/>
        <w:rPr>
          <w:rFonts w:ascii="Arial" w:hAnsi="Arial" w:cs="Arial"/>
          <w:sz w:val="24"/>
          <w:szCs w:val="24"/>
        </w:rPr>
      </w:pPr>
      <w:r w:rsidRPr="006E3BC3">
        <w:rPr>
          <w:rFonts w:ascii="Arial" w:hAnsi="Arial" w:cs="Arial"/>
          <w:sz w:val="24"/>
          <w:szCs w:val="24"/>
        </w:rPr>
        <w:t xml:space="preserve">Jost, J. T., Pelham, B. W., Sheldon, O., and Sullivan, B., (2003), ‘Social inequality and the reduction of ideological dissonance on behalf of the system: Evidence of enhanced system justification among the disadvantaged’, </w:t>
      </w:r>
      <w:r w:rsidRPr="006E3BC3">
        <w:rPr>
          <w:rFonts w:ascii="Arial" w:hAnsi="Arial" w:cs="Arial"/>
          <w:i/>
          <w:iCs/>
          <w:sz w:val="24"/>
          <w:szCs w:val="24"/>
        </w:rPr>
        <w:t>European Journal of Social Psychology</w:t>
      </w:r>
      <w:r w:rsidRPr="006E3BC3">
        <w:rPr>
          <w:rFonts w:ascii="Arial" w:hAnsi="Arial" w:cs="Arial"/>
          <w:sz w:val="24"/>
          <w:szCs w:val="24"/>
        </w:rPr>
        <w:t xml:space="preserve">, 33, pp. 13–36 </w:t>
      </w:r>
    </w:p>
    <w:p w14:paraId="73C2C4CD" w14:textId="5FB6B4AA" w:rsidR="00F0527A" w:rsidRDefault="00F0527A" w:rsidP="00F763F2">
      <w:pPr>
        <w:spacing w:line="360" w:lineRule="auto"/>
        <w:jc w:val="both"/>
        <w:rPr>
          <w:rFonts w:ascii="Arial" w:hAnsi="Arial" w:cs="Arial"/>
          <w:sz w:val="24"/>
          <w:szCs w:val="24"/>
        </w:rPr>
      </w:pPr>
      <w:r w:rsidRPr="00D33043">
        <w:rPr>
          <w:rFonts w:ascii="Arial" w:hAnsi="Arial" w:cs="Arial"/>
          <w:sz w:val="24"/>
          <w:szCs w:val="24"/>
        </w:rPr>
        <w:t xml:space="preserve">Kalmijn, M., and Kraaykamp, G., (2003), ‘Dropout and downward mobility in the educational career: An event-history analysis of ethnic schooling differences in the Netherlands’, </w:t>
      </w:r>
      <w:r w:rsidRPr="00D33043">
        <w:rPr>
          <w:rFonts w:ascii="Arial" w:hAnsi="Arial" w:cs="Arial"/>
          <w:i/>
          <w:iCs/>
          <w:sz w:val="24"/>
          <w:szCs w:val="24"/>
        </w:rPr>
        <w:t>Educational Research and Evaluation</w:t>
      </w:r>
      <w:r w:rsidRPr="00D33043">
        <w:rPr>
          <w:rFonts w:ascii="Arial" w:hAnsi="Arial" w:cs="Arial"/>
          <w:sz w:val="24"/>
          <w:szCs w:val="24"/>
        </w:rPr>
        <w:t>, 9 (3), pp.265–287</w:t>
      </w:r>
    </w:p>
    <w:p w14:paraId="50975326" w14:textId="1F758047" w:rsidR="009C5AF1" w:rsidRDefault="009C5AF1" w:rsidP="00F763F2">
      <w:pPr>
        <w:spacing w:line="360" w:lineRule="auto"/>
        <w:jc w:val="both"/>
        <w:rPr>
          <w:rFonts w:ascii="Arial" w:hAnsi="Arial" w:cs="Arial"/>
          <w:sz w:val="24"/>
          <w:szCs w:val="24"/>
        </w:rPr>
      </w:pPr>
      <w:r>
        <w:rPr>
          <w:rFonts w:ascii="Arial" w:hAnsi="Arial" w:cs="Arial"/>
          <w:sz w:val="24"/>
          <w:szCs w:val="24"/>
        </w:rPr>
        <w:t xml:space="preserve">Kao, G., and Thompson, J. S., (2003)., ‘Racial and Ethnic Stratification in Educational Achievement and Attainment’, </w:t>
      </w:r>
      <w:r>
        <w:rPr>
          <w:rFonts w:ascii="Arial" w:hAnsi="Arial" w:cs="Arial"/>
          <w:i/>
          <w:iCs/>
          <w:sz w:val="24"/>
          <w:szCs w:val="24"/>
        </w:rPr>
        <w:t xml:space="preserve">Annual Review of Sociology, </w:t>
      </w:r>
      <w:r>
        <w:rPr>
          <w:rFonts w:ascii="Arial" w:hAnsi="Arial" w:cs="Arial"/>
          <w:sz w:val="24"/>
          <w:szCs w:val="24"/>
        </w:rPr>
        <w:t>29, pp.417-442</w:t>
      </w:r>
    </w:p>
    <w:p w14:paraId="3370E4EE" w14:textId="0558E9E4" w:rsidR="00EC6725" w:rsidRPr="00EC6725" w:rsidRDefault="00EC6725" w:rsidP="00F763F2">
      <w:pPr>
        <w:spacing w:line="360" w:lineRule="auto"/>
        <w:jc w:val="both"/>
        <w:rPr>
          <w:rFonts w:ascii="Arial" w:hAnsi="Arial" w:cs="Arial"/>
          <w:sz w:val="28"/>
          <w:szCs w:val="28"/>
        </w:rPr>
      </w:pPr>
      <w:r w:rsidRPr="006F744A">
        <w:rPr>
          <w:rFonts w:ascii="Arial" w:hAnsi="Arial" w:cs="Arial"/>
          <w:sz w:val="24"/>
          <w:szCs w:val="24"/>
        </w:rPr>
        <w:t xml:space="preserve">Karabel, J., and Halsey, A. H., (1977), </w:t>
      </w:r>
      <w:r w:rsidRPr="006F744A">
        <w:rPr>
          <w:rFonts w:ascii="Arial" w:hAnsi="Arial" w:cs="Arial"/>
          <w:i/>
          <w:iCs/>
          <w:sz w:val="24"/>
          <w:szCs w:val="24"/>
        </w:rPr>
        <w:t>Power and ideology in education</w:t>
      </w:r>
      <w:r w:rsidRPr="006F744A">
        <w:rPr>
          <w:rFonts w:ascii="Arial" w:hAnsi="Arial" w:cs="Arial"/>
          <w:sz w:val="24"/>
          <w:szCs w:val="24"/>
        </w:rPr>
        <w:t>, New York: Oxford University Press</w:t>
      </w:r>
    </w:p>
    <w:p w14:paraId="1003E7D2" w14:textId="0022630A" w:rsidR="00013AE5" w:rsidRDefault="00013AE5" w:rsidP="00F763F2">
      <w:pPr>
        <w:spacing w:line="360" w:lineRule="auto"/>
        <w:jc w:val="both"/>
        <w:rPr>
          <w:rFonts w:ascii="Arial" w:hAnsi="Arial" w:cs="Arial"/>
          <w:sz w:val="24"/>
          <w:szCs w:val="24"/>
        </w:rPr>
      </w:pPr>
      <w:r w:rsidRPr="00542E62">
        <w:rPr>
          <w:rFonts w:ascii="Arial" w:hAnsi="Arial" w:cs="Arial"/>
          <w:sz w:val="24"/>
          <w:szCs w:val="24"/>
        </w:rPr>
        <w:t xml:space="preserve">Kluegel, J. R., and Smith, E. R., (1986), </w:t>
      </w:r>
      <w:r w:rsidRPr="00542E62">
        <w:rPr>
          <w:rFonts w:ascii="Arial" w:hAnsi="Arial" w:cs="Arial"/>
          <w:i/>
          <w:iCs/>
          <w:sz w:val="24"/>
          <w:szCs w:val="24"/>
        </w:rPr>
        <w:t>Beliefs about inequality: Americans’ views of what is and what ought to be</w:t>
      </w:r>
      <w:r w:rsidRPr="00542E62">
        <w:rPr>
          <w:rFonts w:ascii="Arial" w:hAnsi="Arial" w:cs="Arial"/>
          <w:sz w:val="24"/>
          <w:szCs w:val="24"/>
        </w:rPr>
        <w:t>, New York: Transaction Publishers</w:t>
      </w:r>
    </w:p>
    <w:p w14:paraId="423E39FE" w14:textId="2BC26992" w:rsidR="00BC5467" w:rsidRDefault="00BC5467" w:rsidP="00F763F2">
      <w:pPr>
        <w:spacing w:line="360" w:lineRule="auto"/>
        <w:jc w:val="both"/>
        <w:rPr>
          <w:rFonts w:ascii="Arial" w:hAnsi="Arial" w:cs="Arial"/>
          <w:sz w:val="24"/>
          <w:szCs w:val="24"/>
        </w:rPr>
      </w:pPr>
      <w:r w:rsidRPr="00553CBD">
        <w:rPr>
          <w:rFonts w:ascii="Arial" w:hAnsi="Arial" w:cs="Arial"/>
          <w:sz w:val="24"/>
          <w:szCs w:val="24"/>
        </w:rPr>
        <w:lastRenderedPageBreak/>
        <w:t xml:space="preserve">Konrad, Alison M.; Richard, Orlando C.; and Yang, Yang, (2021), ‘Both Diversity and Meritocracy: Managing the Diversity-Meritocracy Paradox with Organizational Ambidexteroty, </w:t>
      </w:r>
      <w:r w:rsidRPr="00553CBD">
        <w:rPr>
          <w:rFonts w:ascii="Arial" w:hAnsi="Arial" w:cs="Arial"/>
          <w:i/>
          <w:iCs/>
          <w:sz w:val="24"/>
          <w:szCs w:val="24"/>
        </w:rPr>
        <w:t xml:space="preserve">Journal of management studies, </w:t>
      </w:r>
      <w:r w:rsidRPr="00553CBD">
        <w:rPr>
          <w:rFonts w:ascii="Arial" w:hAnsi="Arial" w:cs="Arial"/>
          <w:sz w:val="24"/>
          <w:szCs w:val="24"/>
        </w:rPr>
        <w:t>58 (8), pp. 2180-2206</w:t>
      </w:r>
    </w:p>
    <w:p w14:paraId="5C58D649" w14:textId="02171896" w:rsidR="004B5314" w:rsidRDefault="004B5314" w:rsidP="00F763F2">
      <w:pPr>
        <w:spacing w:line="360" w:lineRule="auto"/>
        <w:jc w:val="both"/>
        <w:rPr>
          <w:rFonts w:ascii="Arial" w:hAnsi="Arial" w:cs="Arial"/>
          <w:sz w:val="24"/>
          <w:szCs w:val="24"/>
        </w:rPr>
      </w:pPr>
      <w:r>
        <w:rPr>
          <w:rFonts w:ascii="Arial" w:hAnsi="Arial" w:cs="Arial"/>
          <w:sz w:val="24"/>
          <w:szCs w:val="24"/>
        </w:rPr>
        <w:t xml:space="preserve">Kuppens, Toon; Spears, Russell; Manstead, Anthony S. R.; Spruty, Bram, and Easterbrook, Matthew J., (2018), ‘Educationism and the irony of meritocracy: Negative attitudes of higher educated people towards the less educated’, </w:t>
      </w:r>
      <w:r>
        <w:rPr>
          <w:rFonts w:ascii="Arial" w:hAnsi="Arial" w:cs="Arial"/>
          <w:i/>
          <w:iCs/>
          <w:sz w:val="24"/>
          <w:szCs w:val="24"/>
        </w:rPr>
        <w:t xml:space="preserve">Journal of experimental social psychology, </w:t>
      </w:r>
      <w:r>
        <w:rPr>
          <w:rFonts w:ascii="Arial" w:hAnsi="Arial" w:cs="Arial"/>
          <w:sz w:val="24"/>
          <w:szCs w:val="24"/>
        </w:rPr>
        <w:t>76, pp.429-447</w:t>
      </w:r>
    </w:p>
    <w:p w14:paraId="4B16E0B9" w14:textId="3DA6DF50" w:rsidR="0037652A" w:rsidRDefault="0037652A" w:rsidP="00F763F2">
      <w:pPr>
        <w:spacing w:line="360" w:lineRule="auto"/>
        <w:jc w:val="both"/>
        <w:rPr>
          <w:rFonts w:ascii="Arial" w:hAnsi="Arial" w:cs="Arial"/>
          <w:sz w:val="24"/>
          <w:szCs w:val="24"/>
        </w:rPr>
      </w:pPr>
      <w:r w:rsidRPr="00977325">
        <w:rPr>
          <w:rFonts w:ascii="Arial" w:hAnsi="Arial" w:cs="Arial"/>
          <w:sz w:val="24"/>
          <w:szCs w:val="24"/>
        </w:rPr>
        <w:t xml:space="preserve">Lamont, M.; Beljean, S., and Clair, M. (2014), ‘What is missing? Cultural processes and causal pathways to inequality’, </w:t>
      </w:r>
      <w:r w:rsidRPr="00977325">
        <w:rPr>
          <w:rFonts w:ascii="Arial" w:hAnsi="Arial" w:cs="Arial"/>
          <w:i/>
          <w:iCs/>
          <w:sz w:val="24"/>
          <w:szCs w:val="24"/>
        </w:rPr>
        <w:t>Socio-Economic Review,</w:t>
      </w:r>
      <w:r w:rsidRPr="00977325">
        <w:rPr>
          <w:rFonts w:ascii="Arial" w:hAnsi="Arial" w:cs="Arial"/>
          <w:sz w:val="24"/>
          <w:szCs w:val="24"/>
        </w:rPr>
        <w:t xml:space="preserve"> 12 (3), pp.573–608</w:t>
      </w:r>
    </w:p>
    <w:p w14:paraId="45D1E85D" w14:textId="4EE70324" w:rsidR="00F0527A" w:rsidRPr="00F0527A" w:rsidRDefault="00F0527A" w:rsidP="00F763F2">
      <w:pPr>
        <w:spacing w:line="360" w:lineRule="auto"/>
        <w:jc w:val="both"/>
        <w:rPr>
          <w:rFonts w:ascii="Arial" w:hAnsi="Arial" w:cs="Arial"/>
          <w:sz w:val="32"/>
          <w:szCs w:val="32"/>
        </w:rPr>
      </w:pPr>
      <w:r w:rsidRPr="00D33043">
        <w:rPr>
          <w:rFonts w:ascii="Arial" w:hAnsi="Arial" w:cs="Arial"/>
          <w:sz w:val="24"/>
          <w:szCs w:val="24"/>
        </w:rPr>
        <w:t>Lareau, A., (2000), Home advantage: Social class and parental intervention in elementary education, Oxford: Rowman &amp; Littlefield</w:t>
      </w:r>
    </w:p>
    <w:p w14:paraId="06EB0162" w14:textId="3099C096" w:rsidR="00EC6725" w:rsidRDefault="00EC6725" w:rsidP="00F763F2">
      <w:pPr>
        <w:spacing w:line="360" w:lineRule="auto"/>
        <w:jc w:val="both"/>
        <w:rPr>
          <w:rFonts w:ascii="Arial" w:hAnsi="Arial" w:cs="Arial"/>
          <w:sz w:val="24"/>
          <w:szCs w:val="24"/>
        </w:rPr>
      </w:pPr>
      <w:r>
        <w:rPr>
          <w:rFonts w:ascii="Arial" w:hAnsi="Arial" w:cs="Arial"/>
          <w:sz w:val="24"/>
          <w:szCs w:val="24"/>
        </w:rPr>
        <w:t xml:space="preserve">Lawler, S., (2017), ‘Social mobility talk: Class-making in neo-liberal times’, in S. Lawler and G. Payne (Eds.), </w:t>
      </w:r>
      <w:r>
        <w:rPr>
          <w:rFonts w:ascii="Arial" w:hAnsi="Arial" w:cs="Arial"/>
          <w:i/>
          <w:iCs/>
          <w:sz w:val="24"/>
          <w:szCs w:val="24"/>
        </w:rPr>
        <w:t>Social Mobility in the 21</w:t>
      </w:r>
      <w:r w:rsidRPr="00C4066D">
        <w:rPr>
          <w:rFonts w:ascii="Arial" w:hAnsi="Arial" w:cs="Arial"/>
          <w:i/>
          <w:iCs/>
          <w:sz w:val="24"/>
          <w:szCs w:val="24"/>
          <w:vertAlign w:val="superscript"/>
        </w:rPr>
        <w:t>st</w:t>
      </w:r>
      <w:r>
        <w:rPr>
          <w:rFonts w:ascii="Arial" w:hAnsi="Arial" w:cs="Arial"/>
          <w:i/>
          <w:iCs/>
          <w:sz w:val="24"/>
          <w:szCs w:val="24"/>
        </w:rPr>
        <w:t xml:space="preserve"> Century: Everyone a Winner?, </w:t>
      </w:r>
      <w:r>
        <w:rPr>
          <w:rFonts w:ascii="Arial" w:hAnsi="Arial" w:cs="Arial"/>
          <w:sz w:val="24"/>
          <w:szCs w:val="24"/>
        </w:rPr>
        <w:t>London: Routledge, pp.117-132</w:t>
      </w:r>
    </w:p>
    <w:p w14:paraId="55D83725" w14:textId="0C691E8F" w:rsidR="00013AE5" w:rsidRDefault="00013AE5" w:rsidP="00F763F2">
      <w:pPr>
        <w:spacing w:line="360" w:lineRule="auto"/>
        <w:jc w:val="both"/>
        <w:rPr>
          <w:rFonts w:ascii="Arial" w:hAnsi="Arial" w:cs="Arial"/>
          <w:sz w:val="24"/>
          <w:szCs w:val="24"/>
        </w:rPr>
      </w:pPr>
      <w:r w:rsidRPr="0099192B">
        <w:rPr>
          <w:rFonts w:ascii="Arial" w:hAnsi="Arial" w:cs="Arial"/>
          <w:sz w:val="24"/>
          <w:szCs w:val="24"/>
        </w:rPr>
        <w:t xml:space="preserve">Lerner, M. J., (1977), ‘The justice motive: Some hypotheses as to its origins and its forms’, </w:t>
      </w:r>
      <w:r w:rsidRPr="0099192B">
        <w:rPr>
          <w:rFonts w:ascii="Arial" w:hAnsi="Arial" w:cs="Arial"/>
          <w:i/>
          <w:iCs/>
          <w:sz w:val="24"/>
          <w:szCs w:val="24"/>
        </w:rPr>
        <w:t>Journal of Personality</w:t>
      </w:r>
      <w:r w:rsidRPr="0099192B">
        <w:rPr>
          <w:rFonts w:ascii="Arial" w:hAnsi="Arial" w:cs="Arial"/>
          <w:sz w:val="24"/>
          <w:szCs w:val="24"/>
        </w:rPr>
        <w:t>, 4</w:t>
      </w:r>
      <w:r>
        <w:rPr>
          <w:rFonts w:ascii="Arial" w:hAnsi="Arial" w:cs="Arial"/>
          <w:sz w:val="24"/>
          <w:szCs w:val="24"/>
        </w:rPr>
        <w:t xml:space="preserve"> (</w:t>
      </w:r>
      <w:r w:rsidRPr="0099192B">
        <w:rPr>
          <w:rFonts w:ascii="Arial" w:hAnsi="Arial" w:cs="Arial"/>
          <w:sz w:val="24"/>
          <w:szCs w:val="24"/>
        </w:rPr>
        <w:t>5</w:t>
      </w:r>
      <w:r>
        <w:rPr>
          <w:rFonts w:ascii="Arial" w:hAnsi="Arial" w:cs="Arial"/>
          <w:sz w:val="24"/>
          <w:szCs w:val="24"/>
        </w:rPr>
        <w:t>)</w:t>
      </w:r>
      <w:r w:rsidRPr="0099192B">
        <w:rPr>
          <w:rFonts w:ascii="Arial" w:hAnsi="Arial" w:cs="Arial"/>
          <w:sz w:val="24"/>
          <w:szCs w:val="24"/>
        </w:rPr>
        <w:t>, pp. 1–52</w:t>
      </w:r>
    </w:p>
    <w:p w14:paraId="37C608C6" w14:textId="7545A2E8" w:rsidR="00D477CA" w:rsidRDefault="00D477CA" w:rsidP="00F763F2">
      <w:pPr>
        <w:spacing w:line="360" w:lineRule="auto"/>
        <w:jc w:val="both"/>
        <w:rPr>
          <w:rFonts w:ascii="Arial" w:hAnsi="Arial" w:cs="Arial"/>
          <w:sz w:val="24"/>
          <w:szCs w:val="24"/>
        </w:rPr>
      </w:pPr>
      <w:r w:rsidRPr="00544173">
        <w:rPr>
          <w:rFonts w:ascii="Arial" w:hAnsi="Arial" w:cs="Arial"/>
          <w:sz w:val="24"/>
          <w:szCs w:val="24"/>
        </w:rPr>
        <w:t xml:space="preserve">LeTendre, G. K.; Hofer, B. K., and Shimizu, H., (2003), ‘What is tracking? Cultural expectations in the United States, Germany, and Japan’, </w:t>
      </w:r>
      <w:r w:rsidRPr="00544173">
        <w:rPr>
          <w:rFonts w:ascii="Arial" w:hAnsi="Arial" w:cs="Arial"/>
          <w:i/>
          <w:iCs/>
          <w:sz w:val="24"/>
          <w:szCs w:val="24"/>
        </w:rPr>
        <w:t>American Educational Research Journal</w:t>
      </w:r>
      <w:r w:rsidRPr="00544173">
        <w:rPr>
          <w:rFonts w:ascii="Arial" w:hAnsi="Arial" w:cs="Arial"/>
          <w:sz w:val="24"/>
          <w:szCs w:val="24"/>
        </w:rPr>
        <w:t>, 40 (1), pp.43–89</w:t>
      </w:r>
    </w:p>
    <w:p w14:paraId="0B8785C3" w14:textId="0713E830" w:rsidR="00811698" w:rsidRDefault="00811698" w:rsidP="00F763F2">
      <w:pPr>
        <w:spacing w:line="360" w:lineRule="auto"/>
        <w:jc w:val="both"/>
        <w:rPr>
          <w:rFonts w:ascii="Arial" w:hAnsi="Arial" w:cs="Arial"/>
          <w:sz w:val="24"/>
          <w:szCs w:val="24"/>
        </w:rPr>
      </w:pPr>
      <w:r w:rsidRPr="00551E9C">
        <w:rPr>
          <w:rFonts w:ascii="Arial" w:hAnsi="Arial" w:cs="Arial"/>
          <w:sz w:val="24"/>
          <w:szCs w:val="24"/>
        </w:rPr>
        <w:t xml:space="preserve">Lin, N., (1999), ‘Social networks and status attainment’, </w:t>
      </w:r>
      <w:r w:rsidRPr="00551E9C">
        <w:rPr>
          <w:rFonts w:ascii="Arial" w:hAnsi="Arial" w:cs="Arial"/>
          <w:i/>
          <w:iCs/>
          <w:sz w:val="24"/>
          <w:szCs w:val="24"/>
        </w:rPr>
        <w:t>Annual Review of Sociology</w:t>
      </w:r>
      <w:r w:rsidRPr="00551E9C">
        <w:rPr>
          <w:rFonts w:ascii="Arial" w:hAnsi="Arial" w:cs="Arial"/>
          <w:sz w:val="24"/>
          <w:szCs w:val="24"/>
        </w:rPr>
        <w:t>, 25, pp.467–87</w:t>
      </w:r>
    </w:p>
    <w:p w14:paraId="55C9447A" w14:textId="443282D9" w:rsidR="00AB1411" w:rsidRPr="00AB1411" w:rsidRDefault="00AB1411" w:rsidP="00F763F2">
      <w:pPr>
        <w:spacing w:line="360" w:lineRule="auto"/>
        <w:jc w:val="both"/>
        <w:rPr>
          <w:rFonts w:ascii="Arial" w:hAnsi="Arial" w:cs="Arial"/>
          <w:sz w:val="28"/>
          <w:szCs w:val="28"/>
        </w:rPr>
      </w:pPr>
      <w:r w:rsidRPr="006F744A">
        <w:rPr>
          <w:rFonts w:ascii="Arial" w:hAnsi="Arial" w:cs="Arial"/>
          <w:sz w:val="24"/>
          <w:szCs w:val="24"/>
        </w:rPr>
        <w:t xml:space="preserve">Lipset, S. M. and Bendix, R., (1992), </w:t>
      </w:r>
      <w:r w:rsidRPr="006F744A">
        <w:rPr>
          <w:rFonts w:ascii="Arial" w:hAnsi="Arial" w:cs="Arial"/>
          <w:i/>
          <w:iCs/>
          <w:sz w:val="24"/>
          <w:szCs w:val="24"/>
        </w:rPr>
        <w:t>Social mobility in industrial society</w:t>
      </w:r>
      <w:r w:rsidRPr="006F744A">
        <w:rPr>
          <w:rFonts w:ascii="Arial" w:hAnsi="Arial" w:cs="Arial"/>
          <w:sz w:val="24"/>
          <w:szCs w:val="24"/>
        </w:rPr>
        <w:t>, New Brunswick: Transaction Publishers</w:t>
      </w:r>
    </w:p>
    <w:p w14:paraId="195B0A47" w14:textId="3B4968E9" w:rsidR="00140353" w:rsidRDefault="00140353" w:rsidP="00F763F2">
      <w:pPr>
        <w:spacing w:line="360" w:lineRule="auto"/>
        <w:jc w:val="both"/>
        <w:rPr>
          <w:rFonts w:ascii="Arial" w:hAnsi="Arial" w:cs="Arial"/>
          <w:sz w:val="24"/>
          <w:szCs w:val="24"/>
        </w:rPr>
      </w:pPr>
      <w:r>
        <w:rPr>
          <w:rFonts w:ascii="Arial" w:hAnsi="Arial" w:cs="Arial"/>
          <w:sz w:val="24"/>
          <w:szCs w:val="24"/>
        </w:rPr>
        <w:t xml:space="preserve">Littler, Jo, (2017), </w:t>
      </w:r>
      <w:r>
        <w:rPr>
          <w:rFonts w:ascii="Arial" w:hAnsi="Arial" w:cs="Arial"/>
          <w:i/>
          <w:iCs/>
          <w:sz w:val="24"/>
          <w:szCs w:val="24"/>
        </w:rPr>
        <w:t xml:space="preserve">Against Meritocracy, </w:t>
      </w:r>
      <w:r>
        <w:rPr>
          <w:rFonts w:ascii="Arial" w:hAnsi="Arial" w:cs="Arial"/>
          <w:sz w:val="24"/>
          <w:szCs w:val="24"/>
        </w:rPr>
        <w:t>Oxon: Routledge</w:t>
      </w:r>
    </w:p>
    <w:p w14:paraId="0A4A930B" w14:textId="61AB079A" w:rsidR="00410BC8" w:rsidRPr="00410BC8" w:rsidRDefault="00410BC8" w:rsidP="00F763F2">
      <w:pPr>
        <w:spacing w:line="360" w:lineRule="auto"/>
        <w:jc w:val="both"/>
        <w:rPr>
          <w:rFonts w:ascii="Arial" w:hAnsi="Arial" w:cs="Arial"/>
          <w:sz w:val="28"/>
          <w:szCs w:val="28"/>
        </w:rPr>
      </w:pPr>
      <w:r w:rsidRPr="00D33043">
        <w:rPr>
          <w:rFonts w:ascii="Arial" w:hAnsi="Arial" w:cs="Arial"/>
          <w:sz w:val="24"/>
          <w:szCs w:val="24"/>
        </w:rPr>
        <w:t xml:space="preserve">Lucas, S. R., (2001), ‘Effectively maintained inequality: Education transitions, track mobility, and social background effects’, </w:t>
      </w:r>
      <w:r w:rsidRPr="00D33043">
        <w:rPr>
          <w:rFonts w:ascii="Arial" w:hAnsi="Arial" w:cs="Arial"/>
          <w:i/>
          <w:iCs/>
          <w:sz w:val="24"/>
          <w:szCs w:val="24"/>
        </w:rPr>
        <w:t>American Journal of Sociology</w:t>
      </w:r>
      <w:r w:rsidRPr="00D33043">
        <w:rPr>
          <w:rFonts w:ascii="Arial" w:hAnsi="Arial" w:cs="Arial"/>
          <w:sz w:val="24"/>
          <w:szCs w:val="24"/>
        </w:rPr>
        <w:t>, 106 (6), pp.1642–1690</w:t>
      </w:r>
    </w:p>
    <w:p w14:paraId="2E97FF78" w14:textId="0779FAD3" w:rsidR="00432474" w:rsidRPr="00432474" w:rsidRDefault="00432474" w:rsidP="00F763F2">
      <w:pPr>
        <w:spacing w:line="360" w:lineRule="auto"/>
        <w:jc w:val="both"/>
        <w:rPr>
          <w:rFonts w:ascii="Arial" w:hAnsi="Arial" w:cs="Arial"/>
          <w:sz w:val="24"/>
          <w:szCs w:val="24"/>
        </w:rPr>
      </w:pPr>
      <w:r>
        <w:rPr>
          <w:rFonts w:ascii="Arial" w:hAnsi="Arial" w:cs="Arial"/>
          <w:sz w:val="24"/>
          <w:szCs w:val="24"/>
        </w:rPr>
        <w:t xml:space="preserve">Mare, Robert D., (1980), ‘Social Background ad School Continuation Decisions’, </w:t>
      </w:r>
      <w:r>
        <w:rPr>
          <w:rFonts w:ascii="Arial" w:hAnsi="Arial" w:cs="Arial"/>
          <w:i/>
          <w:iCs/>
          <w:sz w:val="24"/>
          <w:szCs w:val="24"/>
        </w:rPr>
        <w:t xml:space="preserve">Journal of American Statistical Association, </w:t>
      </w:r>
      <w:r>
        <w:rPr>
          <w:rFonts w:ascii="Arial" w:hAnsi="Arial" w:cs="Arial"/>
          <w:sz w:val="24"/>
          <w:szCs w:val="24"/>
        </w:rPr>
        <w:t>370 (75), pp.295-305</w:t>
      </w:r>
    </w:p>
    <w:p w14:paraId="33325DD3" w14:textId="56FDDF72" w:rsidR="00730048" w:rsidRDefault="00730048" w:rsidP="00F763F2">
      <w:pPr>
        <w:spacing w:line="360" w:lineRule="auto"/>
        <w:jc w:val="both"/>
        <w:rPr>
          <w:rFonts w:ascii="Arial" w:hAnsi="Arial" w:cs="Arial"/>
          <w:sz w:val="24"/>
          <w:szCs w:val="24"/>
        </w:rPr>
      </w:pPr>
      <w:r>
        <w:rPr>
          <w:rFonts w:ascii="Arial" w:hAnsi="Arial" w:cs="Arial"/>
          <w:sz w:val="24"/>
          <w:szCs w:val="24"/>
        </w:rPr>
        <w:lastRenderedPageBreak/>
        <w:t xml:space="preserve">Marshall,G.; Newby, H.; Rose, D.; and Vogler, C., (1988), </w:t>
      </w:r>
      <w:r>
        <w:rPr>
          <w:rFonts w:ascii="Arial" w:hAnsi="Arial" w:cs="Arial"/>
          <w:i/>
          <w:iCs/>
          <w:sz w:val="24"/>
          <w:szCs w:val="24"/>
        </w:rPr>
        <w:t xml:space="preserve">Social Class in Modern Britain, </w:t>
      </w:r>
      <w:r>
        <w:rPr>
          <w:rFonts w:ascii="Arial" w:hAnsi="Arial" w:cs="Arial"/>
          <w:sz w:val="24"/>
          <w:szCs w:val="24"/>
        </w:rPr>
        <w:t>London: Hutchinson</w:t>
      </w:r>
    </w:p>
    <w:p w14:paraId="6BB98D2D" w14:textId="4B58D346" w:rsidR="00013AE5" w:rsidRDefault="00013AE5" w:rsidP="00F763F2">
      <w:pPr>
        <w:spacing w:line="360" w:lineRule="auto"/>
        <w:jc w:val="both"/>
        <w:rPr>
          <w:rFonts w:ascii="Arial" w:hAnsi="Arial" w:cs="Arial"/>
          <w:sz w:val="24"/>
          <w:szCs w:val="24"/>
        </w:rPr>
      </w:pPr>
      <w:r w:rsidRPr="00542E62">
        <w:rPr>
          <w:rFonts w:ascii="Arial" w:hAnsi="Arial" w:cs="Arial"/>
          <w:sz w:val="24"/>
          <w:szCs w:val="24"/>
        </w:rPr>
        <w:t xml:space="preserve">McCall, L., (2013), </w:t>
      </w:r>
      <w:r w:rsidRPr="00542E62">
        <w:rPr>
          <w:rFonts w:ascii="Arial" w:hAnsi="Arial" w:cs="Arial"/>
          <w:i/>
          <w:iCs/>
          <w:sz w:val="24"/>
          <w:szCs w:val="24"/>
        </w:rPr>
        <w:t>The undeserving rich. American beliefs about inequality, opportunity, and redistribution</w:t>
      </w:r>
      <w:r w:rsidRPr="00542E62">
        <w:rPr>
          <w:rFonts w:ascii="Arial" w:hAnsi="Arial" w:cs="Arial"/>
          <w:sz w:val="24"/>
          <w:szCs w:val="24"/>
        </w:rPr>
        <w:t>, New York: Cambridge University Press</w:t>
      </w:r>
    </w:p>
    <w:p w14:paraId="29AE005E" w14:textId="6B2338C7" w:rsidR="001857EB" w:rsidRDefault="001857EB" w:rsidP="00F763F2">
      <w:pPr>
        <w:spacing w:line="360" w:lineRule="auto"/>
        <w:jc w:val="both"/>
        <w:rPr>
          <w:rFonts w:ascii="Arial" w:hAnsi="Arial" w:cs="Arial"/>
          <w:sz w:val="24"/>
          <w:szCs w:val="24"/>
        </w:rPr>
      </w:pPr>
      <w:r w:rsidRPr="001F1C1B">
        <w:rPr>
          <w:rFonts w:ascii="Arial" w:hAnsi="Arial" w:cs="Arial"/>
          <w:sz w:val="24"/>
          <w:szCs w:val="24"/>
        </w:rPr>
        <w:t xml:space="preserve">McCoy, S. K., and Major, B., (2007), ‘Priming meritocracy and the psychological justification of inequality’, </w:t>
      </w:r>
      <w:r w:rsidRPr="001F1C1B">
        <w:rPr>
          <w:rFonts w:ascii="Arial" w:hAnsi="Arial" w:cs="Arial"/>
          <w:i/>
          <w:iCs/>
          <w:sz w:val="24"/>
          <w:szCs w:val="24"/>
        </w:rPr>
        <w:t>Journal of Experimental Social Psychology</w:t>
      </w:r>
      <w:r w:rsidRPr="001F1C1B">
        <w:rPr>
          <w:rFonts w:ascii="Arial" w:hAnsi="Arial" w:cs="Arial"/>
          <w:sz w:val="24"/>
          <w:szCs w:val="24"/>
        </w:rPr>
        <w:t>, 43, pp.341–351</w:t>
      </w:r>
    </w:p>
    <w:p w14:paraId="414619F0" w14:textId="6049037E" w:rsidR="006F161E" w:rsidRDefault="006F161E" w:rsidP="00F763F2">
      <w:pPr>
        <w:spacing w:line="360" w:lineRule="auto"/>
        <w:jc w:val="both"/>
        <w:rPr>
          <w:rFonts w:ascii="Arial" w:hAnsi="Arial" w:cs="Arial"/>
          <w:sz w:val="24"/>
          <w:szCs w:val="24"/>
        </w:rPr>
      </w:pPr>
      <w:r w:rsidRPr="007307FC">
        <w:rPr>
          <w:rFonts w:ascii="Arial" w:hAnsi="Arial" w:cs="Arial"/>
          <w:sz w:val="24"/>
          <w:szCs w:val="24"/>
        </w:rPr>
        <w:t xml:space="preserve">McNamee, S. J., and Miller, R. K., (2004). </w:t>
      </w:r>
      <w:r w:rsidRPr="007307FC">
        <w:rPr>
          <w:rFonts w:ascii="Arial" w:hAnsi="Arial" w:cs="Arial"/>
          <w:i/>
          <w:iCs/>
          <w:sz w:val="24"/>
          <w:szCs w:val="24"/>
        </w:rPr>
        <w:t>The meritocracy myth</w:t>
      </w:r>
      <w:r w:rsidRPr="007307FC">
        <w:rPr>
          <w:rFonts w:ascii="Arial" w:hAnsi="Arial" w:cs="Arial"/>
          <w:sz w:val="24"/>
          <w:szCs w:val="24"/>
        </w:rPr>
        <w:t>, Lanham: Rowan &amp; Littlefield</w:t>
      </w:r>
    </w:p>
    <w:p w14:paraId="2E6C7970" w14:textId="77777777" w:rsidR="007045A8" w:rsidRPr="007B77CC" w:rsidRDefault="007045A8" w:rsidP="00F763F2">
      <w:pPr>
        <w:spacing w:line="360" w:lineRule="auto"/>
        <w:jc w:val="both"/>
        <w:rPr>
          <w:rFonts w:ascii="Arial" w:hAnsi="Arial" w:cs="Arial"/>
          <w:sz w:val="24"/>
          <w:szCs w:val="24"/>
        </w:rPr>
      </w:pPr>
      <w:r>
        <w:rPr>
          <w:rFonts w:ascii="Arial" w:hAnsi="Arial" w:cs="Arial"/>
          <w:sz w:val="24"/>
          <w:szCs w:val="24"/>
        </w:rPr>
        <w:t xml:space="preserve">McRobbie, A., (2015), </w:t>
      </w:r>
      <w:r>
        <w:rPr>
          <w:rFonts w:ascii="Arial" w:hAnsi="Arial" w:cs="Arial"/>
          <w:i/>
          <w:iCs/>
          <w:sz w:val="24"/>
          <w:szCs w:val="24"/>
        </w:rPr>
        <w:t xml:space="preserve">Be Creative, </w:t>
      </w:r>
      <w:r>
        <w:rPr>
          <w:rFonts w:ascii="Arial" w:hAnsi="Arial" w:cs="Arial"/>
          <w:sz w:val="24"/>
          <w:szCs w:val="24"/>
        </w:rPr>
        <w:t>Cambridge: Polity Press</w:t>
      </w:r>
    </w:p>
    <w:p w14:paraId="5C7E5A5D" w14:textId="2A9AB489" w:rsidR="009C5AF1" w:rsidRDefault="009C5AF1" w:rsidP="00F763F2">
      <w:pPr>
        <w:spacing w:line="360" w:lineRule="auto"/>
        <w:jc w:val="both"/>
        <w:rPr>
          <w:rFonts w:ascii="Arial" w:hAnsi="Arial" w:cs="Arial"/>
          <w:sz w:val="24"/>
          <w:szCs w:val="24"/>
        </w:rPr>
      </w:pPr>
      <w:r>
        <w:rPr>
          <w:rFonts w:ascii="Arial" w:hAnsi="Arial" w:cs="Arial"/>
          <w:sz w:val="24"/>
          <w:szCs w:val="24"/>
        </w:rPr>
        <w:t xml:space="preserve">Messersmith, E. E., and Schulenberg, J. E., (2008), ‘When Can We Expect the Unexpected? Predicting Educational Attainment When it Differs from Previous Expectations’, </w:t>
      </w:r>
      <w:r>
        <w:rPr>
          <w:rFonts w:ascii="Arial" w:hAnsi="Arial" w:cs="Arial"/>
          <w:i/>
          <w:iCs/>
          <w:sz w:val="24"/>
          <w:szCs w:val="24"/>
        </w:rPr>
        <w:t xml:space="preserve">Journal of Social Issues, </w:t>
      </w:r>
      <w:r>
        <w:rPr>
          <w:rFonts w:ascii="Arial" w:hAnsi="Arial" w:cs="Arial"/>
          <w:sz w:val="24"/>
          <w:szCs w:val="24"/>
        </w:rPr>
        <w:t>6 (4), pp.195-212</w:t>
      </w:r>
    </w:p>
    <w:p w14:paraId="0C0CC769" w14:textId="0BBDCDBD" w:rsidR="001A73B7" w:rsidRPr="001A73B7" w:rsidRDefault="001A73B7" w:rsidP="00F763F2">
      <w:pPr>
        <w:spacing w:line="360" w:lineRule="auto"/>
        <w:jc w:val="both"/>
        <w:rPr>
          <w:rFonts w:ascii="Arial" w:hAnsi="Arial" w:cs="Arial"/>
          <w:sz w:val="40"/>
          <w:szCs w:val="40"/>
        </w:rPr>
      </w:pPr>
      <w:r w:rsidRPr="00D55A6F">
        <w:rPr>
          <w:rFonts w:ascii="Arial" w:hAnsi="Arial" w:cs="Arial"/>
          <w:sz w:val="24"/>
          <w:szCs w:val="24"/>
        </w:rPr>
        <w:t xml:space="preserve">Mijs, J. J. B., (2016), ‘The unfulfillable promise of meritocracy: Three lessons and their implications for justice in education’, </w:t>
      </w:r>
      <w:r w:rsidRPr="00D55A6F">
        <w:rPr>
          <w:rFonts w:ascii="Arial" w:hAnsi="Arial" w:cs="Arial"/>
          <w:i/>
          <w:iCs/>
          <w:sz w:val="24"/>
          <w:szCs w:val="24"/>
        </w:rPr>
        <w:t>Social Justice Research</w:t>
      </w:r>
      <w:r w:rsidRPr="00D55A6F">
        <w:rPr>
          <w:rFonts w:ascii="Arial" w:hAnsi="Arial" w:cs="Arial"/>
          <w:sz w:val="24"/>
          <w:szCs w:val="24"/>
        </w:rPr>
        <w:t>, 29, pp.14–34</w:t>
      </w:r>
    </w:p>
    <w:p w14:paraId="2AF42B71" w14:textId="0A8FEC3B" w:rsidR="00BC5467" w:rsidRDefault="00BC5467" w:rsidP="00F763F2">
      <w:pPr>
        <w:spacing w:line="360" w:lineRule="auto"/>
        <w:jc w:val="both"/>
        <w:rPr>
          <w:rFonts w:ascii="Arial" w:hAnsi="Arial" w:cs="Arial"/>
          <w:sz w:val="24"/>
          <w:szCs w:val="24"/>
        </w:rPr>
      </w:pPr>
      <w:r>
        <w:rPr>
          <w:rFonts w:ascii="Arial" w:hAnsi="Arial" w:cs="Arial"/>
          <w:sz w:val="24"/>
          <w:szCs w:val="24"/>
        </w:rPr>
        <w:t xml:space="preserve">Miller, Robert K. Jr., and McNamee, Stephen J., (2013), </w:t>
      </w:r>
      <w:r>
        <w:rPr>
          <w:rFonts w:ascii="Arial" w:hAnsi="Arial" w:cs="Arial"/>
          <w:i/>
          <w:iCs/>
          <w:sz w:val="24"/>
          <w:szCs w:val="24"/>
        </w:rPr>
        <w:t xml:space="preserve">The Meritocracy Myth, </w:t>
      </w:r>
      <w:r>
        <w:rPr>
          <w:rFonts w:ascii="Arial" w:hAnsi="Arial" w:cs="Arial"/>
          <w:sz w:val="24"/>
          <w:szCs w:val="24"/>
        </w:rPr>
        <w:t>Maryland: Rowman &amp; Littlefield</w:t>
      </w:r>
    </w:p>
    <w:p w14:paraId="4E665359" w14:textId="5CFBE8AA" w:rsidR="004348F7" w:rsidRDefault="004348F7" w:rsidP="00F763F2">
      <w:pPr>
        <w:spacing w:line="360" w:lineRule="auto"/>
        <w:jc w:val="both"/>
        <w:rPr>
          <w:rFonts w:ascii="Arial" w:hAnsi="Arial" w:cs="Arial"/>
          <w:sz w:val="24"/>
          <w:szCs w:val="24"/>
        </w:rPr>
      </w:pPr>
      <w:r w:rsidRPr="00C503FC">
        <w:rPr>
          <w:rFonts w:ascii="Arial" w:hAnsi="Arial" w:cs="Arial"/>
          <w:sz w:val="24"/>
          <w:szCs w:val="24"/>
        </w:rPr>
        <w:t xml:space="preserve">Mincer, J., (1958), ‘Investment in human capital and personal income distribution’, </w:t>
      </w:r>
      <w:r w:rsidRPr="00C503FC">
        <w:rPr>
          <w:rFonts w:ascii="Arial" w:hAnsi="Arial" w:cs="Arial"/>
          <w:i/>
          <w:iCs/>
          <w:sz w:val="24"/>
          <w:szCs w:val="24"/>
        </w:rPr>
        <w:t>Journal of Political Economy</w:t>
      </w:r>
      <w:r w:rsidRPr="00C503FC">
        <w:rPr>
          <w:rFonts w:ascii="Arial" w:hAnsi="Arial" w:cs="Arial"/>
          <w:sz w:val="24"/>
          <w:szCs w:val="24"/>
        </w:rPr>
        <w:t>, 66, pp.281–302</w:t>
      </w:r>
    </w:p>
    <w:p w14:paraId="1A8DA3C0" w14:textId="17E3244D" w:rsidR="003A7C0F" w:rsidRDefault="003A7C0F" w:rsidP="00F763F2">
      <w:pPr>
        <w:spacing w:line="360" w:lineRule="auto"/>
        <w:jc w:val="both"/>
        <w:rPr>
          <w:rFonts w:ascii="Arial" w:hAnsi="Arial" w:cs="Arial"/>
          <w:color w:val="000000"/>
          <w:sz w:val="24"/>
          <w:szCs w:val="24"/>
        </w:rPr>
      </w:pPr>
      <w:r>
        <w:rPr>
          <w:rFonts w:ascii="Arial" w:hAnsi="Arial" w:cs="Arial"/>
          <w:sz w:val="24"/>
          <w:szCs w:val="24"/>
        </w:rPr>
        <w:t>M</w:t>
      </w:r>
      <w:r w:rsidRPr="007B77CC">
        <w:rPr>
          <w:rFonts w:ascii="Arial" w:hAnsi="Arial" w:cs="Arial"/>
          <w:color w:val="000000"/>
          <w:sz w:val="24"/>
          <w:szCs w:val="24"/>
        </w:rPr>
        <w:t>ü</w:t>
      </w:r>
      <w:r>
        <w:rPr>
          <w:rFonts w:ascii="Arial" w:hAnsi="Arial" w:cs="Arial"/>
          <w:color w:val="000000"/>
          <w:sz w:val="24"/>
          <w:szCs w:val="24"/>
        </w:rPr>
        <w:t>nch, Richard, (1993) ‘The Production and Reproduction of Inequality: A Theoretical Cultural Analysis’, In M</w:t>
      </w:r>
      <w:r w:rsidRPr="007B77CC">
        <w:rPr>
          <w:rFonts w:ascii="Arial" w:hAnsi="Arial" w:cs="Arial"/>
          <w:color w:val="000000"/>
          <w:sz w:val="24"/>
          <w:szCs w:val="24"/>
        </w:rPr>
        <w:t>ü</w:t>
      </w:r>
      <w:r>
        <w:rPr>
          <w:rFonts w:ascii="Arial" w:hAnsi="Arial" w:cs="Arial"/>
          <w:color w:val="000000"/>
          <w:sz w:val="24"/>
          <w:szCs w:val="24"/>
        </w:rPr>
        <w:t xml:space="preserve">nch, Richard and Smelser, Neil J. (Eds.), </w:t>
      </w:r>
      <w:r>
        <w:rPr>
          <w:rFonts w:ascii="Arial" w:hAnsi="Arial" w:cs="Arial"/>
          <w:i/>
          <w:iCs/>
          <w:color w:val="000000"/>
          <w:sz w:val="24"/>
          <w:szCs w:val="24"/>
        </w:rPr>
        <w:t xml:space="preserve">Theory of Culture, </w:t>
      </w:r>
      <w:r>
        <w:rPr>
          <w:rFonts w:ascii="Arial" w:hAnsi="Arial" w:cs="Arial"/>
          <w:color w:val="000000"/>
          <w:sz w:val="24"/>
          <w:szCs w:val="24"/>
        </w:rPr>
        <w:t>Berkeley: University of California Press, pp.243-265</w:t>
      </w:r>
    </w:p>
    <w:p w14:paraId="7FF44B73" w14:textId="0708D1CF" w:rsidR="007045A8" w:rsidRDefault="007045A8" w:rsidP="00F763F2">
      <w:pPr>
        <w:spacing w:line="360" w:lineRule="auto"/>
        <w:jc w:val="both"/>
        <w:rPr>
          <w:rFonts w:ascii="Arial" w:hAnsi="Arial" w:cs="Arial"/>
          <w:sz w:val="24"/>
          <w:szCs w:val="24"/>
        </w:rPr>
      </w:pPr>
      <w:r w:rsidRPr="00FD006F">
        <w:rPr>
          <w:rFonts w:ascii="Arial" w:hAnsi="Arial" w:cs="Arial"/>
          <w:sz w:val="24"/>
          <w:szCs w:val="24"/>
        </w:rPr>
        <w:t>Napier, J. L., and Jost, J., (2008), ‘Why are conservatives happier than liberals?’</w:t>
      </w:r>
      <w:r w:rsidRPr="00FD006F">
        <w:rPr>
          <w:rFonts w:ascii="Arial" w:hAnsi="Arial" w:cs="Arial"/>
          <w:i/>
          <w:iCs/>
          <w:sz w:val="24"/>
          <w:szCs w:val="24"/>
        </w:rPr>
        <w:t>, Psychological Science</w:t>
      </w:r>
      <w:r w:rsidRPr="00FD006F">
        <w:rPr>
          <w:rFonts w:ascii="Arial" w:hAnsi="Arial" w:cs="Arial"/>
          <w:sz w:val="24"/>
          <w:szCs w:val="24"/>
        </w:rPr>
        <w:t>, 19, pp.565–572</w:t>
      </w:r>
    </w:p>
    <w:p w14:paraId="7865A9B8" w14:textId="0CD43651" w:rsidR="002D1DEE" w:rsidRDefault="002D1DEE" w:rsidP="00F763F2">
      <w:pPr>
        <w:spacing w:line="360" w:lineRule="auto"/>
        <w:jc w:val="both"/>
        <w:rPr>
          <w:rFonts w:ascii="Arial" w:hAnsi="Arial" w:cs="Arial"/>
          <w:sz w:val="24"/>
          <w:szCs w:val="24"/>
        </w:rPr>
      </w:pPr>
      <w:r>
        <w:rPr>
          <w:rFonts w:ascii="Arial" w:hAnsi="Arial" w:cs="Arial"/>
          <w:sz w:val="24"/>
          <w:szCs w:val="24"/>
        </w:rPr>
        <w:t xml:space="preserve">National Child Development Study, (1958), Accessed via: </w:t>
      </w:r>
      <w:hyperlink r:id="rId11" w:history="1">
        <w:r w:rsidRPr="00A47215">
          <w:rPr>
            <w:rStyle w:val="Hyperlink"/>
            <w:rFonts w:ascii="Arial" w:hAnsi="Arial" w:cs="Arial"/>
            <w:sz w:val="24"/>
            <w:szCs w:val="24"/>
          </w:rPr>
          <w:t>CLS | 1958 National Child Development Study (ucl.ac.uk)</w:t>
        </w:r>
      </w:hyperlink>
      <w:r w:rsidRPr="00A47215">
        <w:rPr>
          <w:rFonts w:ascii="Arial" w:hAnsi="Arial" w:cs="Arial"/>
          <w:sz w:val="24"/>
          <w:szCs w:val="24"/>
        </w:rPr>
        <w:t>, Accessed on 12/12/22</w:t>
      </w:r>
    </w:p>
    <w:p w14:paraId="44346BFC" w14:textId="15F0A842" w:rsidR="006F161E" w:rsidRPr="007045A8" w:rsidRDefault="006F161E" w:rsidP="00F763F2">
      <w:pPr>
        <w:spacing w:line="360" w:lineRule="auto"/>
        <w:jc w:val="both"/>
        <w:rPr>
          <w:rFonts w:ascii="Arial" w:hAnsi="Arial" w:cs="Arial"/>
          <w:sz w:val="24"/>
          <w:szCs w:val="24"/>
        </w:rPr>
      </w:pPr>
      <w:r w:rsidRPr="00F7423A">
        <w:rPr>
          <w:rFonts w:ascii="Arial" w:hAnsi="Arial" w:cs="Arial"/>
          <w:sz w:val="24"/>
          <w:szCs w:val="24"/>
        </w:rPr>
        <w:t>Norman, R.</w:t>
      </w:r>
      <w:r>
        <w:rPr>
          <w:rFonts w:ascii="Arial" w:hAnsi="Arial" w:cs="Arial"/>
          <w:sz w:val="24"/>
          <w:szCs w:val="24"/>
        </w:rPr>
        <w:t>,</w:t>
      </w:r>
      <w:r w:rsidRPr="00F7423A">
        <w:rPr>
          <w:rFonts w:ascii="Arial" w:hAnsi="Arial" w:cs="Arial"/>
          <w:sz w:val="24"/>
          <w:szCs w:val="24"/>
        </w:rPr>
        <w:t xml:space="preserve"> </w:t>
      </w:r>
      <w:r>
        <w:rPr>
          <w:rFonts w:ascii="Arial" w:hAnsi="Arial" w:cs="Arial"/>
          <w:sz w:val="24"/>
          <w:szCs w:val="24"/>
        </w:rPr>
        <w:t>(</w:t>
      </w:r>
      <w:r w:rsidRPr="00F7423A">
        <w:rPr>
          <w:rFonts w:ascii="Arial" w:hAnsi="Arial" w:cs="Arial"/>
          <w:sz w:val="24"/>
          <w:szCs w:val="24"/>
        </w:rPr>
        <w:t>1987</w:t>
      </w:r>
      <w:r>
        <w:rPr>
          <w:rFonts w:ascii="Arial" w:hAnsi="Arial" w:cs="Arial"/>
          <w:sz w:val="24"/>
          <w:szCs w:val="24"/>
        </w:rPr>
        <w:t>),</w:t>
      </w:r>
      <w:r w:rsidRPr="00F7423A">
        <w:rPr>
          <w:rFonts w:ascii="Arial" w:hAnsi="Arial" w:cs="Arial"/>
          <w:sz w:val="24"/>
          <w:szCs w:val="24"/>
        </w:rPr>
        <w:t xml:space="preserve"> </w:t>
      </w:r>
      <w:r w:rsidRPr="00F7423A">
        <w:rPr>
          <w:rFonts w:ascii="Arial" w:hAnsi="Arial" w:cs="Arial"/>
          <w:i/>
          <w:iCs/>
          <w:sz w:val="24"/>
          <w:szCs w:val="24"/>
        </w:rPr>
        <w:t>Free and Equal</w:t>
      </w:r>
      <w:r>
        <w:rPr>
          <w:rFonts w:ascii="Arial" w:hAnsi="Arial" w:cs="Arial"/>
          <w:sz w:val="24"/>
          <w:szCs w:val="24"/>
        </w:rPr>
        <w:t>,</w:t>
      </w:r>
      <w:r w:rsidRPr="00F7423A">
        <w:rPr>
          <w:rFonts w:ascii="Arial" w:hAnsi="Arial" w:cs="Arial"/>
          <w:sz w:val="24"/>
          <w:szCs w:val="24"/>
        </w:rPr>
        <w:t xml:space="preserve"> Oxford: Oxford University Press</w:t>
      </w:r>
    </w:p>
    <w:p w14:paraId="52BA0013" w14:textId="3429885C" w:rsidR="00140353" w:rsidRDefault="00140353" w:rsidP="00F763F2">
      <w:pPr>
        <w:spacing w:line="360" w:lineRule="auto"/>
        <w:jc w:val="both"/>
        <w:rPr>
          <w:rFonts w:ascii="Arial" w:hAnsi="Arial" w:cs="Arial"/>
          <w:sz w:val="24"/>
          <w:szCs w:val="24"/>
        </w:rPr>
      </w:pPr>
      <w:r w:rsidRPr="00D62BCE">
        <w:rPr>
          <w:rFonts w:ascii="Arial" w:hAnsi="Arial" w:cs="Arial"/>
          <w:sz w:val="24"/>
          <w:szCs w:val="24"/>
        </w:rPr>
        <w:t xml:space="preserve">Nozick, R., (1974), </w:t>
      </w:r>
      <w:r w:rsidRPr="00D62BCE">
        <w:rPr>
          <w:rFonts w:ascii="Arial" w:hAnsi="Arial" w:cs="Arial"/>
          <w:i/>
          <w:iCs/>
          <w:sz w:val="24"/>
          <w:szCs w:val="24"/>
        </w:rPr>
        <w:t>Anarchy, state, and utopia</w:t>
      </w:r>
      <w:r w:rsidRPr="00D62BCE">
        <w:rPr>
          <w:rFonts w:ascii="Arial" w:hAnsi="Arial" w:cs="Arial"/>
          <w:sz w:val="24"/>
          <w:szCs w:val="24"/>
        </w:rPr>
        <w:t>, New York: Basic Books</w:t>
      </w:r>
    </w:p>
    <w:p w14:paraId="38610EDC" w14:textId="72AA1659" w:rsidR="007045A8" w:rsidRDefault="007045A8" w:rsidP="00F763F2">
      <w:pPr>
        <w:spacing w:line="360" w:lineRule="auto"/>
        <w:jc w:val="both"/>
        <w:rPr>
          <w:rFonts w:ascii="Arial" w:hAnsi="Arial" w:cs="Arial"/>
          <w:sz w:val="24"/>
          <w:szCs w:val="24"/>
        </w:rPr>
      </w:pPr>
      <w:r w:rsidRPr="00FD006F">
        <w:rPr>
          <w:rFonts w:ascii="Arial" w:hAnsi="Arial" w:cs="Arial"/>
          <w:sz w:val="24"/>
          <w:szCs w:val="24"/>
        </w:rPr>
        <w:lastRenderedPageBreak/>
        <w:t xml:space="preserve">O’Brien, L. T., and Major, B. N., (2005), ‘System-justifying beliefs and psychological well-being: The roles of group status and identity’, </w:t>
      </w:r>
      <w:r w:rsidRPr="00FD006F">
        <w:rPr>
          <w:rFonts w:ascii="Arial" w:hAnsi="Arial" w:cs="Arial"/>
          <w:i/>
          <w:iCs/>
          <w:sz w:val="24"/>
          <w:szCs w:val="24"/>
        </w:rPr>
        <w:t>Personality and Social Psychology Bulletin</w:t>
      </w:r>
      <w:r w:rsidRPr="00FD006F">
        <w:rPr>
          <w:rFonts w:ascii="Arial" w:hAnsi="Arial" w:cs="Arial"/>
          <w:sz w:val="24"/>
          <w:szCs w:val="24"/>
        </w:rPr>
        <w:t>, 3 (1), pp.1718 –1729</w:t>
      </w:r>
    </w:p>
    <w:p w14:paraId="02284494" w14:textId="2F42352D" w:rsidR="001857EB" w:rsidRDefault="001857EB" w:rsidP="00F763F2">
      <w:pPr>
        <w:spacing w:line="360" w:lineRule="auto"/>
        <w:jc w:val="both"/>
        <w:rPr>
          <w:rFonts w:ascii="Arial" w:hAnsi="Arial" w:cs="Arial"/>
          <w:sz w:val="24"/>
          <w:szCs w:val="24"/>
        </w:rPr>
      </w:pPr>
      <w:r w:rsidRPr="00A823D5">
        <w:rPr>
          <w:rFonts w:ascii="Arial" w:hAnsi="Arial" w:cs="Arial"/>
          <w:sz w:val="24"/>
          <w:szCs w:val="24"/>
        </w:rPr>
        <w:t xml:space="preserve">Oakes, J., (2005), </w:t>
      </w:r>
      <w:r w:rsidRPr="001857EB">
        <w:rPr>
          <w:rFonts w:ascii="Arial" w:hAnsi="Arial" w:cs="Arial"/>
          <w:i/>
          <w:iCs/>
          <w:sz w:val="24"/>
          <w:szCs w:val="24"/>
        </w:rPr>
        <w:t>Keeping track: How schools structure inequality</w:t>
      </w:r>
      <w:r w:rsidRPr="00A823D5">
        <w:rPr>
          <w:rFonts w:ascii="Arial" w:hAnsi="Arial" w:cs="Arial"/>
          <w:sz w:val="24"/>
          <w:szCs w:val="24"/>
        </w:rPr>
        <w:t>, New Haven: Yale University Press</w:t>
      </w:r>
    </w:p>
    <w:p w14:paraId="19FED166" w14:textId="137A7EEF" w:rsidR="006F161E" w:rsidRPr="006F161E" w:rsidRDefault="006F161E" w:rsidP="00F763F2">
      <w:pPr>
        <w:spacing w:line="360" w:lineRule="auto"/>
        <w:jc w:val="both"/>
        <w:rPr>
          <w:rFonts w:ascii="Arial" w:hAnsi="Arial" w:cs="Arial"/>
          <w:sz w:val="24"/>
          <w:szCs w:val="24"/>
        </w:rPr>
      </w:pPr>
      <w:r w:rsidRPr="00977325">
        <w:rPr>
          <w:rFonts w:ascii="Arial" w:hAnsi="Arial" w:cs="Arial"/>
          <w:sz w:val="24"/>
          <w:szCs w:val="24"/>
        </w:rPr>
        <w:t xml:space="preserve">Pansu, P.; Dubois, N., and Dompnier, B., (2008). ‘Internality-norm theory in educational contexts’, </w:t>
      </w:r>
      <w:r w:rsidRPr="00977325">
        <w:rPr>
          <w:rFonts w:ascii="Arial" w:hAnsi="Arial" w:cs="Arial"/>
          <w:i/>
          <w:iCs/>
          <w:sz w:val="24"/>
          <w:szCs w:val="24"/>
        </w:rPr>
        <w:t>European Journal of Psychology of Education</w:t>
      </w:r>
      <w:r w:rsidRPr="00977325">
        <w:rPr>
          <w:rFonts w:ascii="Arial" w:hAnsi="Arial" w:cs="Arial"/>
          <w:sz w:val="24"/>
          <w:szCs w:val="24"/>
        </w:rPr>
        <w:t>, 23, pp.385–397</w:t>
      </w:r>
    </w:p>
    <w:p w14:paraId="01E2B253" w14:textId="77777777" w:rsidR="005203F4" w:rsidRDefault="005203F4" w:rsidP="00F763F2">
      <w:pPr>
        <w:spacing w:line="360" w:lineRule="auto"/>
        <w:jc w:val="both"/>
        <w:rPr>
          <w:rFonts w:ascii="Arial" w:hAnsi="Arial" w:cs="Arial"/>
          <w:sz w:val="24"/>
          <w:szCs w:val="24"/>
        </w:rPr>
      </w:pPr>
      <w:r>
        <w:rPr>
          <w:rFonts w:ascii="Arial" w:hAnsi="Arial" w:cs="Arial"/>
          <w:sz w:val="24"/>
          <w:szCs w:val="24"/>
        </w:rPr>
        <w:t xml:space="preserve">Pawson, R., (1989), </w:t>
      </w:r>
      <w:r>
        <w:rPr>
          <w:rFonts w:ascii="Arial" w:hAnsi="Arial" w:cs="Arial"/>
          <w:i/>
          <w:iCs/>
          <w:sz w:val="24"/>
          <w:szCs w:val="24"/>
        </w:rPr>
        <w:t xml:space="preserve">A Measure for Measures, </w:t>
      </w:r>
      <w:r>
        <w:rPr>
          <w:rFonts w:ascii="Arial" w:hAnsi="Arial" w:cs="Arial"/>
          <w:sz w:val="24"/>
          <w:szCs w:val="24"/>
        </w:rPr>
        <w:t>London: Routledge</w:t>
      </w:r>
    </w:p>
    <w:p w14:paraId="109D6970" w14:textId="67A9165A" w:rsidR="005203F4" w:rsidRDefault="005203F4" w:rsidP="00F763F2">
      <w:pPr>
        <w:spacing w:line="360" w:lineRule="auto"/>
        <w:jc w:val="both"/>
        <w:rPr>
          <w:rFonts w:ascii="Arial" w:hAnsi="Arial" w:cs="Arial"/>
          <w:sz w:val="24"/>
          <w:szCs w:val="24"/>
        </w:rPr>
      </w:pPr>
      <w:r>
        <w:rPr>
          <w:rFonts w:ascii="Arial" w:hAnsi="Arial" w:cs="Arial"/>
          <w:sz w:val="24"/>
          <w:szCs w:val="24"/>
        </w:rPr>
        <w:t xml:space="preserve">Payne, G., (1996), ‘Investing in Class Analysis Futures’, </w:t>
      </w:r>
      <w:r>
        <w:rPr>
          <w:rFonts w:ascii="Arial" w:hAnsi="Arial" w:cs="Arial"/>
          <w:i/>
          <w:iCs/>
          <w:sz w:val="24"/>
          <w:szCs w:val="24"/>
        </w:rPr>
        <w:t xml:space="preserve">Sociology, </w:t>
      </w:r>
      <w:r>
        <w:rPr>
          <w:rFonts w:ascii="Arial" w:hAnsi="Arial" w:cs="Arial"/>
          <w:sz w:val="24"/>
          <w:szCs w:val="24"/>
        </w:rPr>
        <w:t>30, pp.339-354</w:t>
      </w:r>
    </w:p>
    <w:p w14:paraId="5CCB7A12" w14:textId="11FE8B4B" w:rsidR="00730048" w:rsidRDefault="00730048" w:rsidP="00F763F2">
      <w:pPr>
        <w:spacing w:line="360" w:lineRule="auto"/>
        <w:jc w:val="both"/>
        <w:rPr>
          <w:rFonts w:ascii="Arial" w:hAnsi="Arial" w:cs="Arial"/>
          <w:sz w:val="24"/>
          <w:szCs w:val="24"/>
        </w:rPr>
      </w:pPr>
      <w:r>
        <w:rPr>
          <w:rFonts w:ascii="Arial" w:hAnsi="Arial" w:cs="Arial"/>
          <w:sz w:val="24"/>
          <w:szCs w:val="24"/>
        </w:rPr>
        <w:t xml:space="preserve">Penn, R., (1981), ‘The Nuffield Class Categorisation’, </w:t>
      </w:r>
      <w:r>
        <w:rPr>
          <w:rFonts w:ascii="Arial" w:hAnsi="Arial" w:cs="Arial"/>
          <w:i/>
          <w:iCs/>
          <w:sz w:val="24"/>
          <w:szCs w:val="24"/>
        </w:rPr>
        <w:t xml:space="preserve">Sociology, </w:t>
      </w:r>
      <w:r>
        <w:rPr>
          <w:rFonts w:ascii="Arial" w:hAnsi="Arial" w:cs="Arial"/>
          <w:sz w:val="24"/>
          <w:szCs w:val="24"/>
        </w:rPr>
        <w:t>15, pp.265-271</w:t>
      </w:r>
    </w:p>
    <w:p w14:paraId="6D328A3E" w14:textId="444F476C" w:rsidR="00410BC8" w:rsidRDefault="00410BC8" w:rsidP="00F763F2">
      <w:pPr>
        <w:spacing w:line="360" w:lineRule="auto"/>
        <w:jc w:val="both"/>
        <w:rPr>
          <w:rFonts w:ascii="Arial" w:hAnsi="Arial" w:cs="Arial"/>
          <w:sz w:val="24"/>
          <w:szCs w:val="24"/>
        </w:rPr>
      </w:pPr>
      <w:r w:rsidRPr="00E15C36">
        <w:rPr>
          <w:rFonts w:ascii="Arial" w:hAnsi="Arial" w:cs="Arial"/>
          <w:sz w:val="24"/>
          <w:szCs w:val="24"/>
        </w:rPr>
        <w:t xml:space="preserve">Power, S.; Edwards, T.; Whitty, G., and Wigfall, V., (2003), </w:t>
      </w:r>
      <w:r w:rsidRPr="00E15C36">
        <w:rPr>
          <w:rFonts w:ascii="Arial" w:hAnsi="Arial" w:cs="Arial"/>
          <w:i/>
          <w:iCs/>
          <w:sz w:val="24"/>
          <w:szCs w:val="24"/>
        </w:rPr>
        <w:t xml:space="preserve">Education and the middle class, </w:t>
      </w:r>
      <w:r w:rsidRPr="00E15C36">
        <w:rPr>
          <w:rFonts w:ascii="Arial" w:hAnsi="Arial" w:cs="Arial"/>
          <w:sz w:val="24"/>
          <w:szCs w:val="24"/>
        </w:rPr>
        <w:t>Buckingham: Open University Press</w:t>
      </w:r>
    </w:p>
    <w:p w14:paraId="24371BDC" w14:textId="0DCC9361" w:rsidR="007045A8" w:rsidRDefault="007045A8" w:rsidP="00F763F2">
      <w:pPr>
        <w:spacing w:line="360" w:lineRule="auto"/>
        <w:jc w:val="both"/>
        <w:rPr>
          <w:rFonts w:ascii="Arial" w:hAnsi="Arial" w:cs="Arial"/>
          <w:sz w:val="24"/>
          <w:szCs w:val="24"/>
        </w:rPr>
      </w:pPr>
      <w:r w:rsidRPr="00A70B22">
        <w:rPr>
          <w:rFonts w:ascii="Arial" w:hAnsi="Arial" w:cs="Arial"/>
          <w:sz w:val="24"/>
          <w:szCs w:val="24"/>
        </w:rPr>
        <w:t xml:space="preserve">Pratto, F., Sidianus, J., Stallworth, L. M., and Malle, B. F., (1994), ‘Social dominance orientation: A personality variable predicting social and political attitudes’, </w:t>
      </w:r>
      <w:r w:rsidRPr="00A70B22">
        <w:rPr>
          <w:rFonts w:ascii="Arial" w:hAnsi="Arial" w:cs="Arial"/>
          <w:i/>
          <w:iCs/>
          <w:sz w:val="24"/>
          <w:szCs w:val="24"/>
        </w:rPr>
        <w:t>Journal of Personality and Social Psychology</w:t>
      </w:r>
      <w:r w:rsidRPr="00A70B22">
        <w:rPr>
          <w:rFonts w:ascii="Arial" w:hAnsi="Arial" w:cs="Arial"/>
          <w:sz w:val="24"/>
          <w:szCs w:val="24"/>
        </w:rPr>
        <w:t>, 67, pp.741–763</w:t>
      </w:r>
    </w:p>
    <w:p w14:paraId="7C3EB8FE" w14:textId="3087ABA8" w:rsidR="006F161E" w:rsidRPr="006F161E" w:rsidRDefault="006F161E" w:rsidP="00F763F2">
      <w:pPr>
        <w:spacing w:line="360" w:lineRule="auto"/>
        <w:jc w:val="both"/>
        <w:rPr>
          <w:rFonts w:ascii="Arial" w:hAnsi="Arial" w:cs="Arial"/>
          <w:sz w:val="24"/>
          <w:szCs w:val="24"/>
        </w:rPr>
      </w:pPr>
      <w:r w:rsidRPr="00F7423A">
        <w:rPr>
          <w:rFonts w:ascii="Arial" w:hAnsi="Arial" w:cs="Arial"/>
          <w:sz w:val="24"/>
          <w:szCs w:val="24"/>
        </w:rPr>
        <w:t>Radnor, H., Koshy,</w:t>
      </w:r>
      <w:r>
        <w:rPr>
          <w:rFonts w:ascii="Arial" w:hAnsi="Arial" w:cs="Arial"/>
          <w:sz w:val="24"/>
          <w:szCs w:val="24"/>
        </w:rPr>
        <w:t xml:space="preserve"> V.,</w:t>
      </w:r>
      <w:r w:rsidRPr="00F7423A">
        <w:rPr>
          <w:rFonts w:ascii="Arial" w:hAnsi="Arial" w:cs="Arial"/>
          <w:sz w:val="24"/>
          <w:szCs w:val="24"/>
        </w:rPr>
        <w:t xml:space="preserve"> and Taylor</w:t>
      </w:r>
      <w:r>
        <w:rPr>
          <w:rFonts w:ascii="Arial" w:hAnsi="Arial" w:cs="Arial"/>
          <w:sz w:val="24"/>
          <w:szCs w:val="24"/>
        </w:rPr>
        <w:t>, A.,</w:t>
      </w:r>
      <w:r w:rsidRPr="00F7423A">
        <w:rPr>
          <w:rFonts w:ascii="Arial" w:hAnsi="Arial" w:cs="Arial"/>
          <w:sz w:val="24"/>
          <w:szCs w:val="24"/>
        </w:rPr>
        <w:t xml:space="preserve"> </w:t>
      </w:r>
      <w:r>
        <w:rPr>
          <w:rFonts w:ascii="Arial" w:hAnsi="Arial" w:cs="Arial"/>
          <w:sz w:val="24"/>
          <w:szCs w:val="24"/>
        </w:rPr>
        <w:t>(</w:t>
      </w:r>
      <w:r w:rsidRPr="00F7423A">
        <w:rPr>
          <w:rFonts w:ascii="Arial" w:hAnsi="Arial" w:cs="Arial"/>
          <w:sz w:val="24"/>
          <w:szCs w:val="24"/>
        </w:rPr>
        <w:t>2007</w:t>
      </w:r>
      <w:r>
        <w:rPr>
          <w:rFonts w:ascii="Arial" w:hAnsi="Arial" w:cs="Arial"/>
          <w:sz w:val="24"/>
          <w:szCs w:val="24"/>
        </w:rPr>
        <w:t xml:space="preserve">), </w:t>
      </w:r>
      <w:r w:rsidRPr="00F7423A">
        <w:rPr>
          <w:rFonts w:ascii="Arial" w:hAnsi="Arial" w:cs="Arial"/>
          <w:sz w:val="24"/>
          <w:szCs w:val="24"/>
        </w:rPr>
        <w:t>“Gifts, Talents and Meritocracy”</w:t>
      </w:r>
      <w:r>
        <w:rPr>
          <w:rFonts w:ascii="Arial" w:hAnsi="Arial" w:cs="Arial"/>
          <w:sz w:val="24"/>
          <w:szCs w:val="24"/>
        </w:rPr>
        <w:t>,</w:t>
      </w:r>
      <w:r w:rsidRPr="00F7423A">
        <w:rPr>
          <w:rFonts w:ascii="Arial" w:hAnsi="Arial" w:cs="Arial"/>
          <w:sz w:val="24"/>
          <w:szCs w:val="24"/>
        </w:rPr>
        <w:t xml:space="preserve"> </w:t>
      </w:r>
      <w:r w:rsidRPr="00F7423A">
        <w:rPr>
          <w:rFonts w:ascii="Arial" w:hAnsi="Arial" w:cs="Arial"/>
          <w:i/>
          <w:iCs/>
          <w:sz w:val="24"/>
          <w:szCs w:val="24"/>
        </w:rPr>
        <w:t>Journal of Education Policy</w:t>
      </w:r>
      <w:r>
        <w:rPr>
          <w:rFonts w:ascii="Arial" w:hAnsi="Arial" w:cs="Arial"/>
          <w:sz w:val="24"/>
          <w:szCs w:val="24"/>
        </w:rPr>
        <w:t>,</w:t>
      </w:r>
      <w:r w:rsidRPr="00F7423A">
        <w:rPr>
          <w:rFonts w:ascii="Arial" w:hAnsi="Arial" w:cs="Arial"/>
          <w:sz w:val="24"/>
          <w:szCs w:val="24"/>
        </w:rPr>
        <w:t xml:space="preserve"> 22 (3)</w:t>
      </w:r>
      <w:r>
        <w:rPr>
          <w:rFonts w:ascii="Arial" w:hAnsi="Arial" w:cs="Arial"/>
          <w:sz w:val="24"/>
          <w:szCs w:val="24"/>
        </w:rPr>
        <w:t>, pp.</w:t>
      </w:r>
      <w:r w:rsidRPr="00F7423A">
        <w:rPr>
          <w:rFonts w:ascii="Arial" w:hAnsi="Arial" w:cs="Arial"/>
          <w:sz w:val="24"/>
          <w:szCs w:val="24"/>
        </w:rPr>
        <w:t>283–299</w:t>
      </w:r>
    </w:p>
    <w:p w14:paraId="6A657EAF" w14:textId="20CABEF6" w:rsidR="00140353" w:rsidRDefault="00140353" w:rsidP="00F763F2">
      <w:pPr>
        <w:spacing w:line="360" w:lineRule="auto"/>
        <w:jc w:val="both"/>
        <w:rPr>
          <w:rFonts w:ascii="Arial" w:hAnsi="Arial" w:cs="Arial"/>
          <w:sz w:val="24"/>
          <w:szCs w:val="24"/>
        </w:rPr>
      </w:pPr>
      <w:r w:rsidRPr="00D62BCE">
        <w:rPr>
          <w:rFonts w:ascii="Arial" w:hAnsi="Arial" w:cs="Arial"/>
          <w:sz w:val="24"/>
          <w:szCs w:val="24"/>
        </w:rPr>
        <w:t xml:space="preserve">Rawls, J., (1971), </w:t>
      </w:r>
      <w:r w:rsidRPr="00D62BCE">
        <w:rPr>
          <w:rFonts w:ascii="Arial" w:hAnsi="Arial" w:cs="Arial"/>
          <w:i/>
          <w:iCs/>
          <w:sz w:val="24"/>
          <w:szCs w:val="24"/>
        </w:rPr>
        <w:t>A theory of justice</w:t>
      </w:r>
      <w:r w:rsidRPr="00D62BCE">
        <w:rPr>
          <w:rFonts w:ascii="Arial" w:hAnsi="Arial" w:cs="Arial"/>
          <w:sz w:val="24"/>
          <w:szCs w:val="24"/>
        </w:rPr>
        <w:t>, Cambridge: Harvard University Press</w:t>
      </w:r>
    </w:p>
    <w:p w14:paraId="1D0C9B87" w14:textId="1F6D4EA3" w:rsidR="00EC6725" w:rsidRDefault="00EC6725" w:rsidP="00F763F2">
      <w:pPr>
        <w:spacing w:line="360" w:lineRule="auto"/>
        <w:jc w:val="both"/>
        <w:rPr>
          <w:rFonts w:ascii="Arial" w:hAnsi="Arial" w:cs="Arial"/>
          <w:sz w:val="24"/>
          <w:szCs w:val="24"/>
        </w:rPr>
      </w:pPr>
      <w:r>
        <w:rPr>
          <w:rFonts w:ascii="Arial" w:hAnsi="Arial" w:cs="Arial"/>
          <w:sz w:val="24"/>
          <w:szCs w:val="24"/>
        </w:rPr>
        <w:t xml:space="preserve">Reay, D., (2017), </w:t>
      </w:r>
      <w:r>
        <w:rPr>
          <w:rFonts w:ascii="Arial" w:hAnsi="Arial" w:cs="Arial"/>
          <w:i/>
          <w:iCs/>
          <w:sz w:val="24"/>
          <w:szCs w:val="24"/>
        </w:rPr>
        <w:t xml:space="preserve">Miseducation: Inequality, Education and the Working Classes, </w:t>
      </w:r>
      <w:r>
        <w:rPr>
          <w:rFonts w:ascii="Arial" w:hAnsi="Arial" w:cs="Arial"/>
          <w:sz w:val="24"/>
          <w:szCs w:val="24"/>
        </w:rPr>
        <w:t>Bristol: Policy Press</w:t>
      </w:r>
    </w:p>
    <w:p w14:paraId="64C194D2" w14:textId="5EEDC527" w:rsidR="00BC5467" w:rsidRDefault="00BC5467" w:rsidP="00F763F2">
      <w:pPr>
        <w:spacing w:line="360" w:lineRule="auto"/>
        <w:jc w:val="both"/>
        <w:rPr>
          <w:rFonts w:ascii="Arial" w:hAnsi="Arial" w:cs="Arial"/>
          <w:sz w:val="24"/>
          <w:szCs w:val="24"/>
        </w:rPr>
      </w:pPr>
      <w:r>
        <w:rPr>
          <w:rFonts w:ascii="Arial" w:hAnsi="Arial" w:cs="Arial"/>
          <w:sz w:val="24"/>
          <w:szCs w:val="24"/>
        </w:rPr>
        <w:t xml:space="preserve">Reay, D., (2018), ‘Review: Jo Littler </w:t>
      </w:r>
      <w:r>
        <w:rPr>
          <w:rFonts w:ascii="Arial" w:hAnsi="Arial" w:cs="Arial"/>
          <w:i/>
          <w:iCs/>
          <w:sz w:val="24"/>
          <w:szCs w:val="24"/>
        </w:rPr>
        <w:t xml:space="preserve">Against Meritocracy: Culture, Power and Myths of Mobility’, Theory, Culture &amp; Society, </w:t>
      </w:r>
      <w:r>
        <w:rPr>
          <w:rFonts w:ascii="Arial" w:hAnsi="Arial" w:cs="Arial"/>
          <w:sz w:val="24"/>
          <w:szCs w:val="24"/>
        </w:rPr>
        <w:t>35 (7-8), pp.325-330</w:t>
      </w:r>
    </w:p>
    <w:p w14:paraId="485B5342" w14:textId="7B0979BB" w:rsidR="005203F4" w:rsidRDefault="005203F4" w:rsidP="00F763F2">
      <w:pPr>
        <w:spacing w:line="360" w:lineRule="auto"/>
        <w:jc w:val="both"/>
        <w:rPr>
          <w:rFonts w:ascii="Arial" w:hAnsi="Arial" w:cs="Arial"/>
          <w:sz w:val="24"/>
          <w:szCs w:val="24"/>
        </w:rPr>
      </w:pPr>
      <w:r>
        <w:rPr>
          <w:rFonts w:ascii="Arial" w:hAnsi="Arial" w:cs="Arial"/>
          <w:sz w:val="24"/>
          <w:szCs w:val="24"/>
        </w:rPr>
        <w:t xml:space="preserve">Saunders, P., (1995), ‘Might Britain be a Meritocracy?’, </w:t>
      </w:r>
      <w:r>
        <w:rPr>
          <w:rFonts w:ascii="Arial" w:hAnsi="Arial" w:cs="Arial"/>
          <w:i/>
          <w:iCs/>
          <w:sz w:val="24"/>
          <w:szCs w:val="24"/>
        </w:rPr>
        <w:t xml:space="preserve">Sociology, </w:t>
      </w:r>
      <w:r>
        <w:rPr>
          <w:rFonts w:ascii="Arial" w:hAnsi="Arial" w:cs="Arial"/>
          <w:sz w:val="24"/>
          <w:szCs w:val="24"/>
        </w:rPr>
        <w:t>29, pp.23-41</w:t>
      </w:r>
    </w:p>
    <w:p w14:paraId="358FE927" w14:textId="3DFC0348" w:rsidR="002D1DEE" w:rsidRDefault="002D1DEE" w:rsidP="00F763F2">
      <w:pPr>
        <w:spacing w:line="360" w:lineRule="auto"/>
        <w:jc w:val="both"/>
        <w:rPr>
          <w:rFonts w:ascii="Arial" w:hAnsi="Arial" w:cs="Arial"/>
          <w:sz w:val="24"/>
          <w:szCs w:val="24"/>
        </w:rPr>
      </w:pPr>
      <w:r>
        <w:rPr>
          <w:rFonts w:ascii="Arial" w:hAnsi="Arial" w:cs="Arial"/>
          <w:sz w:val="24"/>
          <w:szCs w:val="24"/>
        </w:rPr>
        <w:t xml:space="preserve">Saunders, P., (1996), </w:t>
      </w:r>
      <w:r>
        <w:rPr>
          <w:rFonts w:ascii="Arial" w:hAnsi="Arial" w:cs="Arial"/>
          <w:i/>
          <w:iCs/>
          <w:sz w:val="24"/>
          <w:szCs w:val="24"/>
        </w:rPr>
        <w:t xml:space="preserve">Unequal but Fair? A Study of Class Barriers in Britain, </w:t>
      </w:r>
      <w:r>
        <w:rPr>
          <w:rFonts w:ascii="Arial" w:hAnsi="Arial" w:cs="Arial"/>
          <w:sz w:val="24"/>
          <w:szCs w:val="24"/>
        </w:rPr>
        <w:t>London: Institute of Economic Affairs</w:t>
      </w:r>
    </w:p>
    <w:p w14:paraId="0816A904" w14:textId="14F95C55" w:rsidR="00C755EA" w:rsidRDefault="00C755EA" w:rsidP="00F763F2">
      <w:pPr>
        <w:spacing w:line="360" w:lineRule="auto"/>
        <w:jc w:val="both"/>
        <w:rPr>
          <w:rFonts w:ascii="Arial" w:hAnsi="Arial" w:cs="Arial"/>
          <w:sz w:val="24"/>
          <w:szCs w:val="24"/>
        </w:rPr>
      </w:pPr>
      <w:r>
        <w:rPr>
          <w:rFonts w:ascii="Arial" w:hAnsi="Arial" w:cs="Arial"/>
          <w:sz w:val="24"/>
          <w:szCs w:val="24"/>
        </w:rPr>
        <w:t xml:space="preserve">Saunders, P., (1997), ‘Social Mobility in Britain: An Empirical Examination of Two Competing Explanations’, </w:t>
      </w:r>
      <w:r>
        <w:rPr>
          <w:rFonts w:ascii="Arial" w:hAnsi="Arial" w:cs="Arial"/>
          <w:i/>
          <w:iCs/>
          <w:sz w:val="24"/>
          <w:szCs w:val="24"/>
        </w:rPr>
        <w:t xml:space="preserve">Sociology, </w:t>
      </w:r>
      <w:r>
        <w:rPr>
          <w:rFonts w:ascii="Arial" w:hAnsi="Arial" w:cs="Arial"/>
          <w:sz w:val="24"/>
          <w:szCs w:val="24"/>
        </w:rPr>
        <w:t>31, pp.261-288</w:t>
      </w:r>
    </w:p>
    <w:p w14:paraId="5AE88CE0" w14:textId="63D9CE3C" w:rsidR="00EC6725" w:rsidRDefault="00EC6725" w:rsidP="00F763F2">
      <w:pPr>
        <w:spacing w:line="360" w:lineRule="auto"/>
        <w:jc w:val="both"/>
        <w:rPr>
          <w:rFonts w:ascii="Arial" w:hAnsi="Arial" w:cs="Arial"/>
          <w:sz w:val="24"/>
          <w:szCs w:val="24"/>
        </w:rPr>
      </w:pPr>
      <w:r>
        <w:rPr>
          <w:rFonts w:ascii="Arial" w:hAnsi="Arial" w:cs="Arial"/>
          <w:sz w:val="24"/>
          <w:szCs w:val="24"/>
        </w:rPr>
        <w:lastRenderedPageBreak/>
        <w:t xml:space="preserve">Savage, Mike; Devine, Fiona; Cunningham, Niall; Taylor, Mark; Li, Yaojun; Hjellbrekke, Johs.; Le Roux, Brigitte; Friedman, Sam, and Miles, Andrew, (2015), ‘A New Model of Social Class? Findings from the BBC’s Great British Class Survey Experiment’, </w:t>
      </w:r>
      <w:r>
        <w:rPr>
          <w:rFonts w:ascii="Arial" w:hAnsi="Arial" w:cs="Arial"/>
          <w:i/>
          <w:iCs/>
          <w:sz w:val="24"/>
          <w:szCs w:val="24"/>
        </w:rPr>
        <w:t xml:space="preserve">British Sociological Association, </w:t>
      </w:r>
      <w:r>
        <w:rPr>
          <w:rFonts w:ascii="Arial" w:hAnsi="Arial" w:cs="Arial"/>
          <w:sz w:val="24"/>
          <w:szCs w:val="24"/>
        </w:rPr>
        <w:t>47 (2), pp.219-250</w:t>
      </w:r>
    </w:p>
    <w:p w14:paraId="62B156C9" w14:textId="60942A26" w:rsidR="005203F4" w:rsidRDefault="005203F4" w:rsidP="00F763F2">
      <w:pPr>
        <w:spacing w:line="360" w:lineRule="auto"/>
        <w:jc w:val="both"/>
        <w:rPr>
          <w:rFonts w:ascii="Arial" w:hAnsi="Arial" w:cs="Arial"/>
          <w:sz w:val="24"/>
          <w:szCs w:val="24"/>
        </w:rPr>
      </w:pPr>
      <w:r w:rsidRPr="00A47215">
        <w:rPr>
          <w:rFonts w:ascii="Arial" w:hAnsi="Arial" w:cs="Arial"/>
          <w:sz w:val="24"/>
          <w:szCs w:val="24"/>
        </w:rPr>
        <w:t xml:space="preserve">Savage, Mike, and Egerton, Muriel, (1997), ‘Social Mobility, Individual Ability and the Inheritance of Class Inequality’, </w:t>
      </w:r>
      <w:r w:rsidRPr="00A47215">
        <w:rPr>
          <w:rFonts w:ascii="Arial" w:hAnsi="Arial" w:cs="Arial"/>
          <w:i/>
          <w:iCs/>
          <w:sz w:val="24"/>
          <w:szCs w:val="24"/>
        </w:rPr>
        <w:t xml:space="preserve">Sociology, </w:t>
      </w:r>
      <w:r w:rsidRPr="00A47215">
        <w:rPr>
          <w:rFonts w:ascii="Arial" w:hAnsi="Arial" w:cs="Arial"/>
          <w:sz w:val="24"/>
          <w:szCs w:val="24"/>
        </w:rPr>
        <w:t>31 (4), pp.645-672</w:t>
      </w:r>
    </w:p>
    <w:p w14:paraId="2F21DE5B" w14:textId="02A3120C" w:rsidR="009C5AF1" w:rsidRDefault="009C5AF1" w:rsidP="00F763F2">
      <w:pPr>
        <w:spacing w:line="360" w:lineRule="auto"/>
        <w:jc w:val="both"/>
        <w:rPr>
          <w:rFonts w:ascii="Arial" w:hAnsi="Arial" w:cs="Arial"/>
          <w:sz w:val="24"/>
          <w:szCs w:val="24"/>
        </w:rPr>
      </w:pPr>
      <w:r>
        <w:rPr>
          <w:rFonts w:ascii="Arial" w:hAnsi="Arial" w:cs="Arial"/>
          <w:sz w:val="24"/>
          <w:szCs w:val="24"/>
        </w:rPr>
        <w:t xml:space="preserve">Schels, Brigitte; Kleinert, Corinna; Fischer-Browne, Melanie, and Ahrens, Lea, (2022), ‘Compromises between Occupational Aspirations and VET Occupations – A Contribution to the Reproduction of Social Inequalities?’, </w:t>
      </w:r>
      <w:r>
        <w:rPr>
          <w:rFonts w:ascii="Arial" w:hAnsi="Arial" w:cs="Arial"/>
          <w:i/>
          <w:iCs/>
          <w:sz w:val="24"/>
          <w:szCs w:val="24"/>
        </w:rPr>
        <w:t xml:space="preserve">Zeitschrift fűr Soziologie, </w:t>
      </w:r>
      <w:r>
        <w:rPr>
          <w:rFonts w:ascii="Arial" w:hAnsi="Arial" w:cs="Arial"/>
          <w:sz w:val="24"/>
          <w:szCs w:val="24"/>
        </w:rPr>
        <w:t>51 (2), pp.154-173</w:t>
      </w:r>
    </w:p>
    <w:p w14:paraId="0D3EEFF0" w14:textId="2B82A48E" w:rsidR="00140353" w:rsidRDefault="00140353" w:rsidP="00F763F2">
      <w:pPr>
        <w:spacing w:line="360" w:lineRule="auto"/>
        <w:jc w:val="both"/>
        <w:rPr>
          <w:rFonts w:ascii="Arial" w:hAnsi="Arial" w:cs="Arial"/>
          <w:sz w:val="24"/>
          <w:szCs w:val="24"/>
        </w:rPr>
      </w:pPr>
      <w:r w:rsidRPr="00930637">
        <w:rPr>
          <w:rFonts w:ascii="Arial" w:hAnsi="Arial" w:cs="Arial"/>
          <w:sz w:val="24"/>
          <w:szCs w:val="24"/>
        </w:rPr>
        <w:t xml:space="preserve">Sen, A., (2000), ‘Merit and Justice’, In K. J. Arrow, S. Bowles, and S. Durlauf (Eds.), </w:t>
      </w:r>
      <w:r w:rsidRPr="00930637">
        <w:rPr>
          <w:rFonts w:ascii="Arial" w:hAnsi="Arial" w:cs="Arial"/>
          <w:i/>
          <w:iCs/>
          <w:sz w:val="24"/>
          <w:szCs w:val="24"/>
        </w:rPr>
        <w:t>Meritocracy and economic inequality,</w:t>
      </w:r>
      <w:r w:rsidRPr="00930637">
        <w:rPr>
          <w:rFonts w:ascii="Arial" w:hAnsi="Arial" w:cs="Arial"/>
          <w:sz w:val="24"/>
          <w:szCs w:val="24"/>
        </w:rPr>
        <w:t xml:space="preserve"> Princeton: Princeton University Press, pp. 5–16</w:t>
      </w:r>
    </w:p>
    <w:p w14:paraId="7C9A9019" w14:textId="77777777" w:rsidR="00410BC8" w:rsidRDefault="00410BC8" w:rsidP="00410BC8">
      <w:pPr>
        <w:spacing w:line="360" w:lineRule="auto"/>
        <w:jc w:val="both"/>
        <w:rPr>
          <w:rFonts w:ascii="Arial" w:hAnsi="Arial" w:cs="Arial"/>
          <w:sz w:val="24"/>
          <w:szCs w:val="24"/>
        </w:rPr>
      </w:pPr>
      <w:r w:rsidRPr="00530F7C">
        <w:rPr>
          <w:rFonts w:ascii="Arial" w:hAnsi="Arial" w:cs="Arial"/>
          <w:sz w:val="24"/>
          <w:szCs w:val="24"/>
        </w:rPr>
        <w:t xml:space="preserve">Shavit, Y., and Blossfeld, H. P., (eds.), (1993), </w:t>
      </w:r>
      <w:r w:rsidRPr="00530F7C">
        <w:rPr>
          <w:rFonts w:ascii="Arial" w:hAnsi="Arial" w:cs="Arial"/>
          <w:i/>
          <w:iCs/>
          <w:sz w:val="24"/>
          <w:szCs w:val="24"/>
        </w:rPr>
        <w:t xml:space="preserve">Persistent Inequality: Changing Educational Attainment in Thirteen Countries, </w:t>
      </w:r>
      <w:r w:rsidRPr="00530F7C">
        <w:rPr>
          <w:rFonts w:ascii="Arial" w:hAnsi="Arial" w:cs="Arial"/>
          <w:sz w:val="24"/>
          <w:szCs w:val="24"/>
        </w:rPr>
        <w:t>Boulder: Westview Press</w:t>
      </w:r>
    </w:p>
    <w:p w14:paraId="4DEF9E59" w14:textId="4E9F705A" w:rsidR="00410BC8" w:rsidRDefault="00410BC8" w:rsidP="00F763F2">
      <w:pPr>
        <w:spacing w:line="360" w:lineRule="auto"/>
        <w:jc w:val="both"/>
        <w:rPr>
          <w:rFonts w:ascii="Arial" w:hAnsi="Arial" w:cs="Arial"/>
          <w:sz w:val="24"/>
          <w:szCs w:val="24"/>
        </w:rPr>
      </w:pPr>
      <w:r w:rsidRPr="00305310">
        <w:rPr>
          <w:rFonts w:ascii="Arial" w:hAnsi="Arial" w:cs="Arial"/>
          <w:sz w:val="24"/>
          <w:szCs w:val="24"/>
        </w:rPr>
        <w:t xml:space="preserve">Shavit, Y., and Müller, W. (eds.), (1998), </w:t>
      </w:r>
      <w:r w:rsidRPr="00305310">
        <w:rPr>
          <w:rFonts w:ascii="Arial" w:hAnsi="Arial" w:cs="Arial"/>
          <w:i/>
          <w:iCs/>
          <w:sz w:val="24"/>
          <w:szCs w:val="24"/>
        </w:rPr>
        <w:t>From school to work: A comparative study of educational qualifications and occupational destinations,</w:t>
      </w:r>
      <w:r w:rsidRPr="00305310">
        <w:rPr>
          <w:rFonts w:ascii="Arial" w:hAnsi="Arial" w:cs="Arial"/>
          <w:sz w:val="24"/>
          <w:szCs w:val="24"/>
        </w:rPr>
        <w:t xml:space="preserve"> Oxford: Clarendon Press</w:t>
      </w:r>
    </w:p>
    <w:p w14:paraId="79751A1F" w14:textId="46963D10" w:rsidR="001857EB" w:rsidRDefault="001857EB" w:rsidP="00F763F2">
      <w:pPr>
        <w:spacing w:line="360" w:lineRule="auto"/>
        <w:jc w:val="both"/>
        <w:rPr>
          <w:rFonts w:ascii="Arial" w:hAnsi="Arial" w:cs="Arial"/>
          <w:sz w:val="24"/>
          <w:szCs w:val="24"/>
        </w:rPr>
      </w:pPr>
      <w:r>
        <w:rPr>
          <w:rFonts w:ascii="Arial" w:hAnsi="Arial" w:cs="Arial"/>
          <w:sz w:val="24"/>
          <w:szCs w:val="24"/>
        </w:rPr>
        <w:t xml:space="preserve">Shor, Ira, (1986), </w:t>
      </w:r>
      <w:r>
        <w:rPr>
          <w:rFonts w:ascii="Arial" w:hAnsi="Arial" w:cs="Arial"/>
          <w:i/>
          <w:iCs/>
          <w:sz w:val="24"/>
          <w:szCs w:val="24"/>
        </w:rPr>
        <w:t xml:space="preserve">Culture Wars: School and Society in the Conservative Restoration, </w:t>
      </w:r>
      <w:r>
        <w:rPr>
          <w:rFonts w:ascii="Arial" w:hAnsi="Arial" w:cs="Arial"/>
          <w:sz w:val="24"/>
          <w:szCs w:val="24"/>
        </w:rPr>
        <w:t>Chicago: University of Chicago Press</w:t>
      </w:r>
    </w:p>
    <w:p w14:paraId="2A8A9DE6" w14:textId="79E92EAB" w:rsidR="007045A8" w:rsidRDefault="007045A8" w:rsidP="00F763F2">
      <w:pPr>
        <w:spacing w:line="360" w:lineRule="auto"/>
        <w:jc w:val="both"/>
        <w:rPr>
          <w:rFonts w:ascii="Arial" w:hAnsi="Arial" w:cs="Arial"/>
          <w:sz w:val="24"/>
          <w:szCs w:val="24"/>
        </w:rPr>
      </w:pPr>
      <w:r w:rsidRPr="006A468C">
        <w:rPr>
          <w:rFonts w:ascii="Arial" w:hAnsi="Arial" w:cs="Arial"/>
          <w:sz w:val="24"/>
          <w:szCs w:val="24"/>
        </w:rPr>
        <w:t xml:space="preserve">Sidanius, J., Devereux, E., and Pratto, F., (1992), ‘A comparison of symbolic racism theory and social dominance theory as explanations for racial policy attitudes’, </w:t>
      </w:r>
      <w:r w:rsidRPr="007B77CC">
        <w:rPr>
          <w:rFonts w:ascii="Arial" w:hAnsi="Arial" w:cs="Arial"/>
          <w:i/>
          <w:iCs/>
          <w:sz w:val="24"/>
          <w:szCs w:val="24"/>
        </w:rPr>
        <w:t>Journal of Social Psychology</w:t>
      </w:r>
      <w:r w:rsidRPr="007B77CC">
        <w:rPr>
          <w:rFonts w:ascii="Arial" w:hAnsi="Arial" w:cs="Arial"/>
          <w:sz w:val="24"/>
          <w:szCs w:val="24"/>
        </w:rPr>
        <w:t>, 132, pp.377–395</w:t>
      </w:r>
    </w:p>
    <w:p w14:paraId="01B048B1" w14:textId="79E432D0" w:rsidR="000A12D2" w:rsidRPr="000A12D2" w:rsidRDefault="000A12D2" w:rsidP="00F763F2">
      <w:pPr>
        <w:spacing w:line="360" w:lineRule="auto"/>
        <w:jc w:val="both"/>
        <w:rPr>
          <w:rFonts w:ascii="Arial" w:hAnsi="Arial" w:cs="Arial"/>
          <w:sz w:val="32"/>
          <w:szCs w:val="32"/>
        </w:rPr>
      </w:pPr>
      <w:r w:rsidRPr="00D55A6F">
        <w:rPr>
          <w:rFonts w:ascii="Arial" w:hAnsi="Arial" w:cs="Arial"/>
          <w:sz w:val="24"/>
          <w:szCs w:val="24"/>
        </w:rPr>
        <w:t xml:space="preserve">Sirin, S. R., (2005), ‘Socioeconomic status and academic achievement: A meta-analytic review of research’, </w:t>
      </w:r>
      <w:r w:rsidRPr="00D55A6F">
        <w:rPr>
          <w:rFonts w:ascii="Arial" w:hAnsi="Arial" w:cs="Arial"/>
          <w:i/>
          <w:iCs/>
          <w:sz w:val="24"/>
          <w:szCs w:val="24"/>
        </w:rPr>
        <w:t>Review of Educational Research</w:t>
      </w:r>
      <w:r w:rsidRPr="00D55A6F">
        <w:rPr>
          <w:rFonts w:ascii="Arial" w:hAnsi="Arial" w:cs="Arial"/>
          <w:sz w:val="24"/>
          <w:szCs w:val="24"/>
        </w:rPr>
        <w:t>, 75, pp.417–453</w:t>
      </w:r>
    </w:p>
    <w:p w14:paraId="58487B0A" w14:textId="1E53BA40" w:rsidR="00480774" w:rsidRDefault="00480774" w:rsidP="00F763F2">
      <w:pPr>
        <w:spacing w:line="360" w:lineRule="auto"/>
        <w:jc w:val="both"/>
        <w:rPr>
          <w:rFonts w:ascii="Arial" w:hAnsi="Arial" w:cs="Arial"/>
          <w:sz w:val="24"/>
          <w:szCs w:val="24"/>
        </w:rPr>
      </w:pPr>
      <w:r w:rsidRPr="007B77CC">
        <w:rPr>
          <w:rFonts w:ascii="Arial" w:hAnsi="Arial" w:cs="Arial"/>
          <w:sz w:val="24"/>
          <w:szCs w:val="24"/>
        </w:rPr>
        <w:t xml:space="preserve">Son Hing, Leanne; Garcia, Donna M.; Bobocel, D. Ramona; Zanna, Mark O.; Gee, Stephanie S.; and Orazietti, Katie, (2011), ‘The Merit of Meritocracy’, </w:t>
      </w:r>
      <w:r w:rsidRPr="007B77CC">
        <w:rPr>
          <w:rFonts w:ascii="Arial" w:hAnsi="Arial" w:cs="Arial"/>
          <w:i/>
          <w:iCs/>
          <w:sz w:val="24"/>
          <w:szCs w:val="24"/>
        </w:rPr>
        <w:t xml:space="preserve">Journal of personality and social psychology, </w:t>
      </w:r>
      <w:r w:rsidRPr="007B77CC">
        <w:rPr>
          <w:rFonts w:ascii="Arial" w:hAnsi="Arial" w:cs="Arial"/>
          <w:sz w:val="24"/>
          <w:szCs w:val="24"/>
        </w:rPr>
        <w:t>101 (3), pp.433-450</w:t>
      </w:r>
    </w:p>
    <w:p w14:paraId="0D1CE9C4" w14:textId="351525E4" w:rsidR="00F578C9" w:rsidRDefault="00F578C9" w:rsidP="00F763F2">
      <w:pPr>
        <w:spacing w:line="360" w:lineRule="auto"/>
        <w:jc w:val="both"/>
        <w:rPr>
          <w:rFonts w:ascii="Arial" w:hAnsi="Arial" w:cs="Arial"/>
          <w:sz w:val="24"/>
          <w:szCs w:val="24"/>
        </w:rPr>
      </w:pPr>
      <w:r>
        <w:rPr>
          <w:rFonts w:ascii="Arial" w:hAnsi="Arial" w:cs="Arial"/>
          <w:sz w:val="24"/>
          <w:szCs w:val="24"/>
        </w:rPr>
        <w:t xml:space="preserve">Souto-Otero, Manuel, (2010), ‘Education, meritocracy and redistribution’, </w:t>
      </w:r>
      <w:r>
        <w:rPr>
          <w:rFonts w:ascii="Arial" w:hAnsi="Arial" w:cs="Arial"/>
          <w:i/>
          <w:iCs/>
          <w:sz w:val="24"/>
          <w:szCs w:val="24"/>
        </w:rPr>
        <w:t xml:space="preserve">Journal of educational policy, </w:t>
      </w:r>
      <w:r>
        <w:rPr>
          <w:rFonts w:ascii="Arial" w:hAnsi="Arial" w:cs="Arial"/>
          <w:sz w:val="24"/>
          <w:szCs w:val="24"/>
        </w:rPr>
        <w:t>25 (3), pp.397-413</w:t>
      </w:r>
    </w:p>
    <w:p w14:paraId="69E7E1C2" w14:textId="420444DF" w:rsidR="00730048" w:rsidRDefault="00730048" w:rsidP="00F763F2">
      <w:pPr>
        <w:spacing w:line="360" w:lineRule="auto"/>
        <w:jc w:val="both"/>
        <w:rPr>
          <w:rFonts w:ascii="Arial" w:hAnsi="Arial" w:cs="Arial"/>
          <w:sz w:val="24"/>
          <w:szCs w:val="24"/>
        </w:rPr>
      </w:pPr>
      <w:r>
        <w:rPr>
          <w:rFonts w:ascii="Arial" w:hAnsi="Arial" w:cs="Arial"/>
          <w:sz w:val="24"/>
          <w:szCs w:val="24"/>
        </w:rPr>
        <w:lastRenderedPageBreak/>
        <w:t xml:space="preserve">Stanworth, M., (1984), ‘Women and Class Analysis: A Reply to John Goldthorpe’, </w:t>
      </w:r>
      <w:r>
        <w:rPr>
          <w:rFonts w:ascii="Arial" w:hAnsi="Arial" w:cs="Arial"/>
          <w:i/>
          <w:iCs/>
          <w:sz w:val="24"/>
          <w:szCs w:val="24"/>
        </w:rPr>
        <w:t xml:space="preserve">Sociology, </w:t>
      </w:r>
      <w:r>
        <w:rPr>
          <w:rFonts w:ascii="Arial" w:hAnsi="Arial" w:cs="Arial"/>
          <w:sz w:val="24"/>
          <w:szCs w:val="24"/>
        </w:rPr>
        <w:t>18, pp.159-170</w:t>
      </w:r>
    </w:p>
    <w:p w14:paraId="38D2F4E1" w14:textId="4D44F5D5" w:rsidR="002D0D63" w:rsidRPr="002D0D63" w:rsidRDefault="002D0D63" w:rsidP="00F763F2">
      <w:pPr>
        <w:spacing w:line="360" w:lineRule="auto"/>
        <w:jc w:val="both"/>
        <w:rPr>
          <w:rFonts w:ascii="Arial" w:hAnsi="Arial" w:cs="Arial"/>
          <w:sz w:val="28"/>
          <w:szCs w:val="28"/>
        </w:rPr>
      </w:pPr>
      <w:r w:rsidRPr="00DA31DD">
        <w:rPr>
          <w:rFonts w:ascii="Arial" w:hAnsi="Arial" w:cs="Arial"/>
          <w:sz w:val="24"/>
          <w:szCs w:val="24"/>
        </w:rPr>
        <w:t xml:space="preserve">Steele, C. M., (2011), </w:t>
      </w:r>
      <w:r w:rsidRPr="00DA31DD">
        <w:rPr>
          <w:rFonts w:ascii="Arial" w:hAnsi="Arial" w:cs="Arial"/>
          <w:i/>
          <w:iCs/>
          <w:sz w:val="24"/>
          <w:szCs w:val="24"/>
        </w:rPr>
        <w:t>Whistling Vivaldi: How stereotypes affect us and what we can do (issues of our time),</w:t>
      </w:r>
      <w:r w:rsidRPr="00DA31DD">
        <w:rPr>
          <w:rFonts w:ascii="Arial" w:hAnsi="Arial" w:cs="Arial"/>
          <w:sz w:val="24"/>
          <w:szCs w:val="24"/>
        </w:rPr>
        <w:t xml:space="preserve"> New York: W. W: Norton &amp; Company</w:t>
      </w:r>
    </w:p>
    <w:p w14:paraId="5B3941AE" w14:textId="57BF3C63" w:rsidR="0061332F" w:rsidRDefault="0061332F" w:rsidP="00F763F2">
      <w:pPr>
        <w:spacing w:line="360" w:lineRule="auto"/>
        <w:jc w:val="both"/>
        <w:rPr>
          <w:rFonts w:ascii="Arial" w:hAnsi="Arial" w:cs="Arial"/>
          <w:sz w:val="24"/>
          <w:szCs w:val="24"/>
        </w:rPr>
      </w:pPr>
      <w:r w:rsidRPr="00977325">
        <w:rPr>
          <w:rFonts w:ascii="Arial" w:hAnsi="Arial" w:cs="Arial"/>
          <w:sz w:val="24"/>
          <w:szCs w:val="24"/>
        </w:rPr>
        <w:t xml:space="preserve">Stephens, N. M.; Markus, H. R., and Phillips, L. T., (2014), ‘Social class culture cycles: How three gateway contexts shape selves and fuel inequality’, </w:t>
      </w:r>
      <w:r w:rsidRPr="00977325">
        <w:rPr>
          <w:rFonts w:ascii="Arial" w:hAnsi="Arial" w:cs="Arial"/>
          <w:i/>
          <w:iCs/>
          <w:sz w:val="24"/>
          <w:szCs w:val="24"/>
        </w:rPr>
        <w:t>Annual Review of Psychology</w:t>
      </w:r>
      <w:r w:rsidRPr="00977325">
        <w:rPr>
          <w:rFonts w:ascii="Arial" w:hAnsi="Arial" w:cs="Arial"/>
          <w:sz w:val="24"/>
          <w:szCs w:val="24"/>
        </w:rPr>
        <w:t>, 65 (1), pp.611–634</w:t>
      </w:r>
    </w:p>
    <w:p w14:paraId="5E7C8791" w14:textId="7A424D2C" w:rsidR="00AB1411" w:rsidRDefault="00AB1411" w:rsidP="00F763F2">
      <w:pPr>
        <w:spacing w:line="360" w:lineRule="auto"/>
        <w:jc w:val="both"/>
        <w:rPr>
          <w:rFonts w:ascii="Arial" w:hAnsi="Arial" w:cs="Arial"/>
          <w:sz w:val="24"/>
          <w:szCs w:val="24"/>
        </w:rPr>
      </w:pPr>
      <w:r w:rsidRPr="00A62635">
        <w:rPr>
          <w:rFonts w:ascii="Arial" w:hAnsi="Arial" w:cs="Arial"/>
          <w:sz w:val="24"/>
          <w:szCs w:val="24"/>
        </w:rPr>
        <w:t>Stevens, M., (2008), ‘Culture and education’</w:t>
      </w:r>
      <w:r w:rsidRPr="00A62635">
        <w:rPr>
          <w:rFonts w:ascii="Arial" w:hAnsi="Arial" w:cs="Arial"/>
          <w:i/>
          <w:iCs/>
          <w:sz w:val="24"/>
          <w:szCs w:val="24"/>
        </w:rPr>
        <w:t>, Annals of the American Academy of Political and Social Science</w:t>
      </w:r>
      <w:r w:rsidRPr="00A62635">
        <w:rPr>
          <w:rFonts w:ascii="Arial" w:hAnsi="Arial" w:cs="Arial"/>
          <w:sz w:val="24"/>
          <w:szCs w:val="24"/>
        </w:rPr>
        <w:t>, 619, pp.97-113</w:t>
      </w:r>
    </w:p>
    <w:p w14:paraId="5C977A2F" w14:textId="7667F378" w:rsidR="004348F7" w:rsidRDefault="004348F7" w:rsidP="00F763F2">
      <w:pPr>
        <w:spacing w:line="360" w:lineRule="auto"/>
        <w:jc w:val="both"/>
        <w:rPr>
          <w:rFonts w:ascii="Arial" w:hAnsi="Arial" w:cs="Arial"/>
          <w:sz w:val="24"/>
          <w:szCs w:val="24"/>
        </w:rPr>
      </w:pPr>
      <w:r w:rsidRPr="00BE3F6C">
        <w:rPr>
          <w:rFonts w:ascii="Arial" w:hAnsi="Arial" w:cs="Arial"/>
          <w:sz w:val="24"/>
          <w:szCs w:val="24"/>
        </w:rPr>
        <w:t xml:space="preserve">Sutton Trust, (2012), ‘The educational backgrounds of the nation’s leading people’, Accessed via: </w:t>
      </w:r>
      <w:hyperlink r:id="rId12" w:history="1">
        <w:r w:rsidRPr="00BE3F6C">
          <w:rPr>
            <w:rStyle w:val="Hyperlink"/>
            <w:rFonts w:ascii="Arial" w:hAnsi="Arial" w:cs="Arial"/>
            <w:sz w:val="24"/>
            <w:szCs w:val="24"/>
          </w:rPr>
          <w:t>http://www.suttontrust.com/research/the-educational-backgrounds-of-the-nations-leading-people/</w:t>
        </w:r>
      </w:hyperlink>
      <w:r w:rsidRPr="00BE3F6C">
        <w:rPr>
          <w:rFonts w:ascii="Arial" w:hAnsi="Arial" w:cs="Arial"/>
          <w:sz w:val="24"/>
          <w:szCs w:val="24"/>
        </w:rPr>
        <w:t>, Accessed on: 10/02/2023</w:t>
      </w:r>
    </w:p>
    <w:p w14:paraId="0CF42AD3" w14:textId="51201DE7" w:rsidR="00410BC8" w:rsidRDefault="00410BC8" w:rsidP="00F763F2">
      <w:pPr>
        <w:spacing w:line="360" w:lineRule="auto"/>
        <w:jc w:val="both"/>
        <w:rPr>
          <w:rFonts w:ascii="Arial" w:hAnsi="Arial" w:cs="Arial"/>
          <w:sz w:val="24"/>
          <w:szCs w:val="24"/>
        </w:rPr>
      </w:pPr>
      <w:r w:rsidRPr="00305310">
        <w:rPr>
          <w:rFonts w:ascii="Arial" w:hAnsi="Arial" w:cs="Arial"/>
          <w:sz w:val="24"/>
          <w:szCs w:val="24"/>
        </w:rPr>
        <w:t>Swift, A.</w:t>
      </w:r>
      <w:r>
        <w:rPr>
          <w:rFonts w:ascii="Arial" w:hAnsi="Arial" w:cs="Arial"/>
          <w:sz w:val="24"/>
          <w:szCs w:val="24"/>
        </w:rPr>
        <w:t>,</w:t>
      </w:r>
      <w:r w:rsidRPr="00305310">
        <w:rPr>
          <w:rFonts w:ascii="Arial" w:hAnsi="Arial" w:cs="Arial"/>
          <w:sz w:val="24"/>
          <w:szCs w:val="24"/>
        </w:rPr>
        <w:t xml:space="preserve"> </w:t>
      </w:r>
      <w:r>
        <w:rPr>
          <w:rFonts w:ascii="Arial" w:hAnsi="Arial" w:cs="Arial"/>
          <w:sz w:val="24"/>
          <w:szCs w:val="24"/>
        </w:rPr>
        <w:t>(</w:t>
      </w:r>
      <w:r w:rsidRPr="00305310">
        <w:rPr>
          <w:rFonts w:ascii="Arial" w:hAnsi="Arial" w:cs="Arial"/>
          <w:sz w:val="24"/>
          <w:szCs w:val="24"/>
        </w:rPr>
        <w:t>2004</w:t>
      </w:r>
      <w:r>
        <w:rPr>
          <w:rFonts w:ascii="Arial" w:hAnsi="Arial" w:cs="Arial"/>
          <w:sz w:val="24"/>
          <w:szCs w:val="24"/>
        </w:rPr>
        <w:t>),</w:t>
      </w:r>
      <w:r w:rsidRPr="00305310">
        <w:rPr>
          <w:rFonts w:ascii="Arial" w:hAnsi="Arial" w:cs="Arial"/>
          <w:sz w:val="24"/>
          <w:szCs w:val="24"/>
        </w:rPr>
        <w:t xml:space="preserve"> </w:t>
      </w:r>
      <w:r>
        <w:rPr>
          <w:rFonts w:ascii="Arial" w:hAnsi="Arial" w:cs="Arial"/>
          <w:sz w:val="24"/>
          <w:szCs w:val="24"/>
        </w:rPr>
        <w:t>‘</w:t>
      </w:r>
      <w:r w:rsidRPr="00305310">
        <w:rPr>
          <w:rFonts w:ascii="Arial" w:hAnsi="Arial" w:cs="Arial"/>
          <w:sz w:val="24"/>
          <w:szCs w:val="24"/>
        </w:rPr>
        <w:t>Would perfect mobility be perfect?</w:t>
      </w:r>
      <w:r>
        <w:rPr>
          <w:rFonts w:ascii="Arial" w:hAnsi="Arial" w:cs="Arial"/>
          <w:sz w:val="24"/>
          <w:szCs w:val="24"/>
        </w:rPr>
        <w:t xml:space="preserve">’, </w:t>
      </w:r>
      <w:r w:rsidRPr="00305310">
        <w:rPr>
          <w:rFonts w:ascii="Arial" w:hAnsi="Arial" w:cs="Arial"/>
          <w:i/>
          <w:iCs/>
          <w:sz w:val="24"/>
          <w:szCs w:val="24"/>
        </w:rPr>
        <w:t>European Sociological Review</w:t>
      </w:r>
      <w:r>
        <w:rPr>
          <w:rFonts w:ascii="Arial" w:hAnsi="Arial" w:cs="Arial"/>
          <w:sz w:val="24"/>
          <w:szCs w:val="24"/>
        </w:rPr>
        <w:t xml:space="preserve">, </w:t>
      </w:r>
      <w:r w:rsidRPr="00305310">
        <w:rPr>
          <w:rFonts w:ascii="Arial" w:hAnsi="Arial" w:cs="Arial"/>
          <w:sz w:val="24"/>
          <w:szCs w:val="24"/>
        </w:rPr>
        <w:t>20</w:t>
      </w:r>
      <w:r>
        <w:rPr>
          <w:rFonts w:ascii="Arial" w:hAnsi="Arial" w:cs="Arial"/>
          <w:sz w:val="24"/>
          <w:szCs w:val="24"/>
        </w:rPr>
        <w:t xml:space="preserve"> (</w:t>
      </w:r>
      <w:r w:rsidRPr="00305310">
        <w:rPr>
          <w:rFonts w:ascii="Arial" w:hAnsi="Arial" w:cs="Arial"/>
          <w:sz w:val="24"/>
          <w:szCs w:val="24"/>
        </w:rPr>
        <w:t>1</w:t>
      </w:r>
      <w:r>
        <w:rPr>
          <w:rFonts w:ascii="Arial" w:hAnsi="Arial" w:cs="Arial"/>
          <w:sz w:val="24"/>
          <w:szCs w:val="24"/>
        </w:rPr>
        <w:t>), pp.</w:t>
      </w:r>
      <w:r w:rsidRPr="00305310">
        <w:rPr>
          <w:rFonts w:ascii="Arial" w:hAnsi="Arial" w:cs="Arial"/>
          <w:sz w:val="24"/>
          <w:szCs w:val="24"/>
        </w:rPr>
        <w:t>1–11</w:t>
      </w:r>
    </w:p>
    <w:p w14:paraId="233FD5BD" w14:textId="48115D54" w:rsidR="00FC2051" w:rsidRDefault="00FC2051" w:rsidP="00F763F2">
      <w:pPr>
        <w:spacing w:line="360" w:lineRule="auto"/>
        <w:jc w:val="both"/>
        <w:rPr>
          <w:rFonts w:ascii="Arial" w:hAnsi="Arial" w:cs="Arial"/>
          <w:sz w:val="24"/>
          <w:szCs w:val="24"/>
        </w:rPr>
      </w:pPr>
      <w:r>
        <w:rPr>
          <w:rFonts w:ascii="Arial" w:hAnsi="Arial" w:cs="Arial"/>
          <w:sz w:val="24"/>
          <w:szCs w:val="24"/>
        </w:rPr>
        <w:t xml:space="preserve">Taylor, Mark and O’Brien, Dave, (2017), ‘’Culture is a Meritocracy’: Why Creative Worker’s Attitudes may Reinforce Social Inequality’, </w:t>
      </w:r>
      <w:r>
        <w:rPr>
          <w:rFonts w:ascii="Arial" w:hAnsi="Arial" w:cs="Arial"/>
          <w:i/>
          <w:iCs/>
          <w:sz w:val="24"/>
          <w:szCs w:val="24"/>
        </w:rPr>
        <w:t xml:space="preserve">Sociological Research Online, </w:t>
      </w:r>
      <w:r>
        <w:rPr>
          <w:rFonts w:ascii="Arial" w:hAnsi="Arial" w:cs="Arial"/>
          <w:sz w:val="24"/>
          <w:szCs w:val="24"/>
        </w:rPr>
        <w:t>22 (4), pp.27-47</w:t>
      </w:r>
    </w:p>
    <w:p w14:paraId="0EE6E1E7" w14:textId="2BCC60EF" w:rsidR="009C5AF1" w:rsidRDefault="009C5AF1" w:rsidP="00F763F2">
      <w:pPr>
        <w:spacing w:line="360" w:lineRule="auto"/>
        <w:jc w:val="both"/>
        <w:rPr>
          <w:rFonts w:ascii="Arial" w:hAnsi="Arial" w:cs="Arial"/>
          <w:sz w:val="24"/>
          <w:szCs w:val="24"/>
        </w:rPr>
      </w:pPr>
      <w:r>
        <w:rPr>
          <w:rFonts w:ascii="Arial" w:hAnsi="Arial" w:cs="Arial"/>
          <w:sz w:val="24"/>
          <w:szCs w:val="24"/>
        </w:rPr>
        <w:t xml:space="preserve">Tjaden, J. D., and Hunkler, C., (2017), ‘The Optimism Trap: Migrants’ Educational Choices in Stratified Education Systems, </w:t>
      </w:r>
      <w:r>
        <w:rPr>
          <w:rFonts w:ascii="Arial" w:hAnsi="Arial" w:cs="Arial"/>
          <w:i/>
          <w:iCs/>
          <w:sz w:val="24"/>
          <w:szCs w:val="24"/>
        </w:rPr>
        <w:t xml:space="preserve">Social Science Research, </w:t>
      </w:r>
      <w:r>
        <w:rPr>
          <w:rFonts w:ascii="Arial" w:hAnsi="Arial" w:cs="Arial"/>
          <w:sz w:val="24"/>
          <w:szCs w:val="24"/>
        </w:rPr>
        <w:t>67 (3), pp.213-228</w:t>
      </w:r>
    </w:p>
    <w:p w14:paraId="5AAF717C" w14:textId="2D72F317" w:rsidR="006F161E" w:rsidRPr="006F161E" w:rsidRDefault="006F161E" w:rsidP="00F763F2">
      <w:pPr>
        <w:spacing w:line="360" w:lineRule="auto"/>
        <w:jc w:val="both"/>
        <w:rPr>
          <w:rFonts w:ascii="Arial" w:hAnsi="Arial" w:cs="Arial"/>
          <w:sz w:val="28"/>
          <w:szCs w:val="28"/>
        </w:rPr>
      </w:pPr>
      <w:r w:rsidRPr="00611670">
        <w:rPr>
          <w:rFonts w:ascii="Arial" w:hAnsi="Arial" w:cs="Arial"/>
          <w:sz w:val="24"/>
          <w:szCs w:val="24"/>
        </w:rPr>
        <w:t xml:space="preserve">Trautwein, U.; Ludtke, O.; Koller, O., and Baumert, J., (2006), ‘Self-esteem, academic self-concept, and achievement: How the learning environment moderates the dynamics of self-concept’, </w:t>
      </w:r>
      <w:r w:rsidRPr="00611670">
        <w:rPr>
          <w:rFonts w:ascii="Arial" w:hAnsi="Arial" w:cs="Arial"/>
          <w:i/>
          <w:iCs/>
          <w:sz w:val="24"/>
          <w:szCs w:val="24"/>
        </w:rPr>
        <w:t>Journal of Personality and Social Psychology</w:t>
      </w:r>
      <w:r w:rsidRPr="00611670">
        <w:rPr>
          <w:rFonts w:ascii="Arial" w:hAnsi="Arial" w:cs="Arial"/>
          <w:sz w:val="24"/>
          <w:szCs w:val="24"/>
        </w:rPr>
        <w:t>, 90, pp.334–349</w:t>
      </w:r>
    </w:p>
    <w:p w14:paraId="0F701CCA" w14:textId="73B1F8FF" w:rsidR="003A7C0F" w:rsidRDefault="003A7C0F" w:rsidP="00F763F2">
      <w:pPr>
        <w:spacing w:line="360" w:lineRule="auto"/>
        <w:jc w:val="both"/>
        <w:rPr>
          <w:rFonts w:ascii="Arial" w:hAnsi="Arial" w:cs="Arial"/>
          <w:sz w:val="24"/>
          <w:szCs w:val="24"/>
        </w:rPr>
      </w:pPr>
      <w:r w:rsidRPr="00BD74A7">
        <w:rPr>
          <w:rFonts w:ascii="Arial" w:hAnsi="Arial" w:cs="Arial"/>
          <w:sz w:val="24"/>
          <w:szCs w:val="24"/>
        </w:rPr>
        <w:t xml:space="preserve">Tzanakis, Michael, (2011), ‘Bourdieu’s Social Reproduction Thesis and The Role of Cultural Capital in Educational Attainment: A Critical Review of Key Empirical Studies’, </w:t>
      </w:r>
      <w:r w:rsidRPr="00BD74A7">
        <w:rPr>
          <w:rFonts w:ascii="Arial" w:hAnsi="Arial" w:cs="Arial"/>
          <w:i/>
          <w:iCs/>
          <w:sz w:val="24"/>
          <w:szCs w:val="24"/>
        </w:rPr>
        <w:t xml:space="preserve">Educate, </w:t>
      </w:r>
      <w:r w:rsidRPr="00BD74A7">
        <w:rPr>
          <w:rFonts w:ascii="Arial" w:hAnsi="Arial" w:cs="Arial"/>
          <w:sz w:val="24"/>
          <w:szCs w:val="24"/>
        </w:rPr>
        <w:t>11 (1), pp. 76-90</w:t>
      </w:r>
    </w:p>
    <w:p w14:paraId="576BF933" w14:textId="77777777" w:rsidR="00F0527A" w:rsidRDefault="00F0527A" w:rsidP="00F0527A">
      <w:pPr>
        <w:spacing w:line="360" w:lineRule="auto"/>
        <w:jc w:val="both"/>
        <w:rPr>
          <w:rFonts w:ascii="Arial" w:hAnsi="Arial" w:cs="Arial"/>
          <w:sz w:val="24"/>
          <w:szCs w:val="24"/>
        </w:rPr>
      </w:pPr>
      <w:r w:rsidRPr="00611670">
        <w:rPr>
          <w:rFonts w:ascii="Arial" w:hAnsi="Arial" w:cs="Arial"/>
          <w:sz w:val="24"/>
          <w:szCs w:val="24"/>
        </w:rPr>
        <w:t xml:space="preserve">Usher, E. L., and Pajares, F., (2008), ‘Sources of self-efficacy in school: Critical review of the literature and future directions’, </w:t>
      </w:r>
      <w:r w:rsidRPr="00611670">
        <w:rPr>
          <w:rFonts w:ascii="Arial" w:hAnsi="Arial" w:cs="Arial"/>
          <w:i/>
          <w:iCs/>
          <w:sz w:val="24"/>
          <w:szCs w:val="24"/>
        </w:rPr>
        <w:t>Review of Educational Research</w:t>
      </w:r>
      <w:r w:rsidRPr="00611670">
        <w:rPr>
          <w:rFonts w:ascii="Arial" w:hAnsi="Arial" w:cs="Arial"/>
          <w:sz w:val="24"/>
          <w:szCs w:val="24"/>
        </w:rPr>
        <w:t>, 78, pp.751–796</w:t>
      </w:r>
    </w:p>
    <w:p w14:paraId="0DAA4028" w14:textId="1F26BFF3" w:rsidR="00F0527A" w:rsidRDefault="00F0527A" w:rsidP="00F763F2">
      <w:pPr>
        <w:spacing w:line="360" w:lineRule="auto"/>
        <w:jc w:val="both"/>
        <w:rPr>
          <w:rFonts w:ascii="Arial" w:hAnsi="Arial" w:cs="Arial"/>
          <w:sz w:val="24"/>
          <w:szCs w:val="24"/>
        </w:rPr>
      </w:pPr>
      <w:r w:rsidRPr="00611670">
        <w:rPr>
          <w:rFonts w:ascii="Arial" w:hAnsi="Arial" w:cs="Arial"/>
          <w:sz w:val="24"/>
          <w:szCs w:val="24"/>
        </w:rPr>
        <w:lastRenderedPageBreak/>
        <w:t xml:space="preserve">Usher, E. L., and Pajares, F., (2008), ‘Sources of self-efficacy in school: Critical review of the literature and future directions’, </w:t>
      </w:r>
      <w:r w:rsidRPr="00611670">
        <w:rPr>
          <w:rFonts w:ascii="Arial" w:hAnsi="Arial" w:cs="Arial"/>
          <w:i/>
          <w:iCs/>
          <w:sz w:val="24"/>
          <w:szCs w:val="24"/>
        </w:rPr>
        <w:t>Review of Educational Research</w:t>
      </w:r>
      <w:r w:rsidRPr="00611670">
        <w:rPr>
          <w:rFonts w:ascii="Arial" w:hAnsi="Arial" w:cs="Arial"/>
          <w:sz w:val="24"/>
          <w:szCs w:val="24"/>
        </w:rPr>
        <w:t>, 78, pp.751–796</w:t>
      </w:r>
    </w:p>
    <w:p w14:paraId="4781D3F0" w14:textId="0BFE72F7" w:rsidR="001857EB" w:rsidRDefault="001857EB" w:rsidP="00F763F2">
      <w:pPr>
        <w:spacing w:line="360" w:lineRule="auto"/>
        <w:jc w:val="both"/>
        <w:rPr>
          <w:rFonts w:ascii="Arial" w:hAnsi="Arial" w:cs="Arial"/>
          <w:sz w:val="24"/>
          <w:szCs w:val="24"/>
        </w:rPr>
      </w:pPr>
      <w:r w:rsidRPr="00A823D5">
        <w:rPr>
          <w:rFonts w:ascii="Arial" w:hAnsi="Arial" w:cs="Arial"/>
          <w:sz w:val="24"/>
          <w:szCs w:val="24"/>
        </w:rPr>
        <w:t xml:space="preserve">Van de Werfhorst, H. G., and Mijs, J. J. B., (2010), ‘Achievement inequality and the institutional structure of educational systems: A comparative perspective’, </w:t>
      </w:r>
      <w:r w:rsidRPr="00A823D5">
        <w:rPr>
          <w:rFonts w:ascii="Arial" w:hAnsi="Arial" w:cs="Arial"/>
          <w:i/>
          <w:iCs/>
          <w:sz w:val="24"/>
          <w:szCs w:val="24"/>
        </w:rPr>
        <w:t>Annual Review of Sociology</w:t>
      </w:r>
      <w:r w:rsidRPr="00A823D5">
        <w:rPr>
          <w:rFonts w:ascii="Arial" w:hAnsi="Arial" w:cs="Arial"/>
          <w:sz w:val="24"/>
          <w:szCs w:val="24"/>
        </w:rPr>
        <w:t>, 36, pp. 407–428</w:t>
      </w:r>
    </w:p>
    <w:p w14:paraId="3B8D1A17" w14:textId="1321DFA6" w:rsidR="004348F7" w:rsidRPr="004348F7" w:rsidRDefault="004348F7" w:rsidP="00F763F2">
      <w:pPr>
        <w:spacing w:line="360" w:lineRule="auto"/>
        <w:jc w:val="both"/>
        <w:rPr>
          <w:rFonts w:ascii="Arial" w:hAnsi="Arial" w:cs="Arial"/>
          <w:sz w:val="24"/>
          <w:szCs w:val="24"/>
        </w:rPr>
      </w:pPr>
      <w:r>
        <w:rPr>
          <w:rFonts w:ascii="Arial" w:hAnsi="Arial" w:cs="Arial"/>
          <w:sz w:val="24"/>
          <w:szCs w:val="24"/>
        </w:rPr>
        <w:t xml:space="preserve">Vargas, Manuel, (2010), </w:t>
      </w:r>
      <w:r>
        <w:rPr>
          <w:rFonts w:ascii="Arial" w:hAnsi="Arial" w:cs="Arial"/>
          <w:i/>
          <w:iCs/>
          <w:sz w:val="24"/>
          <w:szCs w:val="24"/>
        </w:rPr>
        <w:t xml:space="preserve">The Oxford Handbook of Moral Psychology, </w:t>
      </w:r>
      <w:r>
        <w:rPr>
          <w:rFonts w:ascii="Arial" w:hAnsi="Arial" w:cs="Arial"/>
          <w:sz w:val="24"/>
          <w:szCs w:val="24"/>
        </w:rPr>
        <w:t>Oxford: Oxford University Press</w:t>
      </w:r>
    </w:p>
    <w:p w14:paraId="686C94C8" w14:textId="6ACDF03C" w:rsidR="002D0D63" w:rsidRDefault="002D0D63" w:rsidP="00F763F2">
      <w:pPr>
        <w:spacing w:line="360" w:lineRule="auto"/>
        <w:jc w:val="both"/>
        <w:rPr>
          <w:rFonts w:ascii="Arial" w:hAnsi="Arial" w:cs="Arial"/>
          <w:sz w:val="24"/>
          <w:szCs w:val="24"/>
        </w:rPr>
      </w:pPr>
      <w:r w:rsidRPr="00DA31DD">
        <w:rPr>
          <w:rFonts w:ascii="Arial" w:hAnsi="Arial" w:cs="Arial"/>
          <w:sz w:val="24"/>
          <w:szCs w:val="24"/>
        </w:rPr>
        <w:t xml:space="preserve">Walton, G. M.; Spencer, S. J., and Erman, S., (2013), ‘Affirmative meritocracy’, </w:t>
      </w:r>
      <w:r w:rsidRPr="00DA31DD">
        <w:rPr>
          <w:rFonts w:ascii="Arial" w:hAnsi="Arial" w:cs="Arial"/>
          <w:i/>
          <w:iCs/>
          <w:sz w:val="24"/>
          <w:szCs w:val="24"/>
        </w:rPr>
        <w:t>Social Issues and Policy Review</w:t>
      </w:r>
      <w:r w:rsidRPr="00DA31DD">
        <w:rPr>
          <w:rFonts w:ascii="Arial" w:hAnsi="Arial" w:cs="Arial"/>
          <w:sz w:val="24"/>
          <w:szCs w:val="24"/>
        </w:rPr>
        <w:t>, 7 (1), pp.1–35</w:t>
      </w:r>
    </w:p>
    <w:p w14:paraId="4B2DAD18" w14:textId="65A80E16" w:rsidR="00EC6725" w:rsidRDefault="00EC6725" w:rsidP="00F763F2">
      <w:pPr>
        <w:spacing w:line="360" w:lineRule="auto"/>
        <w:jc w:val="both"/>
        <w:rPr>
          <w:rFonts w:ascii="Arial" w:hAnsi="Arial" w:cs="Arial"/>
          <w:sz w:val="24"/>
          <w:szCs w:val="24"/>
        </w:rPr>
      </w:pPr>
      <w:r>
        <w:rPr>
          <w:rFonts w:ascii="Arial" w:hAnsi="Arial" w:cs="Arial"/>
          <w:sz w:val="24"/>
          <w:szCs w:val="24"/>
        </w:rPr>
        <w:t xml:space="preserve">Warikoo, Natasha Kumar, and Fuhr, Christina, (2014), ‘Legitimating status: perceptions of meritocracy and inequality among undergraduates at an Elite British University’, </w:t>
      </w:r>
      <w:r>
        <w:rPr>
          <w:rFonts w:ascii="Arial" w:hAnsi="Arial" w:cs="Arial"/>
          <w:i/>
          <w:iCs/>
          <w:sz w:val="24"/>
          <w:szCs w:val="24"/>
        </w:rPr>
        <w:t xml:space="preserve">British educational research journal, </w:t>
      </w:r>
      <w:r>
        <w:rPr>
          <w:rFonts w:ascii="Arial" w:hAnsi="Arial" w:cs="Arial"/>
          <w:sz w:val="24"/>
          <w:szCs w:val="24"/>
        </w:rPr>
        <w:t>40 (4), pp.699-717</w:t>
      </w:r>
    </w:p>
    <w:p w14:paraId="7B315F7E" w14:textId="7498EE93" w:rsidR="006A441F" w:rsidRDefault="006A441F" w:rsidP="00F763F2">
      <w:pPr>
        <w:spacing w:line="360" w:lineRule="auto"/>
        <w:jc w:val="both"/>
        <w:rPr>
          <w:rFonts w:ascii="Arial" w:hAnsi="Arial" w:cs="Arial"/>
          <w:sz w:val="24"/>
          <w:szCs w:val="24"/>
        </w:rPr>
      </w:pPr>
      <w:r>
        <w:rPr>
          <w:rFonts w:ascii="Arial" w:hAnsi="Arial" w:cs="Arial"/>
          <w:sz w:val="24"/>
          <w:szCs w:val="24"/>
        </w:rPr>
        <w:t xml:space="preserve">Weber, Max, (1961), </w:t>
      </w:r>
      <w:r>
        <w:rPr>
          <w:rFonts w:ascii="Arial" w:hAnsi="Arial" w:cs="Arial"/>
          <w:i/>
          <w:iCs/>
          <w:sz w:val="24"/>
          <w:szCs w:val="24"/>
        </w:rPr>
        <w:t xml:space="preserve">General Economic History, </w:t>
      </w:r>
      <w:r>
        <w:rPr>
          <w:rFonts w:ascii="Arial" w:hAnsi="Arial" w:cs="Arial"/>
          <w:sz w:val="24"/>
          <w:szCs w:val="24"/>
        </w:rPr>
        <w:t>New York: Collier</w:t>
      </w:r>
    </w:p>
    <w:p w14:paraId="2A057344" w14:textId="2D926589" w:rsidR="00410BC8" w:rsidRPr="00410BC8" w:rsidRDefault="00410BC8" w:rsidP="00F763F2">
      <w:pPr>
        <w:spacing w:line="360" w:lineRule="auto"/>
        <w:jc w:val="both"/>
        <w:rPr>
          <w:rFonts w:ascii="Arial" w:hAnsi="Arial" w:cs="Arial"/>
          <w:sz w:val="28"/>
          <w:szCs w:val="28"/>
        </w:rPr>
      </w:pPr>
      <w:r w:rsidRPr="00D55A6F">
        <w:rPr>
          <w:rFonts w:ascii="Arial" w:hAnsi="Arial" w:cs="Arial"/>
          <w:sz w:val="24"/>
          <w:szCs w:val="24"/>
        </w:rPr>
        <w:t xml:space="preserve">White, K., (1982), ‘The relation between socioeconomic status and academic achievement’, </w:t>
      </w:r>
      <w:r w:rsidRPr="00D55A6F">
        <w:rPr>
          <w:rFonts w:ascii="Arial" w:hAnsi="Arial" w:cs="Arial"/>
          <w:i/>
          <w:iCs/>
          <w:sz w:val="24"/>
          <w:szCs w:val="24"/>
        </w:rPr>
        <w:t>Psychological Bulletin</w:t>
      </w:r>
      <w:r w:rsidRPr="00D55A6F">
        <w:rPr>
          <w:rFonts w:ascii="Arial" w:hAnsi="Arial" w:cs="Arial"/>
          <w:sz w:val="24"/>
          <w:szCs w:val="24"/>
        </w:rPr>
        <w:t>, 91, pp.461–481</w:t>
      </w:r>
    </w:p>
    <w:p w14:paraId="10C460AC" w14:textId="0BC75E2F" w:rsidR="00A66CE8" w:rsidRDefault="00A66CE8" w:rsidP="00F763F2">
      <w:pPr>
        <w:spacing w:line="360" w:lineRule="auto"/>
        <w:jc w:val="both"/>
        <w:rPr>
          <w:rFonts w:ascii="Arial" w:hAnsi="Arial" w:cs="Arial"/>
          <w:sz w:val="24"/>
          <w:szCs w:val="24"/>
        </w:rPr>
      </w:pPr>
      <w:r w:rsidRPr="00086FC8">
        <w:rPr>
          <w:rFonts w:ascii="Arial" w:hAnsi="Arial" w:cs="Arial"/>
          <w:sz w:val="24"/>
          <w:szCs w:val="24"/>
        </w:rPr>
        <w:t xml:space="preserve">Wiederkehr, V.; Darnon, C.; Chazal, S.; Guimond, S., and Martinot, D., (2015), ‘From social class to self-efficacy: Internalization of low social status pupils’ school performance’, </w:t>
      </w:r>
      <w:r w:rsidRPr="00086FC8">
        <w:rPr>
          <w:rFonts w:ascii="Arial" w:hAnsi="Arial" w:cs="Arial"/>
          <w:i/>
          <w:iCs/>
          <w:sz w:val="24"/>
          <w:szCs w:val="24"/>
        </w:rPr>
        <w:t>Social Psychology of Education: An International Journal</w:t>
      </w:r>
      <w:r w:rsidRPr="00086FC8">
        <w:rPr>
          <w:rFonts w:ascii="Arial" w:hAnsi="Arial" w:cs="Arial"/>
          <w:sz w:val="24"/>
          <w:szCs w:val="24"/>
        </w:rPr>
        <w:t>, 18, pp.769–784</w:t>
      </w:r>
    </w:p>
    <w:p w14:paraId="7A74E6B8" w14:textId="0C85177D" w:rsidR="00AB1411" w:rsidRPr="00AB1411" w:rsidRDefault="00AB1411" w:rsidP="00F763F2">
      <w:pPr>
        <w:spacing w:line="360" w:lineRule="auto"/>
        <w:jc w:val="both"/>
        <w:rPr>
          <w:rFonts w:ascii="Arial" w:hAnsi="Arial" w:cs="Arial"/>
          <w:sz w:val="24"/>
          <w:szCs w:val="24"/>
        </w:rPr>
      </w:pPr>
      <w:r w:rsidRPr="00A62635">
        <w:rPr>
          <w:rFonts w:ascii="Arial" w:hAnsi="Arial" w:cs="Arial"/>
          <w:sz w:val="24"/>
          <w:szCs w:val="24"/>
        </w:rPr>
        <w:t xml:space="preserve">Willis, P. E., (1977), </w:t>
      </w:r>
      <w:r w:rsidRPr="00A62635">
        <w:rPr>
          <w:rFonts w:ascii="Arial" w:hAnsi="Arial" w:cs="Arial"/>
          <w:i/>
          <w:iCs/>
          <w:sz w:val="24"/>
          <w:szCs w:val="24"/>
        </w:rPr>
        <w:t>Learning to labour: How working class kids get working class jobs</w:t>
      </w:r>
      <w:r w:rsidRPr="00A62635">
        <w:rPr>
          <w:rFonts w:ascii="Arial" w:hAnsi="Arial" w:cs="Arial"/>
          <w:sz w:val="24"/>
          <w:szCs w:val="24"/>
        </w:rPr>
        <w:t xml:space="preserve">, </w:t>
      </w:r>
      <w:r>
        <w:rPr>
          <w:rFonts w:ascii="Arial" w:hAnsi="Arial" w:cs="Arial"/>
          <w:sz w:val="24"/>
          <w:szCs w:val="24"/>
        </w:rPr>
        <w:t>Aldershot: Ashgate</w:t>
      </w:r>
    </w:p>
    <w:p w14:paraId="610C867A" w14:textId="7FF52947" w:rsidR="00EA6F5E" w:rsidRDefault="00EA6F5E" w:rsidP="00F763F2">
      <w:pPr>
        <w:spacing w:line="360" w:lineRule="auto"/>
        <w:jc w:val="both"/>
        <w:rPr>
          <w:rFonts w:ascii="Arial" w:hAnsi="Arial" w:cs="Arial"/>
          <w:sz w:val="24"/>
          <w:szCs w:val="24"/>
        </w:rPr>
      </w:pPr>
      <w:r w:rsidRPr="00A62635">
        <w:rPr>
          <w:rFonts w:ascii="Arial" w:hAnsi="Arial" w:cs="Arial"/>
          <w:sz w:val="24"/>
          <w:szCs w:val="24"/>
        </w:rPr>
        <w:t>Willis, P. E., (197</w:t>
      </w:r>
      <w:r>
        <w:rPr>
          <w:rFonts w:ascii="Arial" w:hAnsi="Arial" w:cs="Arial"/>
          <w:sz w:val="24"/>
          <w:szCs w:val="24"/>
        </w:rPr>
        <w:t>9</w:t>
      </w:r>
      <w:r w:rsidRPr="00A62635">
        <w:rPr>
          <w:rFonts w:ascii="Arial" w:hAnsi="Arial" w:cs="Arial"/>
          <w:sz w:val="24"/>
          <w:szCs w:val="24"/>
        </w:rPr>
        <w:t xml:space="preserve">), </w:t>
      </w:r>
      <w:r w:rsidRPr="00A62635">
        <w:rPr>
          <w:rFonts w:ascii="Arial" w:hAnsi="Arial" w:cs="Arial"/>
          <w:i/>
          <w:iCs/>
          <w:sz w:val="24"/>
          <w:szCs w:val="24"/>
        </w:rPr>
        <w:t>Learning to labour: How working class kids get working class jobs</w:t>
      </w:r>
      <w:r>
        <w:rPr>
          <w:rFonts w:ascii="Arial" w:hAnsi="Arial" w:cs="Arial"/>
          <w:i/>
          <w:iCs/>
          <w:sz w:val="24"/>
          <w:szCs w:val="24"/>
        </w:rPr>
        <w:t xml:space="preserve"> (Second edition)</w:t>
      </w:r>
      <w:r w:rsidRPr="00A62635">
        <w:rPr>
          <w:rFonts w:ascii="Arial" w:hAnsi="Arial" w:cs="Arial"/>
          <w:sz w:val="24"/>
          <w:szCs w:val="24"/>
        </w:rPr>
        <w:t>, Farnborough: Saxon House</w:t>
      </w:r>
    </w:p>
    <w:p w14:paraId="157C9D5F" w14:textId="0CA1F9ED" w:rsidR="00F11C73" w:rsidRDefault="00F11C73" w:rsidP="00F763F2">
      <w:pPr>
        <w:spacing w:line="360" w:lineRule="auto"/>
        <w:jc w:val="both"/>
        <w:rPr>
          <w:rFonts w:ascii="Arial" w:hAnsi="Arial" w:cs="Arial"/>
          <w:sz w:val="24"/>
          <w:szCs w:val="24"/>
        </w:rPr>
      </w:pPr>
      <w:r w:rsidRPr="00416BCE">
        <w:rPr>
          <w:rFonts w:ascii="Arial" w:hAnsi="Arial" w:cs="Arial"/>
          <w:sz w:val="24"/>
          <w:szCs w:val="24"/>
        </w:rPr>
        <w:t xml:space="preserve">Young, M., (1958), </w:t>
      </w:r>
      <w:r w:rsidRPr="00416BCE">
        <w:rPr>
          <w:rFonts w:ascii="Arial" w:hAnsi="Arial" w:cs="Arial"/>
          <w:i/>
          <w:iCs/>
          <w:sz w:val="24"/>
          <w:szCs w:val="24"/>
        </w:rPr>
        <w:t>The rise of the meritocracy,</w:t>
      </w:r>
      <w:r w:rsidRPr="00416BCE">
        <w:rPr>
          <w:rFonts w:ascii="Arial" w:hAnsi="Arial" w:cs="Arial"/>
          <w:sz w:val="24"/>
          <w:szCs w:val="24"/>
        </w:rPr>
        <w:t xml:space="preserve"> London: Thames &amp; Hudson</w:t>
      </w:r>
    </w:p>
    <w:p w14:paraId="69C70119" w14:textId="77777777" w:rsidR="00013AE5" w:rsidRPr="0065144E" w:rsidRDefault="00013AE5" w:rsidP="00F763F2">
      <w:pPr>
        <w:spacing w:line="360" w:lineRule="auto"/>
        <w:jc w:val="both"/>
        <w:rPr>
          <w:rFonts w:ascii="Arial" w:hAnsi="Arial" w:cs="Arial"/>
          <w:sz w:val="32"/>
          <w:szCs w:val="32"/>
        </w:rPr>
      </w:pPr>
      <w:r w:rsidRPr="0065144E">
        <w:rPr>
          <w:rFonts w:ascii="Arial" w:hAnsi="Arial" w:cs="Arial"/>
          <w:sz w:val="24"/>
          <w:szCs w:val="24"/>
        </w:rPr>
        <w:t xml:space="preserve">Young, M., (1994), ‘Meritocracy revisited’, </w:t>
      </w:r>
      <w:r w:rsidRPr="0065144E">
        <w:rPr>
          <w:rFonts w:ascii="Arial" w:hAnsi="Arial" w:cs="Arial"/>
          <w:i/>
          <w:iCs/>
          <w:sz w:val="24"/>
          <w:szCs w:val="24"/>
        </w:rPr>
        <w:t>Society</w:t>
      </w:r>
      <w:r w:rsidRPr="0065144E">
        <w:rPr>
          <w:rFonts w:ascii="Arial" w:hAnsi="Arial" w:cs="Arial"/>
          <w:sz w:val="24"/>
          <w:szCs w:val="24"/>
        </w:rPr>
        <w:t>, 31 (6), pp.87–89</w:t>
      </w:r>
    </w:p>
    <w:p w14:paraId="3CFDA59B" w14:textId="77777777" w:rsidR="00013AE5" w:rsidRDefault="00013AE5" w:rsidP="00F763F2">
      <w:pPr>
        <w:spacing w:line="360" w:lineRule="auto"/>
        <w:jc w:val="both"/>
        <w:rPr>
          <w:rFonts w:ascii="Arial" w:hAnsi="Arial" w:cs="Arial"/>
          <w:sz w:val="24"/>
          <w:szCs w:val="24"/>
        </w:rPr>
      </w:pPr>
    </w:p>
    <w:p w14:paraId="34F0C093" w14:textId="77777777" w:rsidR="003213B9" w:rsidRPr="003213B9" w:rsidRDefault="003213B9" w:rsidP="00F763F2">
      <w:pPr>
        <w:spacing w:line="360" w:lineRule="auto"/>
        <w:jc w:val="both"/>
        <w:rPr>
          <w:rFonts w:ascii="Arial" w:hAnsi="Arial" w:cs="Arial"/>
          <w:sz w:val="24"/>
          <w:szCs w:val="24"/>
        </w:rPr>
      </w:pPr>
    </w:p>
    <w:sectPr w:rsidR="003213B9" w:rsidRPr="003213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80B6A"/>
    <w:multiLevelType w:val="hybridMultilevel"/>
    <w:tmpl w:val="4C6095F2"/>
    <w:lvl w:ilvl="0" w:tplc="D798A408">
      <w:start w:val="1"/>
      <w:numFmt w:val="bullet"/>
      <w:lvlText w:val=""/>
      <w:lvlJc w:val="left"/>
      <w:pPr>
        <w:ind w:left="720" w:hanging="360"/>
      </w:pPr>
      <w:rPr>
        <w:rFonts w:ascii="Symbol" w:hAnsi="Symbol" w:hint="default"/>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681C13"/>
    <w:multiLevelType w:val="hybridMultilevel"/>
    <w:tmpl w:val="6EDA2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F819C9"/>
    <w:multiLevelType w:val="hybridMultilevel"/>
    <w:tmpl w:val="0D327C44"/>
    <w:lvl w:ilvl="0" w:tplc="76D8D9A4">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C40830"/>
    <w:multiLevelType w:val="hybridMultilevel"/>
    <w:tmpl w:val="8C1A5B88"/>
    <w:lvl w:ilvl="0" w:tplc="3F3E86AA">
      <w:numFmt w:val="bullet"/>
      <w:lvlText w:val="-"/>
      <w:lvlJc w:val="left"/>
      <w:pPr>
        <w:ind w:left="720" w:hanging="360"/>
      </w:pPr>
      <w:rPr>
        <w:rFonts w:ascii="Arial" w:eastAsiaTheme="minorHAnsi" w:hAnsi="Arial" w:cs="Aria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806A8C"/>
    <w:multiLevelType w:val="hybridMultilevel"/>
    <w:tmpl w:val="BA9C94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E349EA"/>
    <w:multiLevelType w:val="hybridMultilevel"/>
    <w:tmpl w:val="D08AD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117FD2"/>
    <w:multiLevelType w:val="hybridMultilevel"/>
    <w:tmpl w:val="610209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AD612C"/>
    <w:multiLevelType w:val="hybridMultilevel"/>
    <w:tmpl w:val="5CA6A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AD4354"/>
    <w:multiLevelType w:val="hybridMultilevel"/>
    <w:tmpl w:val="FD2074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7C68AC"/>
    <w:multiLevelType w:val="hybridMultilevel"/>
    <w:tmpl w:val="FFEEDA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91209D"/>
    <w:multiLevelType w:val="hybridMultilevel"/>
    <w:tmpl w:val="CE8A2C76"/>
    <w:lvl w:ilvl="0" w:tplc="3F3E86AA">
      <w:numFmt w:val="bullet"/>
      <w:lvlText w:val="-"/>
      <w:lvlJc w:val="left"/>
      <w:pPr>
        <w:ind w:left="720" w:hanging="360"/>
      </w:pPr>
      <w:rPr>
        <w:rFonts w:ascii="Arial" w:eastAsiaTheme="minorHAnsi" w:hAnsi="Arial" w:cs="Aria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9699581">
    <w:abstractNumId w:val="0"/>
  </w:num>
  <w:num w:numId="2" w16cid:durableId="747774659">
    <w:abstractNumId w:val="4"/>
  </w:num>
  <w:num w:numId="3" w16cid:durableId="693111286">
    <w:abstractNumId w:val="5"/>
  </w:num>
  <w:num w:numId="4" w16cid:durableId="1473064221">
    <w:abstractNumId w:val="8"/>
  </w:num>
  <w:num w:numId="5" w16cid:durableId="910386995">
    <w:abstractNumId w:val="6"/>
  </w:num>
  <w:num w:numId="6" w16cid:durableId="946696039">
    <w:abstractNumId w:val="10"/>
  </w:num>
  <w:num w:numId="7" w16cid:durableId="167405593">
    <w:abstractNumId w:val="3"/>
  </w:num>
  <w:num w:numId="8" w16cid:durableId="813761645">
    <w:abstractNumId w:val="9"/>
  </w:num>
  <w:num w:numId="9" w16cid:durableId="1803232578">
    <w:abstractNumId w:val="1"/>
  </w:num>
  <w:num w:numId="10" w16cid:durableId="1574702213">
    <w:abstractNumId w:val="2"/>
  </w:num>
  <w:num w:numId="11" w16cid:durableId="171942877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3B9"/>
    <w:rsid w:val="00004695"/>
    <w:rsid w:val="00013AE5"/>
    <w:rsid w:val="000249BC"/>
    <w:rsid w:val="00036215"/>
    <w:rsid w:val="00036B28"/>
    <w:rsid w:val="000549E6"/>
    <w:rsid w:val="00055E32"/>
    <w:rsid w:val="00064F9B"/>
    <w:rsid w:val="00080149"/>
    <w:rsid w:val="00086E63"/>
    <w:rsid w:val="00086FC8"/>
    <w:rsid w:val="000A024B"/>
    <w:rsid w:val="000A12D2"/>
    <w:rsid w:val="000C21C4"/>
    <w:rsid w:val="000E1BA4"/>
    <w:rsid w:val="000E653E"/>
    <w:rsid w:val="0011217A"/>
    <w:rsid w:val="0012291B"/>
    <w:rsid w:val="00123344"/>
    <w:rsid w:val="0013164D"/>
    <w:rsid w:val="001357B9"/>
    <w:rsid w:val="00140353"/>
    <w:rsid w:val="00167915"/>
    <w:rsid w:val="001857EB"/>
    <w:rsid w:val="0019031E"/>
    <w:rsid w:val="001A73B7"/>
    <w:rsid w:val="001B01AC"/>
    <w:rsid w:val="001D4A0A"/>
    <w:rsid w:val="001E1A74"/>
    <w:rsid w:val="001F0DA4"/>
    <w:rsid w:val="001F1C1B"/>
    <w:rsid w:val="00207D68"/>
    <w:rsid w:val="00212090"/>
    <w:rsid w:val="00253D8F"/>
    <w:rsid w:val="0026029F"/>
    <w:rsid w:val="0027720D"/>
    <w:rsid w:val="00291E06"/>
    <w:rsid w:val="002961AA"/>
    <w:rsid w:val="002A0046"/>
    <w:rsid w:val="002D0D63"/>
    <w:rsid w:val="002D1DEE"/>
    <w:rsid w:val="002D2903"/>
    <w:rsid w:val="002E51E9"/>
    <w:rsid w:val="00305310"/>
    <w:rsid w:val="00320811"/>
    <w:rsid w:val="003213B9"/>
    <w:rsid w:val="00323B70"/>
    <w:rsid w:val="00355B89"/>
    <w:rsid w:val="0036509D"/>
    <w:rsid w:val="0037362F"/>
    <w:rsid w:val="0037652A"/>
    <w:rsid w:val="00395BAD"/>
    <w:rsid w:val="003A7C0F"/>
    <w:rsid w:val="003F5E5C"/>
    <w:rsid w:val="00400ED6"/>
    <w:rsid w:val="00410BC8"/>
    <w:rsid w:val="00416BCE"/>
    <w:rsid w:val="00432474"/>
    <w:rsid w:val="004348F7"/>
    <w:rsid w:val="00444641"/>
    <w:rsid w:val="00444FCA"/>
    <w:rsid w:val="00480774"/>
    <w:rsid w:val="004A581B"/>
    <w:rsid w:val="004B5314"/>
    <w:rsid w:val="004C1B46"/>
    <w:rsid w:val="004C41E0"/>
    <w:rsid w:val="004D562A"/>
    <w:rsid w:val="00502FFA"/>
    <w:rsid w:val="0051737F"/>
    <w:rsid w:val="00520152"/>
    <w:rsid w:val="005203F4"/>
    <w:rsid w:val="00530F7C"/>
    <w:rsid w:val="005333DF"/>
    <w:rsid w:val="00542E62"/>
    <w:rsid w:val="00544173"/>
    <w:rsid w:val="005451CB"/>
    <w:rsid w:val="005478B8"/>
    <w:rsid w:val="00551E9C"/>
    <w:rsid w:val="00553CBD"/>
    <w:rsid w:val="005559A3"/>
    <w:rsid w:val="0056414A"/>
    <w:rsid w:val="005675C6"/>
    <w:rsid w:val="00591F78"/>
    <w:rsid w:val="005B64C3"/>
    <w:rsid w:val="005D4046"/>
    <w:rsid w:val="005E53E0"/>
    <w:rsid w:val="005F7C18"/>
    <w:rsid w:val="00611670"/>
    <w:rsid w:val="0061332F"/>
    <w:rsid w:val="0061742F"/>
    <w:rsid w:val="00625D55"/>
    <w:rsid w:val="006310B1"/>
    <w:rsid w:val="0063280D"/>
    <w:rsid w:val="00645E16"/>
    <w:rsid w:val="0065144E"/>
    <w:rsid w:val="00665FA9"/>
    <w:rsid w:val="00691586"/>
    <w:rsid w:val="00692B3F"/>
    <w:rsid w:val="006A441F"/>
    <w:rsid w:val="006A468C"/>
    <w:rsid w:val="006A4BBD"/>
    <w:rsid w:val="006A4CFF"/>
    <w:rsid w:val="006B6348"/>
    <w:rsid w:val="006C765E"/>
    <w:rsid w:val="006E03E9"/>
    <w:rsid w:val="006E3BC3"/>
    <w:rsid w:val="006F161E"/>
    <w:rsid w:val="006F744A"/>
    <w:rsid w:val="006F7761"/>
    <w:rsid w:val="007045A8"/>
    <w:rsid w:val="00710DDA"/>
    <w:rsid w:val="00730048"/>
    <w:rsid w:val="007307FC"/>
    <w:rsid w:val="007600FE"/>
    <w:rsid w:val="0078280F"/>
    <w:rsid w:val="007A7B21"/>
    <w:rsid w:val="007B0F05"/>
    <w:rsid w:val="007B3526"/>
    <w:rsid w:val="007B77CC"/>
    <w:rsid w:val="007C61C8"/>
    <w:rsid w:val="007C67E3"/>
    <w:rsid w:val="007D5BDE"/>
    <w:rsid w:val="007E65E9"/>
    <w:rsid w:val="007F44FE"/>
    <w:rsid w:val="00811698"/>
    <w:rsid w:val="008345F0"/>
    <w:rsid w:val="00852E72"/>
    <w:rsid w:val="008602AC"/>
    <w:rsid w:val="008755F9"/>
    <w:rsid w:val="00894E37"/>
    <w:rsid w:val="008D5BEA"/>
    <w:rsid w:val="008D7B61"/>
    <w:rsid w:val="00905CA7"/>
    <w:rsid w:val="00914764"/>
    <w:rsid w:val="00930637"/>
    <w:rsid w:val="00955EB4"/>
    <w:rsid w:val="009675E7"/>
    <w:rsid w:val="00970856"/>
    <w:rsid w:val="00971A3B"/>
    <w:rsid w:val="00977325"/>
    <w:rsid w:val="0099192B"/>
    <w:rsid w:val="009B2D4C"/>
    <w:rsid w:val="009C5AF1"/>
    <w:rsid w:val="009F7F02"/>
    <w:rsid w:val="00A406FC"/>
    <w:rsid w:val="00A47215"/>
    <w:rsid w:val="00A62635"/>
    <w:rsid w:val="00A66CE8"/>
    <w:rsid w:val="00A70B22"/>
    <w:rsid w:val="00A823D5"/>
    <w:rsid w:val="00A95E2D"/>
    <w:rsid w:val="00AB1411"/>
    <w:rsid w:val="00AC0511"/>
    <w:rsid w:val="00AC085C"/>
    <w:rsid w:val="00AC3FC3"/>
    <w:rsid w:val="00B055C9"/>
    <w:rsid w:val="00B05BC5"/>
    <w:rsid w:val="00B151EB"/>
    <w:rsid w:val="00B20EC7"/>
    <w:rsid w:val="00B21D99"/>
    <w:rsid w:val="00B36282"/>
    <w:rsid w:val="00B45888"/>
    <w:rsid w:val="00B86419"/>
    <w:rsid w:val="00B9326B"/>
    <w:rsid w:val="00B93F5A"/>
    <w:rsid w:val="00BB602B"/>
    <w:rsid w:val="00BC5467"/>
    <w:rsid w:val="00BD74A7"/>
    <w:rsid w:val="00BE3F6C"/>
    <w:rsid w:val="00BE62E0"/>
    <w:rsid w:val="00C25E64"/>
    <w:rsid w:val="00C4066D"/>
    <w:rsid w:val="00C44D01"/>
    <w:rsid w:val="00C463ED"/>
    <w:rsid w:val="00C503FC"/>
    <w:rsid w:val="00C755EA"/>
    <w:rsid w:val="00C91234"/>
    <w:rsid w:val="00CA6525"/>
    <w:rsid w:val="00CD45EF"/>
    <w:rsid w:val="00CD50BD"/>
    <w:rsid w:val="00D0588A"/>
    <w:rsid w:val="00D1126A"/>
    <w:rsid w:val="00D133CA"/>
    <w:rsid w:val="00D16E62"/>
    <w:rsid w:val="00D22C06"/>
    <w:rsid w:val="00D33043"/>
    <w:rsid w:val="00D477CA"/>
    <w:rsid w:val="00D55A6F"/>
    <w:rsid w:val="00D62BCE"/>
    <w:rsid w:val="00D960A9"/>
    <w:rsid w:val="00DA31DD"/>
    <w:rsid w:val="00DC5BE1"/>
    <w:rsid w:val="00DC6686"/>
    <w:rsid w:val="00DC748F"/>
    <w:rsid w:val="00DF1419"/>
    <w:rsid w:val="00DF1586"/>
    <w:rsid w:val="00E15C36"/>
    <w:rsid w:val="00E7044E"/>
    <w:rsid w:val="00E74564"/>
    <w:rsid w:val="00EA6F5E"/>
    <w:rsid w:val="00EC6657"/>
    <w:rsid w:val="00EC6725"/>
    <w:rsid w:val="00ED4AED"/>
    <w:rsid w:val="00F00B5F"/>
    <w:rsid w:val="00F01E1F"/>
    <w:rsid w:val="00F0527A"/>
    <w:rsid w:val="00F05A61"/>
    <w:rsid w:val="00F11C73"/>
    <w:rsid w:val="00F2701D"/>
    <w:rsid w:val="00F523B2"/>
    <w:rsid w:val="00F578C9"/>
    <w:rsid w:val="00F7423A"/>
    <w:rsid w:val="00F763F2"/>
    <w:rsid w:val="00F77591"/>
    <w:rsid w:val="00FB0E2A"/>
    <w:rsid w:val="00FC0ED8"/>
    <w:rsid w:val="00FC2051"/>
    <w:rsid w:val="00FD006F"/>
    <w:rsid w:val="00FD1F01"/>
    <w:rsid w:val="00FE7A12"/>
    <w:rsid w:val="00FF0F68"/>
    <w:rsid w:val="00FF2E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66864"/>
  <w15:docId w15:val="{4FEB2DC3-F2DB-4453-A8C3-F5FBA325C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7B77CC"/>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10B1"/>
    <w:pPr>
      <w:ind w:left="720"/>
      <w:contextualSpacing/>
    </w:pPr>
  </w:style>
  <w:style w:type="character" w:customStyle="1" w:styleId="Heading4Char">
    <w:name w:val="Heading 4 Char"/>
    <w:basedOn w:val="DefaultParagraphFont"/>
    <w:link w:val="Heading4"/>
    <w:uiPriority w:val="9"/>
    <w:rsid w:val="007B77CC"/>
    <w:rPr>
      <w:rFonts w:ascii="Times New Roman" w:eastAsia="Times New Roman" w:hAnsi="Times New Roman" w:cs="Times New Roman"/>
      <w:b/>
      <w:bCs/>
      <w:sz w:val="24"/>
      <w:szCs w:val="24"/>
      <w:lang w:eastAsia="en-GB"/>
    </w:rPr>
  </w:style>
  <w:style w:type="character" w:styleId="Emphasis">
    <w:name w:val="Emphasis"/>
    <w:basedOn w:val="DefaultParagraphFont"/>
    <w:uiPriority w:val="20"/>
    <w:qFormat/>
    <w:rsid w:val="00291E06"/>
    <w:rPr>
      <w:i/>
      <w:iCs/>
    </w:rPr>
  </w:style>
  <w:style w:type="character" w:styleId="Hyperlink">
    <w:name w:val="Hyperlink"/>
    <w:basedOn w:val="DefaultParagraphFont"/>
    <w:uiPriority w:val="99"/>
    <w:unhideWhenUsed/>
    <w:rsid w:val="00291E06"/>
    <w:rPr>
      <w:color w:val="0000FF"/>
      <w:u w:val="single"/>
    </w:rPr>
  </w:style>
  <w:style w:type="character" w:styleId="FollowedHyperlink">
    <w:name w:val="FollowedHyperlink"/>
    <w:basedOn w:val="DefaultParagraphFont"/>
    <w:uiPriority w:val="99"/>
    <w:semiHidden/>
    <w:unhideWhenUsed/>
    <w:rsid w:val="00291E06"/>
    <w:rPr>
      <w:color w:val="954F72" w:themeColor="followedHyperlink"/>
      <w:u w:val="single"/>
    </w:rPr>
  </w:style>
  <w:style w:type="character" w:styleId="UnresolvedMention">
    <w:name w:val="Unresolved Mention"/>
    <w:basedOn w:val="DefaultParagraphFont"/>
    <w:uiPriority w:val="99"/>
    <w:semiHidden/>
    <w:unhideWhenUsed/>
    <w:rsid w:val="00BE3F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879351">
      <w:bodyDiv w:val="1"/>
      <w:marLeft w:val="0"/>
      <w:marRight w:val="0"/>
      <w:marTop w:val="0"/>
      <w:marBottom w:val="0"/>
      <w:divBdr>
        <w:top w:val="none" w:sz="0" w:space="0" w:color="auto"/>
        <w:left w:val="none" w:sz="0" w:space="0" w:color="auto"/>
        <w:bottom w:val="none" w:sz="0" w:space="0" w:color="auto"/>
        <w:right w:val="none" w:sz="0" w:space="0" w:color="auto"/>
      </w:divBdr>
      <w:divsChild>
        <w:div w:id="1446459072">
          <w:blockQuote w:val="1"/>
          <w:marLeft w:val="384"/>
          <w:marRight w:val="384"/>
          <w:marTop w:val="240"/>
          <w:marBottom w:val="240"/>
          <w:divBdr>
            <w:top w:val="none" w:sz="0" w:space="0" w:color="auto"/>
            <w:left w:val="none" w:sz="0" w:space="0" w:color="auto"/>
            <w:bottom w:val="none" w:sz="0" w:space="0" w:color="auto"/>
            <w:right w:val="none" w:sz="0" w:space="0" w:color="auto"/>
          </w:divBdr>
          <w:divsChild>
            <w:div w:id="211794165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 w:id="18401213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degruyter.com/document/doi/10.1515/zfsoz-2022-0011/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degruyter.com/document/doi/10.1515/zfsoz-2022-0011/html" TargetMode="External"/><Relationship Id="rId12" Type="http://schemas.openxmlformats.org/officeDocument/2006/relationships/hyperlink" Target="http://www.suttontrust.com/research/the-educational-backgrounds-of-the-nations-leading-peopl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degruyter.com/document/doi/10.1515/zfsoz-2022-0011/html" TargetMode="External"/><Relationship Id="rId11" Type="http://schemas.openxmlformats.org/officeDocument/2006/relationships/hyperlink" Target="https://cls.ucl.ac.uk/cls-studies/1958-national-child-development-study/" TargetMode="External"/><Relationship Id="rId5" Type="http://schemas.openxmlformats.org/officeDocument/2006/relationships/webSettings" Target="webSettings.xml"/><Relationship Id="rId10" Type="http://schemas.openxmlformats.org/officeDocument/2006/relationships/hyperlink" Target="https://journals-sagepub-com.ezproxy.uwtsd.ac.uk/reader/content/185f36790ee/10.1177/0263276418799866/format/epub/EPUB/xhtml/index.xhtml" TargetMode="External"/><Relationship Id="rId4" Type="http://schemas.openxmlformats.org/officeDocument/2006/relationships/settings" Target="settings.xml"/><Relationship Id="rId9" Type="http://schemas.openxmlformats.org/officeDocument/2006/relationships/hyperlink" Target="https://www.degruyter.com/document/doi/10.1515/zfsoz-2022-0011/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203F18-08E4-41E8-9529-5D8489D663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2341</TotalTime>
  <Pages>22</Pages>
  <Words>7327</Words>
  <Characters>41765</Characters>
  <Application>Microsoft Office Word</Application>
  <DocSecurity>0</DocSecurity>
  <Lines>348</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SALMON, Rachel (SHEFFIELD TEACHING HOSPITALS NHS FOUNDATION TRUST)</dc:creator>
  <cp:keywords/>
  <dc:description/>
  <cp:lastModifiedBy>SALMON, Rachel (SHEFFIELD TEACHING HOSPITALS NHS FOUNDATION TRUST)</cp:lastModifiedBy>
  <cp:revision>53</cp:revision>
  <dcterms:created xsi:type="dcterms:W3CDTF">2023-02-15T14:01:00Z</dcterms:created>
  <dcterms:modified xsi:type="dcterms:W3CDTF">2023-03-03T09:46:00Z</dcterms:modified>
</cp:coreProperties>
</file>