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8224930"/>
        <w:docPartObj>
          <w:docPartGallery w:val="Cover Pages"/>
          <w:docPartUnique/>
        </w:docPartObj>
      </w:sdtPr>
      <w:sdtContent>
        <w:p w14:paraId="72E363C7" w14:textId="4206F26C" w:rsidR="00E0199D" w:rsidRDefault="00E0199D"/>
        <w:p w14:paraId="47813AE3" w14:textId="135AB9FB" w:rsidR="00E0199D" w:rsidRDefault="005B2B00">
          <w:r>
            <w:rPr>
              <w:noProof/>
            </w:rPr>
            <mc:AlternateContent>
              <mc:Choice Requires="wps">
                <w:drawing>
                  <wp:anchor distT="0" distB="0" distL="114300" distR="114300" simplePos="0" relativeHeight="251660288" behindDoc="0" locked="0" layoutInCell="1" allowOverlap="1" wp14:anchorId="2254E276" wp14:editId="6958DF13">
                    <wp:simplePos x="0" y="0"/>
                    <wp:positionH relativeFrom="column">
                      <wp:posOffset>1739900</wp:posOffset>
                    </wp:positionH>
                    <wp:positionV relativeFrom="paragraph">
                      <wp:posOffset>3187700</wp:posOffset>
                    </wp:positionV>
                    <wp:extent cx="2558415" cy="94615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2558415" cy="946150"/>
                            </a:xfrm>
                            <a:prstGeom prst="rect">
                              <a:avLst/>
                            </a:prstGeom>
                            <a:noFill/>
                            <a:ln w="6350">
                              <a:noFill/>
                            </a:ln>
                          </wps:spPr>
                          <wps:txbx>
                            <w:txbxContent>
                              <w:p w14:paraId="2C32AB5D" w14:textId="540A2B20" w:rsidR="00C75C20" w:rsidRDefault="00C75C20" w:rsidP="003504F9">
                                <w:pPr>
                                  <w:rPr>
                                    <w:lang w:val="en-US"/>
                                  </w:rPr>
                                </w:pPr>
                                <w:r>
                                  <w:rPr>
                                    <w:lang w:val="en-US"/>
                                  </w:rPr>
                                  <w:t>Name of student:</w:t>
                                </w:r>
                                <w:r w:rsidR="00DE3D7B">
                                  <w:rPr>
                                    <w:lang w:val="en-US"/>
                                  </w:rPr>
                                  <w:t xml:space="preserve"> Ana Maria </w:t>
                                </w:r>
                                <w:proofErr w:type="spellStart"/>
                                <w:r w:rsidR="00DE3D7B">
                                  <w:rPr>
                                    <w:lang w:val="en-US"/>
                                  </w:rPr>
                                  <w:t>Ndreka</w:t>
                                </w:r>
                                <w:proofErr w:type="spellEnd"/>
                              </w:p>
                              <w:p w14:paraId="25253D46" w14:textId="19BEF6B2" w:rsidR="00DE3D7B" w:rsidRDefault="00DE3D7B" w:rsidP="003504F9">
                                <w:pPr>
                                  <w:rPr>
                                    <w:lang w:val="en-US"/>
                                  </w:rPr>
                                </w:pPr>
                                <w:r>
                                  <w:rPr>
                                    <w:lang w:val="en-US"/>
                                  </w:rPr>
                                  <w:t>Student no: 2118393</w:t>
                                </w:r>
                              </w:p>
                              <w:p w14:paraId="387CF3F9" w14:textId="7BB48A79" w:rsidR="00C75C20" w:rsidRPr="00C75C20" w:rsidRDefault="00C75C20" w:rsidP="003504F9">
                                <w:pPr>
                                  <w:rPr>
                                    <w:lang w:val="en-US"/>
                                  </w:rPr>
                                </w:pPr>
                                <w:r>
                                  <w:rPr>
                                    <w:lang w:val="en-US"/>
                                  </w:rPr>
                                  <w:t>Module lecturer:</w:t>
                                </w:r>
                                <w:r w:rsidR="00DE3D7B">
                                  <w:rPr>
                                    <w:lang w:val="en-US"/>
                                  </w:rPr>
                                  <w:t xml:space="preserve"> Kathryn Roberts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254E276" id="_x0000_t202" coordsize="21600,21600" o:spt="202" path="m,l,21600r21600,l21600,xe">
                    <v:stroke joinstyle="miter"/>
                    <v:path gradientshapeok="t" o:connecttype="rect"/>
                  </v:shapetype>
                  <v:shape id="Text Box 2" o:spid="_x0000_s1026" type="#_x0000_t202" style="position:absolute;margin-left:137pt;margin-top:251pt;width:201.45pt;height:7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" filled="f" stroked="f" strokeweight=".5pt">
                    <v:textbox>
                      <w:txbxContent>
                        <w:p w14:paraId="2C32AB5D" w14:textId="540A2B20" w:rsidR="00C75C20" w:rsidRDefault="00C75C20" w:rsidP="003504F9">
                          <w:pPr>
                            <w:rPr>
                              <w:lang w:val="en-US"/>
                            </w:rPr>
                          </w:pPr>
                          <w:r>
                            <w:rPr>
                              <w:lang w:val="en-US"/>
                            </w:rPr>
                            <w:t>Name of student:</w:t>
                          </w:r>
                          <w:r w:rsidR="00DE3D7B">
                            <w:rPr>
                              <w:lang w:val="en-US"/>
                            </w:rPr>
                            <w:t xml:space="preserve"> Ana Maria </w:t>
                          </w:r>
                          <w:proofErr w:type="spellStart"/>
                          <w:r w:rsidR="00DE3D7B">
                            <w:rPr>
                              <w:lang w:val="en-US"/>
                            </w:rPr>
                            <w:t>Ndreka</w:t>
                          </w:r>
                          <w:proofErr w:type="spellEnd"/>
                        </w:p>
                        <w:p w14:paraId="25253D46" w14:textId="19BEF6B2" w:rsidR="00DE3D7B" w:rsidRDefault="00DE3D7B" w:rsidP="003504F9">
                          <w:pPr>
                            <w:rPr>
                              <w:lang w:val="en-US"/>
                            </w:rPr>
                          </w:pPr>
                          <w:r>
                            <w:rPr>
                              <w:lang w:val="en-US"/>
                            </w:rPr>
                            <w:t>Student no: 2118393</w:t>
                          </w:r>
                        </w:p>
                        <w:p w14:paraId="387CF3F9" w14:textId="7BB48A79" w:rsidR="00C75C20" w:rsidRPr="00C75C20" w:rsidRDefault="00C75C20" w:rsidP="003504F9">
                          <w:pPr>
                            <w:rPr>
                              <w:lang w:val="en-US"/>
                            </w:rPr>
                          </w:pPr>
                          <w:r>
                            <w:rPr>
                              <w:lang w:val="en-US"/>
                            </w:rPr>
                            <w:t>Module lecturer:</w:t>
                          </w:r>
                          <w:r w:rsidR="00DE3D7B">
                            <w:rPr>
                              <w:lang w:val="en-US"/>
                            </w:rPr>
                            <w:t xml:space="preserve"> Kathryn Roberts</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F2E9A9F" wp14:editId="112A460F">
                    <wp:simplePos x="0" y="0"/>
                    <wp:positionH relativeFrom="margin">
                      <wp:posOffset>-1069648</wp:posOffset>
                    </wp:positionH>
                    <wp:positionV relativeFrom="page">
                      <wp:posOffset>2477483</wp:posOffset>
                    </wp:positionV>
                    <wp:extent cx="6901815" cy="1890395"/>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6901815" cy="18903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B8AB4" w14:textId="5A706EF6" w:rsidR="00E0199D" w:rsidRPr="00D37BEE" w:rsidRDefault="00000000" w:rsidP="00E0199D">
                                <w:pPr>
                                  <w:jc w:val="center"/>
                                  <w:rPr>
                                    <w:rFonts w:ascii="Arial" w:hAnsi="Arial" w:cs="Arial"/>
                                    <w:color w:val="4472C4" w:themeColor="accent1"/>
                                    <w:sz w:val="180"/>
                                    <w:szCs w:val="180"/>
                                  </w:rPr>
                                </w:pPr>
                                <w:sdt>
                                  <w:sdtPr>
                                    <w:rPr>
                                      <w:rFonts w:ascii="Arial"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37BEE" w:rsidRPr="00D37BEE">
                                      <w:rPr>
                                        <w:rFonts w:ascii="Arial" w:hAnsi="Arial" w:cs="Arial"/>
                                        <w:sz w:val="40"/>
                                        <w:szCs w:val="40"/>
                                      </w:rPr>
                                      <w:t>How to engage employees throughout the employee lifecycle</w:t>
                                    </w:r>
                                  </w:sdtContent>
                                </w:sdt>
                              </w:p>
                              <w:sdt>
                                <w:sdtPr>
                                  <w:rPr>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94DEE6" w14:textId="6DAD2B16" w:rsidR="00E0199D" w:rsidRDefault="003504F9" w:rsidP="0065180F">
                                    <w:pPr>
                                      <w:jc w:val="center"/>
                                      <w:rPr>
                                        <w:smallCaps/>
                                        <w:color w:val="404040" w:themeColor="text1" w:themeTint="BF"/>
                                        <w:sz w:val="36"/>
                                        <w:szCs w:val="36"/>
                                      </w:rPr>
                                    </w:pPr>
                                    <w:r w:rsidRPr="003504F9">
                                      <w:rPr>
                                        <w:sz w:val="28"/>
                                        <w:szCs w:val="28"/>
                                      </w:rPr>
                                      <w:t>Module: Personnel Resourcing and Development BMIH5005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2E9A9F" id="Text Box 154" o:spid="_x0000_s1027" type="#_x0000_t202" style="position:absolute;margin-left:-84.2pt;margin-top:195.1pt;width:543.45pt;height:148.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" filled="f" stroked="f" strokeweight=".5pt">
                    <v:textbox inset="126pt,0,54pt,0">
                      <w:txbxContent>
                        <w:p w14:paraId="0CCB8AB4" w14:textId="5A706EF6" w:rsidR="00E0199D" w:rsidRPr="00D37BEE" w:rsidRDefault="00000000" w:rsidP="00E0199D">
                          <w:pPr>
                            <w:jc w:val="center"/>
                            <w:rPr>
                              <w:rFonts w:ascii="Arial" w:hAnsi="Arial" w:cs="Arial"/>
                              <w:color w:val="4472C4" w:themeColor="accent1"/>
                              <w:sz w:val="180"/>
                              <w:szCs w:val="180"/>
                            </w:rPr>
                          </w:pPr>
                          <w:sdt>
                            <w:sdtPr>
                              <w:rPr>
                                <w:rFonts w:ascii="Arial"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37BEE" w:rsidRPr="00D37BEE">
                                <w:rPr>
                                  <w:rFonts w:ascii="Arial" w:hAnsi="Arial" w:cs="Arial"/>
                                  <w:sz w:val="40"/>
                                  <w:szCs w:val="40"/>
                                </w:rPr>
                                <w:t>How to engage employees throughout the employee lifecycle</w:t>
                              </w:r>
                            </w:sdtContent>
                          </w:sdt>
                        </w:p>
                        <w:sdt>
                          <w:sdtPr>
                            <w:rPr>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94DEE6" w14:textId="6DAD2B16" w:rsidR="00E0199D" w:rsidRDefault="003504F9" w:rsidP="0065180F">
                              <w:pPr>
                                <w:jc w:val="center"/>
                                <w:rPr>
                                  <w:smallCaps/>
                                  <w:color w:val="404040" w:themeColor="text1" w:themeTint="BF"/>
                                  <w:sz w:val="36"/>
                                  <w:szCs w:val="36"/>
                                </w:rPr>
                              </w:pPr>
                              <w:r w:rsidRPr="003504F9">
                                <w:rPr>
                                  <w:sz w:val="28"/>
                                  <w:szCs w:val="28"/>
                                </w:rPr>
                                <w:t>Module: Personnel Resourcing and Development BMIH5005</w:t>
                              </w:r>
                            </w:p>
                          </w:sdtContent>
                        </w:sdt>
                      </w:txbxContent>
                    </v:textbox>
                    <w10:wrap type="square" anchorx="margin" anchory="page"/>
                  </v:shape>
                </w:pict>
              </mc:Fallback>
            </mc:AlternateContent>
          </w:r>
          <w:r w:rsidR="00E0199D">
            <w:br w:type="page"/>
          </w:r>
        </w:p>
      </w:sdtContent>
    </w:sdt>
    <w:sdt>
      <w:sdtPr>
        <w:rPr>
          <w:rFonts w:asciiTheme="minorHAnsi" w:eastAsiaTheme="minorHAnsi" w:hAnsiTheme="minorHAnsi" w:cstheme="minorBidi"/>
          <w:color w:val="auto"/>
          <w:sz w:val="22"/>
          <w:szCs w:val="22"/>
          <w:lang w:val="en-GB"/>
        </w:rPr>
        <w:id w:val="2134669894"/>
        <w:docPartObj>
          <w:docPartGallery w:val="Table of Contents"/>
          <w:docPartUnique/>
        </w:docPartObj>
      </w:sdtPr>
      <w:sdtEndPr>
        <w:rPr>
          <w:b/>
          <w:bCs/>
          <w:noProof/>
        </w:rPr>
      </w:sdtEndPr>
      <w:sdtContent>
        <w:p w14:paraId="4755B6C9" w14:textId="219CA0B2" w:rsidR="00674C82" w:rsidRPr="00073C8C" w:rsidRDefault="00C3634A" w:rsidP="00073C8C">
          <w:pPr>
            <w:pStyle w:val="TOCHeading"/>
            <w:spacing w:line="360" w:lineRule="auto"/>
            <w:jc w:val="both"/>
            <w:rPr>
              <w:rFonts w:ascii="Arial" w:hAnsi="Arial" w:cs="Arial"/>
              <w:noProof/>
              <w:color w:val="auto"/>
            </w:rPr>
          </w:pPr>
          <w:r w:rsidRPr="00C3634A">
            <w:rPr>
              <w:rFonts w:ascii="Arial" w:hAnsi="Arial" w:cs="Arial"/>
              <w:color w:val="auto"/>
            </w:rPr>
            <w:t>Table of Contents</w:t>
          </w:r>
          <w:r>
            <w:fldChar w:fldCharType="begin"/>
          </w:r>
          <w:r>
            <w:instrText xml:space="preserve"> TOC \o "1-3" \h \z \u </w:instrText>
          </w:r>
          <w:r>
            <w:fldChar w:fldCharType="separate"/>
          </w:r>
        </w:p>
        <w:p w14:paraId="3E521519" w14:textId="11EB19D1" w:rsidR="00674C82" w:rsidRDefault="00000000">
          <w:pPr>
            <w:pStyle w:val="TOC1"/>
            <w:tabs>
              <w:tab w:val="right" w:leader="dot" w:pos="9016"/>
            </w:tabs>
            <w:rPr>
              <w:noProof/>
            </w:rPr>
          </w:pPr>
          <w:hyperlink w:anchor="_Toc127007915" w:history="1">
            <w:r w:rsidR="00674C82" w:rsidRPr="00E118D7">
              <w:rPr>
                <w:rStyle w:val="Hyperlink"/>
                <w:rFonts w:ascii="Arial" w:hAnsi="Arial" w:cs="Arial"/>
                <w:noProof/>
              </w:rPr>
              <w:t>Main Body</w:t>
            </w:r>
            <w:r w:rsidR="00674C82">
              <w:rPr>
                <w:noProof/>
                <w:webHidden/>
              </w:rPr>
              <w:tab/>
            </w:r>
            <w:r w:rsidR="00674C82">
              <w:rPr>
                <w:noProof/>
                <w:webHidden/>
              </w:rPr>
              <w:fldChar w:fldCharType="begin"/>
            </w:r>
            <w:r w:rsidR="00674C82">
              <w:rPr>
                <w:noProof/>
                <w:webHidden/>
              </w:rPr>
              <w:instrText xml:space="preserve"> PAGEREF _Toc127007915 \h </w:instrText>
            </w:r>
            <w:r w:rsidR="00674C82">
              <w:rPr>
                <w:noProof/>
                <w:webHidden/>
              </w:rPr>
            </w:r>
            <w:r w:rsidR="00674C82">
              <w:rPr>
                <w:noProof/>
                <w:webHidden/>
              </w:rPr>
              <w:fldChar w:fldCharType="separate"/>
            </w:r>
            <w:r w:rsidR="005E13B1">
              <w:rPr>
                <w:noProof/>
                <w:webHidden/>
              </w:rPr>
              <w:t>2</w:t>
            </w:r>
            <w:r w:rsidR="00674C82">
              <w:rPr>
                <w:noProof/>
                <w:webHidden/>
              </w:rPr>
              <w:fldChar w:fldCharType="end"/>
            </w:r>
          </w:hyperlink>
        </w:p>
        <w:p w14:paraId="6E003A98" w14:textId="0435A7CD" w:rsidR="00674C82" w:rsidRDefault="00000000">
          <w:pPr>
            <w:pStyle w:val="TOC1"/>
            <w:tabs>
              <w:tab w:val="right" w:leader="dot" w:pos="9016"/>
            </w:tabs>
            <w:rPr>
              <w:noProof/>
            </w:rPr>
          </w:pPr>
          <w:hyperlink w:anchor="_Toc127007916" w:history="1">
            <w:r w:rsidR="00674C82" w:rsidRPr="00E118D7">
              <w:rPr>
                <w:rStyle w:val="Hyperlink"/>
                <w:rFonts w:ascii="Arial" w:hAnsi="Arial" w:cs="Arial"/>
                <w:noProof/>
              </w:rPr>
              <w:t>Conclusion</w:t>
            </w:r>
            <w:r w:rsidR="00674C82">
              <w:rPr>
                <w:noProof/>
                <w:webHidden/>
              </w:rPr>
              <w:tab/>
            </w:r>
            <w:r w:rsidR="00674C82">
              <w:rPr>
                <w:noProof/>
                <w:webHidden/>
              </w:rPr>
              <w:fldChar w:fldCharType="begin"/>
            </w:r>
            <w:r w:rsidR="00674C82">
              <w:rPr>
                <w:noProof/>
                <w:webHidden/>
              </w:rPr>
              <w:instrText xml:space="preserve"> PAGEREF _Toc127007916 \h </w:instrText>
            </w:r>
            <w:r w:rsidR="00674C82">
              <w:rPr>
                <w:noProof/>
                <w:webHidden/>
              </w:rPr>
            </w:r>
            <w:r w:rsidR="00674C82">
              <w:rPr>
                <w:noProof/>
                <w:webHidden/>
              </w:rPr>
              <w:fldChar w:fldCharType="separate"/>
            </w:r>
            <w:r w:rsidR="005E13B1">
              <w:rPr>
                <w:noProof/>
                <w:webHidden/>
              </w:rPr>
              <w:t>8</w:t>
            </w:r>
            <w:r w:rsidR="00674C82">
              <w:rPr>
                <w:noProof/>
                <w:webHidden/>
              </w:rPr>
              <w:fldChar w:fldCharType="end"/>
            </w:r>
          </w:hyperlink>
        </w:p>
        <w:p w14:paraId="491F0F91" w14:textId="19D4C33F" w:rsidR="00C3634A" w:rsidRDefault="00C3634A" w:rsidP="00C3634A">
          <w:pPr>
            <w:spacing w:line="360" w:lineRule="auto"/>
            <w:jc w:val="both"/>
          </w:pPr>
          <w:r>
            <w:rPr>
              <w:b/>
              <w:bCs/>
              <w:noProof/>
            </w:rPr>
            <w:fldChar w:fldCharType="end"/>
          </w:r>
        </w:p>
      </w:sdtContent>
    </w:sdt>
    <w:p w14:paraId="0F4CC948" w14:textId="77777777" w:rsidR="00E87A56" w:rsidRDefault="00E87A56"/>
    <w:p w14:paraId="45948BC5" w14:textId="77777777" w:rsidR="00C3634A" w:rsidRDefault="00C3634A"/>
    <w:p w14:paraId="44B88F01" w14:textId="77777777" w:rsidR="00C3634A" w:rsidRDefault="00C3634A"/>
    <w:p w14:paraId="45E6D0F1" w14:textId="77777777" w:rsidR="00C3634A" w:rsidRDefault="00C3634A"/>
    <w:p w14:paraId="379B788E" w14:textId="77777777" w:rsidR="00C3634A" w:rsidRDefault="00C3634A"/>
    <w:p w14:paraId="01378F15" w14:textId="77777777" w:rsidR="00C3634A" w:rsidRDefault="00C3634A"/>
    <w:p w14:paraId="7468F769" w14:textId="77777777" w:rsidR="00C3634A" w:rsidRDefault="00C3634A"/>
    <w:p w14:paraId="63BC1FBC" w14:textId="77777777" w:rsidR="00C3634A" w:rsidRDefault="00C3634A"/>
    <w:p w14:paraId="62FE8F2D" w14:textId="77777777" w:rsidR="00C3634A" w:rsidRDefault="00C3634A"/>
    <w:p w14:paraId="38FC0B04" w14:textId="77777777" w:rsidR="00C3634A" w:rsidRDefault="00C3634A"/>
    <w:p w14:paraId="765DE9EA" w14:textId="77777777" w:rsidR="00C3634A" w:rsidRDefault="00C3634A"/>
    <w:p w14:paraId="371A66A9" w14:textId="77777777" w:rsidR="00C3634A" w:rsidRDefault="00C3634A"/>
    <w:p w14:paraId="7E9E9379" w14:textId="77777777" w:rsidR="00C3634A" w:rsidRDefault="00C3634A"/>
    <w:p w14:paraId="3DA4E528" w14:textId="77777777" w:rsidR="00C3634A" w:rsidRDefault="00C3634A"/>
    <w:p w14:paraId="3CA8E661" w14:textId="77777777" w:rsidR="00C3634A" w:rsidRDefault="00C3634A"/>
    <w:p w14:paraId="732A8666" w14:textId="77777777" w:rsidR="00C3634A" w:rsidRDefault="00C3634A"/>
    <w:p w14:paraId="6F4895F7" w14:textId="77777777" w:rsidR="00C3634A" w:rsidRDefault="00C3634A"/>
    <w:p w14:paraId="0A69CF89" w14:textId="77777777" w:rsidR="00C3634A" w:rsidRDefault="00C3634A"/>
    <w:p w14:paraId="235DBB34" w14:textId="77777777" w:rsidR="00C3634A" w:rsidRDefault="00C3634A"/>
    <w:p w14:paraId="7C5FB8DB" w14:textId="77777777" w:rsidR="00C3634A" w:rsidRDefault="00C3634A"/>
    <w:p w14:paraId="60A69D3D" w14:textId="77777777" w:rsidR="00C3634A" w:rsidRDefault="00C3634A"/>
    <w:p w14:paraId="411BB2C5" w14:textId="77777777" w:rsidR="00C3634A" w:rsidRDefault="00C3634A"/>
    <w:p w14:paraId="23D7A00A" w14:textId="77777777" w:rsidR="00C3634A" w:rsidRDefault="00C3634A"/>
    <w:p w14:paraId="441ABE19" w14:textId="77777777" w:rsidR="00C3634A" w:rsidRDefault="00C3634A"/>
    <w:p w14:paraId="5F04214D" w14:textId="77777777" w:rsidR="00C3634A" w:rsidRDefault="00C3634A"/>
    <w:p w14:paraId="6CFCE5D6" w14:textId="77777777" w:rsidR="00C3634A" w:rsidRDefault="00C3634A"/>
    <w:p w14:paraId="43168DCC" w14:textId="77777777" w:rsidR="00C71C82" w:rsidRDefault="00C71C82" w:rsidP="00855DB8">
      <w:pPr>
        <w:spacing w:line="360" w:lineRule="auto"/>
        <w:jc w:val="both"/>
        <w:rPr>
          <w:rFonts w:ascii="Arial" w:hAnsi="Arial" w:cs="Arial"/>
          <w:sz w:val="24"/>
          <w:szCs w:val="24"/>
        </w:rPr>
      </w:pPr>
    </w:p>
    <w:p w14:paraId="1FDE50AC" w14:textId="78EAE1DC" w:rsidR="00557954" w:rsidRDefault="00557954" w:rsidP="000B4FB7">
      <w:pPr>
        <w:pStyle w:val="Heading1"/>
        <w:spacing w:line="360" w:lineRule="auto"/>
        <w:rPr>
          <w:rFonts w:ascii="Arial" w:hAnsi="Arial" w:cs="Arial"/>
          <w:color w:val="auto"/>
        </w:rPr>
      </w:pPr>
      <w:bookmarkStart w:id="0" w:name="_Toc127007915"/>
      <w:r>
        <w:rPr>
          <w:rFonts w:ascii="Arial" w:hAnsi="Arial" w:cs="Arial"/>
          <w:color w:val="auto"/>
        </w:rPr>
        <w:lastRenderedPageBreak/>
        <w:t>Main Body</w:t>
      </w:r>
      <w:bookmarkEnd w:id="0"/>
    </w:p>
    <w:p w14:paraId="6EC26944" w14:textId="77777777" w:rsidR="00880C42" w:rsidRDefault="00210BF3" w:rsidP="000B4FB7">
      <w:pPr>
        <w:spacing w:line="360" w:lineRule="auto"/>
        <w:jc w:val="both"/>
        <w:rPr>
          <w:rFonts w:ascii="Arial" w:hAnsi="Arial" w:cs="Arial"/>
          <w:sz w:val="24"/>
          <w:szCs w:val="24"/>
        </w:rPr>
      </w:pPr>
      <w:r w:rsidRPr="00880C42">
        <w:rPr>
          <w:rFonts w:ascii="Arial" w:hAnsi="Arial" w:cs="Arial"/>
          <w:sz w:val="24"/>
          <w:szCs w:val="24"/>
        </w:rPr>
        <w:t>Employee engagement transcends beyond mere work happiness and drive. It might be interpreted as a mixture of dedication to the company and its principles and a readiness to support employees</w:t>
      </w:r>
      <w:r w:rsidR="00880C42" w:rsidRPr="00880C42">
        <w:rPr>
          <w:rFonts w:ascii="Arial" w:hAnsi="Arial" w:cs="Arial"/>
          <w:sz w:val="24"/>
          <w:szCs w:val="24"/>
        </w:rPr>
        <w:t xml:space="preserve"> (Information on employee engagement, 2023).</w:t>
      </w:r>
    </w:p>
    <w:p w14:paraId="51F6FEAA" w14:textId="0B3D5D26" w:rsidR="004A0915" w:rsidRDefault="0021110D" w:rsidP="000B4FB7">
      <w:pPr>
        <w:spacing w:line="360" w:lineRule="auto"/>
        <w:jc w:val="both"/>
        <w:rPr>
          <w:rFonts w:ascii="Arial" w:hAnsi="Arial" w:cs="Arial"/>
          <w:sz w:val="24"/>
          <w:szCs w:val="24"/>
        </w:rPr>
      </w:pPr>
      <w:r w:rsidRPr="0021110D">
        <w:rPr>
          <w:rFonts w:ascii="Arial" w:hAnsi="Arial" w:cs="Arial"/>
          <w:sz w:val="24"/>
          <w:szCs w:val="24"/>
        </w:rPr>
        <w:t xml:space="preserve">On all levels, HR has a crucial duty to play in encouraging employee engagement. Although there are </w:t>
      </w:r>
      <w:proofErr w:type="gramStart"/>
      <w:r w:rsidRPr="0021110D">
        <w:rPr>
          <w:rFonts w:ascii="Arial" w:hAnsi="Arial" w:cs="Arial"/>
          <w:sz w:val="24"/>
          <w:szCs w:val="24"/>
        </w:rPr>
        <w:t>particular employee</w:t>
      </w:r>
      <w:proofErr w:type="gramEnd"/>
      <w:r w:rsidRPr="0021110D">
        <w:rPr>
          <w:rFonts w:ascii="Arial" w:hAnsi="Arial" w:cs="Arial"/>
          <w:sz w:val="24"/>
          <w:szCs w:val="24"/>
        </w:rPr>
        <w:t xml:space="preserve"> engagement responsibilities and activities, everyone in HR should consider employee. There are many options for solutions, including satisfying work, outstanding managers, professional opportunities, education, competitive compensation and benefits, and consistency with organisational objectives. Essentially, companies need to get all the HR principles correctly if they want to attain a high level of employee </w:t>
      </w:r>
      <w:r w:rsidRPr="00DF2A43">
        <w:rPr>
          <w:rFonts w:ascii="Arial" w:hAnsi="Arial" w:cs="Arial"/>
          <w:sz w:val="24"/>
          <w:szCs w:val="24"/>
        </w:rPr>
        <w:t>engagement</w:t>
      </w:r>
      <w:r w:rsidR="00DF2A43" w:rsidRPr="00DF2A43">
        <w:rPr>
          <w:rFonts w:ascii="Arial" w:hAnsi="Arial" w:cs="Arial"/>
          <w:sz w:val="24"/>
          <w:szCs w:val="24"/>
        </w:rPr>
        <w:t xml:space="preserve"> (Mayne, 2017).</w:t>
      </w:r>
    </w:p>
    <w:p w14:paraId="7F480FE2" w14:textId="14063549" w:rsidR="000B4FB7" w:rsidRDefault="004A0915" w:rsidP="000B4FB7">
      <w:pPr>
        <w:spacing w:line="360" w:lineRule="auto"/>
        <w:jc w:val="both"/>
        <w:rPr>
          <w:rFonts w:ascii="Arial" w:hAnsi="Arial" w:cs="Arial"/>
          <w:sz w:val="24"/>
          <w:szCs w:val="24"/>
        </w:rPr>
      </w:pPr>
      <w:r w:rsidRPr="004A0915">
        <w:rPr>
          <w:rFonts w:ascii="Arial" w:hAnsi="Arial" w:cs="Arial"/>
          <w:sz w:val="24"/>
          <w:szCs w:val="24"/>
        </w:rPr>
        <w:t>The best supervisors and teammates, the use of the appropriate talents, the proper employment for them, and the perception that their professions are progressing a</w:t>
      </w:r>
      <w:r w:rsidR="00BB5069">
        <w:rPr>
          <w:rFonts w:ascii="Arial" w:hAnsi="Arial" w:cs="Arial"/>
          <w:sz w:val="24"/>
          <w:szCs w:val="24"/>
        </w:rPr>
        <w:t>t</w:t>
      </w:r>
      <w:r w:rsidRPr="004A0915">
        <w:rPr>
          <w:rFonts w:ascii="Arial" w:hAnsi="Arial" w:cs="Arial"/>
          <w:sz w:val="24"/>
          <w:szCs w:val="24"/>
        </w:rPr>
        <w:t xml:space="preserve"> all characteristics of employee engagement. HR must have a comprehensive understanding of the employer-employee agreement to ensure effective employee engagement. Moreover, HR is responsible for ensuring that workers have the necessary abilities, resources, and working conditions to do their tasks as effectively as possible. Additionally, HR must continue investing in employee development to preserve engagement high, ensure that individuals have a realistic route for job advancement. </w:t>
      </w:r>
      <w:r w:rsidR="00BA2AF8">
        <w:rPr>
          <w:rFonts w:ascii="Arial" w:hAnsi="Arial" w:cs="Arial"/>
          <w:sz w:val="24"/>
          <w:szCs w:val="24"/>
        </w:rPr>
        <w:t>Therefore, e</w:t>
      </w:r>
      <w:r w:rsidRPr="004A0915">
        <w:rPr>
          <w:rFonts w:ascii="Arial" w:hAnsi="Arial" w:cs="Arial"/>
          <w:sz w:val="24"/>
          <w:szCs w:val="24"/>
        </w:rPr>
        <w:t>mployees who are motivated are aware of their duties. Both social and professional goals are something they are working for</w:t>
      </w:r>
      <w:r w:rsidR="00DF2A43">
        <w:rPr>
          <w:rFonts w:ascii="Arial" w:hAnsi="Arial" w:cs="Arial"/>
          <w:sz w:val="24"/>
          <w:szCs w:val="24"/>
        </w:rPr>
        <w:t xml:space="preserve"> </w:t>
      </w:r>
      <w:r w:rsidR="00DF2A43" w:rsidRPr="00DF2A43">
        <w:rPr>
          <w:rFonts w:ascii="Arial" w:hAnsi="Arial" w:cs="Arial"/>
          <w:sz w:val="24"/>
          <w:szCs w:val="24"/>
        </w:rPr>
        <w:t>(Mayne, 2017).</w:t>
      </w:r>
    </w:p>
    <w:p w14:paraId="55D7B38E" w14:textId="5604192F" w:rsidR="00E078A9" w:rsidRDefault="00082FD5" w:rsidP="000B4FB7">
      <w:pPr>
        <w:spacing w:line="360" w:lineRule="auto"/>
        <w:jc w:val="both"/>
        <w:rPr>
          <w:rFonts w:ascii="Arial" w:hAnsi="Arial" w:cs="Arial"/>
          <w:sz w:val="24"/>
          <w:szCs w:val="24"/>
        </w:rPr>
      </w:pPr>
      <w:r w:rsidRPr="00082FD5">
        <w:rPr>
          <w:rFonts w:ascii="Arial" w:hAnsi="Arial" w:cs="Arial"/>
          <w:sz w:val="24"/>
          <w:szCs w:val="24"/>
        </w:rPr>
        <w:t>Undoubtedly, feeling involved benefits employees. The majority of interpretations of engagement refer to workers who are more driven, satisfied, and in better physical and mental health. Studies has frequently proven that improved performance is correlated with engagement indicators for organisations and that employee </w:t>
      </w:r>
      <w:r w:rsidR="00AF0AD7" w:rsidRPr="00082FD5">
        <w:rPr>
          <w:rFonts w:ascii="Arial" w:hAnsi="Arial" w:cs="Arial"/>
          <w:sz w:val="24"/>
          <w:szCs w:val="24"/>
        </w:rPr>
        <w:t>engagement demonstrates</w:t>
      </w:r>
      <w:r w:rsidRPr="00082FD5">
        <w:rPr>
          <w:rFonts w:ascii="Arial" w:hAnsi="Arial" w:cs="Arial"/>
          <w:sz w:val="24"/>
          <w:szCs w:val="24"/>
        </w:rPr>
        <w:t> beneficial correlations between elements of job satisfaction and other business measures, such as client happiness, performance, development, employee retention, profitability, and effectiveness in terms of health and safety</w:t>
      </w:r>
      <w:r w:rsidR="00541F80">
        <w:rPr>
          <w:rFonts w:ascii="Arial" w:hAnsi="Arial" w:cs="Arial"/>
          <w:sz w:val="24"/>
          <w:szCs w:val="24"/>
        </w:rPr>
        <w:t xml:space="preserve"> </w:t>
      </w:r>
      <w:r w:rsidR="00541F80" w:rsidRPr="00541F80">
        <w:rPr>
          <w:rFonts w:ascii="Arial" w:hAnsi="Arial" w:cs="Arial"/>
          <w:sz w:val="24"/>
          <w:szCs w:val="24"/>
        </w:rPr>
        <w:t>(Employee engagement &amp; motivation: Factsheets, 2023).</w:t>
      </w:r>
    </w:p>
    <w:p w14:paraId="1F789641" w14:textId="69A7DBD5" w:rsidR="00082FD5" w:rsidRDefault="00E078A9" w:rsidP="000B4FB7">
      <w:pPr>
        <w:spacing w:line="360" w:lineRule="auto"/>
        <w:jc w:val="both"/>
        <w:rPr>
          <w:rFonts w:ascii="Arial" w:hAnsi="Arial" w:cs="Arial"/>
          <w:sz w:val="24"/>
          <w:szCs w:val="24"/>
        </w:rPr>
      </w:pPr>
      <w:r w:rsidRPr="00E078A9">
        <w:rPr>
          <w:rFonts w:ascii="Arial" w:hAnsi="Arial" w:cs="Arial"/>
          <w:sz w:val="24"/>
          <w:szCs w:val="24"/>
        </w:rPr>
        <w:t xml:space="preserve">Employee engagement and performance influence one another in a somewhat reciprocal manner. Therefore, improved performance will result from more engaged </w:t>
      </w:r>
      <w:r w:rsidRPr="00E078A9">
        <w:rPr>
          <w:rFonts w:ascii="Arial" w:hAnsi="Arial" w:cs="Arial"/>
          <w:sz w:val="24"/>
          <w:szCs w:val="24"/>
        </w:rPr>
        <w:lastRenderedPageBreak/>
        <w:t>employees, but higher performance will also increase employee engagement</w:t>
      </w:r>
      <w:r w:rsidR="00541F80">
        <w:rPr>
          <w:rFonts w:ascii="Arial" w:hAnsi="Arial" w:cs="Arial"/>
          <w:sz w:val="24"/>
          <w:szCs w:val="24"/>
        </w:rPr>
        <w:t xml:space="preserve"> </w:t>
      </w:r>
      <w:r w:rsidR="00541F80" w:rsidRPr="00541F80">
        <w:rPr>
          <w:rFonts w:ascii="Arial" w:hAnsi="Arial" w:cs="Arial"/>
          <w:sz w:val="24"/>
          <w:szCs w:val="24"/>
        </w:rPr>
        <w:t>(Employee engagement &amp; motivation: Factsheets, 2023).</w:t>
      </w:r>
    </w:p>
    <w:p w14:paraId="5541E4BD" w14:textId="35EE65CD" w:rsidR="00406A2F" w:rsidRDefault="0020484C" w:rsidP="000B4FB7">
      <w:pPr>
        <w:spacing w:line="360" w:lineRule="auto"/>
        <w:jc w:val="both"/>
        <w:rPr>
          <w:rFonts w:ascii="Arial" w:hAnsi="Arial" w:cs="Arial"/>
          <w:sz w:val="24"/>
          <w:szCs w:val="24"/>
        </w:rPr>
      </w:pPr>
      <w:r w:rsidRPr="0020484C">
        <w:rPr>
          <w:rFonts w:ascii="Arial" w:hAnsi="Arial" w:cs="Arial"/>
          <w:sz w:val="24"/>
          <w:szCs w:val="24"/>
        </w:rPr>
        <w:t xml:space="preserve">The existing labour deficit in the hospitality sector is well known to everyone. Hence, it is critical to maintain employee motivation so that they become and remain eager to stick within the </w:t>
      </w:r>
      <w:r w:rsidRPr="003D29FC">
        <w:rPr>
          <w:rFonts w:ascii="Arial" w:hAnsi="Arial" w:cs="Arial"/>
          <w:sz w:val="24"/>
          <w:szCs w:val="24"/>
        </w:rPr>
        <w:t>business</w:t>
      </w:r>
      <w:r w:rsidR="003D29FC" w:rsidRPr="003D29FC">
        <w:rPr>
          <w:rFonts w:ascii="Arial" w:hAnsi="Arial" w:cs="Arial"/>
          <w:sz w:val="24"/>
          <w:szCs w:val="24"/>
        </w:rPr>
        <w:t xml:space="preserve"> (</w:t>
      </w:r>
      <w:proofErr w:type="spellStart"/>
      <w:r w:rsidR="003D29FC" w:rsidRPr="003D29FC">
        <w:rPr>
          <w:rFonts w:ascii="Arial" w:hAnsi="Arial" w:cs="Arial"/>
          <w:sz w:val="24"/>
          <w:szCs w:val="24"/>
        </w:rPr>
        <w:t>Trépanier</w:t>
      </w:r>
      <w:proofErr w:type="spellEnd"/>
      <w:r w:rsidR="003D29FC" w:rsidRPr="003D29FC">
        <w:rPr>
          <w:rFonts w:ascii="Arial" w:hAnsi="Arial" w:cs="Arial"/>
          <w:sz w:val="24"/>
          <w:szCs w:val="24"/>
        </w:rPr>
        <w:t>, 2022).</w:t>
      </w:r>
    </w:p>
    <w:p w14:paraId="533F0F74" w14:textId="266D5951" w:rsidR="00473614" w:rsidRDefault="00DF680D" w:rsidP="000B4FB7">
      <w:pPr>
        <w:spacing w:line="360" w:lineRule="auto"/>
        <w:jc w:val="both"/>
        <w:rPr>
          <w:rFonts w:ascii="Arial" w:hAnsi="Arial" w:cs="Arial"/>
          <w:sz w:val="24"/>
          <w:szCs w:val="24"/>
        </w:rPr>
      </w:pPr>
      <w:r w:rsidRPr="00DF680D">
        <w:rPr>
          <w:rFonts w:ascii="Arial" w:hAnsi="Arial" w:cs="Arial"/>
          <w:sz w:val="24"/>
          <w:szCs w:val="24"/>
        </w:rPr>
        <w:t>Never forget that supervisors set an example for all staff, regardless upon whether they agree with it or not. The hotel staff continuously follows them and imitates their behaviour; therefore, the business must take advantage of this. Every chance they get, the supervisors should provide the hotel employees with both encouraging and helpful feedback. Furthermore, they must be friendly and accessible so that the staff has a chance to ask questions of them.</w:t>
      </w:r>
      <w:r w:rsidR="00F73EEF">
        <w:rPr>
          <w:rFonts w:ascii="Arial" w:hAnsi="Arial" w:cs="Arial"/>
          <w:sz w:val="24"/>
          <w:szCs w:val="24"/>
        </w:rPr>
        <w:t xml:space="preserve"> Consequently,</w:t>
      </w:r>
      <w:r w:rsidRPr="00DF680D">
        <w:rPr>
          <w:rFonts w:ascii="Arial" w:hAnsi="Arial" w:cs="Arial"/>
          <w:sz w:val="24"/>
          <w:szCs w:val="24"/>
        </w:rPr>
        <w:t xml:space="preserve"> </w:t>
      </w:r>
      <w:r w:rsidR="00F73EEF">
        <w:rPr>
          <w:rFonts w:ascii="Arial" w:hAnsi="Arial" w:cs="Arial"/>
          <w:sz w:val="24"/>
          <w:szCs w:val="24"/>
        </w:rPr>
        <w:t>h</w:t>
      </w:r>
      <w:r w:rsidRPr="00DF680D">
        <w:rPr>
          <w:rFonts w:ascii="Arial" w:hAnsi="Arial" w:cs="Arial"/>
          <w:sz w:val="24"/>
          <w:szCs w:val="24"/>
        </w:rPr>
        <w:t>aving mentors for employees will encourage the team leaders to become role models as well</w:t>
      </w:r>
      <w:r w:rsidR="003D29FC">
        <w:rPr>
          <w:rFonts w:ascii="Arial" w:hAnsi="Arial" w:cs="Arial"/>
          <w:sz w:val="24"/>
          <w:szCs w:val="24"/>
        </w:rPr>
        <w:t xml:space="preserve"> </w:t>
      </w:r>
      <w:r w:rsidR="003D29FC" w:rsidRPr="003D29FC">
        <w:rPr>
          <w:rFonts w:ascii="Arial" w:hAnsi="Arial" w:cs="Arial"/>
          <w:sz w:val="24"/>
          <w:szCs w:val="24"/>
        </w:rPr>
        <w:t>(</w:t>
      </w:r>
      <w:proofErr w:type="spellStart"/>
      <w:r w:rsidR="003D29FC" w:rsidRPr="003D29FC">
        <w:rPr>
          <w:rFonts w:ascii="Arial" w:hAnsi="Arial" w:cs="Arial"/>
          <w:sz w:val="24"/>
          <w:szCs w:val="24"/>
        </w:rPr>
        <w:t>Trépanier</w:t>
      </w:r>
      <w:proofErr w:type="spellEnd"/>
      <w:r w:rsidR="003D29FC" w:rsidRPr="003D29FC">
        <w:rPr>
          <w:rFonts w:ascii="Arial" w:hAnsi="Arial" w:cs="Arial"/>
          <w:sz w:val="24"/>
          <w:szCs w:val="24"/>
        </w:rPr>
        <w:t>, 2022).</w:t>
      </w:r>
    </w:p>
    <w:p w14:paraId="758D01E5" w14:textId="28F9EAEB" w:rsidR="00F73EEF" w:rsidRDefault="00F73EEF" w:rsidP="000B4FB7">
      <w:pPr>
        <w:spacing w:line="360" w:lineRule="auto"/>
        <w:jc w:val="both"/>
        <w:rPr>
          <w:rFonts w:ascii="Arial" w:hAnsi="Arial" w:cs="Arial"/>
          <w:sz w:val="24"/>
          <w:szCs w:val="24"/>
        </w:rPr>
      </w:pPr>
      <w:r w:rsidRPr="00F73EEF">
        <w:rPr>
          <w:rFonts w:ascii="Arial" w:hAnsi="Arial" w:cs="Arial"/>
          <w:sz w:val="24"/>
          <w:szCs w:val="24"/>
        </w:rPr>
        <w:t xml:space="preserve">When hotel organisations evaluate their personnel, they must bear in mind that operations can be enhanced as well, and it is critical that the managers and senior leadership team maintain their composure. </w:t>
      </w:r>
      <w:r w:rsidR="00335BE2">
        <w:rPr>
          <w:rFonts w:ascii="Arial" w:hAnsi="Arial" w:cs="Arial"/>
          <w:sz w:val="24"/>
          <w:szCs w:val="24"/>
        </w:rPr>
        <w:t>Thus, t</w:t>
      </w:r>
      <w:r w:rsidRPr="00F73EEF">
        <w:rPr>
          <w:rFonts w:ascii="Arial" w:hAnsi="Arial" w:cs="Arial"/>
          <w:sz w:val="24"/>
          <w:szCs w:val="24"/>
        </w:rPr>
        <w:t>he firm may benefit as much as the employees do from allowing members of staff to voice their ideas. An anonymous online survey is the ideal technique to get feedback from staff members because it protects their privacy.</w:t>
      </w:r>
      <w:r w:rsidR="004D3A27">
        <w:rPr>
          <w:rFonts w:ascii="Arial" w:hAnsi="Arial" w:cs="Arial"/>
          <w:sz w:val="24"/>
          <w:szCs w:val="24"/>
        </w:rPr>
        <w:t xml:space="preserve"> </w:t>
      </w:r>
      <w:r w:rsidR="004D3A27" w:rsidRPr="004D3A27">
        <w:rPr>
          <w:rFonts w:ascii="Arial" w:hAnsi="Arial" w:cs="Arial"/>
          <w:sz w:val="24"/>
          <w:szCs w:val="24"/>
        </w:rPr>
        <w:t xml:space="preserve">Hardly anything can be more annoying than holding back an unbiased appraisal out of concern for the supervisor's reaction. </w:t>
      </w:r>
      <w:r w:rsidR="00335BE2">
        <w:rPr>
          <w:rFonts w:ascii="Arial" w:hAnsi="Arial" w:cs="Arial"/>
          <w:sz w:val="24"/>
          <w:szCs w:val="24"/>
        </w:rPr>
        <w:t>Therefore, b</w:t>
      </w:r>
      <w:r w:rsidR="004D3A27" w:rsidRPr="004D3A27">
        <w:rPr>
          <w:rFonts w:ascii="Arial" w:hAnsi="Arial" w:cs="Arial"/>
          <w:sz w:val="24"/>
          <w:szCs w:val="24"/>
        </w:rPr>
        <w:t xml:space="preserve">usinesses </w:t>
      </w:r>
      <w:r w:rsidR="00335BE2">
        <w:rPr>
          <w:rFonts w:ascii="Arial" w:hAnsi="Arial" w:cs="Arial"/>
          <w:sz w:val="24"/>
          <w:szCs w:val="24"/>
        </w:rPr>
        <w:t xml:space="preserve">that </w:t>
      </w:r>
      <w:r w:rsidR="004D3A27" w:rsidRPr="004D3A27">
        <w:rPr>
          <w:rFonts w:ascii="Arial" w:hAnsi="Arial" w:cs="Arial"/>
          <w:sz w:val="24"/>
          <w:szCs w:val="24"/>
        </w:rPr>
        <w:t>allow employees to freely express their opinions whilst demonstrating to them that their opinions count and that company values their wellbeing by allowing them to provide constructive criticism</w:t>
      </w:r>
      <w:r w:rsidR="00BE40D2">
        <w:rPr>
          <w:rFonts w:ascii="Arial" w:hAnsi="Arial" w:cs="Arial"/>
          <w:sz w:val="24"/>
          <w:szCs w:val="24"/>
        </w:rPr>
        <w:t xml:space="preserve"> will keep the employees motivated</w:t>
      </w:r>
      <w:r w:rsidR="003D29FC">
        <w:rPr>
          <w:rFonts w:ascii="Arial" w:hAnsi="Arial" w:cs="Arial"/>
          <w:sz w:val="24"/>
          <w:szCs w:val="24"/>
        </w:rPr>
        <w:t xml:space="preserve"> </w:t>
      </w:r>
      <w:r w:rsidR="003D29FC" w:rsidRPr="003D29FC">
        <w:rPr>
          <w:rFonts w:ascii="Arial" w:hAnsi="Arial" w:cs="Arial"/>
          <w:sz w:val="24"/>
          <w:szCs w:val="24"/>
        </w:rPr>
        <w:t>(</w:t>
      </w:r>
      <w:proofErr w:type="spellStart"/>
      <w:r w:rsidR="003D29FC" w:rsidRPr="003D29FC">
        <w:rPr>
          <w:rFonts w:ascii="Arial" w:hAnsi="Arial" w:cs="Arial"/>
          <w:sz w:val="24"/>
          <w:szCs w:val="24"/>
        </w:rPr>
        <w:t>Trépanier</w:t>
      </w:r>
      <w:proofErr w:type="spellEnd"/>
      <w:r w:rsidR="003D29FC" w:rsidRPr="003D29FC">
        <w:rPr>
          <w:rFonts w:ascii="Arial" w:hAnsi="Arial" w:cs="Arial"/>
          <w:sz w:val="24"/>
          <w:szCs w:val="24"/>
        </w:rPr>
        <w:t>, 2022).</w:t>
      </w:r>
    </w:p>
    <w:p w14:paraId="41A08382" w14:textId="14717263" w:rsidR="005E5BFF" w:rsidRDefault="005E5BFF" w:rsidP="000B4FB7">
      <w:pPr>
        <w:spacing w:line="360" w:lineRule="auto"/>
        <w:jc w:val="both"/>
        <w:rPr>
          <w:rFonts w:ascii="Arial" w:hAnsi="Arial" w:cs="Arial"/>
          <w:sz w:val="24"/>
          <w:szCs w:val="24"/>
        </w:rPr>
      </w:pPr>
      <w:r w:rsidRPr="005E5BFF">
        <w:rPr>
          <w:rFonts w:ascii="Arial" w:hAnsi="Arial" w:cs="Arial"/>
          <w:sz w:val="24"/>
          <w:szCs w:val="24"/>
        </w:rPr>
        <w:t>Paying employees,</w:t>
      </w:r>
      <w:r>
        <w:rPr>
          <w:rFonts w:ascii="Arial" w:hAnsi="Arial" w:cs="Arial"/>
          <w:sz w:val="24"/>
          <w:szCs w:val="24"/>
        </w:rPr>
        <w:t xml:space="preserve"> </w:t>
      </w:r>
      <w:r w:rsidRPr="005E5BFF">
        <w:rPr>
          <w:rFonts w:ascii="Arial" w:hAnsi="Arial" w:cs="Arial"/>
          <w:sz w:val="24"/>
          <w:szCs w:val="24"/>
        </w:rPr>
        <w:t xml:space="preserve">a reasonable and equitable wage is essential if the company wants to keep them on board. Additionally, organisations might think about upping an employee's pay if they notice that they are extremely dedicated or possess a considerable amount of experience. Their drive-in addition to their sense of self-worth will be directly impacted by this. The companies will notice the return on investment very quickly if they continue engaging in this type of rewarding activity and </w:t>
      </w:r>
      <w:r w:rsidR="00456E01" w:rsidRPr="005E5BFF">
        <w:rPr>
          <w:rFonts w:ascii="Arial" w:hAnsi="Arial" w:cs="Arial"/>
          <w:sz w:val="24"/>
          <w:szCs w:val="24"/>
        </w:rPr>
        <w:t>behaviour</w:t>
      </w:r>
      <w:r w:rsidRPr="005E5BFF">
        <w:rPr>
          <w:rFonts w:ascii="Arial" w:hAnsi="Arial" w:cs="Arial"/>
          <w:sz w:val="24"/>
          <w:szCs w:val="24"/>
        </w:rPr>
        <w:t>.</w:t>
      </w:r>
      <w:r w:rsidR="00F01D0C">
        <w:rPr>
          <w:rFonts w:ascii="Arial" w:hAnsi="Arial" w:cs="Arial"/>
          <w:sz w:val="24"/>
          <w:szCs w:val="24"/>
        </w:rPr>
        <w:t xml:space="preserve"> </w:t>
      </w:r>
      <w:r w:rsidR="00F01D0C" w:rsidRPr="00F01D0C">
        <w:rPr>
          <w:rFonts w:ascii="Arial" w:hAnsi="Arial" w:cs="Arial"/>
          <w:sz w:val="24"/>
          <w:szCs w:val="24"/>
        </w:rPr>
        <w:t xml:space="preserve">However, paying salaries does not represent the only way to support hotel workers. Large hotels may provide their staff with insurance coverage, reimbursement for travel expenses, or even health clubs memberships. This will demonstrate the company's concern for them. Moreover, other method to recognize </w:t>
      </w:r>
      <w:r w:rsidR="00F01D0C" w:rsidRPr="00F01D0C">
        <w:rPr>
          <w:rFonts w:ascii="Arial" w:hAnsi="Arial" w:cs="Arial"/>
          <w:sz w:val="24"/>
          <w:szCs w:val="24"/>
        </w:rPr>
        <w:lastRenderedPageBreak/>
        <w:t>employees and reinvest in them is to provide them the chance to take part in frequent trainings where they can acquire new knowledge or refresh their existing ones.</w:t>
      </w:r>
      <w:r w:rsidR="00EA10EA">
        <w:rPr>
          <w:rFonts w:ascii="Arial" w:hAnsi="Arial" w:cs="Arial"/>
          <w:sz w:val="24"/>
          <w:szCs w:val="24"/>
        </w:rPr>
        <w:t xml:space="preserve"> </w:t>
      </w:r>
      <w:r w:rsidR="00821457">
        <w:rPr>
          <w:rFonts w:ascii="Arial" w:hAnsi="Arial" w:cs="Arial"/>
          <w:sz w:val="24"/>
          <w:szCs w:val="24"/>
        </w:rPr>
        <w:t>Additionally, t</w:t>
      </w:r>
      <w:r w:rsidR="00821457" w:rsidRPr="00821457">
        <w:rPr>
          <w:rFonts w:ascii="Arial" w:hAnsi="Arial" w:cs="Arial"/>
          <w:sz w:val="24"/>
          <w:szCs w:val="24"/>
        </w:rPr>
        <w:t>he employees' career development and future professional ambitions could also be addressed in informal sessions. The company will then be capable of determining what it can do to assist the staff in achieving their objectives. If the hotel company does not give its personnel the chance to grow and develop, they will look for employment elsewhere where they can do so. Businesses give their employees an incentive to stick around by investing in them</w:t>
      </w:r>
      <w:r w:rsidR="003D29FC">
        <w:rPr>
          <w:rFonts w:ascii="Arial" w:hAnsi="Arial" w:cs="Arial"/>
          <w:sz w:val="24"/>
          <w:szCs w:val="24"/>
        </w:rPr>
        <w:t xml:space="preserve"> </w:t>
      </w:r>
      <w:r w:rsidR="003D29FC" w:rsidRPr="003D29FC">
        <w:rPr>
          <w:rFonts w:ascii="Arial" w:hAnsi="Arial" w:cs="Arial"/>
          <w:sz w:val="24"/>
          <w:szCs w:val="24"/>
        </w:rPr>
        <w:t>(</w:t>
      </w:r>
      <w:proofErr w:type="spellStart"/>
      <w:r w:rsidR="003D29FC" w:rsidRPr="003D29FC">
        <w:rPr>
          <w:rFonts w:ascii="Arial" w:hAnsi="Arial" w:cs="Arial"/>
          <w:sz w:val="24"/>
          <w:szCs w:val="24"/>
        </w:rPr>
        <w:t>Trépanier</w:t>
      </w:r>
      <w:proofErr w:type="spellEnd"/>
      <w:r w:rsidR="003D29FC" w:rsidRPr="003D29FC">
        <w:rPr>
          <w:rFonts w:ascii="Arial" w:hAnsi="Arial" w:cs="Arial"/>
          <w:sz w:val="24"/>
          <w:szCs w:val="24"/>
        </w:rPr>
        <w:t>, 2022).</w:t>
      </w:r>
    </w:p>
    <w:p w14:paraId="50702509" w14:textId="7E394A31" w:rsidR="005D3D08" w:rsidRDefault="005D3D08" w:rsidP="000B4FB7">
      <w:pPr>
        <w:spacing w:line="360" w:lineRule="auto"/>
        <w:jc w:val="both"/>
        <w:rPr>
          <w:rFonts w:ascii="Arial" w:hAnsi="Arial" w:cs="Arial"/>
          <w:sz w:val="24"/>
          <w:szCs w:val="24"/>
        </w:rPr>
      </w:pPr>
      <w:r w:rsidRPr="005D3D08">
        <w:rPr>
          <w:rFonts w:ascii="Arial" w:hAnsi="Arial" w:cs="Arial"/>
          <w:sz w:val="24"/>
          <w:szCs w:val="24"/>
        </w:rPr>
        <w:t xml:space="preserve">An HR model called the employee life cycle (ELC) keeps track of a worker's full path through a company. It starts the minute a prospective employee learns about the company's reputation and continues right up to their final day of employment. The ELC examines a number of factors in addition to attraction and offboarding, including recruiting and onboarding, attrition, career progression, and the whole development of employees throughout their employment with the </w:t>
      </w:r>
      <w:r w:rsidRPr="007D1F1D">
        <w:rPr>
          <w:rFonts w:ascii="Arial" w:hAnsi="Arial" w:cs="Arial"/>
          <w:sz w:val="24"/>
          <w:szCs w:val="24"/>
        </w:rPr>
        <w:t>organisation</w:t>
      </w:r>
      <w:r w:rsidR="007D1F1D" w:rsidRPr="007D1F1D">
        <w:rPr>
          <w:rFonts w:ascii="Arial" w:hAnsi="Arial" w:cs="Arial"/>
          <w:sz w:val="24"/>
          <w:szCs w:val="24"/>
        </w:rPr>
        <w:t xml:space="preserve"> (</w:t>
      </w:r>
      <w:proofErr w:type="spellStart"/>
      <w:r w:rsidR="007D1F1D" w:rsidRPr="007D1F1D">
        <w:rPr>
          <w:rFonts w:ascii="Arial" w:hAnsi="Arial" w:cs="Arial"/>
          <w:sz w:val="24"/>
          <w:szCs w:val="24"/>
        </w:rPr>
        <w:t>Curnock</w:t>
      </w:r>
      <w:proofErr w:type="spellEnd"/>
      <w:r w:rsidR="007D1F1D" w:rsidRPr="007D1F1D">
        <w:rPr>
          <w:rFonts w:ascii="Arial" w:hAnsi="Arial" w:cs="Arial"/>
          <w:sz w:val="24"/>
          <w:szCs w:val="24"/>
        </w:rPr>
        <w:t xml:space="preserve"> &amp; </w:t>
      </w:r>
      <w:proofErr w:type="spellStart"/>
      <w:r w:rsidR="007D1F1D" w:rsidRPr="007D1F1D">
        <w:rPr>
          <w:rFonts w:ascii="Arial" w:hAnsi="Arial" w:cs="Arial"/>
          <w:sz w:val="24"/>
          <w:szCs w:val="24"/>
        </w:rPr>
        <w:t>Bouali</w:t>
      </w:r>
      <w:proofErr w:type="spellEnd"/>
      <w:r w:rsidR="007D1F1D" w:rsidRPr="007D1F1D">
        <w:rPr>
          <w:rFonts w:ascii="Arial" w:hAnsi="Arial" w:cs="Arial"/>
          <w:sz w:val="24"/>
          <w:szCs w:val="24"/>
        </w:rPr>
        <w:t>, 2022).</w:t>
      </w:r>
    </w:p>
    <w:p w14:paraId="31C26DC6" w14:textId="24D28762" w:rsidR="00FF3D73" w:rsidRDefault="00372EA8" w:rsidP="000B4FB7">
      <w:pPr>
        <w:spacing w:line="360" w:lineRule="auto"/>
        <w:jc w:val="both"/>
        <w:rPr>
          <w:rFonts w:ascii="Arial" w:hAnsi="Arial" w:cs="Arial"/>
          <w:sz w:val="24"/>
          <w:szCs w:val="24"/>
        </w:rPr>
      </w:pPr>
      <w:r w:rsidRPr="00372EA8">
        <w:rPr>
          <w:rFonts w:ascii="Arial" w:hAnsi="Arial" w:cs="Arial"/>
          <w:sz w:val="24"/>
          <w:szCs w:val="24"/>
        </w:rPr>
        <w:t xml:space="preserve">Since April 2021, more than 19 million US professionals have left their jobs, and increasing. This record-breaking rate of job loss is causing disruptions across all industries. Due to the fact that most businesses don not fully comprehend the root causes of their personnel' resignations, they are having difficulty addressing the issue and will certainly remain to do so. Several more businesses rush to short-term solutions that don not work instead of taking the necessary time to research the real reasons behind attrition. For instance, they increase wages or economic advantages like bonuses without trying to make any attempt to improve the interpersonal relationships that employees have with their work colleagues and hiring managers. Thus, staff members detect a trade instead of just feeling appreciated. Their genuine necessities are not being satisfied, as this transactional partnership serves as a </w:t>
      </w:r>
      <w:r w:rsidRPr="00EF5A5B">
        <w:rPr>
          <w:rFonts w:ascii="Arial" w:hAnsi="Arial" w:cs="Arial"/>
          <w:sz w:val="24"/>
          <w:szCs w:val="24"/>
        </w:rPr>
        <w:t>reminder</w:t>
      </w:r>
      <w:r w:rsidR="00EF5A5B" w:rsidRPr="00EF5A5B">
        <w:rPr>
          <w:rFonts w:ascii="Arial" w:hAnsi="Arial" w:cs="Arial"/>
          <w:sz w:val="24"/>
          <w:szCs w:val="24"/>
        </w:rPr>
        <w:t xml:space="preserve"> (Smet et al., 2022).</w:t>
      </w:r>
    </w:p>
    <w:p w14:paraId="06CF3354" w14:textId="5B1170B4" w:rsidR="00DB6189" w:rsidRDefault="00DB6189" w:rsidP="000B4FB7">
      <w:pPr>
        <w:spacing w:line="360" w:lineRule="auto"/>
        <w:jc w:val="both"/>
        <w:rPr>
          <w:rFonts w:ascii="Arial" w:hAnsi="Arial" w:cs="Arial"/>
          <w:sz w:val="24"/>
          <w:szCs w:val="24"/>
        </w:rPr>
      </w:pPr>
      <w:r w:rsidRPr="00DB6189">
        <w:rPr>
          <w:rFonts w:ascii="Arial" w:hAnsi="Arial" w:cs="Arial"/>
          <w:sz w:val="24"/>
          <w:szCs w:val="24"/>
        </w:rPr>
        <w:t xml:space="preserve">Employees aspire for involvement in the human element of their jobs. Many workers are in distress and are </w:t>
      </w:r>
      <w:r>
        <w:rPr>
          <w:rFonts w:ascii="Arial" w:hAnsi="Arial" w:cs="Arial"/>
          <w:sz w:val="24"/>
          <w:szCs w:val="24"/>
        </w:rPr>
        <w:t>exhausted</w:t>
      </w:r>
      <w:r w:rsidRPr="00DB6189">
        <w:rPr>
          <w:rFonts w:ascii="Arial" w:hAnsi="Arial" w:cs="Arial"/>
          <w:sz w:val="24"/>
          <w:szCs w:val="24"/>
        </w:rPr>
        <w:t xml:space="preserve">. Workers seek a refreshed and updated feeling of professional goal. They desire to interact socially and personally with their superiors and peers. They seek a sense of community. They do want always money, advantages, and privileges, but they also want to feel appreciated by their employers </w:t>
      </w:r>
      <w:r w:rsidRPr="00DB6189">
        <w:rPr>
          <w:rFonts w:ascii="Arial" w:hAnsi="Arial" w:cs="Arial"/>
          <w:sz w:val="24"/>
          <w:szCs w:val="24"/>
        </w:rPr>
        <w:lastRenderedPageBreak/>
        <w:t>and leaders. They prefer meaningful relationships over simple transactions; however, these may not always take place in person</w:t>
      </w:r>
      <w:r w:rsidR="00EF5A5B">
        <w:rPr>
          <w:rFonts w:ascii="Arial" w:hAnsi="Arial" w:cs="Arial"/>
          <w:sz w:val="24"/>
          <w:szCs w:val="24"/>
        </w:rPr>
        <w:t xml:space="preserve"> </w:t>
      </w:r>
      <w:r w:rsidR="00EF5A5B" w:rsidRPr="00EF5A5B">
        <w:rPr>
          <w:rFonts w:ascii="Arial" w:hAnsi="Arial" w:cs="Arial"/>
          <w:sz w:val="24"/>
          <w:szCs w:val="24"/>
        </w:rPr>
        <w:t>(Smet et al., 2022).</w:t>
      </w:r>
    </w:p>
    <w:p w14:paraId="55E5F9A1" w14:textId="46CFD5DF" w:rsidR="00313350" w:rsidRDefault="00313350" w:rsidP="000B4FB7">
      <w:pPr>
        <w:spacing w:line="360" w:lineRule="auto"/>
        <w:jc w:val="both"/>
        <w:rPr>
          <w:rFonts w:ascii="Arial" w:hAnsi="Arial" w:cs="Arial"/>
          <w:sz w:val="24"/>
          <w:szCs w:val="24"/>
        </w:rPr>
      </w:pPr>
      <w:r w:rsidRPr="00313350">
        <w:rPr>
          <w:rFonts w:ascii="Arial" w:hAnsi="Arial" w:cs="Arial"/>
          <w:sz w:val="24"/>
          <w:szCs w:val="24"/>
        </w:rPr>
        <w:t>Company executives put their very enterprises at stake by failing to comprehend what their workforce are eluding and what they may be drawn to. Additionally, some workers are consciously deciding to completely leave conventional approaches of full-time employment since many companies are handling the circumstance in a similar manner, having failed to engage in a more fulfilling employee satisfaction and not meeting new requirements for employment independence and flexibility</w:t>
      </w:r>
      <w:r w:rsidR="00EF5A5B">
        <w:rPr>
          <w:rFonts w:ascii="Arial" w:hAnsi="Arial" w:cs="Arial"/>
          <w:sz w:val="24"/>
          <w:szCs w:val="24"/>
        </w:rPr>
        <w:t xml:space="preserve"> </w:t>
      </w:r>
      <w:r w:rsidR="00EF5A5B" w:rsidRPr="00EF5A5B">
        <w:rPr>
          <w:rFonts w:ascii="Arial" w:hAnsi="Arial" w:cs="Arial"/>
          <w:sz w:val="24"/>
          <w:szCs w:val="24"/>
        </w:rPr>
        <w:t>(Smet et al., 2022).</w:t>
      </w:r>
    </w:p>
    <w:p w14:paraId="69AB417C" w14:textId="08A90E6B" w:rsidR="00E27BE1" w:rsidRPr="00E27BE1" w:rsidRDefault="00E27BE1" w:rsidP="00E27BE1">
      <w:pPr>
        <w:spacing w:line="360" w:lineRule="auto"/>
        <w:jc w:val="both"/>
        <w:rPr>
          <w:rFonts w:ascii="Arial" w:hAnsi="Arial" w:cs="Arial"/>
          <w:sz w:val="24"/>
          <w:szCs w:val="24"/>
        </w:rPr>
      </w:pPr>
      <w:r w:rsidRPr="00E27BE1">
        <w:rPr>
          <w:rFonts w:ascii="Arial" w:hAnsi="Arial" w:cs="Arial"/>
          <w:sz w:val="24"/>
          <w:szCs w:val="24"/>
        </w:rPr>
        <w:t xml:space="preserve">The model's phase of employee attraction is crucial since applicants will determine at this point whether they connect to them as prospective employers or not. Business </w:t>
      </w:r>
      <w:proofErr w:type="gramStart"/>
      <w:r w:rsidRPr="00E27BE1">
        <w:rPr>
          <w:rFonts w:ascii="Arial" w:hAnsi="Arial" w:cs="Arial"/>
          <w:sz w:val="24"/>
          <w:szCs w:val="24"/>
        </w:rPr>
        <w:t>are</w:t>
      </w:r>
      <w:proofErr w:type="gramEnd"/>
      <w:r w:rsidRPr="00E27BE1">
        <w:rPr>
          <w:rFonts w:ascii="Arial" w:hAnsi="Arial" w:cs="Arial"/>
          <w:sz w:val="24"/>
          <w:szCs w:val="24"/>
        </w:rPr>
        <w:t xml:space="preserve"> less likely to draw the ideal people to assist them in growing into a profitable company if they do not make a strong initial impression</w:t>
      </w:r>
      <w:r w:rsidR="00707F26">
        <w:rPr>
          <w:rFonts w:ascii="Arial" w:hAnsi="Arial" w:cs="Arial"/>
          <w:sz w:val="24"/>
          <w:szCs w:val="24"/>
        </w:rPr>
        <w:t xml:space="preserve"> </w:t>
      </w:r>
      <w:r w:rsidR="00707F26" w:rsidRPr="007D1F1D">
        <w:rPr>
          <w:rFonts w:ascii="Arial" w:hAnsi="Arial" w:cs="Arial"/>
          <w:sz w:val="24"/>
          <w:szCs w:val="24"/>
        </w:rPr>
        <w:t>(</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2022).</w:t>
      </w:r>
    </w:p>
    <w:p w14:paraId="19A80D85" w14:textId="5BE54922" w:rsidR="00FF3D73" w:rsidRDefault="00E27BE1" w:rsidP="00E27BE1">
      <w:pPr>
        <w:spacing w:line="360" w:lineRule="auto"/>
        <w:jc w:val="both"/>
        <w:rPr>
          <w:rFonts w:ascii="Arial" w:hAnsi="Arial" w:cs="Arial"/>
          <w:sz w:val="24"/>
          <w:szCs w:val="24"/>
        </w:rPr>
      </w:pPr>
      <w:r w:rsidRPr="00E27BE1">
        <w:rPr>
          <w:rFonts w:ascii="Arial" w:hAnsi="Arial" w:cs="Arial"/>
          <w:sz w:val="24"/>
          <w:szCs w:val="24"/>
        </w:rPr>
        <w:t>Focusing on developing the brand and reputation from an HR perspective is the greatest strategy to enhance this early stage of the employee life cycle. The brand will gain a wonderful recognition if it has an inclusive environment that promotes employee advancement and creativity</w:t>
      </w:r>
      <w:r w:rsidR="00707F26">
        <w:rPr>
          <w:rFonts w:ascii="Arial" w:hAnsi="Arial" w:cs="Arial"/>
          <w:sz w:val="24"/>
          <w:szCs w:val="24"/>
        </w:rPr>
        <w:t xml:space="preserve"> </w:t>
      </w:r>
      <w:r w:rsidR="00707F26" w:rsidRPr="007D1F1D">
        <w:rPr>
          <w:rFonts w:ascii="Arial" w:hAnsi="Arial" w:cs="Arial"/>
          <w:sz w:val="24"/>
          <w:szCs w:val="24"/>
        </w:rPr>
        <w:t>(</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2022).</w:t>
      </w:r>
    </w:p>
    <w:p w14:paraId="7C671292" w14:textId="255FC72E" w:rsidR="00A3264C" w:rsidRDefault="00A3264C" w:rsidP="00E27BE1">
      <w:pPr>
        <w:spacing w:line="360" w:lineRule="auto"/>
        <w:jc w:val="both"/>
        <w:rPr>
          <w:rFonts w:ascii="Arial" w:hAnsi="Arial" w:cs="Arial"/>
          <w:sz w:val="24"/>
          <w:szCs w:val="24"/>
        </w:rPr>
      </w:pPr>
      <w:r w:rsidRPr="00A3264C">
        <w:rPr>
          <w:rFonts w:ascii="Arial" w:hAnsi="Arial" w:cs="Arial"/>
          <w:sz w:val="24"/>
          <w:szCs w:val="24"/>
        </w:rPr>
        <w:t>During the recruiting process, employers would have to be precise about the skills and competencies they are seeking to ensure that no one wastes their time, incorporate their existing workers, motivate them to refer possible employees and express opinions on the capabilities new team members could perhaps possess, ask supervisors to sit in on interview sessions, and offer excellent advantages and compensation to keep the organization ahead of the competition as an employer and assist interviewers attract talented employees</w:t>
      </w:r>
      <w:r w:rsidR="00707F26">
        <w:rPr>
          <w:rFonts w:ascii="Arial" w:hAnsi="Arial" w:cs="Arial"/>
          <w:sz w:val="24"/>
          <w:szCs w:val="24"/>
        </w:rPr>
        <w:t xml:space="preserve"> </w:t>
      </w:r>
      <w:r w:rsidR="00707F26" w:rsidRPr="007D1F1D">
        <w:rPr>
          <w:rFonts w:ascii="Arial" w:hAnsi="Arial" w:cs="Arial"/>
          <w:sz w:val="24"/>
          <w:szCs w:val="24"/>
        </w:rPr>
        <w:t>(</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2022).</w:t>
      </w:r>
      <w:r w:rsidR="00662264">
        <w:rPr>
          <w:rFonts w:ascii="Arial" w:hAnsi="Arial" w:cs="Arial"/>
          <w:sz w:val="24"/>
          <w:szCs w:val="24"/>
        </w:rPr>
        <w:t xml:space="preserve"> </w:t>
      </w:r>
    </w:p>
    <w:p w14:paraId="4219A7FB" w14:textId="29B6D3C8" w:rsidR="00662264" w:rsidRDefault="00662264" w:rsidP="00E27BE1">
      <w:pPr>
        <w:spacing w:line="360" w:lineRule="auto"/>
        <w:jc w:val="both"/>
        <w:rPr>
          <w:rFonts w:ascii="Arial" w:hAnsi="Arial" w:cs="Arial"/>
          <w:sz w:val="24"/>
          <w:szCs w:val="24"/>
        </w:rPr>
      </w:pPr>
      <w:r w:rsidRPr="00662264">
        <w:rPr>
          <w:rFonts w:ascii="Arial" w:hAnsi="Arial" w:cs="Arial"/>
          <w:sz w:val="24"/>
          <w:szCs w:val="24"/>
        </w:rPr>
        <w:t>The primary goal of the onboarding stage is to assist new hires in understanding and incorporating into the corporate culture. Throughout this phase, companies must ensure that most information is communicated so that new employees comprehend the strategic mission, beliefs, and principles. They also would like them to comprehend their role in the organization's development</w:t>
      </w:r>
      <w:r w:rsidR="00707F26">
        <w:rPr>
          <w:rFonts w:ascii="Arial" w:hAnsi="Arial" w:cs="Arial"/>
          <w:sz w:val="24"/>
          <w:szCs w:val="24"/>
        </w:rPr>
        <w:t xml:space="preserve"> </w:t>
      </w:r>
      <w:r w:rsidR="00707F26" w:rsidRPr="007D1F1D">
        <w:rPr>
          <w:rFonts w:ascii="Arial" w:hAnsi="Arial" w:cs="Arial"/>
          <w:sz w:val="24"/>
          <w:szCs w:val="24"/>
        </w:rPr>
        <w:t>(</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2022).</w:t>
      </w:r>
    </w:p>
    <w:p w14:paraId="6DAFFA1E" w14:textId="404AAE58" w:rsidR="00EB12B6" w:rsidRPr="00CC2254" w:rsidRDefault="00EB12B6" w:rsidP="00E27BE1">
      <w:pPr>
        <w:spacing w:line="360" w:lineRule="auto"/>
        <w:jc w:val="both"/>
        <w:rPr>
          <w:rFonts w:ascii="Arial" w:hAnsi="Arial" w:cs="Arial"/>
          <w:sz w:val="24"/>
          <w:szCs w:val="24"/>
        </w:rPr>
      </w:pPr>
      <w:r w:rsidRPr="00EB12B6">
        <w:rPr>
          <w:rFonts w:ascii="Arial" w:hAnsi="Arial" w:cs="Arial"/>
          <w:sz w:val="24"/>
          <w:szCs w:val="24"/>
        </w:rPr>
        <w:t xml:space="preserve">A reward system and recognition programme </w:t>
      </w:r>
      <w:proofErr w:type="gramStart"/>
      <w:r w:rsidRPr="00EB12B6">
        <w:rPr>
          <w:rFonts w:ascii="Arial" w:hAnsi="Arial" w:cs="Arial"/>
          <w:sz w:val="24"/>
          <w:szCs w:val="24"/>
        </w:rPr>
        <w:t>is</w:t>
      </w:r>
      <w:proofErr w:type="gramEnd"/>
      <w:r w:rsidRPr="00EB12B6">
        <w:rPr>
          <w:rFonts w:ascii="Arial" w:hAnsi="Arial" w:cs="Arial"/>
          <w:sz w:val="24"/>
          <w:szCs w:val="24"/>
        </w:rPr>
        <w:t xml:space="preserve"> the most effective way to retain staff members. Companies must also ensure that they create a positive and encouraging </w:t>
      </w:r>
      <w:r w:rsidRPr="00EB12B6">
        <w:rPr>
          <w:rFonts w:ascii="Arial" w:hAnsi="Arial" w:cs="Arial"/>
          <w:sz w:val="24"/>
          <w:szCs w:val="24"/>
        </w:rPr>
        <w:lastRenderedPageBreak/>
        <w:t xml:space="preserve">culture to encourage employee engagement and performance, such as concentrating on building connections with employees, creating a climate of respect and openness, encouraging open channels of communication between all </w:t>
      </w:r>
      <w:r w:rsidR="00FB3923" w:rsidRPr="00EB12B6">
        <w:rPr>
          <w:rFonts w:ascii="Arial" w:hAnsi="Arial" w:cs="Arial"/>
          <w:sz w:val="24"/>
          <w:szCs w:val="24"/>
        </w:rPr>
        <w:t>co-workers</w:t>
      </w:r>
      <w:r w:rsidRPr="00EB12B6">
        <w:rPr>
          <w:rFonts w:ascii="Arial" w:hAnsi="Arial" w:cs="Arial"/>
          <w:sz w:val="24"/>
          <w:szCs w:val="24"/>
        </w:rPr>
        <w:t xml:space="preserve">, and soliciting feedback from staff and measuring team morale on a regular </w:t>
      </w:r>
      <w:r w:rsidR="0025025C" w:rsidRPr="00EB12B6">
        <w:rPr>
          <w:rFonts w:ascii="Arial" w:hAnsi="Arial" w:cs="Arial"/>
          <w:sz w:val="24"/>
          <w:szCs w:val="24"/>
        </w:rPr>
        <w:t>basis</w:t>
      </w:r>
      <w:r w:rsidR="0025025C" w:rsidRPr="007D1F1D">
        <w:rPr>
          <w:rFonts w:ascii="Arial" w:hAnsi="Arial" w:cs="Arial"/>
          <w:sz w:val="24"/>
          <w:szCs w:val="24"/>
        </w:rPr>
        <w:t xml:space="preserve"> (</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xml:space="preserve">, </w:t>
      </w:r>
      <w:r w:rsidR="00707F26" w:rsidRPr="00CC2254">
        <w:rPr>
          <w:rFonts w:ascii="Arial" w:hAnsi="Arial" w:cs="Arial"/>
          <w:sz w:val="24"/>
          <w:szCs w:val="24"/>
        </w:rPr>
        <w:t>2022).</w:t>
      </w:r>
    </w:p>
    <w:p w14:paraId="5E2738FA" w14:textId="76B7E1CA" w:rsidR="003817C1" w:rsidRPr="00CC2254" w:rsidRDefault="00CC2254" w:rsidP="00E27BE1">
      <w:pPr>
        <w:spacing w:line="360" w:lineRule="auto"/>
        <w:jc w:val="both"/>
        <w:rPr>
          <w:rFonts w:ascii="Arial" w:hAnsi="Arial" w:cs="Arial"/>
          <w:sz w:val="24"/>
          <w:szCs w:val="24"/>
        </w:rPr>
      </w:pPr>
      <w:r w:rsidRPr="00CC2254">
        <w:rPr>
          <w:rFonts w:ascii="Arial" w:hAnsi="Arial" w:cs="Arial"/>
          <w:sz w:val="24"/>
          <w:szCs w:val="24"/>
        </w:rPr>
        <w:t>Separation, commonly referred to as the offboarding step, is the last phase of the employee life cycle. Whenever an employee resigns, this follows. This can be the result of retirement, a change in jobs, or internal factors. Furthermore, it includes any workers the company dismisses. Regardless of the reasons for quitting, it is critical to make this last stage enjoyable. In addition to everything else, it affects the other staff members when a member of the team departs</w:t>
      </w:r>
      <w:r>
        <w:rPr>
          <w:rFonts w:ascii="Arial" w:hAnsi="Arial" w:cs="Arial"/>
          <w:sz w:val="24"/>
          <w:szCs w:val="24"/>
        </w:rPr>
        <w:t xml:space="preserve"> </w:t>
      </w:r>
      <w:r w:rsidRPr="007D1F1D">
        <w:rPr>
          <w:rFonts w:ascii="Arial" w:hAnsi="Arial" w:cs="Arial"/>
          <w:sz w:val="24"/>
          <w:szCs w:val="24"/>
        </w:rPr>
        <w:t>(</w:t>
      </w:r>
      <w:proofErr w:type="spellStart"/>
      <w:r w:rsidRPr="007D1F1D">
        <w:rPr>
          <w:rFonts w:ascii="Arial" w:hAnsi="Arial" w:cs="Arial"/>
          <w:sz w:val="24"/>
          <w:szCs w:val="24"/>
        </w:rPr>
        <w:t>Curnock</w:t>
      </w:r>
      <w:proofErr w:type="spellEnd"/>
      <w:r w:rsidRPr="007D1F1D">
        <w:rPr>
          <w:rFonts w:ascii="Arial" w:hAnsi="Arial" w:cs="Arial"/>
          <w:sz w:val="24"/>
          <w:szCs w:val="24"/>
        </w:rPr>
        <w:t xml:space="preserve"> &amp; </w:t>
      </w:r>
      <w:proofErr w:type="spellStart"/>
      <w:r w:rsidRPr="007D1F1D">
        <w:rPr>
          <w:rFonts w:ascii="Arial" w:hAnsi="Arial" w:cs="Arial"/>
          <w:sz w:val="24"/>
          <w:szCs w:val="24"/>
        </w:rPr>
        <w:t>Bouali</w:t>
      </w:r>
      <w:proofErr w:type="spellEnd"/>
      <w:r w:rsidRPr="007D1F1D">
        <w:rPr>
          <w:rFonts w:ascii="Arial" w:hAnsi="Arial" w:cs="Arial"/>
          <w:sz w:val="24"/>
          <w:szCs w:val="24"/>
        </w:rPr>
        <w:t xml:space="preserve">, </w:t>
      </w:r>
      <w:r w:rsidRPr="00CC2254">
        <w:rPr>
          <w:rFonts w:ascii="Arial" w:hAnsi="Arial" w:cs="Arial"/>
          <w:sz w:val="24"/>
          <w:szCs w:val="24"/>
        </w:rPr>
        <w:t>2022).</w:t>
      </w:r>
    </w:p>
    <w:p w14:paraId="3BFEDAE7" w14:textId="7462FCA1" w:rsidR="00FB3923" w:rsidRDefault="00FB3923" w:rsidP="00E27BE1">
      <w:pPr>
        <w:spacing w:line="360" w:lineRule="auto"/>
        <w:jc w:val="both"/>
        <w:rPr>
          <w:rFonts w:ascii="Arial" w:hAnsi="Arial" w:cs="Arial"/>
          <w:sz w:val="24"/>
          <w:szCs w:val="24"/>
        </w:rPr>
      </w:pPr>
      <w:r w:rsidRPr="00FB3923">
        <w:rPr>
          <w:rFonts w:ascii="Arial" w:hAnsi="Arial" w:cs="Arial"/>
          <w:sz w:val="24"/>
          <w:szCs w:val="24"/>
        </w:rPr>
        <w:t>Businesses will seek to assist their staff in improving their abilities throughout the ELC development phase so they can perform better in their professions. In order to prevent people from being persuaded to look for work elsewhere, employers would also like them to believe as though they have a clearly defined career path. Other tactics encompass having periodic contact with staff to talk about their objectives, stimulating career growth in all teams, evaluating the knowledge and abilities of every employee, offering frequent education opportunities, empowering outside learning, rewarding workers who gain knowledge on their time off, having managers work exclusively with staff to assist them optimise the aspects that need more development, and motivating the team members to work together</w:t>
      </w:r>
      <w:r w:rsidR="00707F26">
        <w:rPr>
          <w:rFonts w:ascii="Arial" w:hAnsi="Arial" w:cs="Arial"/>
          <w:sz w:val="24"/>
          <w:szCs w:val="24"/>
        </w:rPr>
        <w:t xml:space="preserve"> </w:t>
      </w:r>
      <w:r w:rsidR="00707F26" w:rsidRPr="007D1F1D">
        <w:rPr>
          <w:rFonts w:ascii="Arial" w:hAnsi="Arial" w:cs="Arial"/>
          <w:sz w:val="24"/>
          <w:szCs w:val="24"/>
        </w:rPr>
        <w:t>(</w:t>
      </w:r>
      <w:proofErr w:type="spellStart"/>
      <w:r w:rsidR="00707F26" w:rsidRPr="007D1F1D">
        <w:rPr>
          <w:rFonts w:ascii="Arial" w:hAnsi="Arial" w:cs="Arial"/>
          <w:sz w:val="24"/>
          <w:szCs w:val="24"/>
        </w:rPr>
        <w:t>Curnock</w:t>
      </w:r>
      <w:proofErr w:type="spellEnd"/>
      <w:r w:rsidR="00707F26" w:rsidRPr="007D1F1D">
        <w:rPr>
          <w:rFonts w:ascii="Arial" w:hAnsi="Arial" w:cs="Arial"/>
          <w:sz w:val="24"/>
          <w:szCs w:val="24"/>
        </w:rPr>
        <w:t xml:space="preserve"> &amp; </w:t>
      </w:r>
      <w:proofErr w:type="spellStart"/>
      <w:r w:rsidR="00707F26" w:rsidRPr="007D1F1D">
        <w:rPr>
          <w:rFonts w:ascii="Arial" w:hAnsi="Arial" w:cs="Arial"/>
          <w:sz w:val="24"/>
          <w:szCs w:val="24"/>
        </w:rPr>
        <w:t>Bouali</w:t>
      </w:r>
      <w:proofErr w:type="spellEnd"/>
      <w:r w:rsidR="00707F26" w:rsidRPr="007D1F1D">
        <w:rPr>
          <w:rFonts w:ascii="Arial" w:hAnsi="Arial" w:cs="Arial"/>
          <w:sz w:val="24"/>
          <w:szCs w:val="24"/>
        </w:rPr>
        <w:t>, 2022).</w:t>
      </w:r>
    </w:p>
    <w:p w14:paraId="2383152D" w14:textId="20E8A9F9" w:rsidR="002F5480" w:rsidRDefault="002F5480" w:rsidP="00E27BE1">
      <w:pPr>
        <w:spacing w:line="360" w:lineRule="auto"/>
        <w:jc w:val="both"/>
        <w:rPr>
          <w:rFonts w:ascii="Arial" w:hAnsi="Arial" w:cs="Arial"/>
          <w:sz w:val="24"/>
          <w:szCs w:val="24"/>
        </w:rPr>
      </w:pPr>
      <w:r w:rsidRPr="002F5480">
        <w:rPr>
          <w:rFonts w:ascii="Arial" w:hAnsi="Arial" w:cs="Arial"/>
          <w:sz w:val="24"/>
          <w:szCs w:val="24"/>
        </w:rPr>
        <w:t xml:space="preserve">In the United States, the number of people employed in the lodging and food service industry was 15.7 million in 2021, increasing from 14.87 million the preceding year. The predicted number of workers in this industry in 2022 was 17 </w:t>
      </w:r>
      <w:r w:rsidRPr="00074CDC">
        <w:rPr>
          <w:rFonts w:ascii="Arial" w:hAnsi="Arial" w:cs="Arial"/>
          <w:sz w:val="24"/>
          <w:szCs w:val="24"/>
        </w:rPr>
        <w:t>million</w:t>
      </w:r>
      <w:r w:rsidR="00074CDC" w:rsidRPr="00074CDC">
        <w:rPr>
          <w:rFonts w:ascii="Arial" w:hAnsi="Arial" w:cs="Arial"/>
          <w:sz w:val="24"/>
          <w:szCs w:val="24"/>
        </w:rPr>
        <w:t xml:space="preserve"> (Accommodation &amp; Food Services Sector Employee count US 2022, 2022).</w:t>
      </w:r>
    </w:p>
    <w:p w14:paraId="3DCB3C09" w14:textId="363473DF" w:rsidR="00CF515F" w:rsidRDefault="00CF515F" w:rsidP="00E27BE1">
      <w:pPr>
        <w:spacing w:line="360" w:lineRule="auto"/>
        <w:jc w:val="both"/>
        <w:rPr>
          <w:rFonts w:ascii="Arial" w:hAnsi="Arial" w:cs="Arial"/>
          <w:sz w:val="24"/>
          <w:szCs w:val="24"/>
        </w:rPr>
      </w:pPr>
      <w:r w:rsidRPr="00CF515F">
        <w:rPr>
          <w:rFonts w:ascii="Arial" w:hAnsi="Arial" w:cs="Arial"/>
          <w:sz w:val="24"/>
          <w:szCs w:val="24"/>
        </w:rPr>
        <w:t xml:space="preserve">Marriott International, Inc., a global hotel chain, hired about 120,000 workers in 2021. From 2007 to 2015, this number varied from 120 to 150 thousand and peaked in 2016, when more than 226,000 employees worked for Marriott International, Inc. There was a </w:t>
      </w:r>
      <w:r w:rsidRPr="00681596">
        <w:rPr>
          <w:rFonts w:ascii="Arial" w:hAnsi="Arial" w:cs="Arial"/>
          <w:sz w:val="24"/>
          <w:szCs w:val="24"/>
        </w:rPr>
        <w:t>significant decrease in employment of approximately 50,000 between 2016 and 2017</w:t>
      </w:r>
      <w:r w:rsidR="00681596" w:rsidRPr="00681596">
        <w:rPr>
          <w:rFonts w:ascii="Arial" w:hAnsi="Arial" w:cs="Arial"/>
          <w:sz w:val="24"/>
          <w:szCs w:val="24"/>
        </w:rPr>
        <w:t xml:space="preserve"> (Statista Research Department, 2022).</w:t>
      </w:r>
    </w:p>
    <w:p w14:paraId="426E5D9C" w14:textId="2E356D06" w:rsidR="00196E1C" w:rsidRDefault="00196E1C" w:rsidP="00E27BE1">
      <w:pPr>
        <w:spacing w:line="360" w:lineRule="auto"/>
        <w:jc w:val="both"/>
        <w:rPr>
          <w:rFonts w:ascii="Arial" w:hAnsi="Arial" w:cs="Arial"/>
          <w:sz w:val="24"/>
          <w:szCs w:val="24"/>
        </w:rPr>
      </w:pPr>
      <w:r w:rsidRPr="00196E1C">
        <w:rPr>
          <w:rFonts w:ascii="Arial" w:hAnsi="Arial" w:cs="Arial"/>
          <w:sz w:val="24"/>
          <w:szCs w:val="24"/>
        </w:rPr>
        <w:t xml:space="preserve">Several academic studies have evaluated the significance of employee engagement in the hospitality industry. With a survey of 114 hospitality service organizations, such </w:t>
      </w:r>
      <w:r w:rsidRPr="00196E1C">
        <w:rPr>
          <w:rFonts w:ascii="Arial" w:hAnsi="Arial" w:cs="Arial"/>
          <w:sz w:val="24"/>
          <w:szCs w:val="24"/>
        </w:rPr>
        <w:lastRenderedPageBreak/>
        <w:t xml:space="preserve">as hotel front-office and diners, </w:t>
      </w:r>
      <w:proofErr w:type="spellStart"/>
      <w:r w:rsidRPr="00196E1C">
        <w:rPr>
          <w:rFonts w:ascii="Arial" w:hAnsi="Arial" w:cs="Arial"/>
          <w:sz w:val="24"/>
          <w:szCs w:val="24"/>
        </w:rPr>
        <w:t>Salanova</w:t>
      </w:r>
      <w:proofErr w:type="spellEnd"/>
      <w:r w:rsidRPr="00196E1C">
        <w:rPr>
          <w:rFonts w:ascii="Arial" w:hAnsi="Arial" w:cs="Arial"/>
          <w:sz w:val="24"/>
          <w:szCs w:val="24"/>
        </w:rPr>
        <w:t xml:space="preserve"> et al. (2005) tested the mediating role of customer satisfaction between corporate assets and resources and employee engagement in relation to the mediating function of work interaction between organisational resources. According to the findings, organizational factors and job </w:t>
      </w:r>
      <w:r w:rsidRPr="00737753">
        <w:rPr>
          <w:rFonts w:ascii="Arial" w:hAnsi="Arial" w:cs="Arial"/>
          <w:sz w:val="24"/>
          <w:szCs w:val="24"/>
        </w:rPr>
        <w:t>involvement anticipated service climate, and organisational climate controlled that connection</w:t>
      </w:r>
      <w:r w:rsidR="00737753" w:rsidRPr="00737753">
        <w:rPr>
          <w:rFonts w:ascii="Arial" w:hAnsi="Arial" w:cs="Arial"/>
          <w:sz w:val="24"/>
          <w:szCs w:val="24"/>
        </w:rPr>
        <w:t xml:space="preserve"> (Kang, </w:t>
      </w:r>
      <w:proofErr w:type="spellStart"/>
      <w:r w:rsidR="00737753" w:rsidRPr="00737753">
        <w:rPr>
          <w:rFonts w:ascii="Arial" w:hAnsi="Arial" w:cs="Arial"/>
          <w:sz w:val="24"/>
          <w:szCs w:val="24"/>
        </w:rPr>
        <w:t>Hee</w:t>
      </w:r>
      <w:proofErr w:type="spellEnd"/>
      <w:r w:rsidR="00737753" w:rsidRPr="00737753">
        <w:rPr>
          <w:rFonts w:ascii="Arial" w:hAnsi="Arial" w:cs="Arial"/>
          <w:sz w:val="24"/>
          <w:szCs w:val="24"/>
        </w:rPr>
        <w:t xml:space="preserve"> Jung, 2014).</w:t>
      </w:r>
    </w:p>
    <w:p w14:paraId="2AFB5D19" w14:textId="46AB21FC" w:rsidR="00541A08" w:rsidRDefault="00541A08" w:rsidP="00E27BE1">
      <w:pPr>
        <w:spacing w:line="360" w:lineRule="auto"/>
        <w:jc w:val="both"/>
        <w:rPr>
          <w:rFonts w:ascii="Arial" w:hAnsi="Arial" w:cs="Arial"/>
          <w:sz w:val="24"/>
          <w:szCs w:val="24"/>
        </w:rPr>
      </w:pPr>
      <w:r w:rsidRPr="00541A08">
        <w:rPr>
          <w:rFonts w:ascii="Arial" w:hAnsi="Arial" w:cs="Arial"/>
          <w:sz w:val="24"/>
          <w:szCs w:val="24"/>
        </w:rPr>
        <w:t xml:space="preserve">The effect of personal and professional capabilities on work engagement among complete front desk hotel employees was examined by </w:t>
      </w:r>
      <w:proofErr w:type="spellStart"/>
      <w:r w:rsidRPr="00541A08">
        <w:rPr>
          <w:rFonts w:ascii="Arial" w:hAnsi="Arial" w:cs="Arial"/>
          <w:sz w:val="24"/>
          <w:szCs w:val="24"/>
        </w:rPr>
        <w:t>Karatepe</w:t>
      </w:r>
      <w:proofErr w:type="spellEnd"/>
      <w:r w:rsidRPr="00541A08">
        <w:rPr>
          <w:rFonts w:ascii="Arial" w:hAnsi="Arial" w:cs="Arial"/>
          <w:sz w:val="24"/>
          <w:szCs w:val="24"/>
        </w:rPr>
        <w:t xml:space="preserve"> and </w:t>
      </w:r>
      <w:proofErr w:type="spellStart"/>
      <w:r w:rsidRPr="00541A08">
        <w:rPr>
          <w:rFonts w:ascii="Arial" w:hAnsi="Arial" w:cs="Arial"/>
          <w:sz w:val="24"/>
          <w:szCs w:val="24"/>
        </w:rPr>
        <w:t>Olugbade</w:t>
      </w:r>
      <w:proofErr w:type="spellEnd"/>
      <w:r w:rsidRPr="00541A08">
        <w:rPr>
          <w:rFonts w:ascii="Arial" w:hAnsi="Arial" w:cs="Arial"/>
          <w:sz w:val="24"/>
          <w:szCs w:val="24"/>
        </w:rPr>
        <w:t xml:space="preserve"> (2009). The results revealed that innate competition outperformed consciousness in predicting three aspects of work commitment. Slatten and </w:t>
      </w:r>
      <w:proofErr w:type="spellStart"/>
      <w:r w:rsidRPr="00541A08">
        <w:rPr>
          <w:rFonts w:ascii="Arial" w:hAnsi="Arial" w:cs="Arial"/>
          <w:sz w:val="24"/>
          <w:szCs w:val="24"/>
        </w:rPr>
        <w:t>Mehmetoglu</w:t>
      </w:r>
      <w:proofErr w:type="spellEnd"/>
      <w:r w:rsidRPr="00541A08">
        <w:rPr>
          <w:rFonts w:ascii="Arial" w:hAnsi="Arial" w:cs="Arial"/>
          <w:sz w:val="24"/>
          <w:szCs w:val="24"/>
        </w:rPr>
        <w:t xml:space="preserve"> (2011) investigated the variables affecting front hospitality employees' motivation. The findings showed that employee engagement had a considerable impact on job independence, strategy attentiveness, and career advantage, and that it was directly associated to organizational innovation</w:t>
      </w:r>
      <w:r w:rsidR="00737753">
        <w:rPr>
          <w:rFonts w:ascii="Arial" w:hAnsi="Arial" w:cs="Arial"/>
          <w:sz w:val="24"/>
          <w:szCs w:val="24"/>
        </w:rPr>
        <w:t xml:space="preserve"> </w:t>
      </w:r>
      <w:r w:rsidR="00737753" w:rsidRPr="00737753">
        <w:rPr>
          <w:rFonts w:ascii="Arial" w:hAnsi="Arial" w:cs="Arial"/>
          <w:sz w:val="24"/>
          <w:szCs w:val="24"/>
        </w:rPr>
        <w:t xml:space="preserve">(Kang, </w:t>
      </w:r>
      <w:proofErr w:type="spellStart"/>
      <w:r w:rsidR="00737753" w:rsidRPr="00737753">
        <w:rPr>
          <w:rFonts w:ascii="Arial" w:hAnsi="Arial" w:cs="Arial"/>
          <w:sz w:val="24"/>
          <w:szCs w:val="24"/>
        </w:rPr>
        <w:t>Hee</w:t>
      </w:r>
      <w:proofErr w:type="spellEnd"/>
      <w:r w:rsidR="00737753" w:rsidRPr="00737753">
        <w:rPr>
          <w:rFonts w:ascii="Arial" w:hAnsi="Arial" w:cs="Arial"/>
          <w:sz w:val="24"/>
          <w:szCs w:val="24"/>
        </w:rPr>
        <w:t xml:space="preserve"> Jung, 2014).</w:t>
      </w:r>
    </w:p>
    <w:p w14:paraId="1976BC96" w14:textId="61E19B97" w:rsidR="0056604A" w:rsidRDefault="0056604A" w:rsidP="00E27BE1">
      <w:pPr>
        <w:spacing w:line="360" w:lineRule="auto"/>
        <w:jc w:val="both"/>
        <w:rPr>
          <w:rFonts w:ascii="Arial" w:hAnsi="Arial" w:cs="Arial"/>
          <w:sz w:val="24"/>
          <w:szCs w:val="24"/>
        </w:rPr>
      </w:pPr>
      <w:r w:rsidRPr="0056604A">
        <w:rPr>
          <w:rFonts w:ascii="Arial" w:hAnsi="Arial" w:cs="Arial"/>
          <w:sz w:val="24"/>
          <w:szCs w:val="24"/>
        </w:rPr>
        <w:t xml:space="preserve">The intergenerational impacts of work engagement amongst American hotel employees were assessed by Park and </w:t>
      </w:r>
      <w:proofErr w:type="spellStart"/>
      <w:r w:rsidRPr="0056604A">
        <w:rPr>
          <w:rFonts w:ascii="Arial" w:hAnsi="Arial" w:cs="Arial"/>
          <w:sz w:val="24"/>
          <w:szCs w:val="24"/>
        </w:rPr>
        <w:t>Gursoy</w:t>
      </w:r>
      <w:proofErr w:type="spellEnd"/>
      <w:r w:rsidRPr="0056604A">
        <w:rPr>
          <w:rFonts w:ascii="Arial" w:hAnsi="Arial" w:cs="Arial"/>
          <w:sz w:val="24"/>
          <w:szCs w:val="24"/>
        </w:rPr>
        <w:t xml:space="preserve"> (2012). Their research showed that the employees' generational participation greatly affected the work engagement level. The impacts of work engagement on the desire to leave the company were also attenuated by generational variations. Barnes and Collier (2013) looked at how front desk personnel performed in service environments with high and low levels of client contact in terms of service climate, work performance, affective organizational commitment, job involvement, organizational tenure, and resilience. The latest results showed that work engagement was positively correlated with customer satisfaction, career satisfaction, and affective organizational commitment. Work involvement of the employee also affected career dedication and flexibility</w:t>
      </w:r>
      <w:r w:rsidR="00737753">
        <w:rPr>
          <w:rFonts w:ascii="Arial" w:hAnsi="Arial" w:cs="Arial"/>
          <w:sz w:val="24"/>
          <w:szCs w:val="24"/>
        </w:rPr>
        <w:t xml:space="preserve"> </w:t>
      </w:r>
      <w:r w:rsidR="00737753" w:rsidRPr="00737753">
        <w:rPr>
          <w:rFonts w:ascii="Arial" w:hAnsi="Arial" w:cs="Arial"/>
          <w:sz w:val="24"/>
          <w:szCs w:val="24"/>
        </w:rPr>
        <w:t xml:space="preserve">(Kang, </w:t>
      </w:r>
      <w:proofErr w:type="spellStart"/>
      <w:r w:rsidR="00737753" w:rsidRPr="00737753">
        <w:rPr>
          <w:rFonts w:ascii="Arial" w:hAnsi="Arial" w:cs="Arial"/>
          <w:sz w:val="24"/>
          <w:szCs w:val="24"/>
        </w:rPr>
        <w:t>Hee</w:t>
      </w:r>
      <w:proofErr w:type="spellEnd"/>
      <w:r w:rsidR="00737753" w:rsidRPr="00737753">
        <w:rPr>
          <w:rFonts w:ascii="Arial" w:hAnsi="Arial" w:cs="Arial"/>
          <w:sz w:val="24"/>
          <w:szCs w:val="24"/>
        </w:rPr>
        <w:t xml:space="preserve"> Jung, 2014).</w:t>
      </w:r>
    </w:p>
    <w:p w14:paraId="22C45A6C" w14:textId="77777777" w:rsidR="009D3946" w:rsidRPr="00880C42" w:rsidRDefault="009D3946" w:rsidP="000B4FB7">
      <w:pPr>
        <w:spacing w:line="360" w:lineRule="auto"/>
        <w:jc w:val="both"/>
        <w:rPr>
          <w:rFonts w:ascii="Arial" w:hAnsi="Arial" w:cs="Arial"/>
          <w:sz w:val="24"/>
          <w:szCs w:val="24"/>
        </w:rPr>
      </w:pPr>
    </w:p>
    <w:p w14:paraId="055CF6E6" w14:textId="77777777" w:rsidR="000B4FB7" w:rsidRPr="000D47ED" w:rsidRDefault="000B4FB7" w:rsidP="000D47ED">
      <w:pPr>
        <w:spacing w:line="360" w:lineRule="auto"/>
        <w:jc w:val="both"/>
        <w:rPr>
          <w:rFonts w:ascii="Arial" w:hAnsi="Arial" w:cs="Arial"/>
          <w:sz w:val="24"/>
          <w:szCs w:val="24"/>
        </w:rPr>
      </w:pPr>
    </w:p>
    <w:p w14:paraId="6EF1DC1C" w14:textId="77777777" w:rsidR="000D47ED" w:rsidRDefault="000D47ED" w:rsidP="00557954"/>
    <w:p w14:paraId="79539CE1" w14:textId="77777777" w:rsidR="00D604A6" w:rsidRDefault="00D604A6" w:rsidP="00557954"/>
    <w:p w14:paraId="4A337129" w14:textId="77777777" w:rsidR="00D604A6" w:rsidRDefault="00D604A6" w:rsidP="00557954"/>
    <w:p w14:paraId="3F062A99" w14:textId="77777777" w:rsidR="006E3922" w:rsidRDefault="006E3922" w:rsidP="00557954"/>
    <w:p w14:paraId="7FE89EDB" w14:textId="2CDDF313" w:rsidR="00557954" w:rsidRPr="00557954" w:rsidRDefault="00557954" w:rsidP="00674C82">
      <w:pPr>
        <w:pStyle w:val="Heading1"/>
        <w:spacing w:line="360" w:lineRule="auto"/>
        <w:rPr>
          <w:rFonts w:ascii="Arial" w:hAnsi="Arial" w:cs="Arial"/>
          <w:color w:val="auto"/>
        </w:rPr>
      </w:pPr>
      <w:bookmarkStart w:id="1" w:name="_Toc127007916"/>
      <w:r>
        <w:rPr>
          <w:rFonts w:ascii="Arial" w:hAnsi="Arial" w:cs="Arial"/>
          <w:color w:val="auto"/>
        </w:rPr>
        <w:lastRenderedPageBreak/>
        <w:t>Conclusion</w:t>
      </w:r>
      <w:bookmarkEnd w:id="1"/>
    </w:p>
    <w:p w14:paraId="73CF7989" w14:textId="66C90DAB" w:rsidR="00D604A6" w:rsidRDefault="00D604A6" w:rsidP="00674C82">
      <w:pPr>
        <w:spacing w:line="360" w:lineRule="auto"/>
        <w:jc w:val="both"/>
        <w:rPr>
          <w:rFonts w:ascii="Arial" w:hAnsi="Arial" w:cs="Arial"/>
          <w:sz w:val="24"/>
          <w:szCs w:val="24"/>
        </w:rPr>
      </w:pPr>
      <w:r>
        <w:rPr>
          <w:rFonts w:ascii="Arial" w:hAnsi="Arial" w:cs="Arial"/>
          <w:sz w:val="24"/>
          <w:szCs w:val="24"/>
        </w:rPr>
        <w:t xml:space="preserve">The role of HR in engaging employees </w:t>
      </w:r>
      <w:r w:rsidR="00546CF0">
        <w:rPr>
          <w:rFonts w:ascii="Arial" w:hAnsi="Arial" w:cs="Arial"/>
          <w:sz w:val="24"/>
          <w:szCs w:val="24"/>
        </w:rPr>
        <w:t>has</w:t>
      </w:r>
      <w:r>
        <w:rPr>
          <w:rFonts w:ascii="Arial" w:hAnsi="Arial" w:cs="Arial"/>
          <w:sz w:val="24"/>
          <w:szCs w:val="24"/>
        </w:rPr>
        <w:t xml:space="preserve"> be</w:t>
      </w:r>
      <w:r w:rsidR="00546CF0">
        <w:rPr>
          <w:rFonts w:ascii="Arial" w:hAnsi="Arial" w:cs="Arial"/>
          <w:sz w:val="24"/>
          <w:szCs w:val="24"/>
        </w:rPr>
        <w:t>en</w:t>
      </w:r>
      <w:r>
        <w:rPr>
          <w:rFonts w:ascii="Arial" w:hAnsi="Arial" w:cs="Arial"/>
          <w:sz w:val="24"/>
          <w:szCs w:val="24"/>
        </w:rPr>
        <w:t xml:space="preserve"> outlined in the first part of this study. </w:t>
      </w:r>
      <w:r w:rsidR="00546CF0">
        <w:rPr>
          <w:rFonts w:ascii="Arial" w:hAnsi="Arial" w:cs="Arial"/>
          <w:sz w:val="24"/>
          <w:szCs w:val="24"/>
        </w:rPr>
        <w:t>Furthermore</w:t>
      </w:r>
      <w:r>
        <w:rPr>
          <w:rFonts w:ascii="Arial" w:hAnsi="Arial" w:cs="Arial"/>
          <w:sz w:val="24"/>
          <w:szCs w:val="24"/>
        </w:rPr>
        <w:t xml:space="preserve">, methods to engage and employee engagement advantages </w:t>
      </w:r>
      <w:r w:rsidR="00546CF0">
        <w:rPr>
          <w:rFonts w:ascii="Arial" w:hAnsi="Arial" w:cs="Arial"/>
          <w:sz w:val="24"/>
          <w:szCs w:val="24"/>
        </w:rPr>
        <w:t>have</w:t>
      </w:r>
      <w:r>
        <w:rPr>
          <w:rFonts w:ascii="Arial" w:hAnsi="Arial" w:cs="Arial"/>
          <w:sz w:val="24"/>
          <w:szCs w:val="24"/>
        </w:rPr>
        <w:t xml:space="preserve"> be</w:t>
      </w:r>
      <w:r w:rsidR="00546CF0">
        <w:rPr>
          <w:rFonts w:ascii="Arial" w:hAnsi="Arial" w:cs="Arial"/>
          <w:sz w:val="24"/>
          <w:szCs w:val="24"/>
        </w:rPr>
        <w:t>en</w:t>
      </w:r>
      <w:r>
        <w:rPr>
          <w:rFonts w:ascii="Arial" w:hAnsi="Arial" w:cs="Arial"/>
          <w:sz w:val="24"/>
          <w:szCs w:val="24"/>
        </w:rPr>
        <w:t xml:space="preserve"> shown. </w:t>
      </w:r>
      <w:r w:rsidR="00546CF0">
        <w:rPr>
          <w:rFonts w:ascii="Arial" w:hAnsi="Arial" w:cs="Arial"/>
          <w:sz w:val="24"/>
          <w:szCs w:val="24"/>
        </w:rPr>
        <w:t>Additionally</w:t>
      </w:r>
      <w:r>
        <w:rPr>
          <w:rFonts w:ascii="Arial" w:hAnsi="Arial" w:cs="Arial"/>
          <w:sz w:val="24"/>
          <w:szCs w:val="24"/>
        </w:rPr>
        <w:t>, the next section of the essay</w:t>
      </w:r>
      <w:r w:rsidR="00546CF0">
        <w:rPr>
          <w:rFonts w:ascii="Arial" w:hAnsi="Arial" w:cs="Arial"/>
          <w:sz w:val="24"/>
          <w:szCs w:val="24"/>
        </w:rPr>
        <w:t xml:space="preserve"> discussed</w:t>
      </w:r>
      <w:r>
        <w:rPr>
          <w:rFonts w:ascii="Arial" w:hAnsi="Arial" w:cs="Arial"/>
          <w:sz w:val="24"/>
          <w:szCs w:val="24"/>
        </w:rPr>
        <w:t xml:space="preserve"> examples of how to engage a team. </w:t>
      </w:r>
      <w:r w:rsidR="00674C82">
        <w:rPr>
          <w:rFonts w:ascii="Arial" w:hAnsi="Arial" w:cs="Arial"/>
          <w:sz w:val="24"/>
          <w:szCs w:val="24"/>
        </w:rPr>
        <w:t>Lastly</w:t>
      </w:r>
      <w:r>
        <w:rPr>
          <w:rFonts w:ascii="Arial" w:hAnsi="Arial" w:cs="Arial"/>
          <w:sz w:val="24"/>
          <w:szCs w:val="24"/>
        </w:rPr>
        <w:t xml:space="preserve">, an employee engagement model </w:t>
      </w:r>
      <w:r w:rsidR="00546CF0">
        <w:rPr>
          <w:rFonts w:ascii="Arial" w:hAnsi="Arial" w:cs="Arial"/>
          <w:sz w:val="24"/>
          <w:szCs w:val="24"/>
        </w:rPr>
        <w:t>has</w:t>
      </w:r>
      <w:r>
        <w:rPr>
          <w:rFonts w:ascii="Arial" w:hAnsi="Arial" w:cs="Arial"/>
          <w:sz w:val="24"/>
          <w:szCs w:val="24"/>
        </w:rPr>
        <w:t xml:space="preserve"> be</w:t>
      </w:r>
      <w:r w:rsidR="00546CF0">
        <w:rPr>
          <w:rFonts w:ascii="Arial" w:hAnsi="Arial" w:cs="Arial"/>
          <w:sz w:val="24"/>
          <w:szCs w:val="24"/>
        </w:rPr>
        <w:t>en</w:t>
      </w:r>
      <w:r>
        <w:rPr>
          <w:rFonts w:ascii="Arial" w:hAnsi="Arial" w:cs="Arial"/>
          <w:sz w:val="24"/>
          <w:szCs w:val="24"/>
        </w:rPr>
        <w:t xml:space="preserve"> applied and examples of </w:t>
      </w:r>
      <w:r w:rsidR="000C267F">
        <w:rPr>
          <w:rFonts w:ascii="Arial" w:hAnsi="Arial" w:cs="Arial"/>
          <w:sz w:val="24"/>
          <w:szCs w:val="24"/>
        </w:rPr>
        <w:t xml:space="preserve">the </w:t>
      </w:r>
      <w:r>
        <w:rPr>
          <w:rFonts w:ascii="Arial" w:hAnsi="Arial" w:cs="Arial"/>
          <w:sz w:val="24"/>
          <w:szCs w:val="24"/>
        </w:rPr>
        <w:t xml:space="preserve">hospitality industry </w:t>
      </w:r>
      <w:r w:rsidR="00546CF0">
        <w:rPr>
          <w:rFonts w:ascii="Arial" w:hAnsi="Arial" w:cs="Arial"/>
          <w:sz w:val="24"/>
          <w:szCs w:val="24"/>
        </w:rPr>
        <w:t>have</w:t>
      </w:r>
      <w:r>
        <w:rPr>
          <w:rFonts w:ascii="Arial" w:hAnsi="Arial" w:cs="Arial"/>
          <w:sz w:val="24"/>
          <w:szCs w:val="24"/>
        </w:rPr>
        <w:t xml:space="preserve"> be</w:t>
      </w:r>
      <w:r w:rsidR="00546CF0">
        <w:rPr>
          <w:rFonts w:ascii="Arial" w:hAnsi="Arial" w:cs="Arial"/>
          <w:sz w:val="24"/>
          <w:szCs w:val="24"/>
        </w:rPr>
        <w:t>en</w:t>
      </w:r>
      <w:r>
        <w:rPr>
          <w:rFonts w:ascii="Arial" w:hAnsi="Arial" w:cs="Arial"/>
          <w:sz w:val="24"/>
          <w:szCs w:val="24"/>
        </w:rPr>
        <w:t xml:space="preserve"> presented</w:t>
      </w:r>
      <w:r w:rsidR="00546CF0">
        <w:rPr>
          <w:rFonts w:ascii="Arial" w:hAnsi="Arial" w:cs="Arial"/>
          <w:sz w:val="24"/>
          <w:szCs w:val="24"/>
        </w:rPr>
        <w:t xml:space="preserve"> in the </w:t>
      </w:r>
      <w:r w:rsidR="00674C82">
        <w:rPr>
          <w:rFonts w:ascii="Arial" w:hAnsi="Arial" w:cs="Arial"/>
          <w:sz w:val="24"/>
          <w:szCs w:val="24"/>
        </w:rPr>
        <w:t>final part of the essay.</w:t>
      </w:r>
    </w:p>
    <w:p w14:paraId="791C6066" w14:textId="77777777" w:rsidR="00557954" w:rsidRDefault="00557954" w:rsidP="00C3634A"/>
    <w:p w14:paraId="2F2A2E4B" w14:textId="77777777" w:rsidR="00C71C82" w:rsidRDefault="00C71C82" w:rsidP="00C3634A"/>
    <w:p w14:paraId="01FE714F" w14:textId="77777777" w:rsidR="00C71C82" w:rsidRDefault="00C71C82" w:rsidP="00C3634A"/>
    <w:p w14:paraId="5159F1A2" w14:textId="77777777" w:rsidR="00C71C82" w:rsidRDefault="00C71C82" w:rsidP="00C3634A"/>
    <w:p w14:paraId="125AA525" w14:textId="77777777" w:rsidR="00C71C82" w:rsidRDefault="00C71C82" w:rsidP="00C3634A"/>
    <w:p w14:paraId="1599B7B4" w14:textId="77777777" w:rsidR="00C71C82" w:rsidRDefault="00C71C82" w:rsidP="00C3634A"/>
    <w:p w14:paraId="5A7A7853" w14:textId="77777777" w:rsidR="00C71C82" w:rsidRDefault="00C71C82" w:rsidP="00C3634A"/>
    <w:p w14:paraId="3099C337" w14:textId="77777777" w:rsidR="00C71C82" w:rsidRDefault="00C71C82" w:rsidP="00C3634A"/>
    <w:p w14:paraId="3B41BEDF" w14:textId="77777777" w:rsidR="00C71C82" w:rsidRDefault="00C71C82" w:rsidP="00C3634A"/>
    <w:p w14:paraId="2907153E" w14:textId="77777777" w:rsidR="00C71C82" w:rsidRDefault="00C71C82" w:rsidP="00C3634A"/>
    <w:p w14:paraId="5518CEC7" w14:textId="77777777" w:rsidR="00C71C82" w:rsidRDefault="00C71C82" w:rsidP="00C3634A"/>
    <w:p w14:paraId="249E2203" w14:textId="77777777" w:rsidR="00C71C82" w:rsidRDefault="00C71C82" w:rsidP="00C3634A"/>
    <w:p w14:paraId="440BBB98" w14:textId="77777777" w:rsidR="00C71C82" w:rsidRDefault="00C71C82" w:rsidP="00C3634A"/>
    <w:p w14:paraId="593D22E0" w14:textId="77777777" w:rsidR="00C71C82" w:rsidRDefault="00C71C82" w:rsidP="00C3634A"/>
    <w:p w14:paraId="7012FEF8" w14:textId="77777777" w:rsidR="00C71C82" w:rsidRDefault="00C71C82" w:rsidP="00C3634A"/>
    <w:p w14:paraId="72A42075" w14:textId="77777777" w:rsidR="00C71C82" w:rsidRDefault="00C71C82" w:rsidP="00C3634A"/>
    <w:p w14:paraId="0ACA26A4" w14:textId="77777777" w:rsidR="00C71C82" w:rsidRDefault="00C71C82" w:rsidP="00C3634A"/>
    <w:p w14:paraId="12119E71" w14:textId="77777777" w:rsidR="00C71C82" w:rsidRDefault="00C71C82" w:rsidP="00C3634A"/>
    <w:p w14:paraId="6DFBD9C2" w14:textId="77777777" w:rsidR="00C71C82" w:rsidRDefault="00C71C82" w:rsidP="00C3634A"/>
    <w:p w14:paraId="6453A67A" w14:textId="77777777" w:rsidR="00C71C82" w:rsidRDefault="00C71C82" w:rsidP="00C3634A"/>
    <w:p w14:paraId="78FC8048" w14:textId="77777777" w:rsidR="00C71C82" w:rsidRDefault="00C71C82" w:rsidP="00C3634A"/>
    <w:p w14:paraId="649AF03C" w14:textId="77777777" w:rsidR="00C71C82" w:rsidRDefault="00C71C82" w:rsidP="00C3634A"/>
    <w:p w14:paraId="0BECBF9C" w14:textId="512A4C73" w:rsidR="000C267F" w:rsidRPr="000C267F" w:rsidRDefault="000C267F" w:rsidP="000C267F">
      <w:pPr>
        <w:pStyle w:val="Heading1"/>
        <w:spacing w:line="360" w:lineRule="auto"/>
        <w:jc w:val="both"/>
        <w:rPr>
          <w:rFonts w:ascii="Arial" w:hAnsi="Arial" w:cs="Arial"/>
          <w:color w:val="auto"/>
        </w:rPr>
      </w:pPr>
      <w:r>
        <w:rPr>
          <w:rFonts w:ascii="Arial" w:hAnsi="Arial" w:cs="Arial"/>
          <w:color w:val="auto"/>
        </w:rPr>
        <w:lastRenderedPageBreak/>
        <w:t>References</w:t>
      </w:r>
    </w:p>
    <w:p w14:paraId="697708E4" w14:textId="77777777" w:rsidR="005B2B00" w:rsidRDefault="005B2B00" w:rsidP="000C267F">
      <w:pPr>
        <w:pStyle w:val="NormalWeb"/>
        <w:spacing w:line="360" w:lineRule="auto"/>
        <w:jc w:val="both"/>
      </w:pPr>
      <w:r>
        <w:t xml:space="preserve">Information on employee engagement (2023) </w:t>
      </w:r>
      <w:r>
        <w:rPr>
          <w:i/>
          <w:iCs/>
        </w:rPr>
        <w:t>Information on employee engagement</w:t>
      </w:r>
      <w:r>
        <w:t xml:space="preserve">, </w:t>
      </w:r>
      <w:r>
        <w:rPr>
          <w:i/>
          <w:iCs/>
        </w:rPr>
        <w:t>CIPD</w:t>
      </w:r>
      <w:r>
        <w:t xml:space="preserve">. Available at: </w:t>
      </w:r>
      <w:hyperlink r:id="rId6" w:anchor="11243" w:history="1">
        <w:r w:rsidRPr="00614448">
          <w:rPr>
            <w:rStyle w:val="Hyperlink"/>
            <w:rFonts w:eastAsiaTheme="minorEastAsia"/>
          </w:rPr>
          <w:t>https://www.cipd.co.uk/knowledge/fundamentals/relations/engagement#11243</w:t>
        </w:r>
      </w:hyperlink>
    </w:p>
    <w:p w14:paraId="169D0BFD" w14:textId="77777777" w:rsidR="005B2B00" w:rsidRDefault="005B2B00" w:rsidP="000C267F">
      <w:pPr>
        <w:pStyle w:val="NormalWeb"/>
        <w:spacing w:line="360" w:lineRule="auto"/>
        <w:jc w:val="both"/>
      </w:pPr>
      <w:r>
        <w:t xml:space="preserve">Mayne, T. (2017) </w:t>
      </w:r>
      <w:r>
        <w:rPr>
          <w:i/>
          <w:iCs/>
        </w:rPr>
        <w:t xml:space="preserve">What is HR's role in employee </w:t>
      </w:r>
      <w:proofErr w:type="gramStart"/>
      <w:r>
        <w:rPr>
          <w:i/>
          <w:iCs/>
        </w:rPr>
        <w:t>engagement?</w:t>
      </w:r>
      <w:r>
        <w:t>,</w:t>
      </w:r>
      <w:proofErr w:type="gramEnd"/>
      <w:r>
        <w:t xml:space="preserve"> </w:t>
      </w:r>
      <w:r>
        <w:rPr>
          <w:i/>
          <w:iCs/>
        </w:rPr>
        <w:t>DPG</w:t>
      </w:r>
      <w:r>
        <w:t xml:space="preserve">. Available at: </w:t>
      </w:r>
      <w:hyperlink r:id="rId7" w:history="1">
        <w:r w:rsidRPr="00614448">
          <w:rPr>
            <w:rStyle w:val="Hyperlink"/>
            <w:rFonts w:eastAsiaTheme="minorEastAsia"/>
          </w:rPr>
          <w:t>https://dpglearn.co.uk/blog/human-resources/what-is-hr-s-role-in-employee-engagement/</w:t>
        </w:r>
      </w:hyperlink>
    </w:p>
    <w:p w14:paraId="21E1B7BD" w14:textId="77777777" w:rsidR="005B2B00" w:rsidRDefault="005B2B00" w:rsidP="000C267F">
      <w:pPr>
        <w:pStyle w:val="NormalWeb"/>
        <w:spacing w:line="360" w:lineRule="auto"/>
        <w:jc w:val="both"/>
      </w:pPr>
      <w:r>
        <w:t xml:space="preserve">Employee engagement &amp; motivation: Factsheets (2023) </w:t>
      </w:r>
      <w:r>
        <w:rPr>
          <w:i/>
          <w:iCs/>
        </w:rPr>
        <w:t>Employee engagement &amp; motivation: Factsheets</w:t>
      </w:r>
      <w:r>
        <w:t xml:space="preserve">, </w:t>
      </w:r>
      <w:r>
        <w:rPr>
          <w:i/>
          <w:iCs/>
        </w:rPr>
        <w:t>CIPD</w:t>
      </w:r>
      <w:r>
        <w:t xml:space="preserve">. Available at: </w:t>
      </w:r>
      <w:hyperlink r:id="rId8" w:history="1">
        <w:r w:rsidRPr="00614448">
          <w:rPr>
            <w:rStyle w:val="Hyperlink"/>
            <w:rFonts w:eastAsiaTheme="minorEastAsia"/>
          </w:rPr>
          <w:t>https://www.cipd.co.uk/knowledge/fundamentals/relations/engagement/factsheet</w:t>
        </w:r>
      </w:hyperlink>
    </w:p>
    <w:p w14:paraId="6B52846E" w14:textId="77777777" w:rsidR="005B2B00" w:rsidRDefault="005B2B00" w:rsidP="000C267F">
      <w:pPr>
        <w:pStyle w:val="NormalWeb"/>
        <w:spacing w:line="360" w:lineRule="auto"/>
        <w:jc w:val="both"/>
      </w:pPr>
      <w:proofErr w:type="spellStart"/>
      <w:r>
        <w:t>Trépanier</w:t>
      </w:r>
      <w:proofErr w:type="spellEnd"/>
      <w:r>
        <w:t xml:space="preserve">, S. (2022) </w:t>
      </w:r>
      <w:r>
        <w:rPr>
          <w:i/>
          <w:iCs/>
        </w:rPr>
        <w:t>6 ways to motivate and retain your hotel staff</w:t>
      </w:r>
      <w:r>
        <w:t xml:space="preserve">, </w:t>
      </w:r>
      <w:proofErr w:type="spellStart"/>
      <w:r>
        <w:rPr>
          <w:i/>
          <w:iCs/>
        </w:rPr>
        <w:t>Hotello</w:t>
      </w:r>
      <w:proofErr w:type="spellEnd"/>
      <w:r>
        <w:t xml:space="preserve">. Available at: </w:t>
      </w:r>
      <w:hyperlink r:id="rId9" w:history="1">
        <w:r w:rsidRPr="00614448">
          <w:rPr>
            <w:rStyle w:val="Hyperlink"/>
            <w:rFonts w:eastAsiaTheme="minorEastAsia"/>
          </w:rPr>
          <w:t>https://hotello.com/en/motivate-hotel-staff/</w:t>
        </w:r>
      </w:hyperlink>
    </w:p>
    <w:p w14:paraId="57AF67B2" w14:textId="77777777" w:rsidR="005B2B00" w:rsidRDefault="005B2B00" w:rsidP="000C267F">
      <w:pPr>
        <w:pStyle w:val="NormalWeb"/>
        <w:spacing w:line="360" w:lineRule="auto"/>
        <w:jc w:val="both"/>
      </w:pPr>
      <w:proofErr w:type="spellStart"/>
      <w:r>
        <w:t>Curnock</w:t>
      </w:r>
      <w:proofErr w:type="spellEnd"/>
      <w:r>
        <w:t xml:space="preserve">, J. and </w:t>
      </w:r>
      <w:proofErr w:type="spellStart"/>
      <w:r>
        <w:t>Bouali</w:t>
      </w:r>
      <w:proofErr w:type="spellEnd"/>
      <w:r>
        <w:t xml:space="preserve">, T. (2022) </w:t>
      </w:r>
      <w:r>
        <w:rPr>
          <w:i/>
          <w:iCs/>
        </w:rPr>
        <w:t>What is the employee life cycle and why does it matter? - factorial</w:t>
      </w:r>
      <w:r>
        <w:t xml:space="preserve">, </w:t>
      </w:r>
      <w:r>
        <w:rPr>
          <w:i/>
          <w:iCs/>
        </w:rPr>
        <w:t>Factorial Blog</w:t>
      </w:r>
      <w:r>
        <w:t xml:space="preserve">. Available at: </w:t>
      </w:r>
      <w:hyperlink r:id="rId10" w:history="1">
        <w:r w:rsidRPr="00614448">
          <w:rPr>
            <w:rStyle w:val="Hyperlink"/>
            <w:rFonts w:eastAsiaTheme="minorEastAsia"/>
          </w:rPr>
          <w:t>https://factorialhr.co.uk/blog/employee-life-cycle/</w:t>
        </w:r>
      </w:hyperlink>
    </w:p>
    <w:p w14:paraId="7F29FBB1" w14:textId="77777777" w:rsidR="005B2B00" w:rsidRDefault="005B2B00" w:rsidP="000C267F">
      <w:pPr>
        <w:pStyle w:val="NormalWeb"/>
        <w:spacing w:line="360" w:lineRule="auto"/>
        <w:jc w:val="both"/>
      </w:pPr>
      <w:r>
        <w:t xml:space="preserve">Smet, A.D. </w:t>
      </w:r>
      <w:r>
        <w:rPr>
          <w:i/>
          <w:iCs/>
        </w:rPr>
        <w:t>et al.</w:t>
      </w:r>
      <w:r>
        <w:t xml:space="preserve"> (2022) </w:t>
      </w:r>
      <w:r>
        <w:rPr>
          <w:i/>
          <w:iCs/>
        </w:rPr>
        <w:t>'great attrition' or 'great attraction'? the choice is yours</w:t>
      </w:r>
      <w:r>
        <w:t xml:space="preserve">, </w:t>
      </w:r>
      <w:r>
        <w:rPr>
          <w:i/>
          <w:iCs/>
        </w:rPr>
        <w:t>McKinsey &amp; Company</w:t>
      </w:r>
      <w:r>
        <w:t xml:space="preserve">. McKinsey &amp; Company. Available at: </w:t>
      </w:r>
      <w:hyperlink r:id="rId11" w:history="1">
        <w:r w:rsidRPr="00614448">
          <w:rPr>
            <w:rStyle w:val="Hyperlink"/>
            <w:rFonts w:eastAsiaTheme="minorEastAsia"/>
          </w:rPr>
          <w:t>https://www.mckinsey.com/capabilities/people-and-organizational-performance/our-insights/great-attrition-or-great-attraction-the-choice-is-yours</w:t>
        </w:r>
      </w:hyperlink>
      <w:r>
        <w:t>.</w:t>
      </w:r>
    </w:p>
    <w:p w14:paraId="08A9A1F3" w14:textId="77777777" w:rsidR="005B2B00" w:rsidRDefault="005B2B00" w:rsidP="000C267F">
      <w:pPr>
        <w:pStyle w:val="NormalWeb"/>
        <w:spacing w:line="360" w:lineRule="auto"/>
        <w:jc w:val="both"/>
      </w:pPr>
      <w:r>
        <w:t xml:space="preserve">Statista Research Department (2022) </w:t>
      </w:r>
      <w:r>
        <w:rPr>
          <w:i/>
          <w:iCs/>
        </w:rPr>
        <w:t>Marriott employees worldwide 2021</w:t>
      </w:r>
      <w:r>
        <w:t xml:space="preserve">, </w:t>
      </w:r>
      <w:r>
        <w:rPr>
          <w:i/>
          <w:iCs/>
        </w:rPr>
        <w:t>Statista</w:t>
      </w:r>
      <w:r>
        <w:t xml:space="preserve">. Available at: </w:t>
      </w:r>
      <w:hyperlink r:id="rId12" w:history="1">
        <w:r w:rsidRPr="00614448">
          <w:rPr>
            <w:rStyle w:val="Hyperlink"/>
            <w:rFonts w:eastAsiaTheme="minorEastAsia"/>
          </w:rPr>
          <w:t>https://www.statista.com/statistics/297269/number-of-marriott-international-employees-worldwide/</w:t>
        </w:r>
      </w:hyperlink>
    </w:p>
    <w:p w14:paraId="6EB6A970" w14:textId="77777777" w:rsidR="005B2B00" w:rsidRDefault="005B2B00" w:rsidP="000C267F">
      <w:pPr>
        <w:pStyle w:val="NormalWeb"/>
        <w:spacing w:line="360" w:lineRule="auto"/>
        <w:jc w:val="both"/>
      </w:pPr>
      <w:r>
        <w:t xml:space="preserve">Accommodation &amp; Food Services Sector Employee count US 2022 (2022) </w:t>
      </w:r>
      <w:r>
        <w:rPr>
          <w:i/>
          <w:iCs/>
        </w:rPr>
        <w:t>Accommodation &amp; Food Services Sector Employee count US 2022</w:t>
      </w:r>
      <w:r>
        <w:t xml:space="preserve">, </w:t>
      </w:r>
      <w:r>
        <w:rPr>
          <w:i/>
          <w:iCs/>
        </w:rPr>
        <w:t>Statista</w:t>
      </w:r>
      <w:r>
        <w:t xml:space="preserve">. Available at: </w:t>
      </w:r>
      <w:hyperlink r:id="rId13" w:history="1">
        <w:r w:rsidRPr="00614448">
          <w:rPr>
            <w:rStyle w:val="Hyperlink"/>
            <w:rFonts w:eastAsiaTheme="minorEastAsia"/>
          </w:rPr>
          <w:t>https://www.statista.com/statistics/1179326/number-of-accommodation-and-food-service-industry-employees-us/</w:t>
        </w:r>
      </w:hyperlink>
    </w:p>
    <w:p w14:paraId="708F166F" w14:textId="77777777" w:rsidR="005B2B00" w:rsidRDefault="005B2B00" w:rsidP="000C267F">
      <w:pPr>
        <w:pStyle w:val="NormalWeb"/>
        <w:spacing w:line="360" w:lineRule="auto"/>
        <w:jc w:val="both"/>
      </w:pPr>
      <w:r>
        <w:t xml:space="preserve">Kang, </w:t>
      </w:r>
      <w:proofErr w:type="spellStart"/>
      <w:r>
        <w:t>Hee</w:t>
      </w:r>
      <w:proofErr w:type="spellEnd"/>
      <w:r>
        <w:t xml:space="preserve"> Jung, "A Model of Hospitality Employee Engagement" (2014). UNLV Theses, Dissertations, Professional Papers, and Capstones. 2102. </w:t>
      </w:r>
      <w:hyperlink r:id="rId14" w:history="1">
        <w:r w:rsidRPr="00614448">
          <w:rPr>
            <w:rStyle w:val="Hyperlink"/>
            <w:rFonts w:eastAsiaTheme="minorEastAsia"/>
          </w:rPr>
          <w:t>http://dx.doi.org/10.34917/5836121</w:t>
        </w:r>
      </w:hyperlink>
      <w:r>
        <w:t>, pp 16-17</w:t>
      </w:r>
    </w:p>
    <w:p w14:paraId="3C5C9E21" w14:textId="77777777" w:rsidR="005B2B00" w:rsidRDefault="005B2B00" w:rsidP="000C267F">
      <w:pPr>
        <w:pStyle w:val="NormalWeb"/>
        <w:spacing w:line="360" w:lineRule="auto"/>
        <w:jc w:val="both"/>
      </w:pPr>
      <w:proofErr w:type="spellStart"/>
      <w:r>
        <w:lastRenderedPageBreak/>
        <w:t>Salanova</w:t>
      </w:r>
      <w:proofErr w:type="spellEnd"/>
      <w:r>
        <w:t xml:space="preserve">, M., Agut, S., &amp; </w:t>
      </w:r>
      <w:proofErr w:type="spellStart"/>
      <w:r>
        <w:t>Peiró</w:t>
      </w:r>
      <w:proofErr w:type="spellEnd"/>
      <w:r>
        <w:t>, J. M. (2005). Linking organizational resources and work engagement to employee performance and customer loyalty: The mediation of 110 service climate. Journal of Applied Psychology, 90(6), 1217-1227. doi:10.1037/0021-9010.90.6.1217</w:t>
      </w:r>
    </w:p>
    <w:p w14:paraId="482B30EE" w14:textId="77777777" w:rsidR="005B2B00" w:rsidRDefault="005B2B00" w:rsidP="000C267F">
      <w:pPr>
        <w:pStyle w:val="NormalWeb"/>
        <w:spacing w:line="360" w:lineRule="auto"/>
        <w:jc w:val="both"/>
      </w:pPr>
      <w:proofErr w:type="spellStart"/>
      <w:r>
        <w:t>Karatepe</w:t>
      </w:r>
      <w:proofErr w:type="spellEnd"/>
      <w:r>
        <w:t xml:space="preserve">, O. M., &amp; </w:t>
      </w:r>
      <w:proofErr w:type="spellStart"/>
      <w:r>
        <w:t>Olugbade</w:t>
      </w:r>
      <w:proofErr w:type="spellEnd"/>
      <w:r>
        <w:t>, O. A. (2009). The effects of job and personal resources on hotel employees’ work engagement. International Journal of Hospitality Management, 28, 504-512</w:t>
      </w:r>
    </w:p>
    <w:p w14:paraId="3C00E53D" w14:textId="77777777" w:rsidR="005B2B00" w:rsidRDefault="005B2B00" w:rsidP="000C267F">
      <w:pPr>
        <w:pStyle w:val="NormalWeb"/>
        <w:spacing w:line="360" w:lineRule="auto"/>
        <w:jc w:val="both"/>
      </w:pPr>
      <w:r>
        <w:t xml:space="preserve">Slatten, T. &amp; </w:t>
      </w:r>
      <w:proofErr w:type="spellStart"/>
      <w:r>
        <w:t>Mehmetoglu</w:t>
      </w:r>
      <w:proofErr w:type="spellEnd"/>
      <w:r>
        <w:t>, M. (2011). Antecedents and effects of engaged frontline employees: A study from the hospitality industry. Managing Service Quality, 21(1), 88-107</w:t>
      </w:r>
    </w:p>
    <w:p w14:paraId="096739A5" w14:textId="77777777" w:rsidR="005B2B00" w:rsidRDefault="005B2B00" w:rsidP="000C267F">
      <w:pPr>
        <w:pStyle w:val="NormalWeb"/>
        <w:spacing w:line="360" w:lineRule="auto"/>
        <w:jc w:val="both"/>
      </w:pPr>
      <w:r>
        <w:t xml:space="preserve">Park, J., &amp; </w:t>
      </w:r>
      <w:proofErr w:type="spellStart"/>
      <w:r>
        <w:t>Gursoy</w:t>
      </w:r>
      <w:proofErr w:type="spellEnd"/>
      <w:r>
        <w:t>, D. (2012). Generation effects on work engagement among U.S. hotel employees. International Journal of Hospitality Management, 31, 1195-1202.</w:t>
      </w:r>
    </w:p>
    <w:p w14:paraId="234A4D91" w14:textId="490929E1" w:rsidR="00C71C82" w:rsidRPr="00C3634A" w:rsidRDefault="005B2B00" w:rsidP="000C267F">
      <w:pPr>
        <w:pStyle w:val="NormalWeb"/>
        <w:spacing w:line="360" w:lineRule="auto"/>
        <w:jc w:val="both"/>
      </w:pPr>
      <w:r>
        <w:t>Barnes, D. C., &amp; Collier, J. E. (2013). Investing work engagement in the service environment. Journal of Service Marketing, 27(6), 485-499</w:t>
      </w:r>
    </w:p>
    <w:sectPr w:rsidR="00C71C82" w:rsidRPr="00C3634A" w:rsidSect="00E0199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FBA33" w14:textId="77777777" w:rsidR="00306799" w:rsidRDefault="00306799" w:rsidP="009F0E02">
      <w:pPr>
        <w:spacing w:after="0" w:line="240" w:lineRule="auto"/>
      </w:pPr>
      <w:r>
        <w:separator/>
      </w:r>
    </w:p>
  </w:endnote>
  <w:endnote w:type="continuationSeparator" w:id="0">
    <w:p w14:paraId="4ECA4EFC" w14:textId="77777777" w:rsidR="00306799" w:rsidRDefault="00306799" w:rsidP="009F0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9F1A" w14:textId="77777777" w:rsidR="009F0E02" w:rsidRDefault="009F0E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955127"/>
      <w:docPartObj>
        <w:docPartGallery w:val="Page Numbers (Bottom of Page)"/>
        <w:docPartUnique/>
      </w:docPartObj>
    </w:sdtPr>
    <w:sdtEndPr>
      <w:rPr>
        <w:noProof/>
      </w:rPr>
    </w:sdtEndPr>
    <w:sdtContent>
      <w:p w14:paraId="74E10156" w14:textId="6A7BFFBB" w:rsidR="009F0E02" w:rsidRDefault="009F0E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3B5FF2" w14:textId="77777777" w:rsidR="009F0E02" w:rsidRDefault="009F0E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ACA94" w14:textId="77777777" w:rsidR="009F0E02" w:rsidRDefault="009F0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B6875" w14:textId="77777777" w:rsidR="00306799" w:rsidRDefault="00306799" w:rsidP="009F0E02">
      <w:pPr>
        <w:spacing w:after="0" w:line="240" w:lineRule="auto"/>
      </w:pPr>
      <w:r>
        <w:separator/>
      </w:r>
    </w:p>
  </w:footnote>
  <w:footnote w:type="continuationSeparator" w:id="0">
    <w:p w14:paraId="31CB2586" w14:textId="77777777" w:rsidR="00306799" w:rsidRDefault="00306799" w:rsidP="009F0E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1341B" w14:textId="77777777" w:rsidR="009F0E02" w:rsidRDefault="009F0E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DCAB1" w14:textId="77777777" w:rsidR="009F0E02" w:rsidRDefault="009F0E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0F17F" w14:textId="77777777" w:rsidR="009F0E02" w:rsidRDefault="009F0E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MTY0NjG0tDQ3tjBR0lEKTi0uzszPAykwrgUAKOjHhiwAAAA="/>
  </w:docVars>
  <w:rsids>
    <w:rsidRoot w:val="007D6A84"/>
    <w:rsid w:val="00073C8C"/>
    <w:rsid w:val="00074CDC"/>
    <w:rsid w:val="00082FD5"/>
    <w:rsid w:val="000B4FB7"/>
    <w:rsid w:val="000C267F"/>
    <w:rsid w:val="000D47ED"/>
    <w:rsid w:val="00196E1C"/>
    <w:rsid w:val="001B6303"/>
    <w:rsid w:val="0020484C"/>
    <w:rsid w:val="00210BF3"/>
    <w:rsid w:val="0021110D"/>
    <w:rsid w:val="0025025C"/>
    <w:rsid w:val="002F5480"/>
    <w:rsid w:val="00306799"/>
    <w:rsid w:val="00313350"/>
    <w:rsid w:val="00335BE2"/>
    <w:rsid w:val="003504F9"/>
    <w:rsid w:val="00372EA8"/>
    <w:rsid w:val="003817C1"/>
    <w:rsid w:val="003C4E20"/>
    <w:rsid w:val="003D29FC"/>
    <w:rsid w:val="00406A2F"/>
    <w:rsid w:val="00456E01"/>
    <w:rsid w:val="00473614"/>
    <w:rsid w:val="004A0915"/>
    <w:rsid w:val="004D3A27"/>
    <w:rsid w:val="004F4A65"/>
    <w:rsid w:val="00541A08"/>
    <w:rsid w:val="00541F80"/>
    <w:rsid w:val="00546CF0"/>
    <w:rsid w:val="00557954"/>
    <w:rsid w:val="0056604A"/>
    <w:rsid w:val="00587BD4"/>
    <w:rsid w:val="005B2B00"/>
    <w:rsid w:val="005D3D08"/>
    <w:rsid w:val="005E13B1"/>
    <w:rsid w:val="005E5BFF"/>
    <w:rsid w:val="0065180F"/>
    <w:rsid w:val="00662264"/>
    <w:rsid w:val="00674C82"/>
    <w:rsid w:val="00681596"/>
    <w:rsid w:val="006D6276"/>
    <w:rsid w:val="006E3922"/>
    <w:rsid w:val="006E3EFC"/>
    <w:rsid w:val="00707F26"/>
    <w:rsid w:val="00737753"/>
    <w:rsid w:val="007D1F1D"/>
    <w:rsid w:val="007D6A84"/>
    <w:rsid w:val="00821457"/>
    <w:rsid w:val="00855DB8"/>
    <w:rsid w:val="00880C42"/>
    <w:rsid w:val="009D3946"/>
    <w:rsid w:val="009F0E02"/>
    <w:rsid w:val="00A3264C"/>
    <w:rsid w:val="00A57AA8"/>
    <w:rsid w:val="00AF0AD7"/>
    <w:rsid w:val="00B260FE"/>
    <w:rsid w:val="00B71E35"/>
    <w:rsid w:val="00BA2AF8"/>
    <w:rsid w:val="00BB5069"/>
    <w:rsid w:val="00BD3DCA"/>
    <w:rsid w:val="00BE40D2"/>
    <w:rsid w:val="00C24339"/>
    <w:rsid w:val="00C35DC2"/>
    <w:rsid w:val="00C3634A"/>
    <w:rsid w:val="00C71C82"/>
    <w:rsid w:val="00C75C20"/>
    <w:rsid w:val="00CC2254"/>
    <w:rsid w:val="00CF515F"/>
    <w:rsid w:val="00D37BEE"/>
    <w:rsid w:val="00D604A6"/>
    <w:rsid w:val="00DB6189"/>
    <w:rsid w:val="00DE3D7B"/>
    <w:rsid w:val="00DF2A43"/>
    <w:rsid w:val="00DF680D"/>
    <w:rsid w:val="00E0199D"/>
    <w:rsid w:val="00E078A9"/>
    <w:rsid w:val="00E27BE1"/>
    <w:rsid w:val="00E87A56"/>
    <w:rsid w:val="00EA10EA"/>
    <w:rsid w:val="00EB12B6"/>
    <w:rsid w:val="00EF5A5B"/>
    <w:rsid w:val="00F01D0C"/>
    <w:rsid w:val="00F73EEF"/>
    <w:rsid w:val="00F741CD"/>
    <w:rsid w:val="00FB3923"/>
    <w:rsid w:val="00FD4D89"/>
    <w:rsid w:val="00FD77EC"/>
    <w:rsid w:val="00FF3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ED013"/>
  <w15:chartTrackingRefBased/>
  <w15:docId w15:val="{B60CDBBC-E84B-4E9A-9DF9-592D88EDD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3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9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199D"/>
    <w:rPr>
      <w:rFonts w:eastAsiaTheme="minorEastAsia"/>
      <w:lang w:val="en-US"/>
    </w:rPr>
  </w:style>
  <w:style w:type="character" w:customStyle="1" w:styleId="Heading1Char">
    <w:name w:val="Heading 1 Char"/>
    <w:basedOn w:val="DefaultParagraphFont"/>
    <w:link w:val="Heading1"/>
    <w:uiPriority w:val="9"/>
    <w:rsid w:val="00C363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634A"/>
    <w:pPr>
      <w:outlineLvl w:val="9"/>
    </w:pPr>
    <w:rPr>
      <w:lang w:val="en-US"/>
    </w:rPr>
  </w:style>
  <w:style w:type="paragraph" w:styleId="TOC1">
    <w:name w:val="toc 1"/>
    <w:basedOn w:val="Normal"/>
    <w:next w:val="Normal"/>
    <w:autoRedefine/>
    <w:uiPriority w:val="39"/>
    <w:unhideWhenUsed/>
    <w:rsid w:val="00674C82"/>
    <w:pPr>
      <w:spacing w:after="100"/>
    </w:pPr>
  </w:style>
  <w:style w:type="character" w:styleId="Hyperlink">
    <w:name w:val="Hyperlink"/>
    <w:basedOn w:val="DefaultParagraphFont"/>
    <w:uiPriority w:val="99"/>
    <w:unhideWhenUsed/>
    <w:rsid w:val="00674C82"/>
    <w:rPr>
      <w:color w:val="0563C1" w:themeColor="hyperlink"/>
      <w:u w:val="single"/>
    </w:rPr>
  </w:style>
  <w:style w:type="paragraph" w:styleId="NormalWeb">
    <w:name w:val="Normal (Web)"/>
    <w:basedOn w:val="Normal"/>
    <w:uiPriority w:val="99"/>
    <w:unhideWhenUsed/>
    <w:rsid w:val="005B2B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F0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E02"/>
  </w:style>
  <w:style w:type="paragraph" w:styleId="Footer">
    <w:name w:val="footer"/>
    <w:basedOn w:val="Normal"/>
    <w:link w:val="FooterChar"/>
    <w:uiPriority w:val="99"/>
    <w:unhideWhenUsed/>
    <w:rsid w:val="009F0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99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ngagement/factsheet" TargetMode="External"/><Relationship Id="rId13" Type="http://schemas.openxmlformats.org/officeDocument/2006/relationships/hyperlink" Target="https://www.statista.com/statistics/1179326/number-of-accommodation-and-food-service-industry-employees-us/"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pglearn.co.uk/blog/human-resources/what-is-hr-s-role-in-employee-engagement/" TargetMode="External"/><Relationship Id="rId12" Type="http://schemas.openxmlformats.org/officeDocument/2006/relationships/hyperlink" Target="https://www.statista.com/statistics/297269/number-of-marriott-international-employees-worldwid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cipd.co.uk/knowledge/fundamentals/relations/engagement" TargetMode="External"/><Relationship Id="rId11" Type="http://schemas.openxmlformats.org/officeDocument/2006/relationships/hyperlink" Target="https://www.mckinsey.com/capabilities/people-and-organizational-performance/our-insights/great-attrition-or-great-attraction-the-choice-is-your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factorialhr.co.uk/blog/employee-life-cycle/"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hotello.com/en/motivate-hotel-staff/" TargetMode="External"/><Relationship Id="rId14" Type="http://schemas.openxmlformats.org/officeDocument/2006/relationships/hyperlink" Target="http://dx.doi.org/10.34917/58361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2775</Words>
  <Characters>15819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How to engage employees throughout the employee lifecycle</vt:lpstr>
    </vt:vector>
  </TitlesOfParts>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throughout the employee lifecycle</dc:title>
  <dc:subject>Module: Personnel Resourcing and Development BMIH5005</dc:subject>
  <dc:creator>Nisha Taman</dc:creator>
  <cp:keywords/>
  <dc:description/>
  <cp:lastModifiedBy>anamariandreka@gmail.com</cp:lastModifiedBy>
  <cp:revision>4</cp:revision>
  <dcterms:created xsi:type="dcterms:W3CDTF">2023-02-11T19:08:00Z</dcterms:created>
  <dcterms:modified xsi:type="dcterms:W3CDTF">2023-02-12T17:21:00Z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cdd1352ebf733714d8f93b24f6256242dc7c495884a460604578ad137101d913</vt:lpwstr>
  </property>
</Properties>
</file>