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24624" w14:textId="2E808C1D" w:rsidR="1D6CF239" w:rsidRPr="00351351" w:rsidRDefault="1D6CF239" w:rsidP="1D6CF239">
      <w:pPr>
        <w:pStyle w:val="Title"/>
        <w:jc w:val="center"/>
        <w:rPr>
          <w:rFonts w:ascii="Times New Roman" w:eastAsia="Times New Roman" w:hAnsi="Times New Roman" w:cs="Times New Roman"/>
        </w:rPr>
      </w:pPr>
    </w:p>
    <w:p w14:paraId="5574F66A" w14:textId="28B11007" w:rsidR="1D6CF239" w:rsidRPr="00351351" w:rsidRDefault="00351351" w:rsidP="1D6CF239">
      <w:pPr>
        <w:pStyle w:val="Title"/>
        <w:jc w:val="center"/>
        <w:rPr>
          <w:rFonts w:ascii="Times New Roman" w:eastAsia="Times New Roman" w:hAnsi="Times New Roman" w:cs="Times New Roman"/>
        </w:rPr>
      </w:pPr>
      <w:r w:rsidRPr="00351351">
        <w:drawing>
          <wp:inline distT="0" distB="0" distL="0" distR="0" wp14:anchorId="2BC09A83" wp14:editId="16F44F63">
            <wp:extent cx="2000250" cy="781050"/>
            <wp:effectExtent l="0" t="0" r="0" b="0"/>
            <wp:docPr id="14777095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09595" name="Picture 1477709595"/>
                    <pic:cNvPicPr/>
                  </pic:nvPicPr>
                  <pic:blipFill>
                    <a:blip r:embed="rId8">
                      <a:extLst>
                        <a:ext uri="{28A0092B-C50C-407E-A947-70E740481C1C}">
                          <a14:useLocalDpi xmlns:a14="http://schemas.microsoft.com/office/drawing/2010/main"/>
                        </a:ext>
                      </a:extLst>
                    </a:blip>
                    <a:stretch>
                      <a:fillRect/>
                    </a:stretch>
                  </pic:blipFill>
                  <pic:spPr>
                    <a:xfrm>
                      <a:off x="0" y="0"/>
                      <a:ext cx="2000250" cy="781050"/>
                    </a:xfrm>
                    <a:prstGeom prst="rect">
                      <a:avLst/>
                    </a:prstGeom>
                  </pic:spPr>
                </pic:pic>
              </a:graphicData>
            </a:graphic>
          </wp:inline>
        </w:drawing>
      </w:r>
    </w:p>
    <w:p w14:paraId="6239FBA3" w14:textId="3972B14D" w:rsidR="41AC3F35" w:rsidRPr="00351351" w:rsidRDefault="41AC3F35" w:rsidP="1D6CF239">
      <w:pPr>
        <w:jc w:val="center"/>
      </w:pPr>
    </w:p>
    <w:p w14:paraId="00C2971D" w14:textId="77777777" w:rsidR="007D1A86" w:rsidRPr="00351351" w:rsidRDefault="1D6CF239" w:rsidP="1D6CF239">
      <w:pPr>
        <w:pStyle w:val="Title"/>
        <w:jc w:val="center"/>
        <w:rPr>
          <w:rFonts w:ascii="Times New Roman" w:eastAsia="Times New Roman" w:hAnsi="Times New Roman" w:cs="Times New Roman"/>
        </w:rPr>
      </w:pPr>
      <w:r w:rsidRPr="00351351">
        <w:rPr>
          <w:rFonts w:ascii="Times New Roman" w:eastAsia="Times New Roman" w:hAnsi="Times New Roman" w:cs="Times New Roman"/>
        </w:rPr>
        <w:t>Tata Steel UK marketing environment analysis and lower carbon growth strategy</w:t>
      </w:r>
    </w:p>
    <w:p w14:paraId="2F941AF1" w14:textId="77777777" w:rsidR="00351351" w:rsidRPr="00351351" w:rsidRDefault="00351351" w:rsidP="00351351"/>
    <w:p w14:paraId="3C7432AA" w14:textId="4EC4EC68" w:rsidR="431085BA" w:rsidRPr="00351351" w:rsidRDefault="431085BA" w:rsidP="1D6CF239">
      <w:pPr>
        <w:jc w:val="center"/>
      </w:pPr>
      <w:r w:rsidRPr="00351351">
        <w:drawing>
          <wp:inline distT="0" distB="0" distL="0" distR="0" wp14:anchorId="066B5D92" wp14:editId="2D2602E8">
            <wp:extent cx="4539953" cy="809655"/>
            <wp:effectExtent l="0" t="0" r="0" b="0"/>
            <wp:docPr id="19467519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51998" name="Picture 1946751998"/>
                    <pic:cNvPicPr/>
                  </pic:nvPicPr>
                  <pic:blipFill>
                    <a:blip r:embed="rId9">
                      <a:extLst>
                        <a:ext uri="{28A0092B-C50C-407E-A947-70E740481C1C}">
                          <a14:useLocalDpi xmlns:a14="http://schemas.microsoft.com/office/drawing/2010/main"/>
                        </a:ext>
                      </a:extLst>
                    </a:blip>
                    <a:srcRect t="41666" b="40500"/>
                    <a:stretch>
                      <a:fillRect/>
                    </a:stretch>
                  </pic:blipFill>
                  <pic:spPr>
                    <a:xfrm>
                      <a:off x="0" y="0"/>
                      <a:ext cx="4539953" cy="809655"/>
                    </a:xfrm>
                    <a:prstGeom prst="rect">
                      <a:avLst/>
                    </a:prstGeom>
                  </pic:spPr>
                </pic:pic>
              </a:graphicData>
            </a:graphic>
          </wp:inline>
        </w:drawing>
      </w:r>
    </w:p>
    <w:p w14:paraId="004EB06B" w14:textId="7B0C2FEC" w:rsidR="007D1A86" w:rsidRPr="00351351" w:rsidRDefault="1D6CF239" w:rsidP="1D6CF239">
      <w:pPr>
        <w:pStyle w:val="Subtitle"/>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Assessment component 1</w:t>
      </w:r>
      <w:r w:rsidR="00351351" w:rsidRPr="00351351">
        <w:rPr>
          <w:rFonts w:ascii="Times New Roman" w:eastAsia="Times New Roman" w:hAnsi="Times New Roman" w:cs="Times New Roman"/>
          <w:b/>
          <w:bCs/>
          <w:sz w:val="32"/>
          <w:szCs w:val="32"/>
        </w:rPr>
        <w:t xml:space="preserve">  </w:t>
      </w:r>
    </w:p>
    <w:p w14:paraId="54814832" w14:textId="77777777" w:rsidR="00351351" w:rsidRPr="00351351" w:rsidRDefault="00351351" w:rsidP="1D6CF239">
      <w:pPr>
        <w:jc w:val="center"/>
        <w:rPr>
          <w:rFonts w:ascii="Times New Roman" w:eastAsia="Times New Roman" w:hAnsi="Times New Roman" w:cs="Times New Roman"/>
          <w:b/>
          <w:bCs/>
          <w:sz w:val="32"/>
          <w:szCs w:val="32"/>
        </w:rPr>
      </w:pPr>
    </w:p>
    <w:p w14:paraId="0262CD9B" w14:textId="0510852D" w:rsidR="007D1A86" w:rsidRPr="00351351" w:rsidRDefault="1D6CF239"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Programme</w:t>
      </w:r>
      <w:r w:rsidR="00351351" w:rsidRPr="00351351">
        <w:rPr>
          <w:rFonts w:ascii="Times New Roman" w:eastAsia="Times New Roman" w:hAnsi="Times New Roman" w:cs="Times New Roman"/>
          <w:b/>
          <w:bCs/>
          <w:sz w:val="32"/>
          <w:szCs w:val="32"/>
        </w:rPr>
        <w:t>:</w:t>
      </w:r>
      <w:r w:rsidRPr="00351351">
        <w:rPr>
          <w:rFonts w:ascii="Times New Roman" w:eastAsia="Times New Roman" w:hAnsi="Times New Roman" w:cs="Times New Roman"/>
          <w:b/>
          <w:bCs/>
          <w:sz w:val="32"/>
          <w:szCs w:val="32"/>
        </w:rPr>
        <w:t xml:space="preserve">  Master of Business Administration</w:t>
      </w:r>
    </w:p>
    <w:p w14:paraId="708309D7" w14:textId="77777777" w:rsidR="00351351" w:rsidRPr="00351351" w:rsidRDefault="00351351" w:rsidP="1D6CF239">
      <w:pPr>
        <w:jc w:val="center"/>
        <w:rPr>
          <w:rFonts w:ascii="Times New Roman" w:eastAsia="Times New Roman" w:hAnsi="Times New Roman" w:cs="Times New Roman"/>
          <w:b/>
          <w:bCs/>
          <w:sz w:val="32"/>
          <w:szCs w:val="32"/>
        </w:rPr>
      </w:pPr>
    </w:p>
    <w:p w14:paraId="00595C4D" w14:textId="6E1D682D" w:rsidR="007D1A86" w:rsidRPr="00351351" w:rsidRDefault="1C32E1AD"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Module</w:t>
      </w:r>
      <w:r w:rsidR="00351351" w:rsidRPr="00351351">
        <w:rPr>
          <w:rFonts w:ascii="Times New Roman" w:eastAsia="Times New Roman" w:hAnsi="Times New Roman" w:cs="Times New Roman"/>
          <w:b/>
          <w:bCs/>
          <w:sz w:val="32"/>
          <w:szCs w:val="32"/>
        </w:rPr>
        <w:t>:</w:t>
      </w:r>
      <w:r w:rsidRPr="00351351">
        <w:rPr>
          <w:rFonts w:ascii="Times New Roman" w:eastAsia="Times New Roman" w:hAnsi="Times New Roman" w:cs="Times New Roman"/>
          <w:b/>
          <w:bCs/>
          <w:sz w:val="32"/>
          <w:szCs w:val="32"/>
        </w:rPr>
        <w:t xml:space="preserve"> Marketing Management</w:t>
      </w:r>
    </w:p>
    <w:p w14:paraId="577A838F" w14:textId="77777777" w:rsidR="00351351" w:rsidRPr="00351351" w:rsidRDefault="00351351" w:rsidP="1D6CF239">
      <w:pPr>
        <w:jc w:val="center"/>
        <w:rPr>
          <w:rFonts w:ascii="Times New Roman" w:eastAsia="Times New Roman" w:hAnsi="Times New Roman" w:cs="Times New Roman"/>
          <w:b/>
          <w:bCs/>
          <w:sz w:val="32"/>
          <w:szCs w:val="32"/>
        </w:rPr>
      </w:pPr>
    </w:p>
    <w:p w14:paraId="435CC8CB" w14:textId="3D4E00B4" w:rsidR="007D1A86" w:rsidRPr="00351351" w:rsidRDefault="1D6CF239"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Module code</w:t>
      </w:r>
      <w:r w:rsidR="19555E16" w:rsidRPr="00351351">
        <w:rPr>
          <w:rFonts w:ascii="Times New Roman" w:eastAsia="Times New Roman" w:hAnsi="Times New Roman" w:cs="Times New Roman"/>
          <w:b/>
          <w:bCs/>
          <w:sz w:val="32"/>
          <w:szCs w:val="32"/>
        </w:rPr>
        <w:t>:</w:t>
      </w:r>
      <w:r w:rsidR="00351351" w:rsidRPr="00351351">
        <w:rPr>
          <w:rFonts w:ascii="Times New Roman" w:eastAsia="Times New Roman" w:hAnsi="Times New Roman" w:cs="Times New Roman"/>
          <w:b/>
          <w:bCs/>
          <w:sz w:val="32"/>
          <w:szCs w:val="32"/>
        </w:rPr>
        <w:t xml:space="preserve"> </w:t>
      </w:r>
      <w:r w:rsidRPr="00351351">
        <w:rPr>
          <w:rFonts w:ascii="Times New Roman" w:eastAsia="Times New Roman" w:hAnsi="Times New Roman" w:cs="Times New Roman"/>
          <w:b/>
          <w:bCs/>
          <w:sz w:val="32"/>
          <w:szCs w:val="32"/>
        </w:rPr>
        <w:t>LCMB7024</w:t>
      </w:r>
    </w:p>
    <w:p w14:paraId="128FCE9D" w14:textId="77777777" w:rsidR="00351351" w:rsidRPr="00351351" w:rsidRDefault="00351351" w:rsidP="1D6CF239">
      <w:pPr>
        <w:jc w:val="center"/>
        <w:rPr>
          <w:rFonts w:ascii="Times New Roman" w:eastAsia="Times New Roman" w:hAnsi="Times New Roman" w:cs="Times New Roman"/>
          <w:b/>
          <w:bCs/>
          <w:sz w:val="32"/>
          <w:szCs w:val="32"/>
        </w:rPr>
      </w:pPr>
    </w:p>
    <w:p w14:paraId="6D96C505" w14:textId="747DD493" w:rsidR="007D1A86" w:rsidRPr="00351351" w:rsidRDefault="4310B2E8"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Lecturer</w:t>
      </w:r>
      <w:r w:rsidR="00351351" w:rsidRPr="00351351">
        <w:rPr>
          <w:rFonts w:ascii="Times New Roman" w:eastAsia="Times New Roman" w:hAnsi="Times New Roman" w:cs="Times New Roman"/>
          <w:b/>
          <w:bCs/>
          <w:sz w:val="32"/>
          <w:szCs w:val="32"/>
        </w:rPr>
        <w:t>:</w:t>
      </w:r>
      <w:r w:rsidRPr="00351351">
        <w:rPr>
          <w:rFonts w:ascii="Times New Roman" w:eastAsia="Times New Roman" w:hAnsi="Times New Roman" w:cs="Times New Roman"/>
          <w:b/>
          <w:bCs/>
          <w:sz w:val="32"/>
          <w:szCs w:val="32"/>
        </w:rPr>
        <w:t xml:space="preserve"> Taonga</w:t>
      </w:r>
      <w:r w:rsidR="1D6CF239" w:rsidRPr="00351351">
        <w:rPr>
          <w:rFonts w:ascii="Times New Roman" w:eastAsia="Times New Roman" w:hAnsi="Times New Roman" w:cs="Times New Roman"/>
          <w:b/>
          <w:bCs/>
          <w:sz w:val="32"/>
          <w:szCs w:val="32"/>
        </w:rPr>
        <w:t xml:space="preserve"> Kaonga </w:t>
      </w:r>
      <w:proofErr w:type="spellStart"/>
      <w:r w:rsidR="1D6CF239" w:rsidRPr="00351351">
        <w:rPr>
          <w:rFonts w:ascii="Times New Roman" w:eastAsia="Times New Roman" w:hAnsi="Times New Roman" w:cs="Times New Roman"/>
          <w:b/>
          <w:bCs/>
          <w:sz w:val="32"/>
          <w:szCs w:val="32"/>
        </w:rPr>
        <w:t>Sobere-</w:t>
      </w:r>
      <w:proofErr w:type="gramStart"/>
      <w:r w:rsidR="1D6CF239" w:rsidRPr="00351351">
        <w:rPr>
          <w:rFonts w:ascii="Times New Roman" w:eastAsia="Times New Roman" w:hAnsi="Times New Roman" w:cs="Times New Roman"/>
          <w:b/>
          <w:bCs/>
          <w:sz w:val="32"/>
          <w:szCs w:val="32"/>
        </w:rPr>
        <w:t>Snither</w:t>
      </w:r>
      <w:proofErr w:type="spellEnd"/>
      <w:r w:rsidR="1D6CF239" w:rsidRPr="00351351">
        <w:rPr>
          <w:rFonts w:ascii="Times New Roman" w:eastAsia="Times New Roman" w:hAnsi="Times New Roman" w:cs="Times New Roman"/>
          <w:b/>
          <w:bCs/>
          <w:sz w:val="32"/>
          <w:szCs w:val="32"/>
        </w:rPr>
        <w:t xml:space="preserve">  |</w:t>
      </w:r>
      <w:proofErr w:type="gramEnd"/>
      <w:r w:rsidR="1D6CF239" w:rsidRPr="00351351">
        <w:rPr>
          <w:rFonts w:ascii="Times New Roman" w:eastAsia="Times New Roman" w:hAnsi="Times New Roman" w:cs="Times New Roman"/>
          <w:b/>
          <w:bCs/>
          <w:sz w:val="32"/>
          <w:szCs w:val="32"/>
        </w:rPr>
        <w:t xml:space="preserve">  Birmingham</w:t>
      </w:r>
    </w:p>
    <w:p w14:paraId="3AB28DB8" w14:textId="77777777" w:rsidR="00351351" w:rsidRPr="00351351" w:rsidRDefault="00351351" w:rsidP="1D6CF239">
      <w:pPr>
        <w:jc w:val="center"/>
        <w:rPr>
          <w:rFonts w:ascii="Times New Roman" w:eastAsia="Times New Roman" w:hAnsi="Times New Roman" w:cs="Times New Roman"/>
          <w:b/>
          <w:bCs/>
          <w:sz w:val="32"/>
          <w:szCs w:val="32"/>
        </w:rPr>
      </w:pPr>
    </w:p>
    <w:p w14:paraId="55BF2B1E" w14:textId="1A510DC8" w:rsidR="007D1A86" w:rsidRPr="00351351" w:rsidRDefault="1D6CF239"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Student name:</w:t>
      </w:r>
      <w:r w:rsidR="00351351" w:rsidRPr="00351351">
        <w:rPr>
          <w:rFonts w:ascii="Times New Roman" w:eastAsia="Times New Roman" w:hAnsi="Times New Roman" w:cs="Times New Roman"/>
          <w:b/>
          <w:bCs/>
          <w:sz w:val="32"/>
          <w:szCs w:val="32"/>
        </w:rPr>
        <w:t xml:space="preserve"> Krupa </w:t>
      </w:r>
      <w:proofErr w:type="spellStart"/>
      <w:r w:rsidR="00351351" w:rsidRPr="00351351">
        <w:rPr>
          <w:rFonts w:ascii="Times New Roman" w:eastAsia="Times New Roman" w:hAnsi="Times New Roman" w:cs="Times New Roman"/>
          <w:b/>
          <w:bCs/>
          <w:sz w:val="32"/>
          <w:szCs w:val="32"/>
        </w:rPr>
        <w:t>Rambhai</w:t>
      </w:r>
      <w:proofErr w:type="spellEnd"/>
      <w:r w:rsidR="00351351" w:rsidRPr="00351351">
        <w:rPr>
          <w:rFonts w:ascii="Times New Roman" w:eastAsia="Times New Roman" w:hAnsi="Times New Roman" w:cs="Times New Roman"/>
          <w:b/>
          <w:bCs/>
          <w:sz w:val="32"/>
          <w:szCs w:val="32"/>
        </w:rPr>
        <w:t xml:space="preserve"> Bapodra </w:t>
      </w:r>
    </w:p>
    <w:p w14:paraId="5BE66633" w14:textId="77777777" w:rsidR="00351351" w:rsidRPr="00351351" w:rsidRDefault="00351351" w:rsidP="1D6CF239">
      <w:pPr>
        <w:jc w:val="center"/>
        <w:rPr>
          <w:rFonts w:ascii="Times New Roman" w:eastAsia="Times New Roman" w:hAnsi="Times New Roman" w:cs="Times New Roman"/>
          <w:b/>
          <w:bCs/>
          <w:sz w:val="32"/>
          <w:szCs w:val="32"/>
        </w:rPr>
      </w:pPr>
    </w:p>
    <w:p w14:paraId="2413A679" w14:textId="328A673B" w:rsidR="007D1A86" w:rsidRPr="00351351" w:rsidRDefault="1D6CF239" w:rsidP="1D6CF239">
      <w:pPr>
        <w:jc w:val="center"/>
        <w:rPr>
          <w:rFonts w:ascii="Times New Roman" w:eastAsia="Times New Roman" w:hAnsi="Times New Roman" w:cs="Times New Roman"/>
          <w:sz w:val="32"/>
          <w:szCs w:val="32"/>
        </w:rPr>
      </w:pPr>
      <w:r w:rsidRPr="00351351">
        <w:rPr>
          <w:rFonts w:ascii="Times New Roman" w:eastAsia="Times New Roman" w:hAnsi="Times New Roman" w:cs="Times New Roman"/>
          <w:b/>
          <w:bCs/>
          <w:sz w:val="32"/>
          <w:szCs w:val="32"/>
        </w:rPr>
        <w:t>Student ID:</w:t>
      </w:r>
      <w:r w:rsidR="00351351" w:rsidRPr="00351351">
        <w:rPr>
          <w:rFonts w:ascii="Times New Roman" w:eastAsia="Times New Roman" w:hAnsi="Times New Roman" w:cs="Times New Roman"/>
          <w:b/>
          <w:bCs/>
          <w:sz w:val="32"/>
          <w:szCs w:val="32"/>
        </w:rPr>
        <w:t xml:space="preserve">  2610690</w:t>
      </w:r>
    </w:p>
    <w:p w14:paraId="10B3B51A" w14:textId="793275EA" w:rsidR="00351351" w:rsidRPr="00351351" w:rsidRDefault="00351351"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 xml:space="preserve"> </w:t>
      </w:r>
    </w:p>
    <w:p w14:paraId="2D5231E3" w14:textId="64E28953" w:rsidR="007D1A86" w:rsidRPr="00351351" w:rsidRDefault="1D6CF239"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 xml:space="preserve">Submission </w:t>
      </w:r>
      <w:proofErr w:type="spellStart"/>
      <w:r w:rsidR="60F8E8AA" w:rsidRPr="00351351">
        <w:rPr>
          <w:rFonts w:ascii="Times New Roman" w:eastAsia="Times New Roman" w:hAnsi="Times New Roman" w:cs="Times New Roman"/>
          <w:b/>
          <w:bCs/>
          <w:sz w:val="32"/>
          <w:szCs w:val="32"/>
        </w:rPr>
        <w:t>dat</w:t>
      </w:r>
      <w:proofErr w:type="spellEnd"/>
      <w:r w:rsidR="60F8E8AA" w:rsidRPr="00351351">
        <w:rPr>
          <w:rFonts w:ascii="Times New Roman" w:eastAsia="Times New Roman" w:hAnsi="Times New Roman" w:cs="Times New Roman"/>
          <w:b/>
          <w:bCs/>
          <w:sz w:val="32"/>
          <w:szCs w:val="32"/>
        </w:rPr>
        <w:t>: 22</w:t>
      </w:r>
      <w:r w:rsidRPr="00351351">
        <w:rPr>
          <w:rFonts w:ascii="Times New Roman" w:eastAsia="Times New Roman" w:hAnsi="Times New Roman" w:cs="Times New Roman"/>
          <w:b/>
          <w:bCs/>
          <w:sz w:val="32"/>
          <w:szCs w:val="32"/>
        </w:rPr>
        <w:t xml:space="preserve"> October 2026</w:t>
      </w:r>
    </w:p>
    <w:p w14:paraId="599F6C46" w14:textId="77777777" w:rsidR="00351351" w:rsidRPr="00351351" w:rsidRDefault="00351351" w:rsidP="1D6CF239">
      <w:pPr>
        <w:jc w:val="center"/>
        <w:rPr>
          <w:rFonts w:ascii="Times New Roman" w:eastAsia="Times New Roman" w:hAnsi="Times New Roman" w:cs="Times New Roman"/>
          <w:b/>
          <w:bCs/>
          <w:sz w:val="32"/>
          <w:szCs w:val="32"/>
        </w:rPr>
      </w:pPr>
    </w:p>
    <w:p w14:paraId="1B753292" w14:textId="177E5729" w:rsidR="007D1A86" w:rsidRPr="00351351" w:rsidRDefault="1D6CF239" w:rsidP="1D6CF239">
      <w:pPr>
        <w:jc w:val="center"/>
        <w:rPr>
          <w:rFonts w:ascii="Times New Roman" w:eastAsia="Times New Roman" w:hAnsi="Times New Roman" w:cs="Times New Roman"/>
          <w:b/>
          <w:bCs/>
          <w:sz w:val="32"/>
          <w:szCs w:val="32"/>
        </w:rPr>
      </w:pPr>
      <w:r w:rsidRPr="00351351">
        <w:rPr>
          <w:rFonts w:ascii="Times New Roman" w:eastAsia="Times New Roman" w:hAnsi="Times New Roman" w:cs="Times New Roman"/>
          <w:b/>
          <w:bCs/>
          <w:sz w:val="32"/>
          <w:szCs w:val="32"/>
        </w:rPr>
        <w:t xml:space="preserve">Word </w:t>
      </w:r>
      <w:proofErr w:type="gramStart"/>
      <w:r w:rsidR="651B2A6A" w:rsidRPr="00351351">
        <w:rPr>
          <w:rFonts w:ascii="Times New Roman" w:eastAsia="Times New Roman" w:hAnsi="Times New Roman" w:cs="Times New Roman"/>
          <w:b/>
          <w:bCs/>
          <w:sz w:val="32"/>
          <w:szCs w:val="32"/>
        </w:rPr>
        <w:t>coun</w:t>
      </w:r>
      <w:r w:rsidR="00351351" w:rsidRPr="00351351">
        <w:rPr>
          <w:rFonts w:ascii="Times New Roman" w:eastAsia="Times New Roman" w:hAnsi="Times New Roman" w:cs="Times New Roman"/>
          <w:b/>
          <w:bCs/>
          <w:sz w:val="32"/>
          <w:szCs w:val="32"/>
        </w:rPr>
        <w:t xml:space="preserve">t </w:t>
      </w:r>
      <w:r w:rsidR="651B2A6A" w:rsidRPr="00351351">
        <w:rPr>
          <w:rFonts w:ascii="Times New Roman" w:eastAsia="Times New Roman" w:hAnsi="Times New Roman" w:cs="Times New Roman"/>
          <w:b/>
          <w:bCs/>
          <w:sz w:val="32"/>
          <w:szCs w:val="32"/>
        </w:rPr>
        <w:t>:</w:t>
      </w:r>
      <w:proofErr w:type="gramEnd"/>
      <w:r w:rsidR="651B2A6A" w:rsidRPr="00351351">
        <w:rPr>
          <w:rFonts w:ascii="Times New Roman" w:eastAsia="Times New Roman" w:hAnsi="Times New Roman" w:cs="Times New Roman"/>
          <w:b/>
          <w:bCs/>
          <w:sz w:val="32"/>
          <w:szCs w:val="32"/>
        </w:rPr>
        <w:t xml:space="preserve"> 2,582</w:t>
      </w:r>
      <w:r w:rsidRPr="00351351">
        <w:rPr>
          <w:rFonts w:ascii="Times New Roman" w:eastAsia="Times New Roman" w:hAnsi="Times New Roman" w:cs="Times New Roman"/>
          <w:b/>
          <w:bCs/>
          <w:sz w:val="32"/>
          <w:szCs w:val="32"/>
        </w:rPr>
        <w:t xml:space="preserve"> words </w:t>
      </w:r>
    </w:p>
    <w:p w14:paraId="672A6659" w14:textId="77777777" w:rsidR="007D1A86" w:rsidRPr="00351351" w:rsidRDefault="005527FE">
      <w:pPr>
        <w:rPr>
          <w:sz w:val="32"/>
          <w:szCs w:val="32"/>
        </w:rPr>
      </w:pPr>
      <w:r w:rsidRPr="00351351">
        <w:rPr>
          <w:sz w:val="32"/>
          <w:szCs w:val="32"/>
        </w:rPr>
        <w:br w:type="page"/>
      </w:r>
    </w:p>
    <w:p w14:paraId="1ACDFD23" w14:textId="35869702" w:rsidR="1D6CF239" w:rsidRPr="00351351" w:rsidRDefault="1D6CF239" w:rsidP="1D6CF239">
      <w:pPr>
        <w:jc w:val="center"/>
        <w:rPr>
          <w:rFonts w:ascii="Times New Roman" w:eastAsia="Times New Roman" w:hAnsi="Times New Roman" w:cs="Times New Roman"/>
          <w:b/>
          <w:bCs/>
          <w:sz w:val="24"/>
          <w:szCs w:val="24"/>
        </w:rPr>
      </w:pPr>
    </w:p>
    <w:p w14:paraId="406425CA" w14:textId="62EB7CF1" w:rsidR="007D1A86" w:rsidRPr="00351351" w:rsidRDefault="595886D7" w:rsidP="1D6CF239">
      <w:pPr>
        <w:jc w:val="center"/>
        <w:rPr>
          <w:rFonts w:ascii="Times New Roman" w:eastAsia="Times New Roman" w:hAnsi="Times New Roman" w:cs="Times New Roman"/>
          <w:b/>
          <w:bCs/>
          <w:sz w:val="24"/>
          <w:szCs w:val="24"/>
        </w:rPr>
      </w:pPr>
      <w:r w:rsidRPr="00351351">
        <w:rPr>
          <w:rFonts w:ascii="Times New Roman" w:eastAsia="Times New Roman" w:hAnsi="Times New Roman" w:cs="Times New Roman"/>
          <w:b/>
          <w:bCs/>
          <w:sz w:val="24"/>
          <w:szCs w:val="24"/>
        </w:rPr>
        <w:t xml:space="preserve">Table of </w:t>
      </w:r>
      <w:r w:rsidR="1D6CF239" w:rsidRPr="00351351">
        <w:rPr>
          <w:rFonts w:ascii="Times New Roman" w:eastAsia="Times New Roman" w:hAnsi="Times New Roman" w:cs="Times New Roman"/>
          <w:b/>
          <w:bCs/>
          <w:sz w:val="24"/>
          <w:szCs w:val="24"/>
        </w:rPr>
        <w:t>Contents</w:t>
      </w:r>
    </w:p>
    <w:p w14:paraId="1AF17FA8" w14:textId="162BD2E4" w:rsidR="00351351" w:rsidRPr="00351351" w:rsidRDefault="005527FE">
      <w:pPr>
        <w:pStyle w:val="TOC1"/>
        <w:tabs>
          <w:tab w:val="right" w:leader="dot" w:pos="9782"/>
        </w:tabs>
      </w:pPr>
      <w:r w:rsidRPr="00351351">
        <w:fldChar w:fldCharType="begin"/>
      </w:r>
      <w:r w:rsidRPr="00351351">
        <w:instrText xml:space="preserve"> TOC \o "1-2" \h \z \u </w:instrText>
      </w:r>
      <w:r w:rsidRPr="00351351">
        <w:fldChar w:fldCharType="separate"/>
      </w:r>
      <w:hyperlink w:anchor="_Toc243576259" w:history="1">
        <w:r w:rsidR="00351351" w:rsidRPr="00351351">
          <w:rPr>
            <w:rStyle w:val="Hyperlink"/>
            <w:rFonts w:ascii="Times New Roman" w:eastAsia="Times New Roman" w:hAnsi="Times New Roman" w:cs="Times New Roman"/>
          </w:rPr>
          <w:t>Task 1. Marketing environment analysis</w:t>
        </w:r>
        <w:r w:rsidR="00351351" w:rsidRPr="00351351">
          <w:rPr>
            <w:webHidden/>
          </w:rPr>
          <w:tab/>
        </w:r>
        <w:r w:rsidR="00351351" w:rsidRPr="00351351">
          <w:rPr>
            <w:webHidden/>
          </w:rPr>
          <w:fldChar w:fldCharType="begin"/>
        </w:r>
        <w:r w:rsidR="00351351" w:rsidRPr="00351351">
          <w:rPr>
            <w:webHidden/>
          </w:rPr>
          <w:instrText xml:space="preserve"> PAGEREF _Toc243576259 \h </w:instrText>
        </w:r>
        <w:r w:rsidR="00351351" w:rsidRPr="00351351">
          <w:rPr>
            <w:webHidden/>
          </w:rPr>
        </w:r>
        <w:r w:rsidR="00351351" w:rsidRPr="00351351">
          <w:rPr>
            <w:webHidden/>
          </w:rPr>
          <w:fldChar w:fldCharType="separate"/>
        </w:r>
        <w:r w:rsidR="00351351" w:rsidRPr="00351351">
          <w:rPr>
            <w:webHidden/>
          </w:rPr>
          <w:t>1</w:t>
        </w:r>
        <w:r w:rsidR="00351351" w:rsidRPr="00351351">
          <w:rPr>
            <w:webHidden/>
          </w:rPr>
          <w:fldChar w:fldCharType="end"/>
        </w:r>
      </w:hyperlink>
    </w:p>
    <w:p w14:paraId="3DBB138B" w14:textId="6353A9AD" w:rsidR="00351351" w:rsidRPr="00351351" w:rsidRDefault="00351351">
      <w:pPr>
        <w:pStyle w:val="TOC2"/>
        <w:tabs>
          <w:tab w:val="right" w:leader="dot" w:pos="9782"/>
        </w:tabs>
      </w:pPr>
      <w:hyperlink w:anchor="_Toc243576260" w:history="1">
        <w:r w:rsidRPr="00351351">
          <w:rPr>
            <w:rStyle w:val="Hyperlink"/>
            <w:rFonts w:ascii="Times New Roman" w:eastAsia="Times New Roman" w:hAnsi="Times New Roman" w:cs="Times New Roman"/>
          </w:rPr>
          <w:t>1.1 Scope and strategic judgement</w:t>
        </w:r>
        <w:r w:rsidRPr="00351351">
          <w:rPr>
            <w:webHidden/>
          </w:rPr>
          <w:tab/>
        </w:r>
        <w:r w:rsidRPr="00351351">
          <w:rPr>
            <w:webHidden/>
          </w:rPr>
          <w:fldChar w:fldCharType="begin"/>
        </w:r>
        <w:r w:rsidRPr="00351351">
          <w:rPr>
            <w:webHidden/>
          </w:rPr>
          <w:instrText xml:space="preserve"> PAGEREF _Toc243576260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4CE98839" w14:textId="11D947D1" w:rsidR="00351351" w:rsidRPr="00351351" w:rsidRDefault="00351351">
      <w:pPr>
        <w:pStyle w:val="TOC2"/>
        <w:tabs>
          <w:tab w:val="right" w:leader="dot" w:pos="9782"/>
        </w:tabs>
      </w:pPr>
      <w:hyperlink w:anchor="_Toc243576261" w:history="1">
        <w:r w:rsidRPr="00351351">
          <w:rPr>
            <w:rStyle w:val="Hyperlink"/>
            <w:rFonts w:ascii="Times New Roman" w:eastAsia="Times New Roman" w:hAnsi="Times New Roman" w:cs="Times New Roman"/>
          </w:rPr>
          <w:t>1.2 The natural environment</w:t>
        </w:r>
        <w:r w:rsidRPr="00351351">
          <w:rPr>
            <w:webHidden/>
          </w:rPr>
          <w:tab/>
        </w:r>
        <w:r w:rsidRPr="00351351">
          <w:rPr>
            <w:webHidden/>
          </w:rPr>
          <w:fldChar w:fldCharType="begin"/>
        </w:r>
        <w:r w:rsidRPr="00351351">
          <w:rPr>
            <w:webHidden/>
          </w:rPr>
          <w:instrText xml:space="preserve"> PAGEREF _Toc243576261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361BCC8C" w14:textId="6CC9E3D3" w:rsidR="00351351" w:rsidRPr="00351351" w:rsidRDefault="00351351">
      <w:pPr>
        <w:pStyle w:val="TOC2"/>
        <w:tabs>
          <w:tab w:val="right" w:leader="dot" w:pos="9782"/>
        </w:tabs>
      </w:pPr>
      <w:hyperlink w:anchor="_Toc243576262" w:history="1">
        <w:r w:rsidRPr="00351351">
          <w:rPr>
            <w:rStyle w:val="Hyperlink"/>
            <w:rFonts w:ascii="Times New Roman" w:eastAsia="Times New Roman" w:hAnsi="Times New Roman" w:cs="Times New Roman"/>
          </w:rPr>
          <w:t>1.3 Customers</w:t>
        </w:r>
        <w:r w:rsidRPr="00351351">
          <w:rPr>
            <w:webHidden/>
          </w:rPr>
          <w:tab/>
        </w:r>
        <w:r w:rsidRPr="00351351">
          <w:rPr>
            <w:webHidden/>
          </w:rPr>
          <w:fldChar w:fldCharType="begin"/>
        </w:r>
        <w:r w:rsidRPr="00351351">
          <w:rPr>
            <w:webHidden/>
          </w:rPr>
          <w:instrText xml:space="preserve"> PAGEREF _Toc243576262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6382E888" w14:textId="6A706CA7" w:rsidR="00351351" w:rsidRPr="00351351" w:rsidRDefault="00351351">
      <w:pPr>
        <w:pStyle w:val="TOC2"/>
        <w:tabs>
          <w:tab w:val="right" w:leader="dot" w:pos="9782"/>
        </w:tabs>
      </w:pPr>
      <w:hyperlink w:anchor="_Toc243576263" w:history="1">
        <w:r w:rsidRPr="00351351">
          <w:rPr>
            <w:rStyle w:val="Hyperlink"/>
            <w:rFonts w:ascii="Times New Roman" w:eastAsia="Times New Roman" w:hAnsi="Times New Roman" w:cs="Times New Roman"/>
          </w:rPr>
          <w:t>1.4 Government and regulators</w:t>
        </w:r>
        <w:r w:rsidRPr="00351351">
          <w:rPr>
            <w:webHidden/>
          </w:rPr>
          <w:tab/>
        </w:r>
        <w:r w:rsidRPr="00351351">
          <w:rPr>
            <w:webHidden/>
          </w:rPr>
          <w:fldChar w:fldCharType="begin"/>
        </w:r>
        <w:r w:rsidRPr="00351351">
          <w:rPr>
            <w:webHidden/>
          </w:rPr>
          <w:instrText xml:space="preserve"> PAGEREF _Toc243576263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301F82CC" w14:textId="41146B81" w:rsidR="00351351" w:rsidRPr="00351351" w:rsidRDefault="00351351">
      <w:pPr>
        <w:pStyle w:val="TOC1"/>
        <w:tabs>
          <w:tab w:val="right" w:leader="dot" w:pos="9782"/>
        </w:tabs>
      </w:pPr>
      <w:hyperlink w:anchor="_Toc243576264" w:history="1">
        <w:r w:rsidRPr="00351351">
          <w:rPr>
            <w:rStyle w:val="Hyperlink"/>
            <w:rFonts w:ascii="Times New Roman" w:eastAsia="Times New Roman" w:hAnsi="Times New Roman" w:cs="Times New Roman"/>
          </w:rPr>
          <w:t>Task 2. Strategic growth and competitive positioning</w:t>
        </w:r>
        <w:r w:rsidRPr="00351351">
          <w:rPr>
            <w:webHidden/>
          </w:rPr>
          <w:tab/>
        </w:r>
        <w:r w:rsidRPr="00351351">
          <w:rPr>
            <w:webHidden/>
          </w:rPr>
          <w:fldChar w:fldCharType="begin"/>
        </w:r>
        <w:r w:rsidRPr="00351351">
          <w:rPr>
            <w:webHidden/>
          </w:rPr>
          <w:instrText xml:space="preserve"> PAGEREF _Toc243576264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43E99A56" w14:textId="3F57312E" w:rsidR="00351351" w:rsidRPr="00351351" w:rsidRDefault="00351351">
      <w:pPr>
        <w:pStyle w:val="TOC2"/>
        <w:tabs>
          <w:tab w:val="right" w:leader="dot" w:pos="9782"/>
        </w:tabs>
      </w:pPr>
      <w:hyperlink w:anchor="_Toc243576265" w:history="1">
        <w:r w:rsidRPr="00351351">
          <w:rPr>
            <w:rStyle w:val="Hyperlink"/>
            <w:rFonts w:ascii="Times New Roman" w:eastAsia="Times New Roman" w:hAnsi="Times New Roman" w:cs="Times New Roman"/>
          </w:rPr>
          <w:t>2.1 Ansoff evaluation</w:t>
        </w:r>
        <w:r w:rsidRPr="00351351">
          <w:rPr>
            <w:webHidden/>
          </w:rPr>
          <w:tab/>
        </w:r>
        <w:r w:rsidRPr="00351351">
          <w:rPr>
            <w:webHidden/>
          </w:rPr>
          <w:fldChar w:fldCharType="begin"/>
        </w:r>
        <w:r w:rsidRPr="00351351">
          <w:rPr>
            <w:webHidden/>
          </w:rPr>
          <w:instrText xml:space="preserve"> PAGEREF _Toc243576265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73D2A0FE" w14:textId="0AE4DDB9" w:rsidR="00351351" w:rsidRPr="00351351" w:rsidRDefault="00351351">
      <w:pPr>
        <w:pStyle w:val="TOC2"/>
        <w:tabs>
          <w:tab w:val="right" w:leader="dot" w:pos="9782"/>
        </w:tabs>
      </w:pPr>
      <w:hyperlink w:anchor="_Toc243576266" w:history="1">
        <w:r w:rsidRPr="00351351">
          <w:rPr>
            <w:rStyle w:val="Hyperlink"/>
            <w:rFonts w:ascii="Times New Roman" w:eastAsia="Times New Roman" w:hAnsi="Times New Roman" w:cs="Times New Roman"/>
          </w:rPr>
          <w:t>2.2 Competitive advantage through focused differentiation</w:t>
        </w:r>
        <w:r w:rsidRPr="00351351">
          <w:rPr>
            <w:webHidden/>
          </w:rPr>
          <w:tab/>
        </w:r>
        <w:r w:rsidRPr="00351351">
          <w:rPr>
            <w:webHidden/>
          </w:rPr>
          <w:fldChar w:fldCharType="begin"/>
        </w:r>
        <w:r w:rsidRPr="00351351">
          <w:rPr>
            <w:webHidden/>
          </w:rPr>
          <w:instrText xml:space="preserve"> PAGEREF _Toc243576266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7277229C" w14:textId="620BFCFC" w:rsidR="00351351" w:rsidRPr="00351351" w:rsidRDefault="00351351">
      <w:pPr>
        <w:pStyle w:val="TOC2"/>
        <w:tabs>
          <w:tab w:val="right" w:leader="dot" w:pos="9782"/>
        </w:tabs>
      </w:pPr>
      <w:hyperlink w:anchor="_Toc243576267" w:history="1">
        <w:r w:rsidRPr="00351351">
          <w:rPr>
            <w:rStyle w:val="Hyperlink"/>
            <w:rFonts w:ascii="Times New Roman" w:eastAsia="Times New Roman" w:hAnsi="Times New Roman" w:cs="Times New Roman"/>
          </w:rPr>
          <w:t>2.3 Implementation and financial discipline</w:t>
        </w:r>
        <w:r w:rsidRPr="00351351">
          <w:rPr>
            <w:webHidden/>
          </w:rPr>
          <w:tab/>
        </w:r>
        <w:r w:rsidRPr="00351351">
          <w:rPr>
            <w:webHidden/>
          </w:rPr>
          <w:fldChar w:fldCharType="begin"/>
        </w:r>
        <w:r w:rsidRPr="00351351">
          <w:rPr>
            <w:webHidden/>
          </w:rPr>
          <w:instrText xml:space="preserve"> PAGEREF _Toc243576267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5F77C211" w14:textId="5A0D77F1" w:rsidR="00351351" w:rsidRPr="00351351" w:rsidRDefault="00351351">
      <w:pPr>
        <w:pStyle w:val="TOC2"/>
        <w:tabs>
          <w:tab w:val="right" w:leader="dot" w:pos="9782"/>
        </w:tabs>
      </w:pPr>
      <w:hyperlink w:anchor="_Toc243576268" w:history="1">
        <w:r w:rsidRPr="00351351">
          <w:rPr>
            <w:rStyle w:val="Hyperlink"/>
            <w:rFonts w:ascii="Times New Roman" w:eastAsia="Times New Roman" w:hAnsi="Times New Roman" w:cs="Times New Roman"/>
          </w:rPr>
          <w:t>2.4 Measurement and strategic conclusion</w:t>
        </w:r>
        <w:r w:rsidRPr="00351351">
          <w:rPr>
            <w:webHidden/>
          </w:rPr>
          <w:tab/>
        </w:r>
        <w:r w:rsidRPr="00351351">
          <w:rPr>
            <w:webHidden/>
          </w:rPr>
          <w:fldChar w:fldCharType="begin"/>
        </w:r>
        <w:r w:rsidRPr="00351351">
          <w:rPr>
            <w:webHidden/>
          </w:rPr>
          <w:instrText xml:space="preserve"> PAGEREF _Toc243576268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105CE8B6" w14:textId="33978E71" w:rsidR="00351351" w:rsidRPr="00351351" w:rsidRDefault="00351351">
      <w:pPr>
        <w:pStyle w:val="TOC2"/>
        <w:tabs>
          <w:tab w:val="right" w:leader="dot" w:pos="9782"/>
        </w:tabs>
      </w:pPr>
      <w:hyperlink w:anchor="_Toc243576269" w:history="1">
        <w:r w:rsidRPr="00351351">
          <w:rPr>
            <w:rStyle w:val="Hyperlink"/>
            <w:rFonts w:ascii="Times New Roman" w:eastAsia="Times New Roman" w:hAnsi="Times New Roman" w:cs="Times New Roman"/>
          </w:rPr>
          <w:t>3.1 Judgement and company selection</w:t>
        </w:r>
        <w:r w:rsidRPr="00351351">
          <w:rPr>
            <w:webHidden/>
          </w:rPr>
          <w:tab/>
        </w:r>
        <w:r w:rsidRPr="00351351">
          <w:rPr>
            <w:webHidden/>
          </w:rPr>
          <w:fldChar w:fldCharType="begin"/>
        </w:r>
        <w:r w:rsidRPr="00351351">
          <w:rPr>
            <w:webHidden/>
          </w:rPr>
          <w:instrText xml:space="preserve"> PAGEREF _Toc243576269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57583C1F" w14:textId="370113F6" w:rsidR="00351351" w:rsidRPr="00351351" w:rsidRDefault="00351351">
      <w:pPr>
        <w:pStyle w:val="TOC2"/>
        <w:tabs>
          <w:tab w:val="right" w:leader="dot" w:pos="9782"/>
        </w:tabs>
      </w:pPr>
      <w:hyperlink w:anchor="_Toc243576270" w:history="1">
        <w:r w:rsidRPr="00351351">
          <w:rPr>
            <w:rStyle w:val="Hyperlink"/>
            <w:rFonts w:ascii="Times New Roman" w:eastAsia="Times New Roman" w:hAnsi="Times New Roman" w:cs="Times New Roman"/>
          </w:rPr>
          <w:t>3.2 Actor and strategy choices</w:t>
        </w:r>
        <w:r w:rsidRPr="00351351">
          <w:rPr>
            <w:webHidden/>
          </w:rPr>
          <w:tab/>
        </w:r>
        <w:r w:rsidRPr="00351351">
          <w:rPr>
            <w:webHidden/>
          </w:rPr>
          <w:fldChar w:fldCharType="begin"/>
        </w:r>
        <w:r w:rsidRPr="00351351">
          <w:rPr>
            <w:webHidden/>
          </w:rPr>
          <w:instrText xml:space="preserve"> PAGEREF _Toc243576270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6F075F54" w14:textId="023EEAAF" w:rsidR="00351351" w:rsidRPr="00351351" w:rsidRDefault="00351351">
      <w:pPr>
        <w:pStyle w:val="TOC2"/>
        <w:tabs>
          <w:tab w:val="right" w:leader="dot" w:pos="9782"/>
        </w:tabs>
      </w:pPr>
      <w:hyperlink w:anchor="_Toc243576271" w:history="1">
        <w:r w:rsidRPr="00351351">
          <w:rPr>
            <w:rStyle w:val="Hyperlink"/>
            <w:rFonts w:ascii="Times New Roman" w:eastAsia="Times New Roman" w:hAnsi="Times New Roman" w:cs="Times New Roman"/>
          </w:rPr>
          <w:t>3.3 Limitations and further evidence</w:t>
        </w:r>
        <w:r w:rsidRPr="00351351">
          <w:rPr>
            <w:webHidden/>
          </w:rPr>
          <w:tab/>
        </w:r>
        <w:r w:rsidRPr="00351351">
          <w:rPr>
            <w:webHidden/>
          </w:rPr>
          <w:fldChar w:fldCharType="begin"/>
        </w:r>
        <w:r w:rsidRPr="00351351">
          <w:rPr>
            <w:webHidden/>
          </w:rPr>
          <w:instrText xml:space="preserve"> PAGEREF _Toc243576271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08E11334" w14:textId="0BADF5B8" w:rsidR="00351351" w:rsidRPr="00351351" w:rsidRDefault="00351351">
      <w:pPr>
        <w:pStyle w:val="TOC1"/>
        <w:tabs>
          <w:tab w:val="right" w:leader="dot" w:pos="9782"/>
        </w:tabs>
      </w:pPr>
      <w:hyperlink w:anchor="_Toc243576272" w:history="1">
        <w:r w:rsidRPr="00351351">
          <w:rPr>
            <w:rStyle w:val="Hyperlink"/>
            <w:rFonts w:ascii="Times New Roman" w:eastAsia="Times New Roman" w:hAnsi="Times New Roman" w:cs="Times New Roman"/>
          </w:rPr>
          <w:t>References</w:t>
        </w:r>
        <w:r w:rsidRPr="00351351">
          <w:rPr>
            <w:webHidden/>
          </w:rPr>
          <w:tab/>
        </w:r>
        <w:r w:rsidRPr="00351351">
          <w:rPr>
            <w:webHidden/>
          </w:rPr>
          <w:fldChar w:fldCharType="begin"/>
        </w:r>
        <w:r w:rsidRPr="00351351">
          <w:rPr>
            <w:webHidden/>
          </w:rPr>
          <w:instrText xml:space="preserve"> PAGEREF _Toc243576272 \h </w:instrText>
        </w:r>
        <w:r w:rsidRPr="00351351">
          <w:rPr>
            <w:webHidden/>
          </w:rPr>
        </w:r>
        <w:r w:rsidRPr="00351351">
          <w:rPr>
            <w:webHidden/>
          </w:rPr>
          <w:fldChar w:fldCharType="separate"/>
        </w:r>
        <w:r w:rsidRPr="00351351">
          <w:rPr>
            <w:webHidden/>
          </w:rPr>
          <w:t>1</w:t>
        </w:r>
        <w:r w:rsidRPr="00351351">
          <w:rPr>
            <w:webHidden/>
          </w:rPr>
          <w:fldChar w:fldCharType="end"/>
        </w:r>
      </w:hyperlink>
    </w:p>
    <w:p w14:paraId="76D8EC64" w14:textId="3DAA64C4" w:rsidR="007D1A86" w:rsidRPr="00351351" w:rsidRDefault="005527FE" w:rsidP="1D6CF239">
      <w:pPr>
        <w:tabs>
          <w:tab w:val="right" w:leader="dot" w:pos="9504"/>
        </w:tabs>
        <w:spacing w:after="160"/>
        <w:rPr>
          <w:b/>
          <w:bCs/>
          <w:sz w:val="24"/>
          <w:szCs w:val="24"/>
        </w:rPr>
      </w:pPr>
      <w:r w:rsidRPr="00351351">
        <w:fldChar w:fldCharType="end"/>
      </w:r>
    </w:p>
    <w:p w14:paraId="0A37501D" w14:textId="77777777" w:rsidR="007D1A86" w:rsidRPr="00351351" w:rsidRDefault="005527FE">
      <w:r w:rsidRPr="00351351">
        <w:br w:type="page"/>
      </w:r>
    </w:p>
    <w:p w14:paraId="1F322EB9" w14:textId="30BD8983" w:rsidR="007D1A86" w:rsidRPr="00351351" w:rsidRDefault="19A5A563" w:rsidP="1D6CF239">
      <w:pPr>
        <w:pStyle w:val="Heading1"/>
        <w:spacing w:line="480" w:lineRule="auto"/>
        <w:jc w:val="both"/>
        <w:rPr>
          <w:rFonts w:ascii="Times New Roman" w:eastAsia="Times New Roman" w:hAnsi="Times New Roman" w:cs="Times New Roman"/>
          <w:sz w:val="24"/>
          <w:szCs w:val="24"/>
        </w:rPr>
      </w:pPr>
      <w:bookmarkStart w:id="0" w:name="_Toc243576259"/>
      <w:r w:rsidRPr="00351351">
        <w:rPr>
          <w:rFonts w:ascii="Times New Roman" w:eastAsia="Times New Roman" w:hAnsi="Times New Roman" w:cs="Times New Roman"/>
          <w:sz w:val="24"/>
          <w:szCs w:val="24"/>
        </w:rPr>
        <w:lastRenderedPageBreak/>
        <w:t xml:space="preserve">Task </w:t>
      </w:r>
      <w:r w:rsidR="1D6CF239" w:rsidRPr="00351351">
        <w:rPr>
          <w:rFonts w:ascii="Times New Roman" w:eastAsia="Times New Roman" w:hAnsi="Times New Roman" w:cs="Times New Roman"/>
          <w:sz w:val="24"/>
          <w:szCs w:val="24"/>
        </w:rPr>
        <w:t>1</w:t>
      </w:r>
      <w:r w:rsidR="22FD995A" w:rsidRPr="00351351">
        <w:rPr>
          <w:rFonts w:ascii="Times New Roman" w:eastAsia="Times New Roman" w:hAnsi="Times New Roman" w:cs="Times New Roman"/>
          <w:sz w:val="24"/>
          <w:szCs w:val="24"/>
        </w:rPr>
        <w:t>.</w:t>
      </w:r>
      <w:r w:rsidR="1D6CF239" w:rsidRPr="00351351">
        <w:rPr>
          <w:rFonts w:ascii="Times New Roman" w:eastAsia="Times New Roman" w:hAnsi="Times New Roman" w:cs="Times New Roman"/>
          <w:sz w:val="24"/>
          <w:szCs w:val="24"/>
        </w:rPr>
        <w:t xml:space="preserve"> Marketing environment analysis</w:t>
      </w:r>
      <w:bookmarkEnd w:id="0"/>
    </w:p>
    <w:p w14:paraId="0B6BA139" w14:textId="77777777" w:rsidR="007D1A86" w:rsidRPr="00351351" w:rsidRDefault="1D6CF239" w:rsidP="1D6CF239">
      <w:pPr>
        <w:pStyle w:val="Heading2"/>
        <w:spacing w:line="480" w:lineRule="auto"/>
        <w:jc w:val="both"/>
        <w:rPr>
          <w:rFonts w:ascii="Times New Roman" w:eastAsia="Times New Roman" w:hAnsi="Times New Roman" w:cs="Times New Roman"/>
          <w:szCs w:val="24"/>
        </w:rPr>
      </w:pPr>
      <w:bookmarkStart w:id="1" w:name="_Toc243576260"/>
      <w:r w:rsidRPr="00351351">
        <w:rPr>
          <w:rFonts w:ascii="Times New Roman" w:eastAsia="Times New Roman" w:hAnsi="Times New Roman" w:cs="Times New Roman"/>
          <w:szCs w:val="24"/>
        </w:rPr>
        <w:t>1.1 Scope and strategic judgement</w:t>
      </w:r>
      <w:bookmarkEnd w:id="1"/>
    </w:p>
    <w:p w14:paraId="2ABE43E2" w14:textId="0F7C359B" w:rsidR="007D1A86" w:rsidRPr="00351351" w:rsidRDefault="32F2B80E" w:rsidP="1D6CF239">
      <w:pPr>
        <w:spacing w:before="240" w:after="240" w:line="480" w:lineRule="auto"/>
        <w:jc w:val="both"/>
      </w:pPr>
      <w:r w:rsidRPr="00351351">
        <w:rPr>
          <w:rFonts w:ascii="Times New Roman" w:eastAsia="Times New Roman" w:hAnsi="Times New Roman" w:cs="Times New Roman"/>
          <w:sz w:val="24"/>
          <w:szCs w:val="24"/>
        </w:rPr>
        <w:t xml:space="preserve">A lower carbon version of the strip steel should be developed by Tata Steel which is independent of the existing buyers in the UK, with commercial agreements subject to access to electricity and product qualification. This report does not try to assume that Tata Steel UK follows the same production route as the multinational group rather it is based on Tata Steel UK and Port Talbot. It assesses evidence available on 22 October 2026. External factors are explored including the natural environment, customers and </w:t>
      </w:r>
      <w:bookmarkStart w:id="2" w:name="_Int_wqSdIhK1"/>
      <w:r w:rsidRPr="00351351">
        <w:rPr>
          <w:rFonts w:ascii="Times New Roman" w:eastAsia="Times New Roman" w:hAnsi="Times New Roman" w:cs="Times New Roman"/>
          <w:sz w:val="24"/>
          <w:szCs w:val="24"/>
        </w:rPr>
        <w:t>government</w:t>
      </w:r>
      <w:bookmarkEnd w:id="2"/>
      <w:r w:rsidRPr="00351351">
        <w:rPr>
          <w:rFonts w:ascii="Times New Roman" w:eastAsia="Times New Roman" w:hAnsi="Times New Roman" w:cs="Times New Roman"/>
          <w:sz w:val="24"/>
          <w:szCs w:val="24"/>
        </w:rPr>
        <w:t xml:space="preserve"> and regulators. The first one is a macroenvironmental force while the latter are the conversions of environmental forces into institutional and purchasing needs. </w:t>
      </w:r>
    </w:p>
    <w:p w14:paraId="0E32D246" w14:textId="468C0FFA" w:rsidR="007D1A86" w:rsidRPr="00351351" w:rsidRDefault="40AB62EE" w:rsidP="1D6CF239">
      <w:pPr>
        <w:spacing w:before="240" w:after="240" w:line="480" w:lineRule="auto"/>
        <w:jc w:val="both"/>
      </w:pPr>
      <w:r w:rsidRPr="00351351">
        <w:drawing>
          <wp:inline distT="0" distB="0" distL="0" distR="0" wp14:anchorId="6866AE77" wp14:editId="5862E95B">
            <wp:extent cx="6229350" cy="2266950"/>
            <wp:effectExtent l="0" t="0" r="0" b="0"/>
            <wp:docPr id="5962503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50305" name="Picture 596250305"/>
                    <pic:cNvPicPr/>
                  </pic:nvPicPr>
                  <pic:blipFill>
                    <a:blip r:embed="rId10">
                      <a:extLst>
                        <a:ext uri="{28A0092B-C50C-407E-A947-70E740481C1C}">
                          <a14:useLocalDpi xmlns:a14="http://schemas.microsoft.com/office/drawing/2010/main"/>
                        </a:ext>
                      </a:extLst>
                    </a:blip>
                    <a:stretch>
                      <a:fillRect/>
                    </a:stretch>
                  </pic:blipFill>
                  <pic:spPr>
                    <a:xfrm>
                      <a:off x="0" y="0"/>
                      <a:ext cx="6229350" cy="2266950"/>
                    </a:xfrm>
                    <a:prstGeom prst="rect">
                      <a:avLst/>
                    </a:prstGeom>
                  </pic:spPr>
                </pic:pic>
              </a:graphicData>
            </a:graphic>
          </wp:inline>
        </w:drawing>
      </w:r>
      <w:r w:rsidRPr="00351351">
        <w:rPr>
          <w:rFonts w:ascii="Times New Roman" w:eastAsia="Times New Roman" w:hAnsi="Times New Roman" w:cs="Times New Roman"/>
          <w:color w:val="000000" w:themeColor="text1"/>
          <w:sz w:val="24"/>
          <w:szCs w:val="24"/>
        </w:rPr>
        <w:t>Source: Author synthesis from IEA (2024), Department for Business and Trade (2026) and Tata Steel (2026).</w:t>
      </w:r>
    </w:p>
    <w:p w14:paraId="6AAA5A52" w14:textId="6A3E1CEE" w:rsidR="007D1A86" w:rsidRPr="00351351" w:rsidRDefault="32F2B80E" w:rsidP="1D6CF239">
      <w:pPr>
        <w:spacing w:before="240" w:after="240" w:line="480" w:lineRule="auto"/>
        <w:jc w:val="both"/>
      </w:pPr>
      <w:r w:rsidRPr="00351351">
        <w:rPr>
          <w:rFonts w:ascii="Times New Roman" w:eastAsia="Times New Roman" w:hAnsi="Times New Roman" w:cs="Times New Roman"/>
          <w:sz w:val="24"/>
          <w:szCs w:val="24"/>
        </w:rPr>
        <w:t xml:space="preserve">The case of Port Talbot is important as it is a consequence where decarbonisation affects both the production system and the customer proposition. The plan for the electric arc furnace is a £1.25 billion investment, of which £500 million will be provided by government (Tata Steel, 2025; Department for Business and Trade, 2025). However, the cost of construction is not a measure of </w:t>
      </w:r>
      <w:r w:rsidRPr="00351351">
        <w:rPr>
          <w:rFonts w:ascii="Times New Roman" w:eastAsia="Times New Roman" w:hAnsi="Times New Roman" w:cs="Times New Roman"/>
          <w:sz w:val="24"/>
          <w:szCs w:val="24"/>
        </w:rPr>
        <w:lastRenderedPageBreak/>
        <w:t>commercial viability. The changeover should keep customers fulfilling the technical requirements and achieve sufficient margins.</w:t>
      </w:r>
    </w:p>
    <w:p w14:paraId="4C976B4D" w14:textId="1EF19334" w:rsidR="007D1A86" w:rsidRPr="00351351" w:rsidRDefault="1D6CF239" w:rsidP="1D6CF239">
      <w:pPr>
        <w:pStyle w:val="Heading2"/>
        <w:spacing w:before="240" w:after="240" w:line="480" w:lineRule="auto"/>
        <w:jc w:val="both"/>
        <w:rPr>
          <w:rFonts w:ascii="Times New Roman" w:eastAsia="Times New Roman" w:hAnsi="Times New Roman" w:cs="Times New Roman"/>
          <w:szCs w:val="24"/>
        </w:rPr>
      </w:pPr>
      <w:bookmarkStart w:id="3" w:name="_Toc243576261"/>
      <w:r w:rsidRPr="00351351">
        <w:rPr>
          <w:rFonts w:ascii="Times New Roman" w:eastAsia="Times New Roman" w:hAnsi="Times New Roman" w:cs="Times New Roman"/>
          <w:szCs w:val="24"/>
        </w:rPr>
        <w:t>1.2 The natural environment</w:t>
      </w:r>
      <w:bookmarkEnd w:id="3"/>
    </w:p>
    <w:p w14:paraId="45657D93" w14:textId="77777777" w:rsidR="007D1A86" w:rsidRPr="00351351" w:rsidRDefault="1D6CF239" w:rsidP="1D6CF239">
      <w:pPr>
        <w:pStyle w:val="Heading3"/>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1.2.1 Carbon intensity and the credibility of environmental value</w:t>
      </w:r>
    </w:p>
    <w:p w14:paraId="371AD575" w14:textId="3A24CFB2" w:rsidR="007D1A86" w:rsidRPr="00351351" w:rsidRDefault="17BCBEAB" w:rsidP="1D6CF239">
      <w:pPr>
        <w:spacing w:before="240" w:after="240" w:line="480" w:lineRule="auto"/>
        <w:jc w:val="both"/>
      </w:pPr>
      <w:r w:rsidRPr="00351351">
        <w:rPr>
          <w:rFonts w:ascii="Times New Roman" w:eastAsia="Times New Roman" w:hAnsi="Times New Roman" w:cs="Times New Roman"/>
          <w:sz w:val="24"/>
          <w:szCs w:val="24"/>
        </w:rPr>
        <w:t xml:space="preserve">The IEA (2020) estimated the direct emissions of CO2 due to iron and steel accounted for about 7% of emissions from the global energy system. This is a measure of corporate emissions in the metals and mining sector that is distinct from the broader metals and mining assessment brief. In this context, environmental pressure warns against the steel production model and its essential infrastructure applications will continue to generate demand. There are multiple technological pathways identified by Rippy, Bell and Leick (2024) and no single technological solution automatically eliminates all emissions sources. </w:t>
      </w:r>
    </w:p>
    <w:p w14:paraId="510C5574" w14:textId="359A3916" w:rsidR="007D1A86" w:rsidRPr="00351351" w:rsidRDefault="17BCBEAB" w:rsidP="1D6CF239">
      <w:pPr>
        <w:spacing w:before="240" w:after="240" w:line="480" w:lineRule="auto"/>
        <w:jc w:val="both"/>
      </w:pPr>
      <w:r w:rsidRPr="00351351">
        <w:rPr>
          <w:rFonts w:ascii="Times New Roman" w:eastAsia="Times New Roman" w:hAnsi="Times New Roman" w:cs="Times New Roman"/>
          <w:sz w:val="24"/>
          <w:szCs w:val="24"/>
        </w:rPr>
        <w:t xml:space="preserve">Scrap melting can significantly reduce emissions from the ironmaking process, which is traditionally based on coal. Tata Steel (2025) predicts that their emissions at the Port Talbot site will be around 90% lower than they are now, or around five million tonnes per year. These are claims which have not been measured and are expected at the site level and not at the completed product level. Using them as a product carbon foot print would mask the emissions from electricity, imported feedstock, finishing and transport. </w:t>
      </w:r>
    </w:p>
    <w:p w14:paraId="6DF93A54" w14:textId="1F9EBECD" w:rsidR="007D1A86" w:rsidRPr="00351351" w:rsidRDefault="17BCBEAB" w:rsidP="1D6CF239">
      <w:pPr>
        <w:spacing w:before="240" w:after="240" w:line="480" w:lineRule="auto"/>
        <w:jc w:val="both"/>
      </w:pPr>
      <w:r w:rsidRPr="00351351">
        <w:rPr>
          <w:rFonts w:ascii="Times New Roman" w:eastAsia="Times New Roman" w:hAnsi="Times New Roman" w:cs="Times New Roman"/>
          <w:sz w:val="24"/>
          <w:szCs w:val="24"/>
        </w:rPr>
        <w:t xml:space="preserve">The accounting boundary is of commercial importance. During the transition Tata Steel UK uses imported slab and coil to ensure uninterrupted downstream operations (Tata Steel, 2026). This reduction in domestic emissions would be part of a shift in production and not a proportional decrease in global emissions. Value-chain accounting does include purchased-material emissions that do not fall within direct operational inventories (WRI and WBCSD, 2011). Marketing should </w:t>
      </w:r>
      <w:r w:rsidRPr="00351351">
        <w:rPr>
          <w:rFonts w:ascii="Times New Roman" w:eastAsia="Times New Roman" w:hAnsi="Times New Roman" w:cs="Times New Roman"/>
          <w:sz w:val="24"/>
          <w:szCs w:val="24"/>
        </w:rPr>
        <w:lastRenderedPageBreak/>
        <w:t xml:space="preserve">therefore inform the consumer both on the location of production, and on the lifecycle boundary behind each claim. </w:t>
      </w:r>
    </w:p>
    <w:p w14:paraId="04B4C709" w14:textId="12561752" w:rsidR="007D1A86" w:rsidRPr="00351351" w:rsidRDefault="5E5C95D1" w:rsidP="1D6CF239">
      <w:pPr>
        <w:spacing w:before="240" w:after="240" w:line="480" w:lineRule="auto"/>
        <w:jc w:val="both"/>
      </w:pPr>
      <w:r w:rsidRPr="00351351">
        <w:drawing>
          <wp:inline distT="0" distB="0" distL="0" distR="0" wp14:anchorId="68A4C772" wp14:editId="2D6CDAF0">
            <wp:extent cx="6229350" cy="2085975"/>
            <wp:effectExtent l="0" t="0" r="0" b="0"/>
            <wp:docPr id="751847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4745" name="Picture 75184745"/>
                    <pic:cNvPicPr/>
                  </pic:nvPicPr>
                  <pic:blipFill>
                    <a:blip r:embed="rId11">
                      <a:extLst>
                        <a:ext uri="{28A0092B-C50C-407E-A947-70E740481C1C}">
                          <a14:useLocalDpi xmlns:a14="http://schemas.microsoft.com/office/drawing/2010/main"/>
                        </a:ext>
                      </a:extLst>
                    </a:blip>
                    <a:stretch>
                      <a:fillRect/>
                    </a:stretch>
                  </pic:blipFill>
                  <pic:spPr>
                    <a:xfrm>
                      <a:off x="0" y="0"/>
                      <a:ext cx="6229350" cy="2085975"/>
                    </a:xfrm>
                    <a:prstGeom prst="rect">
                      <a:avLst/>
                    </a:prstGeom>
                  </pic:spPr>
                </pic:pic>
              </a:graphicData>
            </a:graphic>
          </wp:inline>
        </w:drawing>
      </w:r>
    </w:p>
    <w:p w14:paraId="56097128" w14:textId="2FC2EE66" w:rsidR="007D1A86" w:rsidRPr="00351351" w:rsidRDefault="5E5C95D1" w:rsidP="1D6CF239">
      <w:pPr>
        <w:shd w:val="clear" w:color="auto" w:fill="FFFFFF" w:themeFill="background1"/>
        <w:spacing w:line="480" w:lineRule="auto"/>
        <w:jc w:val="both"/>
        <w:rPr>
          <w:rFonts w:ascii="Times New Roman" w:eastAsia="Times New Roman" w:hAnsi="Times New Roman" w:cs="Times New Roman"/>
          <w:color w:val="000000" w:themeColor="text1"/>
          <w:sz w:val="24"/>
          <w:szCs w:val="24"/>
        </w:rPr>
      </w:pPr>
      <w:r w:rsidRPr="00351351">
        <w:rPr>
          <w:rFonts w:ascii="Times New Roman" w:eastAsia="Times New Roman" w:hAnsi="Times New Roman" w:cs="Times New Roman"/>
          <w:color w:val="000000" w:themeColor="text1"/>
          <w:sz w:val="24"/>
          <w:szCs w:val="24"/>
        </w:rPr>
        <w:t>Source: Author synthesis from WRI and WBCSD (2011) and IEA (2024).</w:t>
      </w:r>
    </w:p>
    <w:p w14:paraId="071B1D1B" w14:textId="30DBA913" w:rsidR="007D1A86" w:rsidRPr="00351351" w:rsidRDefault="17BCBEAB" w:rsidP="1D6CF239">
      <w:pPr>
        <w:shd w:val="clear" w:color="auto" w:fill="FFFFFF" w:themeFill="background1"/>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Lower emissions progress is differentiated from near-zero production in the IEA (2024) and is recommended to be transparent and comparable. This means that Tata must provide evidence of the emissions of the product instead of a blanket green label. A wider production standard is provided by Responsible Steel (2024a) and site certification and product environmental declaration respond to different questions. A mere statement of each other's needs should not be taken for granted.</w:t>
      </w:r>
    </w:p>
    <w:p w14:paraId="34139FBF" w14:textId="744C28EA" w:rsidR="007D1A86" w:rsidRPr="00351351" w:rsidRDefault="1D6CF239" w:rsidP="1D6CF239">
      <w:pPr>
        <w:pStyle w:val="Heading3"/>
        <w:spacing w:before="240" w:after="24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1.2.2 Circularity and resource constraints</w:t>
      </w:r>
    </w:p>
    <w:p w14:paraId="3BC329F0" w14:textId="15A37CD4" w:rsidR="007D1A86" w:rsidRPr="00351351" w:rsidRDefault="657DFD4E" w:rsidP="1D6CF239">
      <w:pPr>
        <w:spacing w:before="240" w:after="240" w:line="480" w:lineRule="auto"/>
        <w:jc w:val="both"/>
      </w:pPr>
      <w:r w:rsidRPr="00351351">
        <w:rPr>
          <w:rFonts w:ascii="Times New Roman" w:eastAsia="Times New Roman" w:hAnsi="Times New Roman" w:cs="Times New Roman"/>
          <w:sz w:val="24"/>
          <w:szCs w:val="24"/>
        </w:rPr>
        <w:t xml:space="preserve">Scrap production provides a chance to add value for the customer. But the available tonnage of scrap does not correlate with the available tonnage of suitable feedstock. The presence of copper may limit the quality of recycled material, and more dilution and separation would be needed for more demanding applications (Daehn, </w:t>
      </w:r>
      <w:proofErr w:type="spellStart"/>
      <w:r w:rsidRPr="00351351">
        <w:rPr>
          <w:rFonts w:ascii="Times New Roman" w:eastAsia="Times New Roman" w:hAnsi="Times New Roman" w:cs="Times New Roman"/>
          <w:sz w:val="24"/>
          <w:szCs w:val="24"/>
        </w:rPr>
        <w:t>Serrenho</w:t>
      </w:r>
      <w:proofErr w:type="spellEnd"/>
      <w:r w:rsidRPr="00351351">
        <w:rPr>
          <w:rFonts w:ascii="Times New Roman" w:eastAsia="Times New Roman" w:hAnsi="Times New Roman" w:cs="Times New Roman"/>
          <w:sz w:val="24"/>
          <w:szCs w:val="24"/>
        </w:rPr>
        <w:t xml:space="preserve"> and Allwood, 2017). This results in a direct marketing risk: an appealing carbon statement alone won't offset specification and surface quality inconsistencies. </w:t>
      </w:r>
    </w:p>
    <w:p w14:paraId="51185819" w14:textId="1D10E551" w:rsidR="007D1A86" w:rsidRPr="00351351" w:rsidRDefault="657DFD4E" w:rsidP="1D6CF239">
      <w:pPr>
        <w:spacing w:before="240" w:after="240" w:line="480" w:lineRule="auto"/>
        <w:jc w:val="both"/>
      </w:pPr>
      <w:r w:rsidRPr="00351351">
        <w:rPr>
          <w:rFonts w:ascii="Times New Roman" w:eastAsia="Times New Roman" w:hAnsi="Times New Roman" w:cs="Times New Roman"/>
          <w:sz w:val="24"/>
          <w:szCs w:val="24"/>
        </w:rPr>
        <w:lastRenderedPageBreak/>
        <w:t xml:space="preserve">Competition to scrap is growing (UK Steel, n.d.) and there is a need to improve the quality of the local recovery (Department for Business and Trade, 2026). Tata needs to go for closed loop agreements with customers with qualified steel supply as part of the deal. These can enhance traceability and retention, but sorting, logistics and other procurement costs need to be evaluated before such savings can be guaranteed. </w:t>
      </w:r>
    </w:p>
    <w:p w14:paraId="30C8F677" w14:textId="439BB67A" w:rsidR="007D1A86" w:rsidRPr="00351351" w:rsidRDefault="657DFD4E" w:rsidP="1D6CF239">
      <w:pPr>
        <w:spacing w:before="240" w:after="240" w:line="480" w:lineRule="auto"/>
        <w:jc w:val="both"/>
      </w:pPr>
      <w:r w:rsidRPr="00351351">
        <w:rPr>
          <w:rFonts w:ascii="Times New Roman" w:eastAsia="Times New Roman" w:hAnsi="Times New Roman" w:cs="Times New Roman"/>
          <w:sz w:val="24"/>
          <w:szCs w:val="24"/>
        </w:rPr>
        <w:t xml:space="preserve">Circularity also has a system-level limitation. Clean scrap diverted from another efficient furnace can have a smaller impact on Tata's reported footprint but may not provide the same benefit to the world. Environmental communication needs to recognize recycled content but not make any unjustified claim that all growth through recycling equals the same amount of new emissions savings. Efficient material use, transparent electricity </w:t>
      </w:r>
      <w:bookmarkStart w:id="4" w:name="_Int_y14mVSmJ"/>
      <w:r w:rsidRPr="00351351">
        <w:rPr>
          <w:rFonts w:ascii="Times New Roman" w:eastAsia="Times New Roman" w:hAnsi="Times New Roman" w:cs="Times New Roman"/>
          <w:sz w:val="24"/>
          <w:szCs w:val="24"/>
        </w:rPr>
        <w:t>accounting</w:t>
      </w:r>
      <w:bookmarkEnd w:id="4"/>
      <w:r w:rsidRPr="00351351">
        <w:rPr>
          <w:rFonts w:ascii="Times New Roman" w:eastAsia="Times New Roman" w:hAnsi="Times New Roman" w:cs="Times New Roman"/>
          <w:sz w:val="24"/>
          <w:szCs w:val="24"/>
        </w:rPr>
        <w:t xml:space="preserve"> and verified product performance are the key elements in the appropriate proposition.</w:t>
      </w:r>
    </w:p>
    <w:p w14:paraId="5C978F4E" w14:textId="0D874186" w:rsidR="007D1A86" w:rsidRPr="00351351" w:rsidRDefault="1D6CF239" w:rsidP="1D6CF239">
      <w:pPr>
        <w:pStyle w:val="Heading2"/>
        <w:spacing w:before="240" w:after="240" w:line="480" w:lineRule="auto"/>
        <w:jc w:val="both"/>
        <w:rPr>
          <w:rFonts w:ascii="Times New Roman" w:eastAsia="Times New Roman" w:hAnsi="Times New Roman" w:cs="Times New Roman"/>
          <w:szCs w:val="24"/>
        </w:rPr>
      </w:pPr>
      <w:bookmarkStart w:id="5" w:name="_Toc243576262"/>
      <w:r w:rsidRPr="00351351">
        <w:rPr>
          <w:rFonts w:ascii="Times New Roman" w:eastAsia="Times New Roman" w:hAnsi="Times New Roman" w:cs="Times New Roman"/>
          <w:szCs w:val="24"/>
        </w:rPr>
        <w:t>1.3 Customers</w:t>
      </w:r>
      <w:bookmarkEnd w:id="5"/>
    </w:p>
    <w:p w14:paraId="79F3A17F" w14:textId="77777777" w:rsidR="007D1A86" w:rsidRPr="00351351" w:rsidRDefault="1D6CF239" w:rsidP="1D6CF239">
      <w:pPr>
        <w:pStyle w:val="Heading3"/>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1.3.1 Demand formation and willingness to pay</w:t>
      </w:r>
    </w:p>
    <w:p w14:paraId="2D1F866C" w14:textId="2FA3EE0E" w:rsidR="007D1A86" w:rsidRPr="00351351" w:rsidRDefault="172A6E61" w:rsidP="1D6CF239">
      <w:pPr>
        <w:spacing w:before="240" w:after="240" w:line="480" w:lineRule="auto"/>
        <w:jc w:val="both"/>
      </w:pPr>
      <w:r w:rsidRPr="00351351">
        <w:rPr>
          <w:rFonts w:ascii="Times New Roman" w:eastAsia="Times New Roman" w:hAnsi="Times New Roman" w:cs="Times New Roman"/>
          <w:sz w:val="24"/>
          <w:szCs w:val="24"/>
        </w:rPr>
        <w:t xml:space="preserve">There is a growing need for evidence of emissions from purchased materials for business customers. </w:t>
      </w:r>
      <w:proofErr w:type="spellStart"/>
      <w:r w:rsidRPr="00351351">
        <w:rPr>
          <w:rFonts w:ascii="Times New Roman" w:eastAsia="Times New Roman" w:hAnsi="Times New Roman" w:cs="Times New Roman"/>
          <w:sz w:val="24"/>
          <w:szCs w:val="24"/>
        </w:rPr>
        <w:t>SteelZero</w:t>
      </w:r>
      <w:proofErr w:type="spellEnd"/>
      <w:r w:rsidRPr="00351351">
        <w:rPr>
          <w:rFonts w:ascii="Times New Roman" w:eastAsia="Times New Roman" w:hAnsi="Times New Roman" w:cs="Times New Roman"/>
          <w:sz w:val="24"/>
          <w:szCs w:val="24"/>
        </w:rPr>
        <w:t xml:space="preserve"> is an example of coordinated buyer demand by the pledges to lower emissions and ultimately to reach a net-zero steel (</w:t>
      </w:r>
      <w:proofErr w:type="spellStart"/>
      <w:r w:rsidRPr="00351351">
        <w:rPr>
          <w:rFonts w:ascii="Times New Roman" w:eastAsia="Times New Roman" w:hAnsi="Times New Roman" w:cs="Times New Roman"/>
          <w:sz w:val="24"/>
          <w:szCs w:val="24"/>
        </w:rPr>
        <w:t>ResponsibleSteel</w:t>
      </w:r>
      <w:proofErr w:type="spellEnd"/>
      <w:r w:rsidRPr="00351351">
        <w:rPr>
          <w:rFonts w:ascii="Times New Roman" w:eastAsia="Times New Roman" w:hAnsi="Times New Roman" w:cs="Times New Roman"/>
          <w:sz w:val="24"/>
          <w:szCs w:val="24"/>
        </w:rPr>
        <w:t xml:space="preserve">, 2024b). These pledges provide Tata with an entry point to win a seat at the table with manufacturers and construction supply chains. They do not create a state of a premium by all buyers, nor a binding order to announce. </w:t>
      </w:r>
    </w:p>
    <w:p w14:paraId="140779B4" w14:textId="6715821C" w:rsidR="007D1A86" w:rsidRPr="00351351" w:rsidRDefault="172A6E61" w:rsidP="1D6CF239">
      <w:pPr>
        <w:spacing w:before="240" w:after="240" w:line="480" w:lineRule="auto"/>
        <w:jc w:val="both"/>
      </w:pPr>
      <w:r w:rsidRPr="00351351">
        <w:rPr>
          <w:rFonts w:ascii="Times New Roman" w:eastAsia="Times New Roman" w:hAnsi="Times New Roman" w:cs="Times New Roman"/>
          <w:sz w:val="24"/>
          <w:szCs w:val="24"/>
        </w:rPr>
        <w:t xml:space="preserve">The IEA (2025) suggests that demand commitments to be transformed to firm offtake agreements. Demand creation and aggregation remain a key focus of its 2026 assessment (IEA, 2026). Therefore, customers should be segmented along qualification requirements, procurement authority, emission requirements and the willingness to contract, and Tata should be doing just that. Potential customers </w:t>
      </w:r>
      <w:r w:rsidRPr="00351351">
        <w:rPr>
          <w:rFonts w:ascii="Times New Roman" w:eastAsia="Times New Roman" w:hAnsi="Times New Roman" w:cs="Times New Roman"/>
          <w:sz w:val="24"/>
          <w:szCs w:val="24"/>
        </w:rPr>
        <w:lastRenderedPageBreak/>
        <w:t xml:space="preserve">of existing construction products are a good place to start, while automotive and packaging applications will need to be evaluated technologically. </w:t>
      </w:r>
    </w:p>
    <w:p w14:paraId="1F92BF4F" w14:textId="709668DD" w:rsidR="007D1A86" w:rsidRPr="00351351" w:rsidRDefault="172A6E61" w:rsidP="1D6CF239">
      <w:pPr>
        <w:spacing w:before="240" w:after="240" w:line="480" w:lineRule="auto"/>
        <w:jc w:val="both"/>
      </w:pPr>
      <w:r w:rsidRPr="00351351">
        <w:rPr>
          <w:rFonts w:ascii="Times New Roman" w:eastAsia="Times New Roman" w:hAnsi="Times New Roman" w:cs="Times New Roman"/>
          <w:sz w:val="24"/>
          <w:szCs w:val="24"/>
        </w:rPr>
        <w:t>There has been significant price pressure. But OECD (2026) forecasts will be accompanied by low demand growth and low excess capacity, which will limit suppliers' bargaining power. Tata Steel (2026) expects deliveries into the UK of 2.21 million tonnes for FY2025-26 and a £218 million loss in EBITDA. That's proof that transitioning to an environmental economy is not happening in a sustainable market, but in a market entrenched in financial constraints.</w:t>
      </w:r>
    </w:p>
    <w:p w14:paraId="6AF83D71" w14:textId="31C51BD3" w:rsidR="007D1A86" w:rsidRPr="00351351" w:rsidRDefault="1D6CF239" w:rsidP="1D6CF239">
      <w:pPr>
        <w:pStyle w:val="Heading3"/>
        <w:spacing w:before="240" w:after="24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1.3.2 Marketing contribution and technology</w:t>
      </w:r>
    </w:p>
    <w:p w14:paraId="21365D2C" w14:textId="440290FE" w:rsidR="007D1A86" w:rsidRPr="00351351" w:rsidRDefault="49ECE709" w:rsidP="1D6CF239">
      <w:pPr>
        <w:spacing w:before="240" w:after="240" w:line="480" w:lineRule="auto"/>
        <w:jc w:val="both"/>
      </w:pPr>
      <w:r w:rsidRPr="00351351">
        <w:rPr>
          <w:rFonts w:ascii="Times New Roman" w:eastAsia="Times New Roman" w:hAnsi="Times New Roman" w:cs="Times New Roman"/>
          <w:sz w:val="24"/>
          <w:szCs w:val="24"/>
        </w:rPr>
        <w:t xml:space="preserve">Technical improvements must be translated into marketing value: acceptable specifications, evidence of reporting, eligible delivery, and procurement. </w:t>
      </w:r>
      <w:proofErr w:type="gramStart"/>
      <w:r w:rsidRPr="00351351">
        <w:rPr>
          <w:rFonts w:ascii="Times New Roman" w:eastAsia="Times New Roman" w:hAnsi="Times New Roman" w:cs="Times New Roman"/>
          <w:sz w:val="24"/>
          <w:szCs w:val="24"/>
        </w:rPr>
        <w:t>It's</w:t>
      </w:r>
      <w:proofErr w:type="gramEnd"/>
      <w:r w:rsidRPr="00351351">
        <w:rPr>
          <w:rFonts w:ascii="Times New Roman" w:eastAsia="Times New Roman" w:hAnsi="Times New Roman" w:cs="Times New Roman"/>
          <w:sz w:val="24"/>
          <w:szCs w:val="24"/>
        </w:rPr>
        <w:t xml:space="preserve"> contributions involve demand research, account prioritisation, competitor comparison and sales promise coordination with operational readiness. Awareness is just the first </w:t>
      </w:r>
      <w:proofErr w:type="gramStart"/>
      <w:r w:rsidRPr="00351351">
        <w:rPr>
          <w:rFonts w:ascii="Times New Roman" w:eastAsia="Times New Roman" w:hAnsi="Times New Roman" w:cs="Times New Roman"/>
          <w:sz w:val="24"/>
          <w:szCs w:val="24"/>
        </w:rPr>
        <w:t>step,</w:t>
      </w:r>
      <w:proofErr w:type="gramEnd"/>
      <w:r w:rsidRPr="00351351">
        <w:rPr>
          <w:rFonts w:ascii="Times New Roman" w:eastAsia="Times New Roman" w:hAnsi="Times New Roman" w:cs="Times New Roman"/>
          <w:sz w:val="24"/>
          <w:szCs w:val="24"/>
        </w:rPr>
        <w:t xml:space="preserve"> the true measure of success is achieved through contract conversion and retained contribution. </w:t>
      </w:r>
    </w:p>
    <w:p w14:paraId="14F91B92" w14:textId="2D7E0E48" w:rsidR="007D1A86" w:rsidRPr="00351351" w:rsidRDefault="49ECE709" w:rsidP="1D6CF239">
      <w:pPr>
        <w:spacing w:before="240" w:after="240" w:line="480" w:lineRule="auto"/>
        <w:jc w:val="both"/>
      </w:pPr>
      <w:r w:rsidRPr="00351351">
        <w:rPr>
          <w:rFonts w:ascii="Times New Roman" w:eastAsia="Times New Roman" w:hAnsi="Times New Roman" w:cs="Times New Roman"/>
          <w:sz w:val="24"/>
          <w:szCs w:val="24"/>
        </w:rPr>
        <w:t xml:space="preserve">Digital records for the product may link batches to emissions of factors, feedstock sources and environmental statements. The WTO (n.d.) encourages harmonization of steel-emissions measurement, which helps to make the arguments for interoperable information more compelling than proprietary </w:t>
      </w:r>
      <w:proofErr w:type="gramStart"/>
      <w:r w:rsidRPr="00351351">
        <w:rPr>
          <w:rFonts w:ascii="Times New Roman" w:eastAsia="Times New Roman" w:hAnsi="Times New Roman" w:cs="Times New Roman"/>
          <w:sz w:val="24"/>
          <w:szCs w:val="24"/>
        </w:rPr>
        <w:t>ones</w:t>
      </w:r>
      <w:proofErr w:type="gramEnd"/>
      <w:r w:rsidRPr="00351351">
        <w:rPr>
          <w:rFonts w:ascii="Times New Roman" w:eastAsia="Times New Roman" w:hAnsi="Times New Roman" w:cs="Times New Roman"/>
          <w:sz w:val="24"/>
          <w:szCs w:val="24"/>
        </w:rPr>
        <w:t xml:space="preserve"> customers can't compare. Missing supplier information may be identified by automated data checking, but estimates generated by the model should be identified and be subject to review. Only reliable measurements and allocation rules provide improved decision quality through technology.</w:t>
      </w:r>
    </w:p>
    <w:p w14:paraId="1248CBE1" w14:textId="107028D6" w:rsidR="007D1A86" w:rsidRPr="00351351" w:rsidRDefault="1D6CF239" w:rsidP="1D6CF239">
      <w:pPr>
        <w:pStyle w:val="Heading2"/>
        <w:spacing w:before="240" w:after="240"/>
        <w:jc w:val="both"/>
        <w:rPr>
          <w:rFonts w:ascii="Times New Roman" w:eastAsia="Times New Roman" w:hAnsi="Times New Roman" w:cs="Times New Roman"/>
          <w:szCs w:val="24"/>
        </w:rPr>
      </w:pPr>
      <w:bookmarkStart w:id="6" w:name="_Toc243576263"/>
      <w:r w:rsidRPr="00351351">
        <w:rPr>
          <w:rFonts w:ascii="Times New Roman" w:eastAsia="Times New Roman" w:hAnsi="Times New Roman" w:cs="Times New Roman"/>
          <w:szCs w:val="24"/>
        </w:rPr>
        <w:lastRenderedPageBreak/>
        <w:t>1.4 Government and regulators</w:t>
      </w:r>
      <w:bookmarkEnd w:id="6"/>
    </w:p>
    <w:p w14:paraId="02D8E9F0" w14:textId="77777777" w:rsidR="007D1A86" w:rsidRPr="00351351" w:rsidRDefault="1D6CF239" w:rsidP="1D6CF239">
      <w:pPr>
        <w:pStyle w:val="Heading3"/>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1.4.1 Policy support and competitive exposure</w:t>
      </w:r>
    </w:p>
    <w:p w14:paraId="2A2AAD24"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Government affects the transition through funding, carbon pricing, planning and infrastructure. Neath Port Talbot Council (2025) approved the furnace proposal, demonstrating an enabling institutional decision. The £500 million support package lowers the financing burden but does not establish that customers will absorb operating costs. Tata must distinguish investment assistance from a durable commercial advantage.</w:t>
      </w:r>
    </w:p>
    <w:p w14:paraId="008C12FD"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The UK carbon border adjustment mechanism is scheduled to begin on 1 January 2027, covering selected carbon-intensive imports, including iron and steel (HMRC, 2026). It may improve the relative position of lower-emissions production by addressing carbon leakage. However, the effect depends on product coverage, embodied emissions, overseas carbon prices and implementation. Imported substrate used during Tata's transition also requires assessment; the company cannot assume that border policy benefits it in every transaction.</w:t>
      </w:r>
    </w:p>
    <w:p w14:paraId="2AB0BD10"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Infrastructure remains a binding constraint. Tata Steel UK (2026) describes progress on the grid connection and a large furnace, while ABB (2025) confirms orders for supporting electrical technologies. These developments do not prove an energisation date. Press Trust of India (2026) reported the chief executive anticipating possible power access in 2029, later than earlier commissioning expectations. This reported revision warrants a contingency and direct confirmation from project and network teams before sales promises are approved.</w:t>
      </w:r>
    </w:p>
    <w:p w14:paraId="2057CE70" w14:textId="77777777" w:rsidR="007D1A86" w:rsidRPr="00351351" w:rsidRDefault="1D6CF239" w:rsidP="1D6CF239">
      <w:pPr>
        <w:pStyle w:val="Heading3"/>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1.4.2 Claims and social legitimacy</w:t>
      </w:r>
    </w:p>
    <w:p w14:paraId="03B0052F"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 xml:space="preserve">The CMA (2021) requires environmental claims to be clear, substantiated and appropriately complete. Although its guidance primarily addresses consumer protection, its principles provide a useful communication benchmark for steel claims that pass downstream. Statements about future </w:t>
      </w:r>
      <w:r w:rsidRPr="00351351">
        <w:rPr>
          <w:rFonts w:ascii="Times New Roman" w:eastAsia="Times New Roman" w:hAnsi="Times New Roman" w:cs="Times New Roman"/>
          <w:sz w:val="24"/>
          <w:szCs w:val="24"/>
        </w:rPr>
        <w:lastRenderedPageBreak/>
        <w:t>reductions should specify assumptions and avoid implying that planned production is already available.</w:t>
      </w:r>
    </w:p>
    <w:p w14:paraId="2F24E084"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Environmental progress also creates distributional consequences. Public support and job-security statements must be considered alongside restructuring and local adjustment. Freeman's (1984) stakeholder perspective explains why employees and communities affect implementation legitimacy. Overall, environmental pressure creates an opportunity, customers determine monetisation, and institutions shape feasibility. Table 1 summarises these interacting conditions.</w:t>
      </w:r>
    </w:p>
    <w:p w14:paraId="12E5D611" w14:textId="77777777" w:rsidR="007D1A86" w:rsidRPr="00351351" w:rsidRDefault="1D6CF239" w:rsidP="1D6CF239">
      <w:pPr>
        <w:pStyle w:val="Caption"/>
        <w:keepNext/>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Table 1 External actor implications for Tata Steel UK</w:t>
      </w:r>
    </w:p>
    <w:tbl>
      <w:tblPr>
        <w:tblW w:w="0" w:type="auto"/>
        <w:tblLayout w:type="fixed"/>
        <w:tblLook w:val="04A0" w:firstRow="1" w:lastRow="0" w:firstColumn="1" w:lastColumn="0" w:noHBand="0" w:noVBand="1"/>
      </w:tblPr>
      <w:tblGrid>
        <w:gridCol w:w="1944"/>
        <w:gridCol w:w="2088"/>
        <w:gridCol w:w="2376"/>
        <w:gridCol w:w="3384"/>
      </w:tblGrid>
      <w:tr w:rsidR="007D1A86" w:rsidRPr="00351351" w14:paraId="1853CBBF" w14:textId="77777777" w:rsidTr="1D6CF239">
        <w:trPr>
          <w:cantSplit/>
          <w:tblHeader/>
        </w:trPr>
        <w:tc>
          <w:tcPr>
            <w:tcW w:w="1944"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3CB173ED" w14:textId="77777777" w:rsidR="007D1A86" w:rsidRPr="00351351" w:rsidRDefault="1D6CF239" w:rsidP="1D6CF239">
            <w:pPr>
              <w:spacing w:after="60" w:line="252" w:lineRule="auto"/>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Actor</w:t>
            </w:r>
          </w:p>
        </w:tc>
        <w:tc>
          <w:tcPr>
            <w:tcW w:w="2088"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7E043E9B" w14:textId="77777777" w:rsidR="007D1A86" w:rsidRPr="00351351" w:rsidRDefault="1D6CF239" w:rsidP="1D6CF239">
            <w:pPr>
              <w:spacing w:after="60" w:line="252" w:lineRule="auto"/>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Opportunity</w:t>
            </w:r>
          </w:p>
        </w:tc>
        <w:tc>
          <w:tcPr>
            <w:tcW w:w="2376"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26B25CE5" w14:textId="77777777" w:rsidR="007D1A86" w:rsidRPr="00351351" w:rsidRDefault="1D6CF239" w:rsidP="1D6CF239">
            <w:pPr>
              <w:spacing w:after="60" w:line="252" w:lineRule="auto"/>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Constraint</w:t>
            </w:r>
          </w:p>
        </w:tc>
        <w:tc>
          <w:tcPr>
            <w:tcW w:w="3384"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34448EA1" w14:textId="77777777" w:rsidR="007D1A86" w:rsidRPr="00351351" w:rsidRDefault="1D6CF239" w:rsidP="1D6CF239">
            <w:pPr>
              <w:spacing w:after="60" w:line="252" w:lineRule="auto"/>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Required response</w:t>
            </w:r>
          </w:p>
        </w:tc>
      </w:tr>
      <w:tr w:rsidR="007D1A86" w:rsidRPr="00351351" w14:paraId="4B5A1782" w14:textId="77777777" w:rsidTr="1D6CF239">
        <w:trPr>
          <w:cantSplit/>
        </w:trPr>
        <w:tc>
          <w:tcPr>
            <w:tcW w:w="1944"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1BCA10B6"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Natural environment</w:t>
            </w:r>
          </w:p>
        </w:tc>
        <w:tc>
          <w:tcPr>
            <w:tcW w:w="2088"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562D27B1"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Lower product emissions</w:t>
            </w:r>
          </w:p>
        </w:tc>
        <w:tc>
          <w:tcPr>
            <w:tcW w:w="2376"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6613F060"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Power and scrap quality</w:t>
            </w:r>
          </w:p>
        </w:tc>
        <w:tc>
          <w:tcPr>
            <w:tcW w:w="3384"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28CD6731"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Verify lifecycle evidence</w:t>
            </w:r>
          </w:p>
        </w:tc>
      </w:tr>
      <w:tr w:rsidR="007D1A86" w:rsidRPr="00351351" w14:paraId="72F7A98D" w14:textId="77777777" w:rsidTr="1D6CF239">
        <w:trPr>
          <w:cantSplit/>
        </w:trPr>
        <w:tc>
          <w:tcPr>
            <w:tcW w:w="1944"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558E99F9"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Customers</w:t>
            </w:r>
          </w:p>
        </w:tc>
        <w:tc>
          <w:tcPr>
            <w:tcW w:w="2088"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469E41D9"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Procurement demand</w:t>
            </w:r>
          </w:p>
        </w:tc>
        <w:tc>
          <w:tcPr>
            <w:tcW w:w="2376"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6B2C3772"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Premium uncertainty</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30501013"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Qualify and contract</w:t>
            </w:r>
          </w:p>
        </w:tc>
      </w:tr>
      <w:tr w:rsidR="007D1A86" w:rsidRPr="00351351" w14:paraId="6FDD2F8C" w14:textId="77777777" w:rsidTr="1D6CF239">
        <w:trPr>
          <w:cantSplit/>
        </w:trPr>
        <w:tc>
          <w:tcPr>
            <w:tcW w:w="1944"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4BFCAA3E"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Government and regulators</w:t>
            </w:r>
          </w:p>
        </w:tc>
        <w:tc>
          <w:tcPr>
            <w:tcW w:w="2088"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69F943BA"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Funding and carbon policy</w:t>
            </w:r>
          </w:p>
        </w:tc>
        <w:tc>
          <w:tcPr>
            <w:tcW w:w="2376"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1288787F"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Compliance and grid access</w:t>
            </w:r>
          </w:p>
        </w:tc>
        <w:tc>
          <w:tcPr>
            <w:tcW w:w="3384"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3B9F570B" w14:textId="77777777" w:rsidR="007D1A86" w:rsidRPr="00351351" w:rsidRDefault="1D6CF239" w:rsidP="1D6CF239">
            <w:pPr>
              <w:spacing w:after="60" w:line="252" w:lineRule="auto"/>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Confirm conditions before launch</w:t>
            </w:r>
          </w:p>
        </w:tc>
      </w:tr>
    </w:tbl>
    <w:p w14:paraId="5DAB6C7B" w14:textId="77777777" w:rsidR="007D1A86" w:rsidRPr="00351351" w:rsidRDefault="007D1A86" w:rsidP="1D6CF239">
      <w:pPr>
        <w:spacing w:after="20"/>
        <w:rPr>
          <w:rFonts w:ascii="Times New Roman" w:eastAsia="Times New Roman" w:hAnsi="Times New Roman" w:cs="Times New Roman"/>
          <w:sz w:val="24"/>
          <w:szCs w:val="24"/>
        </w:rPr>
      </w:pPr>
    </w:p>
    <w:p w14:paraId="7ED8F8EA" w14:textId="77777777" w:rsidR="007D1A86" w:rsidRPr="00351351" w:rsidRDefault="1D6CF239" w:rsidP="1D6CF239">
      <w:pPr>
        <w:pStyle w:val="Caption"/>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Source: Author synthesis from IEA (2024), Department for Business and Trade (2026) and Tata Steel (2026).</w:t>
      </w:r>
    </w:p>
    <w:p w14:paraId="15A218FF" w14:textId="62441B98" w:rsidR="007D1A86" w:rsidRPr="00351351" w:rsidRDefault="1F147D36" w:rsidP="1D6CF239">
      <w:pPr>
        <w:pStyle w:val="Heading1"/>
        <w:spacing w:line="480" w:lineRule="auto"/>
        <w:jc w:val="both"/>
        <w:rPr>
          <w:rFonts w:ascii="Times New Roman" w:eastAsia="Times New Roman" w:hAnsi="Times New Roman" w:cs="Times New Roman"/>
          <w:sz w:val="24"/>
          <w:szCs w:val="24"/>
        </w:rPr>
      </w:pPr>
      <w:bookmarkStart w:id="7" w:name="_Toc243576264"/>
      <w:r w:rsidRPr="00351351">
        <w:rPr>
          <w:rFonts w:ascii="Times New Roman" w:eastAsia="Times New Roman" w:hAnsi="Times New Roman" w:cs="Times New Roman"/>
          <w:sz w:val="24"/>
          <w:szCs w:val="24"/>
        </w:rPr>
        <w:lastRenderedPageBreak/>
        <w:t xml:space="preserve">Task </w:t>
      </w:r>
      <w:r w:rsidR="1D6CF239" w:rsidRPr="00351351">
        <w:rPr>
          <w:rFonts w:ascii="Times New Roman" w:eastAsia="Times New Roman" w:hAnsi="Times New Roman" w:cs="Times New Roman"/>
          <w:sz w:val="24"/>
          <w:szCs w:val="24"/>
        </w:rPr>
        <w:t>2</w:t>
      </w:r>
      <w:r w:rsidR="249DB02A" w:rsidRPr="00351351">
        <w:rPr>
          <w:rFonts w:ascii="Times New Roman" w:eastAsia="Times New Roman" w:hAnsi="Times New Roman" w:cs="Times New Roman"/>
          <w:sz w:val="24"/>
          <w:szCs w:val="24"/>
        </w:rPr>
        <w:t>.</w:t>
      </w:r>
      <w:r w:rsidR="1D6CF239" w:rsidRPr="00351351">
        <w:rPr>
          <w:rFonts w:ascii="Times New Roman" w:eastAsia="Times New Roman" w:hAnsi="Times New Roman" w:cs="Times New Roman"/>
          <w:sz w:val="24"/>
          <w:szCs w:val="24"/>
        </w:rPr>
        <w:t xml:space="preserve"> Strategic growth and competitive positioning</w:t>
      </w:r>
      <w:bookmarkEnd w:id="7"/>
    </w:p>
    <w:p w14:paraId="6335D038" w14:textId="77777777" w:rsidR="007D1A86" w:rsidRPr="00351351" w:rsidRDefault="1D6CF239" w:rsidP="1D6CF239">
      <w:pPr>
        <w:pStyle w:val="Heading2"/>
        <w:spacing w:line="480" w:lineRule="auto"/>
        <w:jc w:val="both"/>
        <w:rPr>
          <w:rFonts w:ascii="Times New Roman" w:eastAsia="Times New Roman" w:hAnsi="Times New Roman" w:cs="Times New Roman"/>
          <w:szCs w:val="24"/>
        </w:rPr>
      </w:pPr>
      <w:bookmarkStart w:id="8" w:name="_Toc243576265"/>
      <w:r w:rsidRPr="00351351">
        <w:rPr>
          <w:rFonts w:ascii="Times New Roman" w:eastAsia="Times New Roman" w:hAnsi="Times New Roman" w:cs="Times New Roman"/>
          <w:szCs w:val="24"/>
        </w:rPr>
        <w:t>2.1 Ansoff evaluation</w:t>
      </w:r>
      <w:bookmarkEnd w:id="8"/>
    </w:p>
    <w:p w14:paraId="41A63CC7" w14:textId="183BE2F0" w:rsidR="007D1A86" w:rsidRPr="00351351" w:rsidRDefault="0CAF936B" w:rsidP="1D6CF239">
      <w:pPr>
        <w:keepNext/>
        <w:spacing w:before="240" w:after="240" w:line="480" w:lineRule="auto"/>
        <w:jc w:val="both"/>
      </w:pPr>
      <w:r w:rsidRPr="00351351">
        <w:rPr>
          <w:rFonts w:ascii="Times New Roman" w:eastAsia="Times New Roman" w:hAnsi="Times New Roman" w:cs="Times New Roman"/>
          <w:sz w:val="24"/>
          <w:szCs w:val="24"/>
        </w:rPr>
        <w:t>The growth strategy is to go down the product development pathway: introduce a proven lower carbon steel product to existing customer markets. Where physical grades are well known, the production route, carbon evidence and contractual service are also considered product novelty. Ansoff (1957) sets it apart from market penetration, which is the intensification of the selling of existing products. In Figure 1 the four options are compared.</w:t>
      </w:r>
    </w:p>
    <w:p w14:paraId="6352F316" w14:textId="1CAC1D8F" w:rsidR="007D1A86" w:rsidRPr="00351351" w:rsidRDefault="1D6CF239" w:rsidP="1D6CF239">
      <w:pPr>
        <w:pStyle w:val="Caption"/>
        <w:keepNext/>
        <w:spacing w:before="240" w:after="24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Figure 1 Ansoff growth options for Tata Steel UK</w:t>
      </w:r>
    </w:p>
    <w:p w14:paraId="02EB378F"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drawing>
          <wp:inline distT="0" distB="0" distL="0" distR="0" wp14:anchorId="2852702A" wp14:editId="22664F8C">
            <wp:extent cx="5715000" cy="24270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soff.png"/>
                    <pic:cNvPicPr/>
                  </pic:nvPicPr>
                  <pic:blipFill>
                    <a:blip r:embed="rId12"/>
                    <a:stretch>
                      <a:fillRect/>
                    </a:stretch>
                  </pic:blipFill>
                  <pic:spPr>
                    <a:xfrm>
                      <a:off x="0" y="0"/>
                      <a:ext cx="5715000" cy="2427082"/>
                    </a:xfrm>
                    <a:prstGeom prst="rect">
                      <a:avLst/>
                    </a:prstGeom>
                  </pic:spPr>
                </pic:pic>
              </a:graphicData>
            </a:graphic>
          </wp:inline>
        </w:drawing>
      </w:r>
    </w:p>
    <w:p w14:paraId="4A3CDB09" w14:textId="77777777" w:rsidR="007D1A86" w:rsidRPr="00351351" w:rsidRDefault="1D6CF239" w:rsidP="1D6CF239">
      <w:pPr>
        <w:pStyle w:val="Caption"/>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Source: Author application of Ansoff (1957). Product development is the proposed priority.</w:t>
      </w:r>
    </w:p>
    <w:p w14:paraId="325ADFC1" w14:textId="272DCC8F" w:rsidR="007D1A86" w:rsidRPr="00351351" w:rsidRDefault="229370E6" w:rsidP="1D6CF239">
      <w:pPr>
        <w:spacing w:before="240" w:after="240" w:line="480" w:lineRule="auto"/>
        <w:jc w:val="both"/>
      </w:pPr>
      <w:r w:rsidRPr="00351351">
        <w:rPr>
          <w:rFonts w:ascii="Times New Roman" w:eastAsia="Times New Roman" w:hAnsi="Times New Roman" w:cs="Times New Roman"/>
          <w:sz w:val="24"/>
          <w:szCs w:val="24"/>
        </w:rPr>
        <w:t xml:space="preserve">Market penetration is still required while transitioning from imports to continue to maintain accounts and service. However, it is not the only thing that can provide the environmental offer envisaged. If a product line is to be developed into a new segment in an export market, there is a need to qualify the product, as this adds to the complexity of the logistics and reporting needs. There would be a time crunch to manage unrelated diversification and not keep up with the capital needed for the transformation. This sequencing focuses on learning then extending commercial exposure. </w:t>
      </w:r>
    </w:p>
    <w:p w14:paraId="51FDD579" w14:textId="7A13D854" w:rsidR="007D1A86" w:rsidRPr="00351351" w:rsidRDefault="229370E6" w:rsidP="1D6CF239">
      <w:pPr>
        <w:spacing w:before="240" w:after="240" w:line="480" w:lineRule="auto"/>
        <w:jc w:val="both"/>
      </w:pPr>
      <w:r w:rsidRPr="00351351">
        <w:rPr>
          <w:rFonts w:ascii="Times New Roman" w:eastAsia="Times New Roman" w:hAnsi="Times New Roman" w:cs="Times New Roman"/>
          <w:sz w:val="24"/>
          <w:szCs w:val="24"/>
        </w:rPr>
        <w:lastRenderedPageBreak/>
        <w:t>Ansoff is a direction, not a profitability. Some of its categories also overlap with the case of existing customers buying new real carbon attributes. Customer evidence, cost and conditions for approval must be added to the recommendation and not be considered as success proof based on the matrix.</w:t>
      </w:r>
    </w:p>
    <w:p w14:paraId="1B20FED0" w14:textId="2260122F" w:rsidR="007D1A86" w:rsidRPr="00351351" w:rsidRDefault="1D6CF239" w:rsidP="1D6CF239">
      <w:pPr>
        <w:pStyle w:val="Heading2"/>
        <w:spacing w:before="240" w:after="240" w:line="480" w:lineRule="auto"/>
        <w:jc w:val="both"/>
        <w:rPr>
          <w:rFonts w:ascii="Times New Roman" w:eastAsia="Times New Roman" w:hAnsi="Times New Roman" w:cs="Times New Roman"/>
          <w:szCs w:val="24"/>
        </w:rPr>
      </w:pPr>
      <w:bookmarkStart w:id="9" w:name="_Toc243576266"/>
      <w:r w:rsidRPr="00351351">
        <w:rPr>
          <w:rFonts w:ascii="Times New Roman" w:eastAsia="Times New Roman" w:hAnsi="Times New Roman" w:cs="Times New Roman"/>
          <w:szCs w:val="24"/>
        </w:rPr>
        <w:t>2.2 Competitive advantage through focused differentiation</w:t>
      </w:r>
      <w:bookmarkEnd w:id="9"/>
    </w:p>
    <w:p w14:paraId="7ABE0C02" w14:textId="6F58CA4F" w:rsidR="007D1A86" w:rsidRPr="00351351" w:rsidRDefault="25E69016" w:rsidP="1D6CF239">
      <w:pPr>
        <w:spacing w:before="240" w:after="240" w:line="480" w:lineRule="auto"/>
        <w:jc w:val="both"/>
      </w:pPr>
      <w:r w:rsidRPr="00351351">
        <w:rPr>
          <w:rFonts w:ascii="Times New Roman" w:eastAsia="Times New Roman" w:hAnsi="Times New Roman" w:cs="Times New Roman"/>
          <w:sz w:val="24"/>
          <w:szCs w:val="24"/>
        </w:rPr>
        <w:t xml:space="preserve">The first step should be to pursue differentiated value propositions for the existing accounts with known proven procurement needs. Porter (1985) </w:t>
      </w:r>
      <w:proofErr w:type="gramStart"/>
      <w:r w:rsidRPr="00351351">
        <w:rPr>
          <w:rFonts w:ascii="Times New Roman" w:eastAsia="Times New Roman" w:hAnsi="Times New Roman" w:cs="Times New Roman"/>
          <w:sz w:val="24"/>
          <w:szCs w:val="24"/>
        </w:rPr>
        <w:t>associates</w:t>
      </w:r>
      <w:proofErr w:type="gramEnd"/>
      <w:r w:rsidRPr="00351351">
        <w:rPr>
          <w:rFonts w:ascii="Times New Roman" w:eastAsia="Times New Roman" w:hAnsi="Times New Roman" w:cs="Times New Roman"/>
          <w:sz w:val="24"/>
          <w:szCs w:val="24"/>
        </w:rPr>
        <w:t xml:space="preserve"> differentiation with "activities that add more value to the buyer than to the additional cost. The advantage being proposed by Tata is quality grades, genuine emission data, technical assistance and reliable distribution. It should not state that it is the leader in industry cost without some comparative information regarding the costs of electricity, scrap and conversion. </w:t>
      </w:r>
    </w:p>
    <w:p w14:paraId="7893235F" w14:textId="0732FC7C" w:rsidR="007D1A86" w:rsidRPr="00351351" w:rsidRDefault="25E69016" w:rsidP="1D6CF239">
      <w:pPr>
        <w:spacing w:before="240" w:after="240" w:line="480" w:lineRule="auto"/>
        <w:jc w:val="both"/>
      </w:pPr>
      <w:r w:rsidRPr="00351351">
        <w:rPr>
          <w:rFonts w:ascii="Times New Roman" w:eastAsia="Times New Roman" w:hAnsi="Times New Roman" w:cs="Times New Roman"/>
          <w:sz w:val="24"/>
          <w:szCs w:val="24"/>
        </w:rPr>
        <w:t xml:space="preserve">Lower emitting alternatives are already on the market for competitors. Furnace technology and environmental branding are not hard to imitate and the era of fossil-based energy can be said to be over when it comes to recycled steel, says SSAB (2023). Tata's defensibility needs to be built on coordinated activities instead: customer qualification, closed-loop material agreements, guaranteed data, and built-in account relationships. This is not an electric furnace ownership-based conclusion, as it is based upon Porter's value-chain logic. </w:t>
      </w:r>
    </w:p>
    <w:p w14:paraId="3AAF377C" w14:textId="1A2A140F" w:rsidR="007D1A86" w:rsidRPr="00351351" w:rsidRDefault="25E69016" w:rsidP="1D6CF239">
      <w:pPr>
        <w:spacing w:before="240" w:after="240" w:line="480" w:lineRule="auto"/>
        <w:jc w:val="both"/>
      </w:pPr>
      <w:r w:rsidRPr="00351351">
        <w:rPr>
          <w:rFonts w:ascii="Times New Roman" w:eastAsia="Times New Roman" w:hAnsi="Times New Roman" w:cs="Times New Roman"/>
          <w:sz w:val="24"/>
          <w:szCs w:val="24"/>
        </w:rPr>
        <w:t>The offer should contain both a batch linked emissions data and contractually defined boundaries. Technical documentation and support to help buyers report on procurement claims, and separating measured results from forecasted results. Independent assurance minimizes information risk, and customer trials confirms functional equivalence. All premiums must be based on proven value to the buyer and be commercially negotiable.</w:t>
      </w:r>
    </w:p>
    <w:p w14:paraId="4646FD14" w14:textId="4A8212E6" w:rsidR="007D1A86" w:rsidRPr="00351351" w:rsidRDefault="1D6CF239" w:rsidP="1D6CF239">
      <w:pPr>
        <w:pStyle w:val="Heading2"/>
        <w:spacing w:before="240" w:after="240" w:line="480" w:lineRule="auto"/>
        <w:jc w:val="both"/>
      </w:pPr>
      <w:bookmarkStart w:id="10" w:name="_Toc243576267"/>
      <w:r w:rsidRPr="00351351">
        <w:rPr>
          <w:rFonts w:ascii="Times New Roman" w:eastAsia="Times New Roman" w:hAnsi="Times New Roman" w:cs="Times New Roman"/>
          <w:szCs w:val="24"/>
        </w:rPr>
        <w:lastRenderedPageBreak/>
        <w:t>2.3 Implementation and financial discipline</w:t>
      </w:r>
      <w:bookmarkEnd w:id="10"/>
    </w:p>
    <w:p w14:paraId="2A4463C6" w14:textId="6559A475" w:rsidR="007D1A86" w:rsidRPr="00351351" w:rsidRDefault="459ABFE4" w:rsidP="1D6CF239">
      <w:pPr>
        <w:keepNext/>
        <w:spacing w:before="240" w:after="24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Sales and marketing should conduct interviews with priority accounts, obtain conditional offtakes and agree on qualification procedures prior to commissioning. Confirm feedstock chemistry in procurement and product trials in operations, confirm contingency supplier. Approval should be required from commercial, technical, and sustainability functions for launch. Table 2 suggests decision gates and does not state company targets.</w:t>
      </w:r>
    </w:p>
    <w:p w14:paraId="0F875BFD" w14:textId="09BC2BB8" w:rsidR="007D1A86" w:rsidRPr="00351351" w:rsidRDefault="1D6CF239" w:rsidP="1D6CF239">
      <w:pPr>
        <w:pStyle w:val="Caption"/>
        <w:keepNext/>
        <w:spacing w:before="240" w:after="240"/>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Table 2 Proposed launch gates and accountable functions</w:t>
      </w:r>
    </w:p>
    <w:tbl>
      <w:tblPr>
        <w:tblW w:w="9850" w:type="dxa"/>
        <w:tblLayout w:type="fixed"/>
        <w:tblLook w:val="04A0" w:firstRow="1" w:lastRow="0" w:firstColumn="1" w:lastColumn="0" w:noHBand="0" w:noVBand="1"/>
      </w:tblPr>
      <w:tblGrid>
        <w:gridCol w:w="2265"/>
        <w:gridCol w:w="4515"/>
        <w:gridCol w:w="3070"/>
      </w:tblGrid>
      <w:tr w:rsidR="007D1A86" w:rsidRPr="00351351" w14:paraId="4BF9CA05" w14:textId="77777777" w:rsidTr="1D6CF239">
        <w:trPr>
          <w:cantSplit/>
          <w:tblHeader/>
        </w:trPr>
        <w:tc>
          <w:tcPr>
            <w:tcW w:w="2265"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7EF47AEC" w14:textId="77777777" w:rsidR="007D1A86" w:rsidRPr="00351351" w:rsidRDefault="1D6CF239" w:rsidP="1D6CF239">
            <w:pPr>
              <w:spacing w:after="60" w:line="480" w:lineRule="auto"/>
              <w:jc w:val="both"/>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Gate</w:t>
            </w:r>
          </w:p>
        </w:tc>
        <w:tc>
          <w:tcPr>
            <w:tcW w:w="4515"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332F1554" w14:textId="77777777" w:rsidR="007D1A86" w:rsidRPr="00351351" w:rsidRDefault="1D6CF239" w:rsidP="1D6CF239">
            <w:pPr>
              <w:spacing w:after="60" w:line="480" w:lineRule="auto"/>
              <w:jc w:val="both"/>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Evidence required</w:t>
            </w:r>
          </w:p>
        </w:tc>
        <w:tc>
          <w:tcPr>
            <w:tcW w:w="3070" w:type="dxa"/>
            <w:tcBorders>
              <w:top w:val="single" w:sz="4" w:space="0" w:color="D9D9D9"/>
              <w:left w:val="single" w:sz="4" w:space="0" w:color="D9D9D9"/>
              <w:bottom w:val="single" w:sz="4" w:space="0" w:color="D9D9D9"/>
              <w:right w:val="single" w:sz="4" w:space="0" w:color="D9D9D9"/>
            </w:tcBorders>
            <w:shd w:val="clear" w:color="auto" w:fill="253D4C"/>
            <w:tcMar>
              <w:top w:w="90" w:type="dxa"/>
              <w:left w:w="90" w:type="dxa"/>
              <w:bottom w:w="90" w:type="dxa"/>
              <w:right w:w="90" w:type="dxa"/>
            </w:tcMar>
            <w:vAlign w:val="center"/>
          </w:tcPr>
          <w:p w14:paraId="1EDEEDB4" w14:textId="77777777" w:rsidR="007D1A86" w:rsidRPr="00351351" w:rsidRDefault="1D6CF239" w:rsidP="1D6CF239">
            <w:pPr>
              <w:spacing w:after="60" w:line="480" w:lineRule="auto"/>
              <w:jc w:val="both"/>
              <w:rPr>
                <w:rFonts w:ascii="Times New Roman" w:eastAsia="Times New Roman" w:hAnsi="Times New Roman" w:cs="Times New Roman"/>
                <w:b/>
                <w:bCs/>
                <w:color w:val="FFFFFF" w:themeColor="background1"/>
                <w:sz w:val="24"/>
                <w:szCs w:val="24"/>
              </w:rPr>
            </w:pPr>
            <w:r w:rsidRPr="00351351">
              <w:rPr>
                <w:rFonts w:ascii="Times New Roman" w:eastAsia="Times New Roman" w:hAnsi="Times New Roman" w:cs="Times New Roman"/>
                <w:b/>
                <w:bCs/>
                <w:color w:val="FFFFFF" w:themeColor="background1"/>
                <w:sz w:val="24"/>
                <w:szCs w:val="24"/>
              </w:rPr>
              <w:t>Accountable function</w:t>
            </w:r>
          </w:p>
        </w:tc>
      </w:tr>
      <w:tr w:rsidR="007D1A86" w:rsidRPr="00351351" w14:paraId="6AA1C182" w14:textId="77777777" w:rsidTr="1D6CF239">
        <w:trPr>
          <w:cantSplit/>
        </w:trPr>
        <w:tc>
          <w:tcPr>
            <w:tcW w:w="2265"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7B8D9A61"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Supply readiness</w:t>
            </w:r>
          </w:p>
        </w:tc>
        <w:tc>
          <w:tcPr>
            <w:tcW w:w="4515"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49FE4E0B"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Confirmed energisation and qualified scrap</w:t>
            </w:r>
          </w:p>
        </w:tc>
        <w:tc>
          <w:tcPr>
            <w:tcW w:w="3070"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1647E66A"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Operations and procurement</w:t>
            </w:r>
          </w:p>
        </w:tc>
      </w:tr>
      <w:tr w:rsidR="007D1A86" w:rsidRPr="00351351" w14:paraId="22F26BF2" w14:textId="77777777" w:rsidTr="1D6CF239">
        <w:trPr>
          <w:cantSplit/>
        </w:trPr>
        <w:tc>
          <w:tcPr>
            <w:tcW w:w="2265"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6F5C1818"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Customer readiness</w:t>
            </w:r>
          </w:p>
        </w:tc>
        <w:tc>
          <w:tcPr>
            <w:tcW w:w="4515"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5E1170FF"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Approved trials and conditional orders</w:t>
            </w:r>
          </w:p>
        </w:tc>
        <w:tc>
          <w:tcPr>
            <w:tcW w:w="3070"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49A2C133"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Technical and commercial</w:t>
            </w:r>
          </w:p>
        </w:tc>
      </w:tr>
      <w:tr w:rsidR="007D1A86" w:rsidRPr="00351351" w14:paraId="48313065" w14:textId="77777777" w:rsidTr="1D6CF239">
        <w:trPr>
          <w:cantSplit/>
        </w:trPr>
        <w:tc>
          <w:tcPr>
            <w:tcW w:w="2265"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34B20108"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Claims readiness</w:t>
            </w:r>
          </w:p>
        </w:tc>
        <w:tc>
          <w:tcPr>
            <w:tcW w:w="4515"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63F2D5A7"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Assured footprint and approved wording</w:t>
            </w:r>
          </w:p>
        </w:tc>
        <w:tc>
          <w:tcPr>
            <w:tcW w:w="3070" w:type="dxa"/>
            <w:tcBorders>
              <w:top w:val="single" w:sz="4" w:space="0" w:color="D9D9D9"/>
              <w:left w:val="single" w:sz="4" w:space="0" w:color="D9D9D9"/>
              <w:bottom w:val="single" w:sz="4" w:space="0" w:color="D9D9D9"/>
              <w:right w:val="single" w:sz="4" w:space="0" w:color="D9D9D9"/>
            </w:tcBorders>
            <w:shd w:val="clear" w:color="auto" w:fill="F0F4F6"/>
            <w:tcMar>
              <w:top w:w="90" w:type="dxa"/>
              <w:left w:w="90" w:type="dxa"/>
              <w:bottom w:w="90" w:type="dxa"/>
              <w:right w:w="90" w:type="dxa"/>
            </w:tcMar>
            <w:vAlign w:val="center"/>
          </w:tcPr>
          <w:p w14:paraId="1959C79C"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Sustainability and legal</w:t>
            </w:r>
          </w:p>
        </w:tc>
      </w:tr>
      <w:tr w:rsidR="007D1A86" w:rsidRPr="00351351" w14:paraId="4AADA96B" w14:textId="77777777" w:rsidTr="1D6CF239">
        <w:trPr>
          <w:cantSplit/>
        </w:trPr>
        <w:tc>
          <w:tcPr>
            <w:tcW w:w="2265"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258205CD"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Economic readiness</w:t>
            </w:r>
          </w:p>
        </w:tc>
        <w:tc>
          <w:tcPr>
            <w:tcW w:w="4515"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7FBE674B"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Acceptable downside contribution</w:t>
            </w:r>
          </w:p>
        </w:tc>
        <w:tc>
          <w:tcPr>
            <w:tcW w:w="3070" w:type="dxa"/>
            <w:tcBorders>
              <w:top w:val="single" w:sz="4" w:space="0" w:color="D9D9D9"/>
              <w:left w:val="single" w:sz="4" w:space="0" w:color="D9D9D9"/>
              <w:bottom w:val="single" w:sz="4" w:space="0" w:color="D9D9D9"/>
              <w:right w:val="single" w:sz="4" w:space="0" w:color="D9D9D9"/>
            </w:tcBorders>
            <w:shd w:val="clear" w:color="auto" w:fill="FFFFFF"/>
            <w:tcMar>
              <w:top w:w="90" w:type="dxa"/>
              <w:left w:w="90" w:type="dxa"/>
              <w:bottom w:w="90" w:type="dxa"/>
              <w:right w:w="90" w:type="dxa"/>
            </w:tcMar>
            <w:vAlign w:val="center"/>
          </w:tcPr>
          <w:p w14:paraId="1E86E644" w14:textId="77777777" w:rsidR="007D1A86" w:rsidRPr="00351351" w:rsidRDefault="1D6CF239" w:rsidP="1D6CF239">
            <w:pPr>
              <w:spacing w:after="6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Finance and leadership</w:t>
            </w:r>
          </w:p>
        </w:tc>
      </w:tr>
    </w:tbl>
    <w:p w14:paraId="542E97F2" w14:textId="153761CD" w:rsidR="007D1A86" w:rsidRPr="00351351" w:rsidRDefault="1D6CF239" w:rsidP="1D6CF239">
      <w:pPr>
        <w:pStyle w:val="Caption"/>
        <w:spacing w:after="20"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Source: Author recommendations informed by Porter (1985), CMA (2021) and IEA (2025). These are proposed gates, not reported Tata policies.</w:t>
      </w:r>
    </w:p>
    <w:p w14:paraId="62BB83DC"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Financial approval should use contribution per tonne after scrap, energy, conversion, logistics and assurance costs. A simple sensitivity illustrates exposure: at an assumed electricity use of 0.5 MWh per tonne, a £20/MWh price increase adds £10 per tonne. These are illustrative assumptions, not Tata operating data. At one million tonnes, the annual effect would be £10 million before mitigation, showing why a small premium cannot be treated as guaranteed profit.</w:t>
      </w:r>
    </w:p>
    <w:p w14:paraId="13C99769"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 xml:space="preserve">Contracts should therefore incorporate suitable energy and scrap adjustment mechanisms, subject to buyer negotiation. Delayed energisation requires a parallel retention plan using transparently </w:t>
      </w:r>
      <w:r w:rsidRPr="00351351">
        <w:rPr>
          <w:rFonts w:ascii="Times New Roman" w:eastAsia="Times New Roman" w:hAnsi="Times New Roman" w:cs="Times New Roman"/>
          <w:sz w:val="24"/>
          <w:szCs w:val="24"/>
        </w:rPr>
        <w:lastRenderedPageBreak/>
        <w:t>described imported substrate. Tata should avoid pre-selling domestic furnace output against an unconfirmed date. A downside scenario should combine launch delay, lower contracted volume and a zero premium, rather than testing each risk independently.</w:t>
      </w:r>
    </w:p>
    <w:p w14:paraId="0382ACB3" w14:textId="77777777" w:rsidR="007D1A86" w:rsidRPr="00351351" w:rsidRDefault="1D6CF239" w:rsidP="1D6CF239">
      <w:pPr>
        <w:pStyle w:val="Heading2"/>
        <w:spacing w:line="480" w:lineRule="auto"/>
        <w:jc w:val="both"/>
        <w:rPr>
          <w:rFonts w:ascii="Times New Roman" w:eastAsia="Times New Roman" w:hAnsi="Times New Roman" w:cs="Times New Roman"/>
          <w:szCs w:val="24"/>
        </w:rPr>
      </w:pPr>
      <w:bookmarkStart w:id="11" w:name="_Toc243576268"/>
      <w:r w:rsidRPr="00351351">
        <w:rPr>
          <w:rFonts w:ascii="Times New Roman" w:eastAsia="Times New Roman" w:hAnsi="Times New Roman" w:cs="Times New Roman"/>
          <w:szCs w:val="24"/>
        </w:rPr>
        <w:t>2.4 Measurement and strategic conclusion</w:t>
      </w:r>
      <w:bookmarkEnd w:id="11"/>
    </w:p>
    <w:p w14:paraId="76D10A89"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Performance measures should cover qualified contracted volume, contribution per tonne, customer retention, delivery reliability, verified product emissions and claims corrections. Proposed operating safeguards include emissions documentation for every launch product and no unsupported near-zero label. Commercial volume targets should follow customer research, not arbitrary growth percentages. Figure 2 shows how evidence supports the decision to scale.</w:t>
      </w:r>
    </w:p>
    <w:p w14:paraId="2724C80F" w14:textId="77777777" w:rsidR="007D1A86" w:rsidRPr="00351351" w:rsidRDefault="1D6CF239" w:rsidP="1D6CF239">
      <w:pPr>
        <w:pStyle w:val="Caption"/>
        <w:keepNext/>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Figure 2 Evidence required before scaling the proposed offer</w:t>
      </w:r>
    </w:p>
    <w:p w14:paraId="5A39BBE3"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drawing>
          <wp:inline distT="0" distB="0" distL="0" distR="0" wp14:anchorId="7D45F028" wp14:editId="79F50646">
            <wp:extent cx="5715000" cy="22437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tes.png"/>
                    <pic:cNvPicPr/>
                  </pic:nvPicPr>
                  <pic:blipFill>
                    <a:blip r:embed="rId13"/>
                    <a:stretch>
                      <a:fillRect/>
                    </a:stretch>
                  </pic:blipFill>
                  <pic:spPr>
                    <a:xfrm>
                      <a:off x="0" y="0"/>
                      <a:ext cx="5715000" cy="2243755"/>
                    </a:xfrm>
                    <a:prstGeom prst="rect">
                      <a:avLst/>
                    </a:prstGeom>
                  </pic:spPr>
                </pic:pic>
              </a:graphicData>
            </a:graphic>
          </wp:inline>
        </w:drawing>
      </w:r>
    </w:p>
    <w:p w14:paraId="08555A27" w14:textId="77777777" w:rsidR="007D1A86" w:rsidRPr="00351351" w:rsidRDefault="1D6CF239" w:rsidP="1D6CF239">
      <w:pPr>
        <w:pStyle w:val="Caption"/>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Source: Author synthesis informed by Porter (1985), IEA (2024) and IEA (2025).</w:t>
      </w:r>
    </w:p>
    <w:p w14:paraId="30B16D07" w14:textId="16EAE801" w:rsidR="007D1A86" w:rsidRPr="00351351" w:rsidRDefault="1D6CF239" w:rsidP="1D6CF239">
      <w:pPr>
        <w:pageBreakBefore/>
        <w:spacing w:line="480" w:lineRule="auto"/>
        <w:jc w:val="both"/>
      </w:pPr>
      <w:r w:rsidRPr="00351351">
        <w:rPr>
          <w:rFonts w:ascii="Times New Roman" w:eastAsia="Times New Roman" w:hAnsi="Times New Roman" w:cs="Times New Roman"/>
          <w:sz w:val="24"/>
          <w:szCs w:val="24"/>
        </w:rPr>
        <w:lastRenderedPageBreak/>
        <w:t>If qualified demand covers insufficient volume at acceptable contribution, management should delay wider rollout and revise the offer. Marketing must report adverse evidence rather than treating environmental preference as a guaranteed order.</w:t>
      </w:r>
    </w:p>
    <w:p w14:paraId="06B4DE9D" w14:textId="17C3D05F" w:rsidR="007D1A86" w:rsidRPr="00351351" w:rsidRDefault="6105B8F2" w:rsidP="1D6CF239">
      <w:pPr>
        <w:pageBreakBefore/>
        <w:spacing w:line="480" w:lineRule="auto"/>
        <w:jc w:val="both"/>
        <w:rPr>
          <w:rFonts w:ascii="Times New Roman" w:eastAsia="Times New Roman" w:hAnsi="Times New Roman" w:cs="Times New Roman"/>
          <w:b/>
          <w:bCs/>
          <w:sz w:val="24"/>
          <w:szCs w:val="24"/>
        </w:rPr>
      </w:pPr>
      <w:r w:rsidRPr="00351351">
        <w:rPr>
          <w:rFonts w:ascii="Times New Roman" w:eastAsia="Times New Roman" w:hAnsi="Times New Roman" w:cs="Times New Roman"/>
          <w:b/>
          <w:bCs/>
          <w:sz w:val="24"/>
          <w:szCs w:val="24"/>
        </w:rPr>
        <w:lastRenderedPageBreak/>
        <w:t xml:space="preserve">Task </w:t>
      </w:r>
      <w:r w:rsidR="1D6CF239" w:rsidRPr="00351351">
        <w:rPr>
          <w:rFonts w:ascii="Times New Roman" w:eastAsia="Times New Roman" w:hAnsi="Times New Roman" w:cs="Times New Roman"/>
          <w:b/>
          <w:bCs/>
          <w:sz w:val="24"/>
          <w:szCs w:val="24"/>
        </w:rPr>
        <w:t>3</w:t>
      </w:r>
      <w:r w:rsidR="07C0E00B" w:rsidRPr="00351351">
        <w:rPr>
          <w:rFonts w:ascii="Times New Roman" w:eastAsia="Times New Roman" w:hAnsi="Times New Roman" w:cs="Times New Roman"/>
          <w:b/>
          <w:bCs/>
          <w:sz w:val="24"/>
          <w:szCs w:val="24"/>
        </w:rPr>
        <w:t>.</w:t>
      </w:r>
      <w:r w:rsidR="1D6CF239" w:rsidRPr="00351351">
        <w:rPr>
          <w:rFonts w:ascii="Times New Roman" w:eastAsia="Times New Roman" w:hAnsi="Times New Roman" w:cs="Times New Roman"/>
          <w:b/>
          <w:bCs/>
          <w:sz w:val="24"/>
          <w:szCs w:val="24"/>
        </w:rPr>
        <w:t xml:space="preserve"> Managerial and professional reflection</w:t>
      </w:r>
    </w:p>
    <w:p w14:paraId="605B0BD5" w14:textId="77777777" w:rsidR="007D1A86" w:rsidRPr="00351351" w:rsidRDefault="1D6CF239" w:rsidP="1D6CF239">
      <w:pPr>
        <w:pStyle w:val="Heading2"/>
        <w:spacing w:line="480" w:lineRule="auto"/>
        <w:jc w:val="both"/>
        <w:rPr>
          <w:rFonts w:ascii="Times New Roman" w:eastAsia="Times New Roman" w:hAnsi="Times New Roman" w:cs="Times New Roman"/>
          <w:szCs w:val="24"/>
        </w:rPr>
      </w:pPr>
      <w:bookmarkStart w:id="12" w:name="_Toc243576269"/>
      <w:r w:rsidRPr="00351351">
        <w:rPr>
          <w:rFonts w:ascii="Times New Roman" w:eastAsia="Times New Roman" w:hAnsi="Times New Roman" w:cs="Times New Roman"/>
          <w:szCs w:val="24"/>
        </w:rPr>
        <w:t>3.1 Judgement and company selection</w:t>
      </w:r>
      <w:bookmarkEnd w:id="12"/>
    </w:p>
    <w:p w14:paraId="1B7C6009"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In preparing this report, I selected Tata Steel because Port Talbot connects environmental strategy to identifiable investment, customer and institutional decisions. A narrower UK scope made the analysis more defensible than combining Indian, Dutch and British operations with different technologies and market conditions. The strongest lesson was that company scale and publicity do not replace a clearly defined unit of analysis.</w:t>
      </w:r>
    </w:p>
    <w:p w14:paraId="37FD224B"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My initial attraction to the reported site-emissions reduction required correction through closer examination of accounting boundaries. I recognised that a site-level forecast cannot establish a finished product's lifecycle footprint. This changed my recommendation from promoting a broad green-steel message to requiring product evidence and qualification before launch. That analytical change reflects learning from this assignment, rather than claiming professional experience I have not evidenced.</w:t>
      </w:r>
    </w:p>
    <w:p w14:paraId="7182389F" w14:textId="77777777" w:rsidR="007D1A86" w:rsidRPr="00351351" w:rsidRDefault="1D6CF239" w:rsidP="1D6CF239">
      <w:pPr>
        <w:pStyle w:val="Heading2"/>
        <w:spacing w:line="480" w:lineRule="auto"/>
        <w:jc w:val="both"/>
        <w:rPr>
          <w:rFonts w:ascii="Times New Roman" w:eastAsia="Times New Roman" w:hAnsi="Times New Roman" w:cs="Times New Roman"/>
          <w:szCs w:val="24"/>
        </w:rPr>
      </w:pPr>
      <w:bookmarkStart w:id="13" w:name="_Toc243576270"/>
      <w:r w:rsidRPr="00351351">
        <w:rPr>
          <w:rFonts w:ascii="Times New Roman" w:eastAsia="Times New Roman" w:hAnsi="Times New Roman" w:cs="Times New Roman"/>
          <w:szCs w:val="24"/>
        </w:rPr>
        <w:t>3.2 Actor and strategy choices</w:t>
      </w:r>
      <w:bookmarkEnd w:id="13"/>
    </w:p>
    <w:p w14:paraId="48F99769"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I prioritised the natural environment because it directly drives production change. Customers and government were selected because they determine whether that change can become a viable offer. Competitors and suppliers remain important, but were treated as interacting influences rather than added as separate principal actors. This kept the analysis focused while exposing the limits of a three-actor assessment.</w:t>
      </w:r>
    </w:p>
    <w:p w14:paraId="3682BD9B"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 xml:space="preserve">For senior leadership, I would defend product development as a controlled commercial experiment rather than an unconditional expansion commitment. Existing customer relationships reduce some market uncertainty, but they do not eliminate qualification or price risk. Porter's framework also </w:t>
      </w:r>
      <w:r w:rsidRPr="00351351">
        <w:rPr>
          <w:rFonts w:ascii="Times New Roman" w:eastAsia="Times New Roman" w:hAnsi="Times New Roman" w:cs="Times New Roman"/>
          <w:sz w:val="24"/>
          <w:szCs w:val="24"/>
        </w:rPr>
        <w:lastRenderedPageBreak/>
        <w:t>challenged me to distinguish an available technology from a defensible capability. The resulting strategy depends on relationships, evidence and delivery performance that must work together.</w:t>
      </w:r>
    </w:p>
    <w:p w14:paraId="2064EB7A" w14:textId="77777777" w:rsidR="007D1A86" w:rsidRPr="00351351" w:rsidRDefault="1D6CF239" w:rsidP="1D6CF239">
      <w:pPr>
        <w:pStyle w:val="Heading2"/>
        <w:spacing w:line="480" w:lineRule="auto"/>
        <w:jc w:val="both"/>
        <w:rPr>
          <w:rFonts w:ascii="Times New Roman" w:eastAsia="Times New Roman" w:hAnsi="Times New Roman" w:cs="Times New Roman"/>
          <w:szCs w:val="24"/>
        </w:rPr>
      </w:pPr>
      <w:bookmarkStart w:id="14" w:name="_Toc243576271"/>
      <w:r w:rsidRPr="00351351">
        <w:rPr>
          <w:rFonts w:ascii="Times New Roman" w:eastAsia="Times New Roman" w:hAnsi="Times New Roman" w:cs="Times New Roman"/>
          <w:szCs w:val="24"/>
        </w:rPr>
        <w:t>3.3 Limitations and further evidence</w:t>
      </w:r>
      <w:bookmarkEnd w:id="14"/>
    </w:p>
    <w:p w14:paraId="17014E85"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The report relies on public secondary sources, including organisations with incentives to present favourable outcomes. Company forecasts and government announcements were compared with standards, research and sector analysis, but triangulation cannot replace independent operational verification. Announced investment and construction progress remain insufficient evidence of commissioning readiness or commercial returns.</w:t>
      </w:r>
    </w:p>
    <w:p w14:paraId="6E51A11C"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This also changed how I would communicate uncertainty. Rather than conceal missing evidence behind a confident recommendation, I would show leadership which assumptions can be tested and who owns each verification. That approach makes professional accountability part of the strategy itself.</w:t>
      </w:r>
    </w:p>
    <w:p w14:paraId="452596A8"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A consultant should request the confirmed grid programme, furnace operating assumptions, grade-level qualification results, independently reviewed product footprints and customer-level margins. Interviews with buyers should test procurement eligibility, switching costs, contract terms and willingness to pay. Scrap suppliers should provide chemistry and availability evidence; workforce representatives should explain training needs and transition concerns. These inputs could materially change the timing and scale of the recommendation.</w:t>
      </w:r>
    </w:p>
    <w:p w14:paraId="334BFA74" w14:textId="77777777" w:rsidR="007D1A86" w:rsidRPr="00351351" w:rsidRDefault="1D6CF239" w:rsidP="1D6CF239">
      <w:pPr>
        <w:spacing w:line="480" w:lineRule="auto"/>
        <w:jc w:val="both"/>
        <w:rPr>
          <w:rFonts w:ascii="Times New Roman" w:eastAsia="Times New Roman" w:hAnsi="Times New Roman" w:cs="Times New Roman"/>
          <w:sz w:val="24"/>
          <w:szCs w:val="24"/>
        </w:rPr>
      </w:pPr>
      <w:r w:rsidRPr="00351351">
        <w:rPr>
          <w:rFonts w:ascii="Times New Roman" w:eastAsia="Times New Roman" w:hAnsi="Times New Roman" w:cs="Times New Roman"/>
          <w:sz w:val="24"/>
          <w:szCs w:val="24"/>
        </w:rPr>
        <w:t>I would also seek a reconciled financial model, including imported-substrate exposure, working capital, energy scenarios and the consequences of policy changes. Without those inputs, the report cannot responsibly estimate investment returns or claim an optimal premium. My managerial responsibility would be to make these uncertainties explicit and establish decisions that can be revised as evidence improves. Future work should strengthen my ability to connect lifecycle data, customer research and financial appraisal before presenting a final investment recommendation.</w:t>
      </w:r>
    </w:p>
    <w:p w14:paraId="071E4E01" w14:textId="77777777" w:rsidR="007D1A86" w:rsidRPr="00351351" w:rsidRDefault="1D6CF239" w:rsidP="1D6CF239">
      <w:pPr>
        <w:pStyle w:val="Heading1"/>
        <w:pageBreakBefore/>
        <w:spacing w:line="360" w:lineRule="auto"/>
        <w:jc w:val="both"/>
        <w:rPr>
          <w:rFonts w:ascii="Times New Roman" w:eastAsia="Times New Roman" w:hAnsi="Times New Roman" w:cs="Times New Roman"/>
          <w:color w:val="auto"/>
          <w:sz w:val="24"/>
          <w:szCs w:val="24"/>
        </w:rPr>
      </w:pPr>
      <w:bookmarkStart w:id="15" w:name="_Toc243576272"/>
      <w:r w:rsidRPr="00351351">
        <w:rPr>
          <w:rFonts w:ascii="Times New Roman" w:eastAsia="Times New Roman" w:hAnsi="Times New Roman" w:cs="Times New Roman"/>
          <w:color w:val="auto"/>
          <w:sz w:val="24"/>
          <w:szCs w:val="24"/>
        </w:rPr>
        <w:lastRenderedPageBreak/>
        <w:t>References</w:t>
      </w:r>
      <w:bookmarkEnd w:id="15"/>
    </w:p>
    <w:p w14:paraId="57EBECFE"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ABB (2025) ABB receives orders for power supply and electromagnetic stirring technologies at Tata Steel project in UK. 29 July. Available at: https://new.abb.com/news/detail/127907/abb-receives-orders-for-power-supply-and-electromagnetic-stirring-technologies-at-tata-steel-project-in-uk (Accessed: 22 October 2026).</w:t>
      </w:r>
    </w:p>
    <w:p w14:paraId="22791468"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Ansoff, H.I. (1957) ‘Strategies for diversification’, Harvard Business Review, 35(5), pp. 113–124. Available at: https://www.casrilanka.com/casl/images/stories/2017/2017_pdfs/sab_portal/course_material/strategies_for_diversification.pdf (Accessed: 22 October 2026).</w:t>
      </w:r>
    </w:p>
    <w:p w14:paraId="3A97238E"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Competition and Markets Authority (CMA) (2021) Green claims code: making environmental claims. 20 September. Available at: https://www.gov.uk/government/publications/green-claims-code-making-environmental-claims (Accessed: 22 October 2026).</w:t>
      </w:r>
    </w:p>
    <w:p w14:paraId="08B4F86D"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 xml:space="preserve">Daehn, K.E., </w:t>
      </w:r>
      <w:proofErr w:type="spellStart"/>
      <w:r w:rsidRPr="00351351">
        <w:rPr>
          <w:rFonts w:ascii="Times New Roman" w:eastAsia="Times New Roman" w:hAnsi="Times New Roman" w:cs="Times New Roman"/>
          <w:color w:val="auto"/>
          <w:sz w:val="24"/>
          <w:szCs w:val="24"/>
        </w:rPr>
        <w:t>Serrenho</w:t>
      </w:r>
      <w:proofErr w:type="spellEnd"/>
      <w:r w:rsidRPr="00351351">
        <w:rPr>
          <w:rFonts w:ascii="Times New Roman" w:eastAsia="Times New Roman" w:hAnsi="Times New Roman" w:cs="Times New Roman"/>
          <w:color w:val="auto"/>
          <w:sz w:val="24"/>
          <w:szCs w:val="24"/>
        </w:rPr>
        <w:t xml:space="preserve">, A.C. and Allwood, J.M. (2017) ‘How will copper contamination constrain future global steel recycling?’, Environmental Science &amp; Technology, 51(11), pp. 6599–6606. </w:t>
      </w:r>
      <w:proofErr w:type="spellStart"/>
      <w:r w:rsidRPr="00351351">
        <w:rPr>
          <w:rFonts w:ascii="Times New Roman" w:eastAsia="Times New Roman" w:hAnsi="Times New Roman" w:cs="Times New Roman"/>
          <w:color w:val="auto"/>
          <w:sz w:val="24"/>
          <w:szCs w:val="24"/>
        </w:rPr>
        <w:t>doi</w:t>
      </w:r>
      <w:proofErr w:type="spellEnd"/>
      <w:r w:rsidRPr="00351351">
        <w:rPr>
          <w:rFonts w:ascii="Times New Roman" w:eastAsia="Times New Roman" w:hAnsi="Times New Roman" w:cs="Times New Roman"/>
          <w:color w:val="auto"/>
          <w:sz w:val="24"/>
          <w:szCs w:val="24"/>
        </w:rPr>
        <w:t>: 10.1021/acs.est.7b00997. Available at: https://www.repository.cam.ac.uk/items/93eecec5-af72-4cd4-9440-95f5eab378d5 (Accessed: 22 October 2026).</w:t>
      </w:r>
    </w:p>
    <w:p w14:paraId="7ABD6A0D"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Department for Business and Trade (2025) 5,000 jobs secured as construction starts on Port Talbot green steel project. 14 July. Available at: https://www.gov.uk/government/news/5000-jobs-secured-as-construction-starts-on-port-talbot-green-steel-project (Accessed: 22 October 2026).</w:t>
      </w:r>
    </w:p>
    <w:p w14:paraId="6D88DB9C"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Department for Business and Trade (2026) The UK steel strategy. London: Department for Business and Trade. Available at: https://www.gov.uk/government/publications/steel-strategy/the-uk-steel-strategy-web-version (Accessed: 22 October 2026).</w:t>
      </w:r>
    </w:p>
    <w:p w14:paraId="32CB8F24"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Freeman, R.E. (1984) Strategic management: A stakeholder approach. Boston, MA: Pitman. Available at: https://www.cambridge.org/core/books/strategic-management/E3CC2E2CE01497062D7603B7A8B9337F (Accessed: 22 October 2026).</w:t>
      </w:r>
    </w:p>
    <w:p w14:paraId="72BA8132"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HM Revenue &amp; Customs (HMRC) (2026) Carbon Border Adjustment Mechanism (CBAM): Policy summary. London: HMRC. Available at: https://www.gov.uk/government/publications/carbon-border-adjustment-mechanism-cbam-policy-summary/carbon-border-adjustment-mechanism-cbam-policy-summary (Accessed: 22 October 2026).</w:t>
      </w:r>
    </w:p>
    <w:p w14:paraId="449B474A"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lastRenderedPageBreak/>
        <w:t>International Energy Agency (IEA) (2020) Iron and steel technology roadmap. Paris: IEA. Available at: https://www.iea.org/reports/iron-and-steel-technology-roadmap (Accessed: 22 October 2026).</w:t>
      </w:r>
    </w:p>
    <w:p w14:paraId="48CF4672"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International Energy Agency (IEA) (2024) Definitions for near-zero and low-emissions steel and cement and underlying emissions measurement methodologies. Paris: IEA. Available at: https://www.iea.org/reports/definitions-for-near-zero-and-low-emissions-steel-and-cement-and-underlying-emissions-measurement-methodologies (Accessed: 22 October 2026).</w:t>
      </w:r>
    </w:p>
    <w:p w14:paraId="5351A7B3"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International Energy Agency (IEA) (2025) Breakthrough Agenda Report 2025. Paris: IEA. Steel chapter. Available at: https://www.iea.org/reports/breakthrough-agenda-report-2025/steel (Accessed: 22 October 2026).</w:t>
      </w:r>
    </w:p>
    <w:p w14:paraId="2DE07989"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International Energy Agency (IEA) (2026) Breakthrough Agenda Report 2026. Paris: IEA. Steel chapter. Available at: https://www.iea.org/reports/breakthrough-agenda-report-2026 (Accessed: 22 October 2026).</w:t>
      </w:r>
    </w:p>
    <w:p w14:paraId="4C9F393A"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Neath Port Talbot Council (2025) Green light for Tata Steel UK’s £1.25bn Port Talbot Electric Arc Furnace project. 18 February. Available at: https://www.npt.gov.uk/council/newsroom/press-releases/article/?id=7920 (Accessed: 22 October 2026).</w:t>
      </w:r>
    </w:p>
    <w:p w14:paraId="607689C0"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 xml:space="preserve">OECD (2026) OECD Steel Outlook 2026. Paris: OECD Publishing. </w:t>
      </w:r>
      <w:proofErr w:type="spellStart"/>
      <w:r w:rsidRPr="00351351">
        <w:rPr>
          <w:rFonts w:ascii="Times New Roman" w:eastAsia="Times New Roman" w:hAnsi="Times New Roman" w:cs="Times New Roman"/>
          <w:color w:val="auto"/>
          <w:sz w:val="24"/>
          <w:szCs w:val="24"/>
        </w:rPr>
        <w:t>doi</w:t>
      </w:r>
      <w:proofErr w:type="spellEnd"/>
      <w:r w:rsidRPr="00351351">
        <w:rPr>
          <w:rFonts w:ascii="Times New Roman" w:eastAsia="Times New Roman" w:hAnsi="Times New Roman" w:cs="Times New Roman"/>
          <w:color w:val="auto"/>
          <w:sz w:val="24"/>
          <w:szCs w:val="24"/>
        </w:rPr>
        <w:t>: 10.1787/99ab9b0c-en. Available at: https://www.oecd.org/en/publications/2026/06/oecd-steel-outlook-2026_a79fb861.html (Accessed: 22 October 2026).</w:t>
      </w:r>
    </w:p>
    <w:p w14:paraId="0911A084"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Porter, M.E. (1985) Competitive advantage: Creating and sustaining superior performance. New York: Free Press. Available at: https://www.simonandschuster.com/books/Competitive-Advantage/Michael-E-Porter/9780684841465 (Accessed: 22 October 2026).</w:t>
      </w:r>
    </w:p>
    <w:p w14:paraId="69BEB2DD"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 xml:space="preserve">Press Trust of India (2026) Tata Steel UK expects electricity access for EAF project by 2029 CEO Narendran. </w:t>
      </w:r>
      <w:proofErr w:type="spellStart"/>
      <w:r w:rsidRPr="00351351">
        <w:rPr>
          <w:rFonts w:ascii="Times New Roman" w:eastAsia="Times New Roman" w:hAnsi="Times New Roman" w:cs="Times New Roman"/>
          <w:color w:val="auto"/>
          <w:sz w:val="24"/>
          <w:szCs w:val="24"/>
        </w:rPr>
        <w:t>ETInfra</w:t>
      </w:r>
      <w:proofErr w:type="spellEnd"/>
      <w:r w:rsidRPr="00351351">
        <w:rPr>
          <w:rFonts w:ascii="Times New Roman" w:eastAsia="Times New Roman" w:hAnsi="Times New Roman" w:cs="Times New Roman"/>
          <w:color w:val="auto"/>
          <w:sz w:val="24"/>
          <w:szCs w:val="24"/>
        </w:rPr>
        <w:t>, 2 August. Available at: https://infra.economictimes.indiatimes.com/news/construction/tata-steel-uk-expects-electricity-access-for-eaf-project-by-2029-ceo-narendran/132801087 (Accessed: 22 October 2026).</w:t>
      </w:r>
    </w:p>
    <w:p w14:paraId="47D10D8E"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proofErr w:type="spellStart"/>
      <w:r w:rsidRPr="00351351">
        <w:rPr>
          <w:rFonts w:ascii="Times New Roman" w:eastAsia="Times New Roman" w:hAnsi="Times New Roman" w:cs="Times New Roman"/>
          <w:color w:val="auto"/>
          <w:sz w:val="24"/>
          <w:szCs w:val="24"/>
        </w:rPr>
        <w:t>ResponsibleSteel</w:t>
      </w:r>
      <w:proofErr w:type="spellEnd"/>
      <w:r w:rsidRPr="00351351">
        <w:rPr>
          <w:rFonts w:ascii="Times New Roman" w:eastAsia="Times New Roman" w:hAnsi="Times New Roman" w:cs="Times New Roman"/>
          <w:color w:val="auto"/>
          <w:sz w:val="24"/>
          <w:szCs w:val="24"/>
        </w:rPr>
        <w:t xml:space="preserve"> (2024a) </w:t>
      </w:r>
      <w:proofErr w:type="spellStart"/>
      <w:r w:rsidRPr="00351351">
        <w:rPr>
          <w:rFonts w:ascii="Times New Roman" w:eastAsia="Times New Roman" w:hAnsi="Times New Roman" w:cs="Times New Roman"/>
          <w:color w:val="auto"/>
          <w:sz w:val="24"/>
          <w:szCs w:val="24"/>
        </w:rPr>
        <w:t>ResponsibleSteel</w:t>
      </w:r>
      <w:proofErr w:type="spellEnd"/>
      <w:r w:rsidRPr="00351351">
        <w:rPr>
          <w:rFonts w:ascii="Times New Roman" w:eastAsia="Times New Roman" w:hAnsi="Times New Roman" w:cs="Times New Roman"/>
          <w:color w:val="auto"/>
          <w:sz w:val="24"/>
          <w:szCs w:val="24"/>
        </w:rPr>
        <w:t xml:space="preserve"> International Production Standard Version 2.1.1. 1 October. Available at: https://www.responsiblesteel.org/resources/responsiblesteel-international-production-standard (Accessed: 22 October 2026).</w:t>
      </w:r>
    </w:p>
    <w:p w14:paraId="70706168"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proofErr w:type="spellStart"/>
      <w:r w:rsidRPr="00351351">
        <w:rPr>
          <w:rFonts w:ascii="Times New Roman" w:eastAsia="Times New Roman" w:hAnsi="Times New Roman" w:cs="Times New Roman"/>
          <w:color w:val="auto"/>
          <w:sz w:val="24"/>
          <w:szCs w:val="24"/>
        </w:rPr>
        <w:lastRenderedPageBreak/>
        <w:t>ResponsibleSteel</w:t>
      </w:r>
      <w:proofErr w:type="spellEnd"/>
      <w:r w:rsidRPr="00351351">
        <w:rPr>
          <w:rFonts w:ascii="Times New Roman" w:eastAsia="Times New Roman" w:hAnsi="Times New Roman" w:cs="Times New Roman"/>
          <w:color w:val="auto"/>
          <w:sz w:val="24"/>
          <w:szCs w:val="24"/>
        </w:rPr>
        <w:t xml:space="preserve"> (2024b) </w:t>
      </w:r>
      <w:proofErr w:type="spellStart"/>
      <w:r w:rsidRPr="00351351">
        <w:rPr>
          <w:rFonts w:ascii="Times New Roman" w:eastAsia="Times New Roman" w:hAnsi="Times New Roman" w:cs="Times New Roman"/>
          <w:color w:val="auto"/>
          <w:sz w:val="24"/>
          <w:szCs w:val="24"/>
        </w:rPr>
        <w:t>SteelZero</w:t>
      </w:r>
      <w:proofErr w:type="spellEnd"/>
      <w:r w:rsidRPr="00351351">
        <w:rPr>
          <w:rFonts w:ascii="Times New Roman" w:eastAsia="Times New Roman" w:hAnsi="Times New Roman" w:cs="Times New Roman"/>
          <w:color w:val="auto"/>
          <w:sz w:val="24"/>
          <w:szCs w:val="24"/>
        </w:rPr>
        <w:t xml:space="preserve"> an overview for </w:t>
      </w:r>
      <w:proofErr w:type="spellStart"/>
      <w:r w:rsidRPr="00351351">
        <w:rPr>
          <w:rFonts w:ascii="Times New Roman" w:eastAsia="Times New Roman" w:hAnsi="Times New Roman" w:cs="Times New Roman"/>
          <w:color w:val="auto"/>
          <w:sz w:val="24"/>
          <w:szCs w:val="24"/>
        </w:rPr>
        <w:t>ResponsibleSteel</w:t>
      </w:r>
      <w:proofErr w:type="spellEnd"/>
      <w:r w:rsidRPr="00351351">
        <w:rPr>
          <w:rFonts w:ascii="Times New Roman" w:eastAsia="Times New Roman" w:hAnsi="Times New Roman" w:cs="Times New Roman"/>
          <w:color w:val="auto"/>
          <w:sz w:val="24"/>
          <w:szCs w:val="24"/>
        </w:rPr>
        <w:t xml:space="preserve"> members. Available online. Available at: https://www.responsiblesteel.org/resources/steelzero-an-overview-for-responsiblesteel-members (Accessed: 22 October 2026).</w:t>
      </w:r>
    </w:p>
    <w:p w14:paraId="04985A09"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 xml:space="preserve">Rippy, K., Bell, R.T. and Leick, N. (2024) ‘Chemical and electrochemical pathways to low-carbon iron and steel’, </w:t>
      </w:r>
      <w:proofErr w:type="spellStart"/>
      <w:r w:rsidRPr="00351351">
        <w:rPr>
          <w:rFonts w:ascii="Times New Roman" w:eastAsia="Times New Roman" w:hAnsi="Times New Roman" w:cs="Times New Roman"/>
          <w:color w:val="auto"/>
          <w:sz w:val="24"/>
          <w:szCs w:val="24"/>
        </w:rPr>
        <w:t>npj</w:t>
      </w:r>
      <w:proofErr w:type="spellEnd"/>
      <w:r w:rsidRPr="00351351">
        <w:rPr>
          <w:rFonts w:ascii="Times New Roman" w:eastAsia="Times New Roman" w:hAnsi="Times New Roman" w:cs="Times New Roman"/>
          <w:color w:val="auto"/>
          <w:sz w:val="24"/>
          <w:szCs w:val="24"/>
        </w:rPr>
        <w:t xml:space="preserve"> Materials Sustainability, 2, article 33. </w:t>
      </w:r>
      <w:proofErr w:type="spellStart"/>
      <w:r w:rsidRPr="00351351">
        <w:rPr>
          <w:rFonts w:ascii="Times New Roman" w:eastAsia="Times New Roman" w:hAnsi="Times New Roman" w:cs="Times New Roman"/>
          <w:color w:val="auto"/>
          <w:sz w:val="24"/>
          <w:szCs w:val="24"/>
        </w:rPr>
        <w:t>doi</w:t>
      </w:r>
      <w:proofErr w:type="spellEnd"/>
      <w:r w:rsidRPr="00351351">
        <w:rPr>
          <w:rFonts w:ascii="Times New Roman" w:eastAsia="Times New Roman" w:hAnsi="Times New Roman" w:cs="Times New Roman"/>
          <w:color w:val="auto"/>
          <w:sz w:val="24"/>
          <w:szCs w:val="24"/>
        </w:rPr>
        <w:t>: 10.1038/s44296-024-00036-6. Available at: https://www.nature.com/articles/s44296-024-00036-6 (Accessed: 22 October 2026).</w:t>
      </w:r>
    </w:p>
    <w:p w14:paraId="10705589"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SSAB (2023) SSAB and Epiroc expand partnership with fossil carbon emission-free recycled steel starting Q3 2023. 21 April. Available at: https://www.ssab.com/en-us/news/2023/04/ssab-and-epiroc-expand-partnership-with-fossil-carbon-emissionfree-recycled-steel-starting-q3-2023 (Accessed: 22 October 2026).</w:t>
      </w:r>
    </w:p>
    <w:p w14:paraId="0755CDF6"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Tata Steel (2025) Tata Group Chairman N Chandrasekaran marks groundbreaking of new Electric Arc Furnace at Port Talbot. 14 July. Available at: https://www.tatasteel.com/newsroom/press-releases/india/2025/tata-group-chairman-n-chandrasekaran-marks-groundbreaking-of-new-electric-arc-furnace-at-port-talbot/ (Accessed: 22 October 2026).</w:t>
      </w:r>
    </w:p>
    <w:p w14:paraId="50ABC5FC"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Tata Steel (2026) Integrated Report and Annual Accounts 2025–26 management discussion and analysis. 119th year, pp. 308–309. Available at: https://www.tatasteel.com/investors/integrated-report-2025-26/pdf/MDA.pdf (Accessed: 22 October 2026).</w:t>
      </w:r>
    </w:p>
    <w:p w14:paraId="3BBFC87F"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Tata Steel UK (2026) Port Talbot electric arc furnace transformation. 16 June. Available at: https://www.tatasteeluk.com/one-year-on-port-talbot-electric-arc-furnace-transformation (Accessed: 22 October 2026).</w:t>
      </w:r>
    </w:p>
    <w:p w14:paraId="28FE95C6"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UK Steel (n.d.) Seven opportunities for steel in the new Government. Available online. Available at: https://www.uksteel.org/seven-opportunities-for-steel (Accessed: 22 October 2026).</w:t>
      </w:r>
    </w:p>
    <w:p w14:paraId="2482B6A7" w14:textId="77777777" w:rsidR="007D1A86" w:rsidRPr="00351351"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t>World Resources Institute (WRI) and World Business Council for Sustainable Development (WBCSD) (2011) Greenhouse Gas Protocol Corporate Value Chain Scope 3 Accounting and Reporting Standard. Washington, DC: WRI. Available at: https://www.wri.org/research/greenhouse-gas-protocol-corporate-value-chain-scope-3-accounting-and-reporting-standard (Accessed: 22 October 2026).</w:t>
      </w:r>
    </w:p>
    <w:p w14:paraId="2C36DA84" w14:textId="77777777" w:rsidR="007D1A86" w:rsidRDefault="1D6CF239" w:rsidP="1D6CF239">
      <w:pPr>
        <w:keepLines/>
        <w:spacing w:after="180" w:line="360" w:lineRule="auto"/>
        <w:jc w:val="both"/>
        <w:rPr>
          <w:rFonts w:ascii="Times New Roman" w:eastAsia="Times New Roman" w:hAnsi="Times New Roman" w:cs="Times New Roman"/>
          <w:color w:val="auto"/>
          <w:sz w:val="24"/>
          <w:szCs w:val="24"/>
        </w:rPr>
      </w:pPr>
      <w:r w:rsidRPr="00351351">
        <w:rPr>
          <w:rFonts w:ascii="Times New Roman" w:eastAsia="Times New Roman" w:hAnsi="Times New Roman" w:cs="Times New Roman"/>
          <w:color w:val="auto"/>
          <w:sz w:val="24"/>
          <w:szCs w:val="24"/>
        </w:rPr>
        <w:lastRenderedPageBreak/>
        <w:t>World Trade Organization (WTO) (n.d.) Steel Standards Principles. Geneva: WTO. Available at: https://www.wto.org/english/tratop_e/envir_e/steel_standards_principles_e.htm (Accessed: 22 October 2026).</w:t>
      </w:r>
    </w:p>
    <w:sectPr w:rsidR="007D1A86" w:rsidSect="00034616">
      <w:headerReference w:type="default" r:id="rId14"/>
      <w:footerReference w:type="default" r:id="rId15"/>
      <w:pgSz w:w="12240" w:h="15840"/>
      <w:pgMar w:top="1152" w:right="1224" w:bottom="1152" w:left="122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5D1B4" w14:textId="77777777" w:rsidR="005527FE" w:rsidRPr="00351351" w:rsidRDefault="005527FE">
      <w:pPr>
        <w:spacing w:after="0"/>
      </w:pPr>
      <w:r w:rsidRPr="00351351">
        <w:separator/>
      </w:r>
    </w:p>
  </w:endnote>
  <w:endnote w:type="continuationSeparator" w:id="0">
    <w:p w14:paraId="3CD730F3" w14:textId="77777777" w:rsidR="005527FE" w:rsidRPr="00351351" w:rsidRDefault="005527FE">
      <w:pPr>
        <w:spacing w:after="0"/>
      </w:pPr>
      <w:r w:rsidRPr="003513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7EE31" w14:textId="2BB84EAA" w:rsidR="007D1A86" w:rsidRPr="00351351" w:rsidRDefault="005527FE">
    <w:pPr>
      <w:pStyle w:val="Footer"/>
      <w:jc w:val="right"/>
    </w:pPr>
    <w:r w:rsidRPr="00351351">
      <w:t xml:space="preserve">Page </w:t>
    </w:r>
    <w:r w:rsidRPr="00351351">
      <w:fldChar w:fldCharType="begin"/>
    </w:r>
    <w:r w:rsidRPr="00351351">
      <w:instrText>PAGE</w:instrText>
    </w:r>
    <w:r w:rsidRPr="00351351">
      <w:fldChar w:fldCharType="separate"/>
    </w:r>
    <w:r w:rsidR="00351351" w:rsidRPr="00351351">
      <w:t>1</w:t>
    </w:r>
    <w:r w:rsidRPr="00351351">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41D95" w14:textId="77777777" w:rsidR="005527FE" w:rsidRPr="00351351" w:rsidRDefault="005527FE">
      <w:pPr>
        <w:spacing w:after="0"/>
      </w:pPr>
      <w:r w:rsidRPr="00351351">
        <w:separator/>
      </w:r>
    </w:p>
  </w:footnote>
  <w:footnote w:type="continuationSeparator" w:id="0">
    <w:p w14:paraId="7CEBE0EF" w14:textId="77777777" w:rsidR="005527FE" w:rsidRPr="00351351" w:rsidRDefault="005527FE">
      <w:pPr>
        <w:spacing w:after="0"/>
      </w:pPr>
      <w:r w:rsidRPr="0035135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33089" w14:textId="77777777" w:rsidR="007D1A86" w:rsidRPr="00351351" w:rsidRDefault="005527FE">
    <w:pPr>
      <w:pStyle w:val="Caption"/>
    </w:pPr>
    <w:r w:rsidRPr="00351351">
      <w:t>LCMB</w:t>
    </w:r>
    <w:proofErr w:type="gramStart"/>
    <w:r w:rsidRPr="00351351">
      <w:t>7024  |</w:t>
    </w:r>
    <w:proofErr w:type="gramEnd"/>
    <w:r w:rsidRPr="00351351">
      <w:t xml:space="preserve">  Marketing </w:t>
    </w:r>
    <w:proofErr w:type="gramStart"/>
    <w:r w:rsidRPr="00351351">
      <w:t>Management  |</w:t>
    </w:r>
    <w:proofErr w:type="gramEnd"/>
    <w:r w:rsidRPr="00351351">
      <w:t xml:space="preserve">  Tata Steel UK</w:t>
    </w:r>
  </w:p>
</w:hdr>
</file>

<file path=word/intelligence2.xml><?xml version="1.0" encoding="utf-8"?>
<int2:intelligence xmlns:int2="http://schemas.microsoft.com/office/intelligence/2020/intelligence" xmlns:oel="http://schemas.microsoft.com/office/2019/extlst">
  <int2:observations>
    <int2:textHash int2:hashCode="dQXqG2YD0zDsVn" int2:id="PRKdQdKW">
      <int2:state int2:value="Rejected" int2:type="spell"/>
    </int2:textHash>
    <int2:textHash int2:hashCode="rft8Ihc0iIQZYN" int2:id="SZCoDwN4">
      <int2:state int2:value="Rejected" int2:type="spell"/>
    </int2:textHash>
    <int2:textHash int2:hashCode="6imp6ipEwYOPkb" int2:id="HCFUJOF7">
      <int2:state int2:value="Rejected" int2:type="spell"/>
    </int2:textHash>
    <int2:textHash int2:hashCode="WIJB1fvLF7Cxz7" int2:id="3EEjnRJh">
      <int2:state int2:value="Rejected" int2:type="spell"/>
    </int2:textHash>
    <int2:textHash int2:hashCode="ni8UUdXdlt6RIo" int2:id="SoQ3eoyC">
      <int2:state int2:value="Rejected" int2:type="spell"/>
    </int2:textHash>
    <int2:bookmark int2:bookmarkName="_Int_y14mVSmJ" int2:invalidationBookmarkName="" int2:hashCode="GFP9Qn0Iu5iRwc" int2:id="KnPpHF3o">
      <int2:state int2:value="Rejected" int2:type="gram"/>
    </int2:bookmark>
    <int2:bookmark int2:bookmarkName="_Int_wqSdIhK1" int2:invalidationBookmarkName="" int2:hashCode="F4WpPlqWjzcnj2" int2:id="FcbXKf9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5514763">
    <w:abstractNumId w:val="8"/>
  </w:num>
  <w:num w:numId="2" w16cid:durableId="2056001204">
    <w:abstractNumId w:val="6"/>
  </w:num>
  <w:num w:numId="3" w16cid:durableId="1578514138">
    <w:abstractNumId w:val="5"/>
  </w:num>
  <w:num w:numId="4" w16cid:durableId="380249076">
    <w:abstractNumId w:val="4"/>
  </w:num>
  <w:num w:numId="5" w16cid:durableId="1361781843">
    <w:abstractNumId w:val="7"/>
  </w:num>
  <w:num w:numId="6" w16cid:durableId="1718427108">
    <w:abstractNumId w:val="3"/>
  </w:num>
  <w:num w:numId="7" w16cid:durableId="348795798">
    <w:abstractNumId w:val="2"/>
  </w:num>
  <w:num w:numId="8" w16cid:durableId="993803793">
    <w:abstractNumId w:val="1"/>
  </w:num>
  <w:num w:numId="9" w16cid:durableId="437065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51351"/>
    <w:rsid w:val="005527FE"/>
    <w:rsid w:val="007D1A86"/>
    <w:rsid w:val="00AA1D8D"/>
    <w:rsid w:val="00B47730"/>
    <w:rsid w:val="00CB0664"/>
    <w:rsid w:val="00D00901"/>
    <w:rsid w:val="00F61D52"/>
    <w:rsid w:val="00FC693F"/>
    <w:rsid w:val="01B0D574"/>
    <w:rsid w:val="045F8376"/>
    <w:rsid w:val="07C0E00B"/>
    <w:rsid w:val="0CAF936B"/>
    <w:rsid w:val="0D0DEEC2"/>
    <w:rsid w:val="114C74BE"/>
    <w:rsid w:val="12117B9C"/>
    <w:rsid w:val="13268AEE"/>
    <w:rsid w:val="14B0EECA"/>
    <w:rsid w:val="1617CFCD"/>
    <w:rsid w:val="172A6E61"/>
    <w:rsid w:val="17BCBEAB"/>
    <w:rsid w:val="19555E16"/>
    <w:rsid w:val="19A5A563"/>
    <w:rsid w:val="1C32E1AD"/>
    <w:rsid w:val="1D6CF239"/>
    <w:rsid w:val="1F147D36"/>
    <w:rsid w:val="227FB9E0"/>
    <w:rsid w:val="229370E6"/>
    <w:rsid w:val="22FD995A"/>
    <w:rsid w:val="249DB02A"/>
    <w:rsid w:val="25E69016"/>
    <w:rsid w:val="2F55629C"/>
    <w:rsid w:val="32F2B80E"/>
    <w:rsid w:val="3D6D7E2F"/>
    <w:rsid w:val="40AB62EE"/>
    <w:rsid w:val="41AC3F35"/>
    <w:rsid w:val="431085BA"/>
    <w:rsid w:val="4310B2E8"/>
    <w:rsid w:val="44CF3CAD"/>
    <w:rsid w:val="459ABFE4"/>
    <w:rsid w:val="49ECE709"/>
    <w:rsid w:val="4A0CB456"/>
    <w:rsid w:val="4AA89A4E"/>
    <w:rsid w:val="4D8DD713"/>
    <w:rsid w:val="4E8A1AEB"/>
    <w:rsid w:val="595886D7"/>
    <w:rsid w:val="5D5BD70D"/>
    <w:rsid w:val="5E5C95D1"/>
    <w:rsid w:val="5F6DFC81"/>
    <w:rsid w:val="60F8E8AA"/>
    <w:rsid w:val="6105B8F2"/>
    <w:rsid w:val="614E31BC"/>
    <w:rsid w:val="61C95C38"/>
    <w:rsid w:val="651B2A6A"/>
    <w:rsid w:val="657DFD4E"/>
    <w:rsid w:val="74E8D300"/>
    <w:rsid w:val="75D250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87688208-E15A-4EDE-881D-516589C79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240" w:lineRule="auto"/>
    </w:pPr>
    <w:rPr>
      <w:rFonts w:ascii="Arial" w:hAnsi="Arial"/>
      <w:color w:val="000000"/>
      <w:lang w:val="en-GB"/>
    </w:rPr>
  </w:style>
  <w:style w:type="paragraph" w:styleId="Heading1">
    <w:name w:val="heading 1"/>
    <w:basedOn w:val="Normal"/>
    <w:next w:val="Normal"/>
    <w:link w:val="Heading1Char"/>
    <w:uiPriority w:val="9"/>
    <w:qFormat/>
    <w:rsid w:val="00FC693F"/>
    <w:pPr>
      <w:keepNext/>
      <w:keepLines/>
      <w:spacing w:before="180" w:after="10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180" w:after="10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180" w:after="10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before="180" w:after="100"/>
      <w:contextualSpacing/>
    </w:pPr>
    <w:rPr>
      <w:rFonts w:asciiTheme="majorHAnsi" w:eastAsiaTheme="majorEastAsia" w:hAnsiTheme="majorHAnsi" w:cstheme="majorBidi"/>
      <w:b/>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rPr>
      <w:bCs/>
      <w:i/>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51351"/>
    <w:pPr>
      <w:spacing w:after="100"/>
    </w:pPr>
  </w:style>
  <w:style w:type="paragraph" w:styleId="TOC2">
    <w:name w:val="toc 2"/>
    <w:basedOn w:val="Normal"/>
    <w:next w:val="Normal"/>
    <w:autoRedefine/>
    <w:uiPriority w:val="39"/>
    <w:unhideWhenUsed/>
    <w:rsid w:val="00351351"/>
    <w:pPr>
      <w:spacing w:after="100"/>
      <w:ind w:left="220"/>
    </w:pPr>
  </w:style>
  <w:style w:type="character" w:styleId="Hyperlink">
    <w:name w:val="Hyperlink"/>
    <w:basedOn w:val="DefaultParagraphFont"/>
    <w:uiPriority w:val="99"/>
    <w:unhideWhenUsed/>
    <w:rsid w:val="003513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4352</Words>
  <Characters>24813</Characters>
  <Application>Microsoft Office Word</Application>
  <DocSecurity>0</DocSecurity>
  <Lines>206</Lines>
  <Paragraphs>58</Paragraphs>
  <ScaleCrop>false</ScaleCrop>
  <Manager/>
  <Company/>
  <LinksUpToDate>false</LinksUpToDate>
  <CharactersWithSpaces>29107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Tata Steel UK marketing environment analysis and lower carbon growth strategy</dc:title>
  <dc:subject>LCMB7024 Assessment component 1</dc:subject>
  <dc:creator>Student</dc:creator>
  <cp:keywords/>
  <dc:description>generated by python-docx</dc:description>
  <cp:lastModifiedBy>krupa bapodra</cp:lastModifiedBy>
  <cp:revision>2</cp:revision>
  <dcterms:created xsi:type="dcterms:W3CDTF">2026-10-22T10:24:00Z</dcterms:created>
  <dcterms:modified xsi:type="dcterms:W3CDTF">2026-10-22T10:24:00Z</dcterms:modified>
  <cp:category/>
</cp:coreProperties>
</file>