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A75E4" w:rsidRDefault="001A75E4" w:rsidP="001A75E4">
      <w:pPr>
        <w:pStyle w:val="Heading1"/>
        <w:jc w:val="center"/>
        <w:rPr>
          <w:b/>
          <w:u w:val="single"/>
        </w:rPr>
      </w:pPr>
      <w:r>
        <w:rPr>
          <w:b/>
          <w:u w:val="single"/>
        </w:rPr>
        <w:t>Dissertation</w:t>
      </w:r>
    </w:p>
    <w:p w:rsidR="001A75E4" w:rsidRDefault="001A75E4" w:rsidP="001A75E4"/>
    <w:p w:rsidR="001A75E4" w:rsidRDefault="001A75E4" w:rsidP="001A75E4"/>
    <w:p w:rsidR="001A75E4" w:rsidRDefault="001A75E4" w:rsidP="001A75E4">
      <w:pPr>
        <w:spacing w:after="0"/>
        <w:rPr>
          <w:b/>
          <w:color w:val="44546A" w:themeColor="text2"/>
          <w:sz w:val="32"/>
        </w:rPr>
      </w:pPr>
      <w:r w:rsidRPr="000B721E">
        <w:rPr>
          <w:b/>
          <w:color w:val="44546A" w:themeColor="text2"/>
          <w:sz w:val="32"/>
        </w:rPr>
        <w:t xml:space="preserve">Name: Sarah </w:t>
      </w:r>
      <w:r>
        <w:rPr>
          <w:b/>
          <w:color w:val="44546A" w:themeColor="text2"/>
          <w:sz w:val="32"/>
        </w:rPr>
        <w:t>Snaddon</w:t>
      </w:r>
    </w:p>
    <w:p w:rsidR="001A75E4" w:rsidRDefault="001A75E4" w:rsidP="001A75E4">
      <w:pPr>
        <w:spacing w:after="0"/>
        <w:rPr>
          <w:b/>
          <w:color w:val="44546A" w:themeColor="text2"/>
          <w:sz w:val="32"/>
        </w:rPr>
      </w:pPr>
    </w:p>
    <w:p w:rsidR="001A75E4" w:rsidRPr="00FE2A29" w:rsidRDefault="001A75E4" w:rsidP="001A75E4">
      <w:pPr>
        <w:pStyle w:val="Heading2"/>
        <w:rPr>
          <w:rFonts w:eastAsia="Times New Roman"/>
          <w:b/>
        </w:rPr>
      </w:pPr>
      <w:r w:rsidRPr="00FE2A29">
        <w:rPr>
          <w:rFonts w:eastAsia="Times New Roman"/>
          <w:b/>
        </w:rPr>
        <w:t>Submitted to the University of Wales in partial fulfilment of the requirements for the Degree of Master of Education</w:t>
      </w:r>
    </w:p>
    <w:p w:rsidR="001A75E4" w:rsidRPr="00FE2A29" w:rsidRDefault="001A75E4" w:rsidP="001A75E4">
      <w:pPr>
        <w:pStyle w:val="Heading2"/>
        <w:rPr>
          <w:rFonts w:eastAsia="Times New Roman"/>
          <w:b/>
        </w:rPr>
      </w:pPr>
      <w:r w:rsidRPr="00FE2A29">
        <w:rPr>
          <w:rFonts w:eastAsia="Times New Roman"/>
          <w:b/>
        </w:rPr>
        <w:t>University of Wales Trinity Saint David</w:t>
      </w:r>
    </w:p>
    <w:p w:rsidR="001A75E4" w:rsidRPr="00FE2A29" w:rsidRDefault="001A75E4" w:rsidP="001A75E4">
      <w:pPr>
        <w:pStyle w:val="Heading2"/>
        <w:rPr>
          <w:rFonts w:eastAsia="Times New Roman"/>
          <w:b/>
        </w:rPr>
      </w:pPr>
      <w:r w:rsidRPr="00FE2A29">
        <w:rPr>
          <w:rFonts w:eastAsia="Times New Roman"/>
          <w:b/>
        </w:rPr>
        <w:t>201</w:t>
      </w:r>
      <w:r w:rsidRPr="009E2CB8">
        <w:rPr>
          <w:rFonts w:eastAsia="Times New Roman"/>
          <w:b/>
        </w:rPr>
        <w:t>8</w:t>
      </w:r>
      <w:r w:rsidRPr="00FE2A29">
        <w:rPr>
          <w:rFonts w:eastAsia="Times New Roman"/>
          <w:b/>
        </w:rPr>
        <w:t xml:space="preserve"> </w:t>
      </w:r>
    </w:p>
    <w:p w:rsidR="001A75E4" w:rsidRDefault="001A75E4" w:rsidP="001A75E4">
      <w:pPr>
        <w:spacing w:after="0"/>
        <w:rPr>
          <w:b/>
          <w:color w:val="44546A" w:themeColor="text2"/>
          <w:sz w:val="32"/>
        </w:rPr>
      </w:pPr>
    </w:p>
    <w:p w:rsidR="001A75E4" w:rsidRPr="000B721E" w:rsidRDefault="001A75E4" w:rsidP="001A75E4">
      <w:pPr>
        <w:spacing w:after="0"/>
        <w:rPr>
          <w:b/>
          <w:color w:val="44546A" w:themeColor="text2"/>
          <w:sz w:val="32"/>
        </w:rPr>
      </w:pPr>
      <w:r>
        <w:rPr>
          <w:b/>
          <w:color w:val="44546A" w:themeColor="text2"/>
          <w:sz w:val="32"/>
        </w:rPr>
        <w:t xml:space="preserve">Submission </w:t>
      </w:r>
      <w:r w:rsidRPr="000B721E">
        <w:rPr>
          <w:b/>
          <w:color w:val="44546A" w:themeColor="text2"/>
          <w:sz w:val="32"/>
        </w:rPr>
        <w:t>Date: 29</w:t>
      </w:r>
      <w:r w:rsidRPr="000B721E">
        <w:rPr>
          <w:b/>
          <w:color w:val="44546A" w:themeColor="text2"/>
          <w:sz w:val="32"/>
          <w:vertAlign w:val="superscript"/>
        </w:rPr>
        <w:t>th</w:t>
      </w:r>
      <w:r w:rsidRPr="000B721E">
        <w:rPr>
          <w:b/>
          <w:color w:val="44546A" w:themeColor="text2"/>
          <w:sz w:val="32"/>
        </w:rPr>
        <w:t xml:space="preserve"> March 2018</w:t>
      </w:r>
    </w:p>
    <w:p w:rsidR="001A75E4" w:rsidRDefault="001A75E4" w:rsidP="001A75E4">
      <w:pPr>
        <w:pStyle w:val="Heading1"/>
        <w:jc w:val="center"/>
        <w:rPr>
          <w:b/>
          <w:u w:val="single"/>
        </w:rPr>
      </w:pPr>
    </w:p>
    <w:p w:rsidR="001A75E4" w:rsidRDefault="001A75E4" w:rsidP="001A75E4">
      <w:pPr>
        <w:pStyle w:val="Heading1"/>
        <w:jc w:val="center"/>
        <w:rPr>
          <w:b/>
          <w:u w:val="single"/>
        </w:rPr>
      </w:pPr>
    </w:p>
    <w:p w:rsidR="001A75E4" w:rsidRDefault="001A75E4" w:rsidP="001A75E4">
      <w:pPr>
        <w:pStyle w:val="Heading1"/>
        <w:jc w:val="center"/>
        <w:rPr>
          <w:b/>
          <w:u w:val="single"/>
        </w:rPr>
      </w:pPr>
    </w:p>
    <w:p w:rsidR="001A75E4" w:rsidRDefault="001A75E4" w:rsidP="001A75E4">
      <w:pPr>
        <w:pStyle w:val="Heading1"/>
        <w:jc w:val="center"/>
        <w:rPr>
          <w:b/>
          <w:u w:val="single"/>
        </w:rPr>
      </w:pPr>
    </w:p>
    <w:p w:rsidR="001A75E4" w:rsidRDefault="001A75E4" w:rsidP="001A75E4">
      <w:pPr>
        <w:pStyle w:val="Heading1"/>
        <w:rPr>
          <w:b/>
          <w:u w:val="single"/>
        </w:rPr>
      </w:pPr>
    </w:p>
    <w:p w:rsidR="001A75E4" w:rsidRDefault="001A75E4" w:rsidP="001A75E4"/>
    <w:p w:rsidR="001A75E4" w:rsidRDefault="001A75E4" w:rsidP="001A75E4"/>
    <w:p w:rsidR="001A75E4" w:rsidRDefault="001A75E4" w:rsidP="001A75E4"/>
    <w:p w:rsidR="001A75E4" w:rsidRDefault="001A75E4" w:rsidP="001A75E4"/>
    <w:p w:rsidR="001A75E4" w:rsidRDefault="001A75E4" w:rsidP="001A75E4"/>
    <w:p w:rsidR="001A75E4" w:rsidRDefault="001A75E4" w:rsidP="001A75E4"/>
    <w:p w:rsidR="001A75E4" w:rsidRDefault="001A75E4" w:rsidP="001A75E4"/>
    <w:p w:rsidR="001A75E4" w:rsidRDefault="001A75E4" w:rsidP="001A75E4"/>
    <w:p w:rsidR="001A75E4" w:rsidRPr="00036EF6" w:rsidRDefault="001A75E4" w:rsidP="001A75E4"/>
    <w:p w:rsidR="00315F42" w:rsidRPr="0087553B" w:rsidRDefault="001A75E4" w:rsidP="00315F42">
      <w:pPr>
        <w:pStyle w:val="Heading2"/>
        <w:rPr>
          <w:b/>
        </w:rPr>
      </w:pPr>
      <w:r>
        <w:rPr>
          <w:sz w:val="28"/>
        </w:rPr>
        <w:lastRenderedPageBreak/>
        <w:t xml:space="preserve"> </w:t>
      </w:r>
      <w:r w:rsidR="00315F42" w:rsidRPr="0087553B">
        <w:rPr>
          <w:b/>
        </w:rPr>
        <w:t>Abstract</w:t>
      </w:r>
    </w:p>
    <w:p w:rsidR="00315F42" w:rsidRDefault="00315F42" w:rsidP="00315F42">
      <w:pPr>
        <w:pStyle w:val="Heading2"/>
      </w:pPr>
      <w:r>
        <w:t xml:space="preserve"> </w:t>
      </w:r>
    </w:p>
    <w:p w:rsidR="00315F42" w:rsidRPr="00C07EDA" w:rsidRDefault="00315F42" w:rsidP="00315F42">
      <w:pPr>
        <w:rPr>
          <w:i/>
          <w:iCs/>
        </w:rPr>
      </w:pPr>
      <w:r w:rsidRPr="12A9C779">
        <w:rPr>
          <w:i/>
          <w:iCs/>
        </w:rPr>
        <w:t xml:space="preserve">Independent faith schools in the United Kingdom have remained largely un-researched yet are highly criticised in both the press and in educational research. A lack of up to date research has led to current and political debate concerning faith-based schooling which has been based on assertions with minimal reference to research carried out in a faith-based school setting or on data gathered from those who work within the schools. This present study sought to ascertain the views of a class of pupils currently studying in an independent faith school and aimed to decipher whether studying within a strict faith environment had an impact on their learning. The pupil’s views were broadly categorised under the four themes of: the learning environment, the quality of education, the quality of relationships and life after leaving school. Although there were some variation in opinions, the balance of opinion was supportive of the faith school system and pupils felt that their faith based education had prepared them well for leaving school. </w:t>
      </w: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Default="00315F42" w:rsidP="00315F42">
      <w:pPr>
        <w:spacing w:after="0"/>
        <w:ind w:left="284"/>
        <w:rPr>
          <w:rFonts w:ascii="Times New Roman" w:eastAsia="Times New Roman" w:hAnsi="Times New Roman" w:cs="Times New Roman"/>
          <w:sz w:val="24"/>
          <w:szCs w:val="24"/>
        </w:rPr>
      </w:pPr>
    </w:p>
    <w:p w:rsidR="00315F42" w:rsidRPr="00315F42" w:rsidRDefault="00315F42" w:rsidP="00315F42">
      <w:pPr>
        <w:pStyle w:val="Heading2"/>
        <w:rPr>
          <w:rFonts w:eastAsia="Times New Roman"/>
          <w:b/>
        </w:rPr>
      </w:pPr>
      <w:r w:rsidRPr="00315F42">
        <w:rPr>
          <w:rFonts w:eastAsia="Times New Roman"/>
          <w:b/>
        </w:rPr>
        <w:lastRenderedPageBreak/>
        <w:t>DECLARATION</w:t>
      </w: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This work has not previously been accepted in substance for any degree and is not being concurrently submitted in candidature for any degree.</w:t>
      </w: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Signed:</w:t>
      </w:r>
      <w:r w:rsidRPr="00367171">
        <w:rPr>
          <w:rFonts w:ascii="Times New Roman" w:eastAsia="Times New Roman" w:hAnsi="Times New Roman" w:cs="Times New Roman"/>
          <w:sz w:val="24"/>
          <w:szCs w:val="24"/>
        </w:rPr>
        <w:tab/>
      </w:r>
      <w:r w:rsidR="00665DB7">
        <w:rPr>
          <w:rFonts w:ascii="Times New Roman" w:eastAsia="Times New Roman" w:hAnsi="Times New Roman" w:cs="Times New Roman"/>
          <w:sz w:val="24"/>
          <w:szCs w:val="24"/>
        </w:rPr>
        <w:t xml:space="preserve">Sarah Snaddon </w:t>
      </w:r>
      <w:r w:rsidRPr="00367171">
        <w:rPr>
          <w:rFonts w:ascii="Times New Roman" w:eastAsia="Times New Roman" w:hAnsi="Times New Roman" w:cs="Times New Roman"/>
          <w:sz w:val="24"/>
          <w:szCs w:val="24"/>
        </w:rPr>
        <w:t>(candidate)</w:t>
      </w: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Date:</w:t>
      </w:r>
      <w:r w:rsidRPr="00367171">
        <w:rPr>
          <w:rFonts w:ascii="Times New Roman" w:eastAsia="Times New Roman" w:hAnsi="Times New Roman" w:cs="Times New Roman"/>
          <w:sz w:val="24"/>
          <w:szCs w:val="24"/>
        </w:rPr>
        <w:tab/>
      </w:r>
      <w:r w:rsidR="00665DB7">
        <w:rPr>
          <w:rFonts w:ascii="Times New Roman" w:eastAsia="Times New Roman" w:hAnsi="Times New Roman" w:cs="Times New Roman"/>
          <w:sz w:val="24"/>
          <w:szCs w:val="24"/>
        </w:rPr>
        <w:t>Thursday 29</w:t>
      </w:r>
      <w:r w:rsidR="00665DB7" w:rsidRPr="00665DB7">
        <w:rPr>
          <w:rFonts w:ascii="Times New Roman" w:eastAsia="Times New Roman" w:hAnsi="Times New Roman" w:cs="Times New Roman"/>
          <w:sz w:val="24"/>
          <w:szCs w:val="24"/>
          <w:vertAlign w:val="superscript"/>
        </w:rPr>
        <w:t>th</w:t>
      </w:r>
      <w:r w:rsidR="00665DB7">
        <w:rPr>
          <w:rFonts w:ascii="Times New Roman" w:eastAsia="Times New Roman" w:hAnsi="Times New Roman" w:cs="Times New Roman"/>
          <w:sz w:val="24"/>
          <w:szCs w:val="24"/>
        </w:rPr>
        <w:t xml:space="preserve"> March 2018</w:t>
      </w: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STATEMENT 1</w:t>
      </w: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This dissertation is being submitted in partial fulfilment of the requirements for the degree of ……………………………..</w:t>
      </w: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665DB7" w:rsidP="00315F42">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Signed: </w:t>
      </w:r>
      <w:r>
        <w:rPr>
          <w:rFonts w:ascii="Times New Roman" w:eastAsia="Times New Roman" w:hAnsi="Times New Roman" w:cs="Times New Roman"/>
          <w:sz w:val="24"/>
          <w:szCs w:val="24"/>
        </w:rPr>
        <w:tab/>
        <w:t xml:space="preserve">Sarah Snaddon </w:t>
      </w:r>
      <w:r w:rsidR="00315F42" w:rsidRPr="00367171">
        <w:rPr>
          <w:rFonts w:ascii="Times New Roman" w:eastAsia="Times New Roman" w:hAnsi="Times New Roman" w:cs="Times New Roman"/>
          <w:sz w:val="24"/>
          <w:szCs w:val="24"/>
        </w:rPr>
        <w:t>(candidate)</w:t>
      </w:r>
    </w:p>
    <w:p w:rsidR="00315F42" w:rsidRPr="00367171" w:rsidRDefault="00315F42" w:rsidP="00315F42">
      <w:pPr>
        <w:spacing w:after="0"/>
        <w:ind w:left="567"/>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Date:</w:t>
      </w:r>
      <w:r w:rsidRPr="00367171">
        <w:rPr>
          <w:rFonts w:ascii="Times New Roman" w:eastAsia="Times New Roman" w:hAnsi="Times New Roman" w:cs="Times New Roman"/>
          <w:sz w:val="24"/>
          <w:szCs w:val="24"/>
        </w:rPr>
        <w:tab/>
      </w:r>
      <w:r w:rsidR="00665DB7">
        <w:rPr>
          <w:rFonts w:ascii="Times New Roman" w:eastAsia="Times New Roman" w:hAnsi="Times New Roman" w:cs="Times New Roman"/>
          <w:sz w:val="24"/>
          <w:szCs w:val="24"/>
        </w:rPr>
        <w:t>Thursday 29</w:t>
      </w:r>
      <w:r w:rsidR="00665DB7" w:rsidRPr="00665DB7">
        <w:rPr>
          <w:rFonts w:ascii="Times New Roman" w:eastAsia="Times New Roman" w:hAnsi="Times New Roman" w:cs="Times New Roman"/>
          <w:sz w:val="24"/>
          <w:szCs w:val="24"/>
          <w:vertAlign w:val="superscript"/>
        </w:rPr>
        <w:t>th</w:t>
      </w:r>
      <w:r w:rsidR="00665DB7">
        <w:rPr>
          <w:rFonts w:ascii="Times New Roman" w:eastAsia="Times New Roman" w:hAnsi="Times New Roman" w:cs="Times New Roman"/>
          <w:sz w:val="24"/>
          <w:szCs w:val="24"/>
        </w:rPr>
        <w:t xml:space="preserve"> March 2018</w:t>
      </w: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STATEMENT 2</w:t>
      </w: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This dissertation is the result of my own independent work / investigation, except where otherwise stated.</w:t>
      </w: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Other sources are acknowledged by footnotes giving explicit references.  A </w:t>
      </w:r>
      <w:r>
        <w:rPr>
          <w:rFonts w:ascii="Times New Roman" w:eastAsia="Times New Roman" w:hAnsi="Times New Roman" w:cs="Times New Roman"/>
          <w:sz w:val="24"/>
          <w:szCs w:val="24"/>
        </w:rPr>
        <w:t>reference list</w:t>
      </w:r>
      <w:r w:rsidRPr="00367171">
        <w:rPr>
          <w:rFonts w:ascii="Times New Roman" w:eastAsia="Times New Roman" w:hAnsi="Times New Roman" w:cs="Times New Roman"/>
          <w:sz w:val="24"/>
          <w:szCs w:val="24"/>
        </w:rPr>
        <w:t xml:space="preserve"> is appended.</w:t>
      </w: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Signed:</w:t>
      </w:r>
      <w:r w:rsidRPr="00367171">
        <w:rPr>
          <w:rFonts w:ascii="Times New Roman" w:eastAsia="Times New Roman" w:hAnsi="Times New Roman" w:cs="Times New Roman"/>
          <w:sz w:val="24"/>
          <w:szCs w:val="24"/>
        </w:rPr>
        <w:tab/>
      </w:r>
      <w:r w:rsidR="00665DB7">
        <w:rPr>
          <w:rFonts w:ascii="Times New Roman" w:eastAsia="Times New Roman" w:hAnsi="Times New Roman" w:cs="Times New Roman"/>
          <w:sz w:val="24"/>
          <w:szCs w:val="24"/>
        </w:rPr>
        <w:t>Sarah Snaddon</w:t>
      </w:r>
      <w:r w:rsidRPr="00367171">
        <w:rPr>
          <w:rFonts w:ascii="Times New Roman" w:eastAsia="Times New Roman" w:hAnsi="Times New Roman" w:cs="Times New Roman"/>
          <w:sz w:val="24"/>
          <w:szCs w:val="24"/>
        </w:rPr>
        <w:t xml:space="preserve"> (candidate)</w:t>
      </w: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Date:</w:t>
      </w:r>
      <w:r w:rsidRPr="00367171">
        <w:rPr>
          <w:rFonts w:ascii="Times New Roman" w:eastAsia="Times New Roman" w:hAnsi="Times New Roman" w:cs="Times New Roman"/>
          <w:sz w:val="24"/>
          <w:szCs w:val="24"/>
        </w:rPr>
        <w:tab/>
      </w:r>
      <w:r w:rsidR="00665DB7">
        <w:rPr>
          <w:rFonts w:ascii="Times New Roman" w:eastAsia="Times New Roman" w:hAnsi="Times New Roman" w:cs="Times New Roman"/>
          <w:sz w:val="24"/>
          <w:szCs w:val="24"/>
        </w:rPr>
        <w:t>Thursday 29</w:t>
      </w:r>
      <w:r w:rsidR="00665DB7" w:rsidRPr="00665DB7">
        <w:rPr>
          <w:rFonts w:ascii="Times New Roman" w:eastAsia="Times New Roman" w:hAnsi="Times New Roman" w:cs="Times New Roman"/>
          <w:sz w:val="24"/>
          <w:szCs w:val="24"/>
          <w:vertAlign w:val="superscript"/>
        </w:rPr>
        <w:t>th</w:t>
      </w:r>
      <w:r w:rsidR="00665DB7">
        <w:rPr>
          <w:rFonts w:ascii="Times New Roman" w:eastAsia="Times New Roman" w:hAnsi="Times New Roman" w:cs="Times New Roman"/>
          <w:sz w:val="24"/>
          <w:szCs w:val="24"/>
        </w:rPr>
        <w:t xml:space="preserve"> March 2018</w:t>
      </w: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STATEMENT 3</w:t>
      </w: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rsidR="00315F42" w:rsidRPr="00367171" w:rsidRDefault="00315F42" w:rsidP="00315F42">
      <w:pPr>
        <w:spacing w:after="0"/>
        <w:ind w:left="284"/>
        <w:rPr>
          <w:rFonts w:ascii="Times New Roman" w:eastAsia="Times New Roman" w:hAnsi="Times New Roman" w:cs="Times New Roman"/>
          <w:sz w:val="24"/>
          <w:szCs w:val="24"/>
        </w:rPr>
      </w:pPr>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Signed:</w:t>
      </w:r>
      <w:r w:rsidRPr="00367171">
        <w:rPr>
          <w:rFonts w:ascii="Times New Roman" w:eastAsia="Times New Roman" w:hAnsi="Times New Roman" w:cs="Times New Roman"/>
          <w:sz w:val="24"/>
          <w:szCs w:val="24"/>
        </w:rPr>
        <w:tab/>
      </w:r>
      <w:r w:rsidR="00665DB7">
        <w:rPr>
          <w:rFonts w:ascii="Times New Roman" w:eastAsia="Times New Roman" w:hAnsi="Times New Roman" w:cs="Times New Roman"/>
          <w:sz w:val="24"/>
          <w:szCs w:val="24"/>
        </w:rPr>
        <w:t>Sarah Snaddon</w:t>
      </w:r>
      <w:r w:rsidRPr="00367171">
        <w:rPr>
          <w:rFonts w:ascii="Times New Roman" w:eastAsia="Times New Roman" w:hAnsi="Times New Roman" w:cs="Times New Roman"/>
          <w:sz w:val="24"/>
          <w:szCs w:val="24"/>
        </w:rPr>
        <w:t xml:space="preserve"> (candidate)</w:t>
      </w:r>
    </w:p>
    <w:p w:rsidR="00315F42" w:rsidRPr="00367171" w:rsidRDefault="00315F42" w:rsidP="00315F42">
      <w:pPr>
        <w:spacing w:after="0"/>
        <w:ind w:left="284"/>
        <w:rPr>
          <w:rFonts w:ascii="Times New Roman" w:eastAsia="Times New Roman" w:hAnsi="Times New Roman" w:cs="Times New Roman"/>
          <w:sz w:val="24"/>
          <w:szCs w:val="24"/>
        </w:rPr>
      </w:pPr>
      <w:bookmarkStart w:id="0" w:name="_GoBack"/>
      <w:bookmarkEnd w:id="0"/>
    </w:p>
    <w:p w:rsidR="00315F42" w:rsidRPr="00367171" w:rsidRDefault="00315F42" w:rsidP="00315F42">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Date:</w:t>
      </w:r>
      <w:r w:rsidRPr="00367171">
        <w:rPr>
          <w:rFonts w:ascii="Times New Roman" w:eastAsia="Times New Roman" w:hAnsi="Times New Roman" w:cs="Times New Roman"/>
          <w:sz w:val="24"/>
          <w:szCs w:val="24"/>
        </w:rPr>
        <w:tab/>
      </w:r>
      <w:r w:rsidR="00665DB7">
        <w:rPr>
          <w:rFonts w:ascii="Times New Roman" w:eastAsia="Times New Roman" w:hAnsi="Times New Roman" w:cs="Times New Roman"/>
          <w:sz w:val="24"/>
          <w:szCs w:val="24"/>
        </w:rPr>
        <w:t>Thursday 29</w:t>
      </w:r>
      <w:r w:rsidR="00665DB7" w:rsidRPr="00665DB7">
        <w:rPr>
          <w:rFonts w:ascii="Times New Roman" w:eastAsia="Times New Roman" w:hAnsi="Times New Roman" w:cs="Times New Roman"/>
          <w:sz w:val="24"/>
          <w:szCs w:val="24"/>
          <w:vertAlign w:val="superscript"/>
        </w:rPr>
        <w:t>th</w:t>
      </w:r>
      <w:r w:rsidR="00665DB7">
        <w:rPr>
          <w:rFonts w:ascii="Times New Roman" w:eastAsia="Times New Roman" w:hAnsi="Times New Roman" w:cs="Times New Roman"/>
          <w:sz w:val="24"/>
          <w:szCs w:val="24"/>
        </w:rPr>
        <w:t xml:space="preserve"> March 2018</w:t>
      </w:r>
    </w:p>
    <w:p w:rsidR="001A75E4" w:rsidRPr="00036EF6" w:rsidRDefault="001A75E4" w:rsidP="001A75E4"/>
    <w:p w:rsidR="001A75E4" w:rsidRDefault="001A75E4" w:rsidP="001A75E4">
      <w:pPr>
        <w:pStyle w:val="Heading1"/>
        <w:jc w:val="center"/>
        <w:rPr>
          <w:b/>
          <w:u w:val="single"/>
        </w:rPr>
      </w:pPr>
      <w:r>
        <w:rPr>
          <w:b/>
          <w:u w:val="single"/>
        </w:rPr>
        <w:lastRenderedPageBreak/>
        <w:t>Contents</w:t>
      </w:r>
    </w:p>
    <w:p w:rsidR="001A75E4" w:rsidRDefault="008C377F" w:rsidP="001A75E4">
      <w:pPr>
        <w:pStyle w:val="TOC1"/>
        <w:tabs>
          <w:tab w:val="right" w:leader="dot" w:pos="9016"/>
        </w:tabs>
        <w:rPr>
          <w:rFonts w:eastAsiaTheme="minorEastAsia"/>
          <w:noProof/>
          <w:lang w:eastAsia="en-GB"/>
        </w:rPr>
      </w:pPr>
      <w:hyperlink w:anchor="_Toc507965425" w:history="1">
        <w:r w:rsidR="001A75E4" w:rsidRPr="00731389">
          <w:rPr>
            <w:rStyle w:val="Hyperlink"/>
            <w:noProof/>
            <w:lang w:val="en-US"/>
          </w:rPr>
          <w:t>Abstract</w:t>
        </w:r>
        <w:r w:rsidR="001A75E4">
          <w:rPr>
            <w:noProof/>
            <w:webHidden/>
          </w:rPr>
          <w:tab/>
        </w:r>
        <w:r w:rsidR="00315F42">
          <w:rPr>
            <w:noProof/>
            <w:webHidden/>
          </w:rPr>
          <w:t>2</w:t>
        </w:r>
      </w:hyperlink>
    </w:p>
    <w:p w:rsidR="001A75E4" w:rsidRDefault="008C377F" w:rsidP="001A75E4">
      <w:pPr>
        <w:pStyle w:val="TOC1"/>
        <w:tabs>
          <w:tab w:val="right" w:leader="dot" w:pos="9016"/>
        </w:tabs>
        <w:rPr>
          <w:rFonts w:eastAsiaTheme="minorEastAsia"/>
          <w:noProof/>
          <w:lang w:eastAsia="en-GB"/>
        </w:rPr>
      </w:pPr>
      <w:hyperlink w:anchor="_Toc507965426" w:history="1">
        <w:r w:rsidR="001A75E4" w:rsidRPr="00731389">
          <w:rPr>
            <w:rStyle w:val="Hyperlink"/>
            <w:noProof/>
            <w:lang w:val="en-US"/>
          </w:rPr>
          <w:t>Introduction</w:t>
        </w:r>
        <w:r w:rsidR="001A75E4">
          <w:rPr>
            <w:noProof/>
            <w:webHidden/>
          </w:rPr>
          <w:tab/>
        </w:r>
      </w:hyperlink>
      <w:r w:rsidR="001A75E4">
        <w:rPr>
          <w:noProof/>
        </w:rPr>
        <w:t>4</w:t>
      </w:r>
    </w:p>
    <w:p w:rsidR="001A75E4" w:rsidRDefault="008C377F" w:rsidP="001A75E4">
      <w:pPr>
        <w:pStyle w:val="TOC1"/>
        <w:tabs>
          <w:tab w:val="right" w:leader="dot" w:pos="9016"/>
        </w:tabs>
        <w:rPr>
          <w:rFonts w:eastAsiaTheme="minorEastAsia"/>
          <w:noProof/>
          <w:lang w:eastAsia="en-GB"/>
        </w:rPr>
      </w:pPr>
      <w:hyperlink w:anchor="_Toc507965427" w:history="1">
        <w:r w:rsidR="001A75E4" w:rsidRPr="00731389">
          <w:rPr>
            <w:rStyle w:val="Hyperlink"/>
            <w:noProof/>
          </w:rPr>
          <w:t>Literature Review</w:t>
        </w:r>
        <w:r w:rsidR="001A75E4">
          <w:rPr>
            <w:noProof/>
            <w:webHidden/>
          </w:rPr>
          <w:tab/>
        </w:r>
        <w:r w:rsidR="00315F42">
          <w:rPr>
            <w:noProof/>
            <w:webHidden/>
          </w:rPr>
          <w:t>9</w:t>
        </w:r>
      </w:hyperlink>
    </w:p>
    <w:p w:rsidR="001A75E4" w:rsidRDefault="008C377F" w:rsidP="001A75E4">
      <w:pPr>
        <w:pStyle w:val="TOC1"/>
        <w:tabs>
          <w:tab w:val="right" w:leader="dot" w:pos="9016"/>
        </w:tabs>
        <w:rPr>
          <w:noProof/>
        </w:rPr>
      </w:pPr>
      <w:hyperlink w:anchor="_Toc507965428" w:history="1">
        <w:r w:rsidR="001A75E4" w:rsidRPr="00731389">
          <w:rPr>
            <w:rStyle w:val="Hyperlink"/>
            <w:noProof/>
          </w:rPr>
          <w:t>Aims &amp; Methodology</w:t>
        </w:r>
        <w:r w:rsidR="001A75E4">
          <w:rPr>
            <w:noProof/>
            <w:webHidden/>
          </w:rPr>
          <w:tab/>
          <w:t>1</w:t>
        </w:r>
        <w:r w:rsidR="00315F42">
          <w:rPr>
            <w:noProof/>
            <w:webHidden/>
          </w:rPr>
          <w:t>7</w:t>
        </w:r>
      </w:hyperlink>
    </w:p>
    <w:p w:rsidR="001A75E4" w:rsidRPr="00036EF6" w:rsidRDefault="008C377F" w:rsidP="001A75E4">
      <w:pPr>
        <w:pStyle w:val="TOC1"/>
        <w:tabs>
          <w:tab w:val="right" w:leader="dot" w:pos="9016"/>
        </w:tabs>
        <w:rPr>
          <w:rFonts w:eastAsiaTheme="minorEastAsia"/>
          <w:noProof/>
          <w:lang w:eastAsia="en-GB"/>
        </w:rPr>
      </w:pPr>
      <w:hyperlink w:anchor="_Toc507965429" w:history="1">
        <w:r w:rsidR="001A75E4" w:rsidRPr="00731389">
          <w:rPr>
            <w:rStyle w:val="Hyperlink"/>
            <w:noProof/>
          </w:rPr>
          <w:t>Ethics</w:t>
        </w:r>
        <w:r w:rsidR="001A75E4">
          <w:rPr>
            <w:noProof/>
            <w:webHidden/>
          </w:rPr>
          <w:tab/>
          <w:t>1</w:t>
        </w:r>
        <w:r w:rsidR="00315F42">
          <w:rPr>
            <w:noProof/>
            <w:webHidden/>
          </w:rPr>
          <w:t>7</w:t>
        </w:r>
      </w:hyperlink>
    </w:p>
    <w:p w:rsidR="001A75E4" w:rsidRDefault="008C377F" w:rsidP="001A75E4">
      <w:pPr>
        <w:pStyle w:val="TOC1"/>
        <w:tabs>
          <w:tab w:val="right" w:leader="dot" w:pos="9016"/>
        </w:tabs>
        <w:rPr>
          <w:rFonts w:eastAsiaTheme="minorEastAsia"/>
          <w:noProof/>
          <w:lang w:eastAsia="en-GB"/>
        </w:rPr>
      </w:pPr>
      <w:hyperlink w:anchor="_Toc507965430" w:history="1">
        <w:r w:rsidR="001A75E4" w:rsidRPr="00731389">
          <w:rPr>
            <w:rStyle w:val="Hyperlink"/>
            <w:noProof/>
          </w:rPr>
          <w:t>Context</w:t>
        </w:r>
        <w:r w:rsidR="001A75E4">
          <w:rPr>
            <w:noProof/>
            <w:webHidden/>
          </w:rPr>
          <w:tab/>
          <w:t>1</w:t>
        </w:r>
        <w:r w:rsidR="00315F42">
          <w:rPr>
            <w:noProof/>
            <w:webHidden/>
          </w:rPr>
          <w:t>7</w:t>
        </w:r>
      </w:hyperlink>
    </w:p>
    <w:p w:rsidR="001A75E4" w:rsidRDefault="008C377F" w:rsidP="001A75E4">
      <w:pPr>
        <w:pStyle w:val="TOC1"/>
        <w:tabs>
          <w:tab w:val="right" w:leader="dot" w:pos="9016"/>
        </w:tabs>
        <w:rPr>
          <w:rFonts w:eastAsiaTheme="minorEastAsia"/>
          <w:noProof/>
          <w:lang w:eastAsia="en-GB"/>
        </w:rPr>
      </w:pPr>
      <w:hyperlink w:anchor="_Toc507965431" w:history="1">
        <w:r w:rsidR="001A75E4" w:rsidRPr="00731389">
          <w:rPr>
            <w:rStyle w:val="Hyperlink"/>
            <w:noProof/>
          </w:rPr>
          <w:t>Findings</w:t>
        </w:r>
        <w:r w:rsidR="001A75E4">
          <w:rPr>
            <w:rStyle w:val="Hyperlink"/>
            <w:noProof/>
          </w:rPr>
          <w:t>, discussion and anlaysis</w:t>
        </w:r>
        <w:r w:rsidR="001A75E4">
          <w:rPr>
            <w:noProof/>
            <w:webHidden/>
          </w:rPr>
          <w:tab/>
        </w:r>
        <w:r w:rsidR="00142F4F">
          <w:rPr>
            <w:noProof/>
            <w:webHidden/>
          </w:rPr>
          <w:t>20</w:t>
        </w:r>
      </w:hyperlink>
    </w:p>
    <w:p w:rsidR="001A75E4" w:rsidRDefault="008C377F" w:rsidP="001A75E4">
      <w:pPr>
        <w:pStyle w:val="TOC1"/>
        <w:tabs>
          <w:tab w:val="right" w:leader="dot" w:pos="9016"/>
        </w:tabs>
        <w:rPr>
          <w:rFonts w:eastAsiaTheme="minorEastAsia"/>
          <w:noProof/>
          <w:lang w:eastAsia="en-GB"/>
        </w:rPr>
      </w:pPr>
      <w:hyperlink w:anchor="_Toc507965433" w:history="1">
        <w:r w:rsidR="001A75E4" w:rsidRPr="00731389">
          <w:rPr>
            <w:rStyle w:val="Hyperlink"/>
            <w:noProof/>
          </w:rPr>
          <w:t>Conclusions</w:t>
        </w:r>
        <w:r w:rsidR="001A75E4">
          <w:rPr>
            <w:noProof/>
            <w:webHidden/>
          </w:rPr>
          <w:tab/>
        </w:r>
        <w:r w:rsidR="00142F4F">
          <w:rPr>
            <w:noProof/>
            <w:webHidden/>
          </w:rPr>
          <w:t>3</w:t>
        </w:r>
        <w:r w:rsidR="00315F42">
          <w:rPr>
            <w:noProof/>
            <w:webHidden/>
          </w:rPr>
          <w:t>7</w:t>
        </w:r>
      </w:hyperlink>
    </w:p>
    <w:p w:rsidR="001A75E4" w:rsidRDefault="008C377F" w:rsidP="001A75E4">
      <w:pPr>
        <w:pStyle w:val="TOC1"/>
        <w:tabs>
          <w:tab w:val="right" w:leader="dot" w:pos="9016"/>
        </w:tabs>
        <w:rPr>
          <w:rFonts w:eastAsiaTheme="minorEastAsia"/>
          <w:noProof/>
          <w:lang w:eastAsia="en-GB"/>
        </w:rPr>
      </w:pPr>
      <w:hyperlink w:anchor="_Toc507965434" w:history="1">
        <w:r w:rsidR="001A75E4" w:rsidRPr="00731389">
          <w:rPr>
            <w:rStyle w:val="Hyperlink"/>
            <w:noProof/>
          </w:rPr>
          <w:t>References</w:t>
        </w:r>
        <w:r w:rsidR="001A75E4">
          <w:rPr>
            <w:noProof/>
            <w:webHidden/>
          </w:rPr>
          <w:tab/>
        </w:r>
        <w:r w:rsidR="00315F42">
          <w:rPr>
            <w:noProof/>
            <w:webHidden/>
          </w:rPr>
          <w:t>40</w:t>
        </w:r>
      </w:hyperlink>
    </w:p>
    <w:p w:rsidR="001A75E4" w:rsidRDefault="008C377F" w:rsidP="001A75E4">
      <w:pPr>
        <w:pStyle w:val="TOC1"/>
        <w:tabs>
          <w:tab w:val="right" w:leader="dot" w:pos="9016"/>
        </w:tabs>
        <w:rPr>
          <w:rFonts w:eastAsiaTheme="minorEastAsia"/>
          <w:noProof/>
          <w:lang w:eastAsia="en-GB"/>
        </w:rPr>
      </w:pPr>
      <w:hyperlink w:anchor="_Toc507965435" w:history="1">
        <w:r w:rsidR="001A75E4" w:rsidRPr="00731389">
          <w:rPr>
            <w:rStyle w:val="Hyperlink"/>
            <w:noProof/>
          </w:rPr>
          <w:t>Appendices</w:t>
        </w:r>
        <w:r w:rsidR="001A75E4">
          <w:rPr>
            <w:noProof/>
            <w:webHidden/>
          </w:rPr>
          <w:tab/>
        </w:r>
        <w:r w:rsidR="00142F4F">
          <w:rPr>
            <w:noProof/>
            <w:webHidden/>
          </w:rPr>
          <w:t>4</w:t>
        </w:r>
        <w:r w:rsidR="00315F42">
          <w:rPr>
            <w:noProof/>
            <w:webHidden/>
          </w:rPr>
          <w:t>3</w:t>
        </w:r>
      </w:hyperlink>
    </w:p>
    <w:p w:rsidR="001A75E4" w:rsidRDefault="001A75E4" w:rsidP="001A75E4">
      <w:pPr>
        <w:pStyle w:val="Heading1"/>
        <w:jc w:val="center"/>
        <w:rPr>
          <w:b/>
          <w:u w:val="single"/>
        </w:rPr>
      </w:pPr>
    </w:p>
    <w:p w:rsidR="001A75E4" w:rsidRDefault="001A75E4" w:rsidP="001A75E4">
      <w:pPr>
        <w:pStyle w:val="Heading1"/>
        <w:jc w:val="center"/>
        <w:rPr>
          <w:b/>
          <w:u w:val="single"/>
        </w:rPr>
      </w:pPr>
    </w:p>
    <w:p w:rsidR="001A75E4" w:rsidRDefault="001A75E4" w:rsidP="001A75E4">
      <w:pPr>
        <w:pStyle w:val="Heading1"/>
        <w:jc w:val="center"/>
        <w:rPr>
          <w:b/>
          <w:u w:val="single"/>
        </w:rPr>
      </w:pPr>
    </w:p>
    <w:p w:rsidR="001A75E4" w:rsidRDefault="001A75E4" w:rsidP="001A75E4">
      <w:pPr>
        <w:pStyle w:val="Heading1"/>
        <w:jc w:val="center"/>
        <w:rPr>
          <w:b/>
          <w:u w:val="single"/>
        </w:rPr>
      </w:pPr>
    </w:p>
    <w:p w:rsidR="001A75E4" w:rsidRDefault="001A75E4" w:rsidP="001A75E4">
      <w:pPr>
        <w:pStyle w:val="Heading1"/>
        <w:jc w:val="center"/>
        <w:rPr>
          <w:b/>
          <w:u w:val="single"/>
        </w:rPr>
      </w:pPr>
    </w:p>
    <w:p w:rsidR="001A75E4" w:rsidRDefault="001A75E4" w:rsidP="001A75E4">
      <w:pPr>
        <w:pStyle w:val="Heading1"/>
        <w:jc w:val="center"/>
        <w:rPr>
          <w:b/>
          <w:u w:val="single"/>
        </w:rPr>
      </w:pPr>
    </w:p>
    <w:p w:rsidR="001A75E4" w:rsidRDefault="001A75E4" w:rsidP="001A75E4">
      <w:pPr>
        <w:pStyle w:val="Heading1"/>
        <w:jc w:val="center"/>
        <w:rPr>
          <w:b/>
          <w:u w:val="single"/>
        </w:rPr>
      </w:pPr>
    </w:p>
    <w:p w:rsidR="001A75E4" w:rsidRDefault="001A75E4" w:rsidP="001A75E4">
      <w:pPr>
        <w:pStyle w:val="Heading1"/>
        <w:jc w:val="center"/>
        <w:rPr>
          <w:b/>
          <w:u w:val="single"/>
        </w:rPr>
      </w:pPr>
    </w:p>
    <w:p w:rsidR="001A75E4" w:rsidRDefault="001A75E4" w:rsidP="001A75E4"/>
    <w:p w:rsidR="001A75E4" w:rsidRDefault="001A75E4" w:rsidP="001A75E4"/>
    <w:p w:rsidR="001A75E4" w:rsidRPr="00036EF6" w:rsidRDefault="001A75E4" w:rsidP="001A75E4"/>
    <w:p w:rsidR="001A75E4" w:rsidRDefault="001A75E4" w:rsidP="001A75E4">
      <w:pPr>
        <w:pStyle w:val="Heading1"/>
        <w:jc w:val="center"/>
        <w:rPr>
          <w:b/>
          <w:u w:val="single"/>
        </w:rPr>
      </w:pPr>
    </w:p>
    <w:p w:rsidR="00315F42" w:rsidRPr="00315F42" w:rsidRDefault="00315F42" w:rsidP="00315F42"/>
    <w:p w:rsidR="001A75E4" w:rsidRDefault="001A75E4" w:rsidP="001A75E4">
      <w:pPr>
        <w:pStyle w:val="Heading1"/>
        <w:jc w:val="center"/>
        <w:rPr>
          <w:b/>
          <w:u w:val="single"/>
        </w:rPr>
      </w:pPr>
      <w:r w:rsidRPr="00EC1440">
        <w:rPr>
          <w:b/>
          <w:u w:val="single"/>
        </w:rPr>
        <w:lastRenderedPageBreak/>
        <w:t>How does faith impact on learning for 17 – 18 year olds in a faith based Secondary school?</w:t>
      </w:r>
    </w:p>
    <w:p w:rsidR="001A75E4" w:rsidRDefault="001A75E4" w:rsidP="001A75E4"/>
    <w:p w:rsidR="001A75E4" w:rsidRDefault="001A75E4" w:rsidP="001A75E4">
      <w:pPr>
        <w:pStyle w:val="Heading2"/>
        <w:rPr>
          <w:b/>
          <w:bCs/>
        </w:rPr>
      </w:pPr>
    </w:p>
    <w:p w:rsidR="001A75E4" w:rsidRDefault="001A75E4" w:rsidP="001A75E4">
      <w:pPr>
        <w:pStyle w:val="Heading2"/>
        <w:rPr>
          <w:b/>
          <w:bCs/>
        </w:rPr>
      </w:pPr>
      <w:r>
        <w:rPr>
          <w:b/>
          <w:bCs/>
        </w:rPr>
        <w:t>Introduction</w:t>
      </w:r>
    </w:p>
    <w:p w:rsidR="001A75E4" w:rsidRDefault="001A75E4" w:rsidP="001A75E4"/>
    <w:p w:rsidR="001A75E4" w:rsidRPr="0087553B" w:rsidRDefault="001A75E4" w:rsidP="001A75E4">
      <w:pPr>
        <w:spacing w:line="360" w:lineRule="auto"/>
      </w:pPr>
      <w:r>
        <w:t>Data collected by the Department for Education and Skills (DfES) estimates that approximately 16% of all secondary schools in England are categorised as having a religious character and the Welsh Assembly Government state that there are 253 schools in Wales with a religious nature which represents 14% of schools in Wales. The Welsh Assembly Government states that faith schools make an important contribution to the publically funded system of education in Wales and it recognises the aspirations of parents to send their children to a school that values education within the context of their faith worldview. Faith organisations have an important place in Welsh history with faith education dating back to medieval times but essentially consolidated through provision made in the Victorian era. However, whilst government bodies recognise the benefits of faith education, there are still derisive and critical comments being thrown about often based on outdated ideas and a distinct lack of recent research on which to base their claims. This research paper explores some of the underlying principles and foundations of faith education on pupils learning and consider the importance of pupil voice on exploring the role of faith on key learning areas. It will also seek to protect but investigate the perceptions of the pupils on key areas such as the quality of relationships and education and what happens when they leave a faith school and move into the world of work. Due to the small number of pupils within the school, the paper will have limitations on its quantitative data and on the cohort being investigated but it is still hoped that it will be a contribution to research into the world of faith education. These limitations will be discussed in greater detail in the paper.</w:t>
      </w:r>
    </w:p>
    <w:p w:rsidR="001A75E4" w:rsidRPr="00EC1440" w:rsidRDefault="001A75E4" w:rsidP="001A75E4">
      <w:pPr>
        <w:pStyle w:val="Heading2"/>
        <w:rPr>
          <w:b/>
          <w:bCs/>
        </w:rPr>
      </w:pPr>
      <w:r w:rsidRPr="12A9C779">
        <w:rPr>
          <w:b/>
          <w:bCs/>
        </w:rPr>
        <w:t>School Background</w:t>
      </w:r>
    </w:p>
    <w:p w:rsidR="001A75E4" w:rsidRPr="00EC1440" w:rsidRDefault="001A75E4" w:rsidP="001A75E4"/>
    <w:p w:rsidR="001A75E4" w:rsidRDefault="001A75E4" w:rsidP="001A75E4">
      <w:pPr>
        <w:spacing w:line="360" w:lineRule="auto"/>
      </w:pPr>
      <w:r>
        <w:t xml:space="preserve">For confidentiality and privacy reasons, the school concerned in this article will be named ‘Independent Faith School’ (IFS). Its location will be referred to as ‘Rural Location in Wales’. The names of all persons involved in the school will also be changed. This paper does not reflect a history of the school, nor does it aim to be critical in any way of how obstacles were tackled. Its purpose is to show the various challenges on learning faced by a faith based school with a faith based </w:t>
      </w:r>
      <w:r>
        <w:lastRenderedPageBreak/>
        <w:t xml:space="preserve">curriculum and seeks to ascertain the views of its sixth form pupils on themes such as: Curriculum, Learning Environment, Life after school and their attitudes to learning. </w:t>
      </w:r>
    </w:p>
    <w:p w:rsidR="001A75E4" w:rsidRDefault="001A75E4" w:rsidP="001A75E4">
      <w:pPr>
        <w:spacing w:line="360" w:lineRule="auto"/>
      </w:pPr>
      <w:r>
        <w:t>The school’s Mission Statement (2015-2016) states that:</w:t>
      </w:r>
    </w:p>
    <w:p w:rsidR="001A75E4" w:rsidRPr="004A3595" w:rsidRDefault="001A75E4" w:rsidP="001A75E4">
      <w:pPr>
        <w:ind w:left="720"/>
        <w:rPr>
          <w:i/>
        </w:rPr>
      </w:pPr>
      <w:r w:rsidRPr="12A9C779">
        <w:rPr>
          <w:i/>
          <w:iCs/>
        </w:rPr>
        <w:t xml:space="preserve">Our mission is to ensure that our students develop the understanding, skills, knowledge and attitudes which are not only compatible with their beliefs, but will also enable them to fulfil their potential and contribute to their community and the community at large. </w:t>
      </w:r>
    </w:p>
    <w:p w:rsidR="001A75E4" w:rsidRDefault="001A75E4" w:rsidP="001A75E4">
      <w:pPr>
        <w:spacing w:line="360" w:lineRule="auto"/>
      </w:pPr>
      <w:r>
        <w:rPr>
          <w:noProof/>
          <w:lang w:eastAsia="en-GB"/>
        </w:rPr>
        <w:drawing>
          <wp:anchor distT="0" distB="0" distL="114300" distR="114300" simplePos="0" relativeHeight="251659264" behindDoc="0" locked="0" layoutInCell="1" allowOverlap="1" wp14:anchorId="09E749F2" wp14:editId="090C6FE1">
            <wp:simplePos x="0" y="0"/>
            <wp:positionH relativeFrom="column">
              <wp:posOffset>0</wp:posOffset>
            </wp:positionH>
            <wp:positionV relativeFrom="paragraph">
              <wp:posOffset>1014095</wp:posOffset>
            </wp:positionV>
            <wp:extent cx="5486400" cy="3200400"/>
            <wp:effectExtent l="0" t="0" r="0" b="1905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14:sizeRelH relativeFrom="page">
              <wp14:pctWidth>0</wp14:pctWidth>
            </wp14:sizeRelH>
            <wp14:sizeRelV relativeFrom="page">
              <wp14:pctHeight>0</wp14:pctHeight>
            </wp14:sizeRelV>
          </wp:anchor>
        </w:drawing>
      </w:r>
      <w:r>
        <w:t xml:space="preserve">Students are encouraged to develop their full potential and acquire the discipline of learning how to learn while upholding Christian teachings and beliefs. The students are also encouraged to start thinking and working independently and taking responsibility for their own actions and progress. Figure 1 illustrates the relationship between the values and ethos upheld by the pupils and teachers </w:t>
      </w:r>
    </w:p>
    <w:p w:rsidR="001A75E4" w:rsidRPr="007759DB" w:rsidRDefault="001A75E4" w:rsidP="001A75E4">
      <w:pPr>
        <w:rPr>
          <w:i/>
        </w:rPr>
      </w:pPr>
      <w:r>
        <w:tab/>
      </w:r>
      <w:r>
        <w:tab/>
      </w:r>
      <w:r>
        <w:tab/>
      </w:r>
      <w:r>
        <w:tab/>
      </w:r>
      <w:r>
        <w:tab/>
      </w:r>
      <w:r>
        <w:tab/>
      </w:r>
      <w:r>
        <w:tab/>
      </w:r>
      <w:r>
        <w:tab/>
      </w:r>
      <w:r>
        <w:tab/>
      </w:r>
      <w:r>
        <w:tab/>
      </w:r>
      <w:r w:rsidRPr="007759DB">
        <w:rPr>
          <w:i/>
        </w:rPr>
        <w:t>Figure 1</w:t>
      </w:r>
    </w:p>
    <w:p w:rsidR="001A75E4" w:rsidRDefault="001A75E4" w:rsidP="001A75E4">
      <w:pPr>
        <w:spacing w:line="360" w:lineRule="auto"/>
      </w:pPr>
    </w:p>
    <w:p w:rsidR="001A75E4" w:rsidRDefault="001A75E4" w:rsidP="001A75E4">
      <w:pPr>
        <w:spacing w:line="360" w:lineRule="auto"/>
      </w:pPr>
      <w:proofErr w:type="gramStart"/>
      <w:r w:rsidRPr="00FE2A29">
        <w:rPr>
          <w:iCs/>
        </w:rPr>
        <w:t>at</w:t>
      </w:r>
      <w:proofErr w:type="gramEnd"/>
      <w:r w:rsidRPr="00FE2A29">
        <w:rPr>
          <w:iCs/>
        </w:rPr>
        <w:t xml:space="preserve"> the IFS. Whilst the teachers of the school respect the values and ethos of the school, they do not</w:t>
      </w:r>
      <w:r>
        <w:rPr>
          <w:i/>
        </w:rPr>
        <w:t xml:space="preserve"> </w:t>
      </w:r>
      <w:r>
        <w:t xml:space="preserve">subscribe to the same religion but show a high level of respect for the community and the school. Both pupils and parents share this ethos and beliefs system and fully commit themselves to its guiding principles and lifestyle. The community’s religion is at the centre of their daily lives, all members of the community are immersed in the religion from birth and the religion is seen as a lifestyle and not a choice. The religion isn’t questioned or open to discussion but the word of the bible is taken in its most literal sense and scripture is read, learnt and studied by all in the community. </w:t>
      </w:r>
    </w:p>
    <w:p w:rsidR="001A75E4" w:rsidRDefault="001A75E4" w:rsidP="001A75E4">
      <w:pPr>
        <w:spacing w:line="360" w:lineRule="auto"/>
      </w:pPr>
      <w:r>
        <w:lastRenderedPageBreak/>
        <w:t xml:space="preserve">The school recognises that the parents/guardians have the prime responsibility for the education of their children. The Human Rights Act of 1998 supports the parents’ rights to choose a school for their child to attend that conforms to their own religious and philosophical convictions. However, the Education Reform Act 1988 states that all maintained schools should ensure exposure to religious education as part of the National Curriculum, as the school maintains its independent status, religious education can be taught outside of the classroom and so is not studied within this IFS setting. Teachers have a very limited knowledge of the teachings of Religious Education amongst this religious community. At the start of the IFS, Bible Studies was taught within the institutions walls by members of the community, this focussed mainly on the study and teachings of the scripture from their bible. Pupils were not asked to investigate teachings nor question its content but to accept it at ‘face value’. This literal understanding of text contributed and proved to be problematic when pupils studied other curriculum areas as their reading for inference skills remained underdeveloped. Brighouse 1986 corroborates the view that parents have the right to choose a faith based education that will not hinder their beliefs, strong moral values and endanger their child’s prospects for a wholesome existence. </w:t>
      </w:r>
    </w:p>
    <w:p w:rsidR="001A75E4" w:rsidRDefault="001A75E4" w:rsidP="001A75E4">
      <w:pPr>
        <w:spacing w:line="360" w:lineRule="auto"/>
        <w:rPr>
          <w:noProof/>
          <w:lang w:eastAsia="en-GB"/>
        </w:rPr>
      </w:pPr>
      <w:r>
        <w:t xml:space="preserve">Whilst the school falls under the heading of Independent Secondary School and is regulated by ESTYN, ESTYN’s guidance for the inspection of Independent Schools (September 2010) states that Independent school inspections are governed by the Education Act 2002 and their related regulations. Figure 2 shows the standards that independent schools must adhere to and form part of the inspection criteria. The key priority for the IFS is that pupils are developed socially and morally within the ethos of their chosen religion with a close second priority being on the quality of education. Parents choose to send their children to the IFS so that they can be sure that their children are being educated and protected by the values and ethos of the school and its culture, this may separate it from other independent schools whose priority is to secure a high quality of education.  The IFS is a school of specific religious values which are promoted and adhered to at all </w:t>
      </w:r>
      <w:proofErr w:type="gramStart"/>
      <w:r>
        <w:t>times</w:t>
      </w:r>
      <w:proofErr w:type="gramEnd"/>
      <w:r>
        <w:t>. Staff are provided with the school handbook which sets out specific aims and objectives as well as guidance as to their beliefs and rules and regulations that must be adhered to whilst working within the IFS environment. This is important to the community as members of staff are employed from outside of their community, it is pivotal that the staff chosen to work in their school show a respect and commitment to supporting pupils in their religion.</w:t>
      </w:r>
      <w:r w:rsidRPr="00BD0872">
        <w:rPr>
          <w:noProof/>
          <w:lang w:eastAsia="en-GB"/>
        </w:rPr>
        <w:t xml:space="preserve"> </w:t>
      </w:r>
    </w:p>
    <w:p w:rsidR="001A75E4" w:rsidRDefault="001A75E4" w:rsidP="001A75E4">
      <w:pPr>
        <w:rPr>
          <w:noProof/>
          <w:lang w:eastAsia="en-GB"/>
        </w:rPr>
      </w:pPr>
    </w:p>
    <w:p w:rsidR="001A75E4" w:rsidRDefault="001A75E4" w:rsidP="001A75E4">
      <w:pPr>
        <w:rPr>
          <w:noProof/>
          <w:lang w:eastAsia="en-GB"/>
        </w:rPr>
      </w:pPr>
    </w:p>
    <w:p w:rsidR="001A75E4" w:rsidRDefault="001A75E4" w:rsidP="001A75E4">
      <w:r>
        <w:rPr>
          <w:noProof/>
          <w:lang w:eastAsia="en-GB"/>
        </w:rPr>
        <w:lastRenderedPageBreak/>
        <w:drawing>
          <wp:inline distT="0" distB="0" distL="0" distR="0" wp14:anchorId="3D2CCF99" wp14:editId="7B24F7A5">
            <wp:extent cx="5486400" cy="3200400"/>
            <wp:effectExtent l="0" t="0" r="1905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1A75E4" w:rsidRPr="007759DB" w:rsidRDefault="001A75E4" w:rsidP="001A75E4">
      <w:pPr>
        <w:rPr>
          <w:i/>
        </w:rPr>
      </w:pPr>
      <w:r w:rsidRPr="007759DB">
        <w:rPr>
          <w:i/>
        </w:rPr>
        <w:t>Figure 2</w:t>
      </w:r>
    </w:p>
    <w:p w:rsidR="001A75E4" w:rsidRDefault="001A75E4" w:rsidP="001A75E4">
      <w:pPr>
        <w:pStyle w:val="Heading2"/>
        <w:rPr>
          <w:b/>
        </w:rPr>
      </w:pPr>
      <w:r w:rsidRPr="00EC1440">
        <w:rPr>
          <w:b/>
        </w:rPr>
        <w:t xml:space="preserve">Curriculum </w:t>
      </w:r>
    </w:p>
    <w:p w:rsidR="001A75E4" w:rsidRPr="00EC1440" w:rsidRDefault="001A75E4" w:rsidP="001A75E4"/>
    <w:p w:rsidR="001A75E4" w:rsidRDefault="001A75E4" w:rsidP="001A75E4">
      <w:pPr>
        <w:spacing w:line="360" w:lineRule="auto"/>
      </w:pPr>
      <w:r>
        <w:t xml:space="preserve">One of the key elements of an independent school is that they are able to ‘….develop their own culture, ethos and values system that is reflective of each Independent School’s belief structure’ (AISWA, 2015, P.2). In the time just before and during the second world war, Religious Instruction (RI) in addition to a daily act of worship were made compulsory in all state schools with the parents having the right to withdraw their child should it not be religiously suitable. Before this time, there had been no religious instruction in state schools White (2004). White moves on to say that since 2001, there is no statutory national programme of study for religious education within independent schools but there are Model syllabuses that were drawn up centrally by the School Curriculum and Assessment Authority (1994). Whilst the importance of religious education within schools is widely debated, it is the choice of independent schools as to whether to include this area of study within their curriculum. Within the context of the IFS that is being studied, the subject of </w:t>
      </w:r>
      <w:r w:rsidRPr="00F64857">
        <w:rPr>
          <w:i/>
        </w:rPr>
        <w:t>religi</w:t>
      </w:r>
      <w:r>
        <w:t>ous education was previously taught by members of the community and has recently been removed from the secondary curriculum to be taught outside of the school environment. However, the emergence of explanatory sessions within the area of Religious Education are beginning to develop at key stage two level following recent criticism from ESTYN and other regulatory bodies. It should be noted that these sessions are to inform pupils about other religions and not to explore or study them.</w:t>
      </w:r>
    </w:p>
    <w:p w:rsidR="001A75E4" w:rsidRPr="000118F3" w:rsidRDefault="001A75E4" w:rsidP="001A75E4">
      <w:pPr>
        <w:spacing w:line="360" w:lineRule="auto"/>
        <w:rPr>
          <w:i/>
        </w:rPr>
      </w:pPr>
      <w:r>
        <w:lastRenderedPageBreak/>
        <w:t xml:space="preserve"> The school’s curriculum is structured to provide opportunities for pupils of varied abilities and interests. The subjects offered which are designed to cover Key Learning Areas and address requirements of the appropriate Education Authority. The school aims to ‘p</w:t>
      </w:r>
      <w:r w:rsidRPr="00F64857">
        <w:t xml:space="preserve">rovide a balanced curriculum which promotes personal development and prepares students for increasing </w:t>
      </w:r>
      <w:r>
        <w:t>independence and responsibility’ (parent and student handbook p 11).</w:t>
      </w:r>
      <w:r w:rsidRPr="00F64857">
        <w:t xml:space="preserve"> </w:t>
      </w:r>
      <w:r>
        <w:t xml:space="preserve">Within the IFS, pupils are encouraged to follow a curriculum which is tailored to their learning needs and are given choices not that dissimilar to mainstream schools. However, study at university level is not encouraged and work placements are given upon school leaving. Distance learning is beginning to develop as a follow on to leaving school, however, this is in its emergent stages and studying at a university is not encouraged. The reasons for this are not widely discussed between the community and teaching staff but the principle behind the discouragement of higher education outside of the IFS is the exposure to the outside world which cannot be controlled or monitored by the community. </w:t>
      </w:r>
    </w:p>
    <w:p w:rsidR="001A75E4" w:rsidRPr="00EC1440" w:rsidRDefault="001A75E4" w:rsidP="001A75E4">
      <w:pPr>
        <w:pStyle w:val="Heading3"/>
        <w:rPr>
          <w:b/>
        </w:rPr>
      </w:pPr>
      <w:r>
        <w:rPr>
          <w:b/>
        </w:rPr>
        <w:t>Literature Review</w:t>
      </w:r>
    </w:p>
    <w:p w:rsidR="001A75E4" w:rsidRPr="00EC1440" w:rsidRDefault="001A75E4" w:rsidP="001A75E4"/>
    <w:p w:rsidR="001A75E4" w:rsidRDefault="001A75E4" w:rsidP="001A75E4">
      <w:pPr>
        <w:spacing w:line="360" w:lineRule="auto"/>
      </w:pPr>
      <w:r>
        <w:t>To understand the background and purpose of this research it is important to examine the history of faith education so that we can see how the IFS within this study came to fruition. Church schools are a predominantly established sector of education among England and Wales. In the time before the 1870 Education Act was established and allowed schools to be built by the government, Anglican, Free Church and Catholic schools were set up by the National Society, the British and Foreign School Society, and the Catholic Poor School Society (Cruickshank, 1963; Murphy, 1971; Chadwick, 1997). It was the 1944 Education Act that changed the relationship between the government and church schools and their provision.  Subsequently, due to these changes, Free Churches</w:t>
      </w:r>
      <w:r>
        <w:rPr>
          <w:color w:val="FF0000"/>
        </w:rPr>
        <w:t xml:space="preserve"> </w:t>
      </w:r>
      <w:r w:rsidRPr="00067279">
        <w:t xml:space="preserve">predominantly withdrew from church schools and both the Roman Catholic Church and the Anglican Church adopted different methods in different dioceses (Francis </w:t>
      </w:r>
      <w:r>
        <w:t xml:space="preserve">1987). Subsequently, the Independent Christian School development was a relatively new development in the educational system in England and Wales. </w:t>
      </w:r>
    </w:p>
    <w:p w:rsidR="001A75E4" w:rsidRDefault="001A75E4" w:rsidP="001A75E4">
      <w:pPr>
        <w:spacing w:line="360" w:lineRule="auto"/>
      </w:pPr>
      <w:r>
        <w:t xml:space="preserve">As the Independent schools in England and Wales were largely unregulated it was difficult to track their development. Deakin (1989) reported that the first school of that nature was opened in Rochester in 1969. From Deakin’s research (1989) it was apparent that 53 schools were in contact with the Christian Schools’ Trust by 1988, further research was carried out by Watson and </w:t>
      </w:r>
      <w:proofErr w:type="spellStart"/>
      <w:r>
        <w:t>MacKenzie</w:t>
      </w:r>
      <w:proofErr w:type="spellEnd"/>
      <w:r>
        <w:t xml:space="preserve"> (1996) and Baker and Freeman (2005) detailing the insiders’ perspective and research on the outsiders’ perspective was obtained from </w:t>
      </w:r>
      <w:proofErr w:type="spellStart"/>
      <w:r>
        <w:t>Poyntz</w:t>
      </w:r>
      <w:proofErr w:type="spellEnd"/>
      <w:r>
        <w:t xml:space="preserve"> and </w:t>
      </w:r>
      <w:proofErr w:type="spellStart"/>
      <w:r>
        <w:t>Walford</w:t>
      </w:r>
      <w:proofErr w:type="spellEnd"/>
      <w:r>
        <w:t xml:space="preserve"> (1994).  </w:t>
      </w:r>
      <w:proofErr w:type="spellStart"/>
      <w:r>
        <w:t>Walford</w:t>
      </w:r>
      <w:proofErr w:type="spellEnd"/>
      <w:r>
        <w:t xml:space="preserve"> carried out lengthy and numerous research on the independent Christian Schools with particular reference to the theological and ideological motivation </w:t>
      </w:r>
      <w:r w:rsidRPr="00067279">
        <w:t>that supported them.</w:t>
      </w:r>
      <w:r>
        <w:t xml:space="preserve"> It could be questioned whether </w:t>
      </w:r>
      <w:r>
        <w:lastRenderedPageBreak/>
        <w:t xml:space="preserve">there was sufficient evidence collected to obtain significant contribution to research as only 11 </w:t>
      </w:r>
      <w:proofErr w:type="spellStart"/>
      <w:r>
        <w:t>headteachers</w:t>
      </w:r>
      <w:proofErr w:type="spellEnd"/>
      <w:r>
        <w:t xml:space="preserve"> took part in the semi structured interviews out of 65 which would represent less than a sixth of the whole study. </w:t>
      </w:r>
      <w:proofErr w:type="spellStart"/>
      <w:r>
        <w:t>Walford</w:t>
      </w:r>
      <w:proofErr w:type="spellEnd"/>
      <w:r>
        <w:t xml:space="preserve"> (1995a) concluded that the data showed there was diversity within the schools but also central themes that sought to unite them. Some of these themes included; the schools being set up by parents or churches, the sharing of similar aims of providing a distinctive Christian approach to all parts of school life and the curriculum and that parents had a central role in the organisation and management of the schools. This shows a distinct similarity in themes to the IFS in this study. The Parent and Student Handbook states that parents are central to the development and management of the school and its curriculum. Parents are considered to be responsible for their child’s education and are allowed into the classroom to support both the teacher and pupil.</w:t>
      </w:r>
    </w:p>
    <w:p w:rsidR="001A75E4" w:rsidRDefault="001A75E4" w:rsidP="001A75E4">
      <w:pPr>
        <w:spacing w:line="360" w:lineRule="auto"/>
      </w:pPr>
      <w:r>
        <w:t>It could be thought that due to the continuing role of parents’ involvement of such schools that they have a curiosity to understand what curriculum their children are being educated in.</w:t>
      </w:r>
      <w:r>
        <w:rPr>
          <w:color w:val="FF0000"/>
        </w:rPr>
        <w:t xml:space="preserve"> </w:t>
      </w:r>
      <w:proofErr w:type="spellStart"/>
      <w:r>
        <w:t>Headteachers</w:t>
      </w:r>
      <w:proofErr w:type="spellEnd"/>
      <w:r>
        <w:t xml:space="preserve"> and staff are appointed dependent on their values and ethos and their consistency with the both of that particular school. Pupils are enrolled through parental choice based on the need for education that would support their strong religious values. This choice may differ from other choices made by parents which could be made on breadth of curriculum, standards of education, convenience to the family home and the schools inclusive nature. Within a secondary school environment, the curriculum, values, teachers and </w:t>
      </w:r>
      <w:proofErr w:type="spellStart"/>
      <w:r>
        <w:t>principles</w:t>
      </w:r>
      <w:proofErr w:type="spellEnd"/>
      <w:r>
        <w:t xml:space="preserve"> guide pupils to the intended goal shared by both parents and the school. By the time pupils reach their teenage years they already have a pre-formed knowledge and commitment to the ethos of the school and its foundations. Yet </w:t>
      </w:r>
      <w:proofErr w:type="spellStart"/>
      <w:r>
        <w:t>Gordan</w:t>
      </w:r>
      <w:proofErr w:type="spellEnd"/>
      <w:r>
        <w:t xml:space="preserve"> and Grant (1997) theorise that teenagers are inherently rebellious and seek a growth in their independence against parental views and their expectations. Previous research that has scrutinised church schools and the pupils that attend them in England and Wales will now need to be extended to include independent Christian schools and their cohort (Francis, 2005). As church schools are long-established, it is not surprising that there is a staunch of research that has begun to question and explore the attitudes and values amongst the pupils that attend the church schools and their differing views from those of non-denominational schools. Francis (2005) suggests that it is more surprising that there is not a larger wealth of information on these schools given their notoriety. Marcia (1980, 1994) suggests that adolescence is a significant period of time where pupils question their identity. He suggests that there are four statuses of identity: identity diffusion, identity foreclosure, </w:t>
      </w:r>
      <w:proofErr w:type="gramStart"/>
      <w:r>
        <w:t>identity</w:t>
      </w:r>
      <w:proofErr w:type="gramEnd"/>
      <w:r>
        <w:t xml:space="preserve"> moratorium and identity achievement. The characteristics that determine the adolescent’s identity is based on the extent of their crisis or commitment. This can somewhat be applied to the context of school particularly sixth form as this would indeed be a time of crisis and </w:t>
      </w:r>
      <w:r>
        <w:lastRenderedPageBreak/>
        <w:t xml:space="preserve">one which exudes stress and fear of failure. In Marcia’s 1980 discussion, it is suggested that adolescents are usually in the identity statuses of diffusion, foreclosure or moratorium. He feels that to move towards identity achievement that adolescents need to have: support from their home environment, have developed a sense of industry and are able to self-reflect toward the future. </w:t>
      </w:r>
    </w:p>
    <w:p w:rsidR="001A75E4" w:rsidRDefault="001A75E4" w:rsidP="001A75E4">
      <w:pPr>
        <w:spacing w:line="360" w:lineRule="auto"/>
      </w:pPr>
      <w:r>
        <w:t>Baker and Freeman’s research (2005) suggested that there were four main objectives identified in their account for the rationale of new Christian schools. One of the first objectives identified was the quality of education. From their development, the importance of academic achievement was stressed and so they were developed to enable pupils to perform better than that of pupils attending state-maintained school. Some of the key components of small class sizes, dedicated teachers and discipline were among the many factors associated with good academic performance. It was thought that the school would be seen as an extension of the home environment and so encapsulated quality education as well as a breadth of extra-curricular activities. There has been some debate amongst researchers on the perceived higher attainment of faith based schools in comparison with state schools. Godfrey and Morris (2008) indicate that there is a considerable debate regarding the differentials between performance of faith schools and state schools and whether it is a school effect or a socio-economic factor that determines the outcomes. They concluded from their research that faith schools achieve higher points scores at GCSE level and that although the differentials are small should not be ignored. The main finding showed that faith based schools took more examinations than that of state schools which could explain the difference, however, they also commented on the higher uptake of Religious Education as an exam subject compared to state schools. This was not found to influence the overall points score. Within the IFS, the GCSE points score was also proven to be higher with this particular school ranking as first amongst the further twenty seven schools of similar religious character. One of the main differences between the IFS and the schools in Godfrey and Morris (2008) study was that the goal of the parents, pupils and Trustees wasn’t the educational attainment but the secure environment that it provided. This was further evidenced by a fall in results between GCSE and A Levels. After GCSEs pupils are geared towards securing employment rather than proceeding to further education thus encouraging pupils to favour career potential over academic achievement. Employers appear to look for skills within the pupils of their community rather than attainment resulting in lower grades at A Level and a lack of motivation towards educational subjects. Rather, it is teachers who strive for educational achievement.</w:t>
      </w:r>
    </w:p>
    <w:p w:rsidR="001A75E4" w:rsidRDefault="001A75E4" w:rsidP="001A75E4">
      <w:pPr>
        <w:spacing w:line="360" w:lineRule="auto"/>
      </w:pPr>
      <w:r>
        <w:t xml:space="preserve">The second objective from Baker and Freeman’s 2005 study was that of Christian and moral nurture. This encompassed character building and character transformation in coming to know the lord and children who were educated in this environment were developed into pupils with better Christian </w:t>
      </w:r>
      <w:r>
        <w:lastRenderedPageBreak/>
        <w:t xml:space="preserve">spirituality and had a better Christian moral framework Baker and Freeman (2005). Moving on from this, their third objective concerned the quality of relationships experienced by the pupils. Throughout their research, Baker and Freeman highlight the three differing aspects of relationships. </w:t>
      </w:r>
      <w:r w:rsidRPr="00A936C2">
        <w:t xml:space="preserve">The first centres on the relationships </w:t>
      </w:r>
      <w:r>
        <w:t xml:space="preserve">among the pupils themselves which would encompass ‘training the children in the ways of orderliness, obedience, forgiveness, kindness and love’ (p.27-28). The second centres on the relationship between the pupil and teacher, ‘Teachers should pray for and with the children’ (p.132). The final aspect depicts the relationship between the pupil and the outside world. Initially, the Christian schools aimed to equip their pupils with skills needed to engage with the wider secular world. </w:t>
      </w:r>
    </w:p>
    <w:p w:rsidR="001A75E4" w:rsidRDefault="001A75E4" w:rsidP="001A75E4">
      <w:pPr>
        <w:spacing w:line="360" w:lineRule="auto"/>
      </w:pPr>
      <w:r>
        <w:t>The final objective consisted of looking at the role of education and its link with preparation for life after leaving school. Baker and Freeman (2005) debate the theory that ‘protection from destructive influences at an early age results in strength to withstand these when the child is older’ (p.49). It is the schools aim to develop a school with ‘a good foundation on which pupils can build in the future’ (ibid p.28). The impact of Independent Christian schools and the subsequent impact on its students has been further researched and has followed two distinctive routes. The first route used qualitative data and charted the perspectives of the school alumnae. The second route used quantitative data to generate profiles of the current pupils and to compare this profile against that of pupils educated in mainstream schools.</w:t>
      </w:r>
    </w:p>
    <w:p w:rsidR="001A75E4" w:rsidRDefault="001A75E4" w:rsidP="001A75E4">
      <w:pPr>
        <w:spacing w:line="360" w:lineRule="auto"/>
      </w:pPr>
      <w:r>
        <w:t xml:space="preserve">In the first instance, </w:t>
      </w:r>
      <w:proofErr w:type="spellStart"/>
      <w:proofErr w:type="gramStart"/>
      <w:r>
        <w:t>ap</w:t>
      </w:r>
      <w:proofErr w:type="spellEnd"/>
      <w:proofErr w:type="gramEnd"/>
      <w:r>
        <w:t xml:space="preserve"> Sion, Francis and Baker (2007) unearthed 106 men who had graduated from Independent Christian schools in the United Kingdom between 1985 and 2003. The research sought to synthesise and evaluate their education according to four key areas: the quality of education, Christian and moral nurture, the quality of relationships (among pupils, with the teaching staff and the wider world) and the preparation for future life after leaving school. After facing some areas of criticism, pupils’ views of their time spent at Independent Christian schools was favourable and were thought to have adequately prepared them for working life. From the study the following conclusions were formed.</w:t>
      </w:r>
    </w:p>
    <w:p w:rsidR="001A75E4" w:rsidRDefault="001A75E4" w:rsidP="001A75E4">
      <w:pPr>
        <w:spacing w:line="360" w:lineRule="auto"/>
      </w:pPr>
      <w:r>
        <w:t>Initially, the advantages of small class sizes, sympathetic teachers and high academic achievement outweighed the negative aspects of the school despite the small numbers of staff and pupils that attended. Secondly, pupils were found to have a general appreciation of the Christian foundation of the school and the opportunities for personal, spiritual and moral development (</w:t>
      </w:r>
      <w:proofErr w:type="spellStart"/>
      <w:proofErr w:type="gramStart"/>
      <w:r>
        <w:t>ap</w:t>
      </w:r>
      <w:proofErr w:type="spellEnd"/>
      <w:proofErr w:type="gramEnd"/>
      <w:r>
        <w:t xml:space="preserve"> Sion, Francis and Baker 2007). Thirdly, pupils felt that their school whilst being supportive sheltered them from the outside world which raised a number of concerns. Finally, the majority of pupils felt that their school had prepared them adequately for progressing into the wider world from school in the areas of </w:t>
      </w:r>
      <w:r>
        <w:lastRenderedPageBreak/>
        <w:t xml:space="preserve">academic competence and personal, spiritual and moral development. However, it was noted that the leap between the school environment and the wider world was a large one. It is important to look at this study as it could be theorised that the pupils within the IFS within this study may share similar views and opinions.  </w:t>
      </w:r>
    </w:p>
    <w:p w:rsidR="001A75E4" w:rsidRDefault="001A75E4" w:rsidP="001A75E4">
      <w:pPr>
        <w:spacing w:line="360" w:lineRule="auto"/>
      </w:pPr>
      <w:r>
        <w:t xml:space="preserve">A further study by </w:t>
      </w:r>
      <w:proofErr w:type="spellStart"/>
      <w:proofErr w:type="gramStart"/>
      <w:r>
        <w:t>ap</w:t>
      </w:r>
      <w:proofErr w:type="spellEnd"/>
      <w:proofErr w:type="gramEnd"/>
      <w:r>
        <w:t xml:space="preserve"> Sion, Francis and Baker (2009) followed 135 women who had graduated from these schools between 1986 and 2003 and studied their views with reference to the same four key areas. The following conclusions were formed in alignment with the theologically-influenced aims of the school.  The initial theologically-informed aim of the independent Christian school sector focussed on academic achievement and the provision of quality education that would help pupils exceed that of what they may have achieved in mainstream schooling. The data supported the theory that the aim was being achieved. A number of pupils </w:t>
      </w:r>
      <w:r w:rsidRPr="00A936C2">
        <w:t xml:space="preserve">commended the </w:t>
      </w:r>
      <w:r>
        <w:t xml:space="preserve">excellent academic standards that had been achieved by attending their schools which were thought to be as a result of smaller class sizes, hard-working teachers, close home-school relationships and the personalisation of the education process. It was noted that due to the restrictive nature of the financial situation and limited pupil numbers, subject choices were limited as well as resources and facilities. It was suggested by a number of pupils that the area of PSHE remained largely underdeveloped. </w:t>
      </w:r>
    </w:p>
    <w:p w:rsidR="001A75E4" w:rsidRDefault="001A75E4" w:rsidP="001A75E4">
      <w:pPr>
        <w:spacing w:line="360" w:lineRule="auto"/>
      </w:pPr>
      <w:proofErr w:type="spellStart"/>
      <w:r>
        <w:t>Rayneri</w:t>
      </w:r>
      <w:proofErr w:type="spellEnd"/>
      <w:r>
        <w:t xml:space="preserve"> et al (2006) found that individual pupils invite to the classroom a complex and distinctive set of expectations, previous learning and other experiences. It is thought that pupils themselves differ greatly from one another in terms of their social and emotional skills, how they regulate their emotions, their participation and enjoyment in group activities and their need for teacher attention and interaction. Given what pupils already know at home, they arrive at school with already well-established ideas about teacher expectations and what is expected of a good teacher.</w:t>
      </w:r>
    </w:p>
    <w:p w:rsidR="001A75E4" w:rsidRDefault="001A75E4" w:rsidP="001A75E4">
      <w:pPr>
        <w:spacing w:line="360" w:lineRule="auto"/>
      </w:pPr>
      <w:r>
        <w:t xml:space="preserve">The second, third and fourth theologically-influenced aims of the Christian sector focussed on; the importance of nurture in the Christian faith and the Christian moral framework, the importance of the quality of the relationships experienced by pupils and </w:t>
      </w:r>
      <w:r w:rsidRPr="00A936C2">
        <w:t>on the importance of preparing the pupils for life beyond the school-leaving age</w:t>
      </w:r>
      <w:r>
        <w:t xml:space="preserve">. The overall response to the final three theologically-influenced aims was positive, participants felt that their school environment promoted the freedom, support and security needed to become young Christians, they felt that their teachers focussed on the growth of the whole person and not just on their academic persona, and most pupils valued this whole person approach and the majority of pupils felt that their school adequately prepared them for life after school and this was understood holistically in respect of academic preparation, faith preparation, and character preparation (L.J. Francis et al, 2014). </w:t>
      </w:r>
    </w:p>
    <w:p w:rsidR="001A75E4" w:rsidRDefault="001A75E4" w:rsidP="001A75E4">
      <w:pPr>
        <w:spacing w:line="360" w:lineRule="auto"/>
      </w:pPr>
      <w:r>
        <w:lastRenderedPageBreak/>
        <w:t xml:space="preserve">From the study by </w:t>
      </w:r>
      <w:proofErr w:type="spellStart"/>
      <w:r>
        <w:t>ap</w:t>
      </w:r>
      <w:proofErr w:type="spellEnd"/>
      <w:r>
        <w:t xml:space="preserve"> Sion, Francis and Baker (2009) when asked on the second, third and fourth theologically-influenced aims, participants suggested a greater emphasis on linking faith with practice, offering more opportunities to reflect on themselves and on for self-expression, and further opportunities to ‘outwork’ their faith in the wider community.  Participants also suggested when questioned on their relationship with the wider community, many felt that this was not explored enough while at school and their experience was limited. Finally, whilst pupils felt that they were prepared for life after school, it was also felt that the step between leaving a secure and sheltered environment moving towards a larger more impersonal environment was large and needed further development.</w:t>
      </w:r>
    </w:p>
    <w:p w:rsidR="001A75E4" w:rsidRDefault="001A75E4" w:rsidP="001A75E4">
      <w:pPr>
        <w:spacing w:line="360" w:lineRule="auto"/>
      </w:pPr>
      <w:r>
        <w:t xml:space="preserve">O’Keefe (1992) administered the Francis Scale of Attitude toward Christianity, which had been used in previous studies among pupils of Anglican and Roman Catholic schools by Francis in 1986, to 439 pupils between the ages of 8 and 16 years enrolled at six independent Christian schools. O’Keefe concluded that these schools exercised a positive influence on their pupils’ attitudes toward Christianity, this study correlated with this current study of the IFS which found that being educated in a school of religious significance had a positive effect on their learning. In a second study, Francis (2005) compared the values of 13 to 15 year old boys attending 19 independent Christian schools with the boys attending 114 non-denominational state-maintained schools included in the Teenage Religion and Values project (Francis 2001). The comparison was based on 136 boys in the independent Christian schools and 12,823 boys in non-denominational state-maintained schools. When evaluating the statistics, it could be suggested that not enough boys from independent Christian schools (eleven percent) were asked in comparison with boys asked from state schools. It could be suggested for the evidence to be significant, the number of boys in independent Christian schools should have been higher to draw direct correlations between views.  Francis (2005) concluded that data derived from the present study showed that the values environment modelled by 13 to 15 year old boys attending Christian schools was significantly different from that modelled by the boys in the same age range attending the mainstream schools. Francis (2005) found that attending a Christian school had a positive effect on their spiritual development and also shared the same view on church, religious education within schools and on their rejection of supernatural beliefs. The same conclusion can be drawn within the IFS that pupils shared a similar positive view on their religion and beliefs and felt that their ethos and spiritual and moral education was important to them. </w:t>
      </w:r>
    </w:p>
    <w:p w:rsidR="001A75E4" w:rsidRDefault="001A75E4" w:rsidP="001A75E4">
      <w:pPr>
        <w:spacing w:line="360" w:lineRule="auto"/>
      </w:pPr>
      <w:r>
        <w:t xml:space="preserve">It has been argued that secular marginalisation has become a significant feature of Western contemporary intellectual culture showing the outcome that ‘in the academic and media worlds….religion is subtly ignored as unimportant’ Gallaher (1997, p.23). The results of this </w:t>
      </w:r>
      <w:r>
        <w:lastRenderedPageBreak/>
        <w:t xml:space="preserve">marginalisation are evident in educational studies and research by </w:t>
      </w:r>
      <w:r w:rsidRPr="00A936C2">
        <w:t xml:space="preserve">the failure to note the </w:t>
      </w:r>
      <w:r>
        <w:t xml:space="preserve">faith-based dimension of any issue under investigation. Organisations such as the American Educational Research Association and the British Educational Research Association and the conference programmes they offer alongside scrutiny of the literature on topics such as globalisation and education, policy studies, school effectiveness and school leadership emphasise this marginalisation. This supposition appears to be that research into faith based education is an insignificant activity and is thought only useful for those in faith based communities but distinctly un-concerning for professionals in mainstream educational research and discourse (Grace, 2003). </w:t>
      </w:r>
    </w:p>
    <w:p w:rsidR="001A75E4" w:rsidRDefault="001A75E4" w:rsidP="001A75E4">
      <w:pPr>
        <w:spacing w:line="360" w:lineRule="auto"/>
      </w:pPr>
      <w:r>
        <w:t xml:space="preserve">Grace (2003) suggested that studies of globalisation and educational policy, school effectiveness investigations and school leadership analysis were not pertinent to faith based schools and were subsidiary to the key issues being raised. Subsequently, it is thought that faith-based schooling encompassing its principles and values should be implicated in the understanding of such significant educational issues. Grace (2003), states that ‘A comprehensive construct of educational inquiry must include engagement with specific faith cultures in given educational situations’ (P.150). It could be considered that faith based schools have largely ignored researching into the cultures and outcomes of their schooling systems if we are to derive this from the lack of research material conducted outside of mainstream educational study and research. It could be suggested that research into faith-based systems can produce results which could be seen as disturbing to their members and as a result, religious authorities have not encouraged research and investigations into their schooling systems. </w:t>
      </w:r>
    </w:p>
    <w:p w:rsidR="001A75E4" w:rsidRPr="00B4368A" w:rsidRDefault="001A75E4" w:rsidP="001A75E4">
      <w:pPr>
        <w:spacing w:line="360" w:lineRule="auto"/>
      </w:pPr>
      <w:r>
        <w:t xml:space="preserve">The lack of this </w:t>
      </w:r>
      <w:r w:rsidRPr="004A3595">
        <w:t>research has contributed to a number of unfortunate repercussions</w:t>
      </w:r>
      <w:r>
        <w:t xml:space="preserve">, one being that as a result of this limited research, most of the current public and political debate concerning faith-based schooling has been ascertained at the level of prejudiced assertion and counter-assertion with minimal reference to research. Ultimately, debated tended to be founded on dated historical knowledge of the faith-school system, to deploy ideological advocacy (on both sides) and to infer strong claims about the effects of faith-based education on personal and intellectual characteristic, social harmony and the common good of society. An example of this can be taken from the Times Educational Supplement dated 23 January 2001 where an article was featured with headings such as ‘God help us’. An overly negative view of faith education was given by Professor Richard Dawkins, Professor of Public Understanding of Science at Oxford University (2001) claimed that ‘Sectarian religious schools serve only to promote prejudice, confusion and division’. Dawkins (2001) claimed within the article that such schools were ‘deeply damaging’ and ‘lethally divisive’ (p.17).  Grace (2003) argues that there are serious implications for such claims of which none were evidenced that whatever community conflict that may exist (particularly in religious communities in Northern </w:t>
      </w:r>
      <w:r>
        <w:lastRenderedPageBreak/>
        <w:t xml:space="preserve">Ireland) a major causal factor pertained to the existence of faith-based educational systems. He further suggests it could be argued that such statements could demonstrate an ahistorical, simplified and </w:t>
      </w:r>
      <w:r w:rsidRPr="004A3595">
        <w:t xml:space="preserve">decontextualized </w:t>
      </w:r>
      <w:r>
        <w:t xml:space="preserve">view of the causes of such conflict. An inherent factor of this political and public debate is that the vast majority of participants understand very little about the contemporary educational culture and systems within the schools. Regardless of this lack of understanding, many professionals are willing to offer these strong opinions about how they think these schools operate and about their impact on personal development and social harmony. This could be viewed as intellectual prejudice where arguments are founded on a lack of knowledge and understanding of systems with limited research. As a result of the limited research available on independent faith schools, more current and unexplored research could contribute to the knowledge and views of researchers on faith education and its place within the educational system. </w:t>
      </w:r>
    </w:p>
    <w:p w:rsidR="001A75E4" w:rsidRDefault="001A75E4" w:rsidP="001A75E4">
      <w:pPr>
        <w:spacing w:line="360" w:lineRule="auto"/>
      </w:pPr>
      <w:r>
        <w:t xml:space="preserve">When considering the education of pupils attending an independent school, there are some notable differences in which pupils that are educated at these schools would distinguish their educational experience as being different from that of others in mainstream schooling. </w:t>
      </w:r>
      <w:proofErr w:type="spellStart"/>
      <w:r>
        <w:t>Ap</w:t>
      </w:r>
      <w:proofErr w:type="spellEnd"/>
      <w:r>
        <w:t xml:space="preserve"> Sion </w:t>
      </w:r>
      <w:proofErr w:type="gramStart"/>
      <w:r>
        <w:t>et al</w:t>
      </w:r>
      <w:proofErr w:type="gramEnd"/>
      <w:r>
        <w:t xml:space="preserve"> (2007) suggested that it would be likely that independent Christian schools would have small class year groups with small class sizes. It may also be plausible that teachers employed within these schools would be required to teach a number of subjects other than their subject specialism. The school buildings may not be purpose built and some of the newly formed schools have found themselves relocating more than once in the search to find a more permanent base. </w:t>
      </w:r>
    </w:p>
    <w:p w:rsidR="001A75E4" w:rsidRDefault="001A75E4" w:rsidP="001A75E4">
      <w:pPr>
        <w:spacing w:line="360" w:lineRule="auto"/>
      </w:pPr>
      <w:proofErr w:type="spellStart"/>
      <w:r>
        <w:t>Ap</w:t>
      </w:r>
      <w:proofErr w:type="spellEnd"/>
      <w:r>
        <w:t xml:space="preserve"> Sion </w:t>
      </w:r>
      <w:proofErr w:type="gramStart"/>
      <w:r>
        <w:t>et al</w:t>
      </w:r>
      <w:proofErr w:type="gramEnd"/>
      <w:r>
        <w:t xml:space="preserve"> (2007) also argue that the independent Christian schools have received wide criticism from both other Christian schools and secular educators. Both Professor Richard Dawkins, Professor of Public Understanding of Science at Oxford University (2001) states uses phrases such as ‘promote prejudice’, ‘deeply damaging’ and ‘lethally divisive’</w:t>
      </w:r>
      <w:r w:rsidRPr="006A3E49">
        <w:t xml:space="preserve">. </w:t>
      </w:r>
      <w:r>
        <w:t xml:space="preserve">Gordon, </w:t>
      </w:r>
      <w:r w:rsidRPr="006A3E49">
        <w:t>Lawton and Cairns</w:t>
      </w:r>
      <w:r>
        <w:t xml:space="preserve"> (2005) cite faith schools as ‘indoctrination’ through the limitations of science teaching specifically mentioning the lack of study of Darwin’s theory of evolution. Significant areas of criticism target the detrimental effects that such restricted environments exert over pupils among their school years and in their following years and perceived life experiences. Despite these criticisms, little research has been conducted in England and Wales on the value of pupil voice. With regards to listening to pupils who have attended these schools, two leading but dated studies were undertaken by O’Keefe (1992) and by Francis (2005) as mentioned previously. Whilst the empirical data provided by both researchers provided some clear evidence regarding pupils at their time in these schools, they were not concerned in dealing with some other pertinent educational issues. These pertinent issues are the themes of; life after school, moving to a secular host society, the selection made by their parents on their schooling choice and whether they would choose a similar educational path for their children. </w:t>
      </w:r>
      <w:r>
        <w:lastRenderedPageBreak/>
        <w:t xml:space="preserve">Again, the need for more current and up to date research is needed in this field to determine the place and impact of faith schools within the educational system. </w:t>
      </w:r>
    </w:p>
    <w:p w:rsidR="001A75E4" w:rsidRPr="00C07EDA" w:rsidRDefault="001A75E4" w:rsidP="001A75E4">
      <w:pPr>
        <w:pStyle w:val="Heading1"/>
        <w:rPr>
          <w:b/>
          <w:bCs/>
        </w:rPr>
      </w:pPr>
      <w:r>
        <w:rPr>
          <w:b/>
          <w:bCs/>
        </w:rPr>
        <w:t xml:space="preserve">Aims and </w:t>
      </w:r>
      <w:r w:rsidRPr="12A9C779">
        <w:rPr>
          <w:b/>
          <w:bCs/>
        </w:rPr>
        <w:t>Methodology</w:t>
      </w:r>
    </w:p>
    <w:p w:rsidR="001A75E4" w:rsidRPr="00C07EDA" w:rsidRDefault="001A75E4" w:rsidP="001A75E4"/>
    <w:p w:rsidR="001A75E4" w:rsidRPr="00C07EDA" w:rsidRDefault="001A75E4" w:rsidP="001A75E4">
      <w:pPr>
        <w:pStyle w:val="Heading3"/>
        <w:rPr>
          <w:b/>
          <w:sz w:val="32"/>
        </w:rPr>
      </w:pPr>
      <w:r>
        <w:rPr>
          <w:b/>
          <w:sz w:val="32"/>
        </w:rPr>
        <w:t>Context</w:t>
      </w:r>
    </w:p>
    <w:p w:rsidR="001A75E4" w:rsidRPr="00C07EDA" w:rsidRDefault="001A75E4" w:rsidP="001A75E4">
      <w:pPr>
        <w:tabs>
          <w:tab w:val="left" w:pos="7920"/>
        </w:tabs>
      </w:pPr>
    </w:p>
    <w:p w:rsidR="001A75E4" w:rsidRPr="00C07EDA" w:rsidRDefault="001A75E4" w:rsidP="001A75E4">
      <w:pPr>
        <w:tabs>
          <w:tab w:val="left" w:pos="7920"/>
        </w:tabs>
        <w:spacing w:line="360" w:lineRule="auto"/>
        <w:rPr>
          <w:rFonts w:cs="Arial"/>
        </w:rPr>
      </w:pPr>
      <w:r>
        <w:t xml:space="preserve">The purpose of the study was to explore the views of a class of six, seventeen and eighteen year old pupils to gain an understanding of the role of faith on their learning. </w:t>
      </w:r>
      <w:r w:rsidRPr="12A9C779">
        <w:rPr>
          <w:rFonts w:cs="Arial"/>
        </w:rPr>
        <w:t>The study ascertained whether being from a strict faith background had an impact on learning and school life in an Independent Faith Secondary school. It determined pupils’ perceptions on learning within their school and whether their values had an effect on their actions within the classroom environment. There has been limited research into learning within faith schools with previous research showing judgements made on outdated literature and on assumptions rather than up to date relevant research. My aim was to contribute to the bank of research on learning within a faith school environment and to ascertain the impact of a specialised learning environment on pupils’ perceptions of their learning. The research tool for the study followed an ethnographic approach with research being qualitative in nat</w:t>
      </w:r>
      <w:r w:rsidRPr="006A3E49">
        <w:rPr>
          <w:rFonts w:cs="Arial"/>
        </w:rPr>
        <w:t xml:space="preserve">ure. </w:t>
      </w:r>
      <w:proofErr w:type="spellStart"/>
      <w:r w:rsidRPr="009E2CB8">
        <w:rPr>
          <w:rFonts w:cs="Arial"/>
        </w:rPr>
        <w:t>LeCompte</w:t>
      </w:r>
      <w:proofErr w:type="spellEnd"/>
      <w:r w:rsidRPr="009E2CB8">
        <w:rPr>
          <w:rFonts w:cs="Arial"/>
        </w:rPr>
        <w:t xml:space="preserve"> and </w:t>
      </w:r>
      <w:proofErr w:type="spellStart"/>
      <w:r w:rsidRPr="009E2CB8">
        <w:rPr>
          <w:rFonts w:cs="Arial"/>
        </w:rPr>
        <w:t>Preissle</w:t>
      </w:r>
      <w:proofErr w:type="spellEnd"/>
      <w:r w:rsidRPr="006A3E49">
        <w:rPr>
          <w:rFonts w:cs="Arial"/>
        </w:rPr>
        <w:t xml:space="preserve"> (</w:t>
      </w:r>
      <w:r w:rsidRPr="12A9C779">
        <w:rPr>
          <w:rFonts w:cs="Arial"/>
        </w:rPr>
        <w:t xml:space="preserve">1993) suggest this form of research aims to create as realistic as possible a reconstruction of the culture or groups being studied, it also allows for construction of key concepts, theory generation and the reporting and discussion of findings. </w:t>
      </w:r>
    </w:p>
    <w:p w:rsidR="001A75E4" w:rsidRPr="00C07EDA" w:rsidRDefault="001A75E4" w:rsidP="001A75E4">
      <w:pPr>
        <w:pStyle w:val="Heading3"/>
        <w:rPr>
          <w:b/>
        </w:rPr>
      </w:pPr>
      <w:r w:rsidRPr="00C07EDA">
        <w:rPr>
          <w:b/>
        </w:rPr>
        <w:t>Ethical Considerations</w:t>
      </w:r>
    </w:p>
    <w:p w:rsidR="001A75E4" w:rsidRPr="00C07EDA" w:rsidRDefault="001A75E4" w:rsidP="001A75E4">
      <w:pPr>
        <w:spacing w:line="360" w:lineRule="auto"/>
      </w:pPr>
      <w:r>
        <w:t xml:space="preserve">Ethical guidelines were followed as set out in the BERA guidelines 2011 for this research study. Permission was sought from the Trustees and </w:t>
      </w:r>
      <w:proofErr w:type="spellStart"/>
      <w:r>
        <w:t>Headteacher</w:t>
      </w:r>
      <w:proofErr w:type="spellEnd"/>
      <w:r>
        <w:t xml:space="preserve"> to carry out the research which would involve a discussion group and questionnaires. Pupils involved in the research were asked to participate and were given a letter to sign to show their willingness to participate and the steps involved to obtain the necessary information. It was explained to the pupils about their right to withdraw from the research at any point should they feel uncomfortable and it was also explained that anonymity would be upheld in all aspects of the research. </w:t>
      </w:r>
      <w:proofErr w:type="spellStart"/>
      <w:r>
        <w:t>Sudman</w:t>
      </w:r>
      <w:proofErr w:type="spellEnd"/>
      <w:r>
        <w:t xml:space="preserve"> and </w:t>
      </w:r>
      <w:proofErr w:type="spellStart"/>
      <w:r>
        <w:t>Bradburn</w:t>
      </w:r>
      <w:proofErr w:type="spellEnd"/>
      <w:r>
        <w:t xml:space="preserve"> (1982) comment on the inclusivity of sensitive questions. They suggest that while anonymity may facilitate responses to the sensitive material being discussed, caution should be applied as issues of sensitivity and threat cannot be avoided leading to under-reporting or over-reporting as a result. It was important to explain to the pupils the purpose of the research and why it was being conducted so that they could see the importance of the information given to the study. In doing so, it is hoped that </w:t>
      </w:r>
      <w:r>
        <w:lastRenderedPageBreak/>
        <w:t xml:space="preserve">this would contribute to the validity of the study. Who would have access to the research was also explained and both verbal and written consent were obtained before beginning the study. </w:t>
      </w:r>
    </w:p>
    <w:p w:rsidR="001A75E4" w:rsidRPr="00C07EDA" w:rsidRDefault="001A75E4" w:rsidP="001A75E4">
      <w:pPr>
        <w:spacing w:line="360" w:lineRule="auto"/>
      </w:pPr>
      <w:r w:rsidRPr="00C07EDA">
        <w:t xml:space="preserve">As part of the faith on impact of learning case study, a detailed questionnaire was administered to all year 12 pupils which totalled six pupils within the selected independent faith school. Due to the religious nature of the school, as previously mentioned, class sizes are small with </w:t>
      </w:r>
      <w:r w:rsidRPr="006A3E49">
        <w:t xml:space="preserve">only forty seven pupils within the whole school limiting the sample. However, </w:t>
      </w:r>
      <w:r w:rsidRPr="009E2CB8">
        <w:t>Lyons &amp; Coyle</w:t>
      </w:r>
      <w:r w:rsidRPr="00FE2A29">
        <w:t xml:space="preserve"> (2007)support the use of case studies with small numbers suggesting that the sample size is big enough</w:t>
      </w:r>
      <w:r w:rsidRPr="00C07EDA">
        <w:t xml:space="preserve"> to ascertain similarities and differences between pupils but isn’t so large  that there is a danger of being overwhelmed by the volume of data generated from a large scale study.</w:t>
      </w:r>
      <w:r>
        <w:t xml:space="preserve"> </w:t>
      </w:r>
      <w:r w:rsidRPr="00C07EDA">
        <w:t xml:space="preserve">The questionnaires were administered as a class. Pupils were asked to ensure that the forms were anonymous and to complete the questionnaire under test conditions. Although pupils were given the choice not to participate, no pupils declined. Pupils were assured of confidentiality and anonymity. As a result of this process, all year 12 pupils contributed to this study. Cohen et al (2007) state that the use of  case studies allows the study to penetrate situations in ways that are not always susceptible to numerical analysis, this links directly to this case study as the small sample size would limit the accuracy of the quantitative data produced. </w:t>
      </w:r>
    </w:p>
    <w:p w:rsidR="001A75E4" w:rsidRPr="00C07EDA" w:rsidRDefault="001A75E4" w:rsidP="001A75E4">
      <w:pPr>
        <w:pStyle w:val="Heading3"/>
        <w:rPr>
          <w:b/>
          <w:bCs/>
          <w:sz w:val="32"/>
          <w:szCs w:val="32"/>
        </w:rPr>
      </w:pPr>
      <w:r w:rsidRPr="12A9C779">
        <w:rPr>
          <w:b/>
          <w:bCs/>
          <w:sz w:val="32"/>
          <w:szCs w:val="32"/>
        </w:rPr>
        <w:t>Focus Group</w:t>
      </w:r>
    </w:p>
    <w:p w:rsidR="001A75E4" w:rsidRPr="00C07EDA" w:rsidRDefault="001A75E4" w:rsidP="001A75E4">
      <w:pPr>
        <w:spacing w:line="360" w:lineRule="auto"/>
      </w:pPr>
      <w:r>
        <w:t xml:space="preserve">Oppenheim (1992) states that interviews are preferable to questionnaires as respondents become more involved and subsequently motivated which allows more to be said than in other formats. </w:t>
      </w:r>
      <w:r w:rsidRPr="006A3E49">
        <w:t>Lincoln &amp; Guba</w:t>
      </w:r>
      <w:r w:rsidRPr="009E2CB8">
        <w:t xml:space="preserve"> (1985)</w:t>
      </w:r>
      <w:r>
        <w:t xml:space="preserve"> suggest that the use of a structured interview is useful when the researcher knows what is needed to be consolidated from the interviews, however Oppenheim (1992) advocates the use of exploratory interviews which use a more heuristic approach which seeks to develop hypotheses rather than collect facts and figures. It would appear that exploratory interviews would be more appropriate to this study as it is seeking to explore perceptions and ideas rather than generate data and statistics. </w:t>
      </w:r>
      <w:r w:rsidRPr="006A3E49">
        <w:t>Merton &amp; Kendall</w:t>
      </w:r>
      <w:r w:rsidRPr="009E2CB8">
        <w:t xml:space="preserve"> (1946</w:t>
      </w:r>
      <w:r>
        <w:t xml:space="preserve">) highlight the strengths of a focussed interview in which the researcher can play a more active role and can introduce more explicit verbal cues to the stimulus pattern or even represent it. </w:t>
      </w:r>
      <w:r w:rsidRPr="00C07EDA">
        <w:t>The discussion group was an open forum to discuss general aspects of learning within their school, in order to ascertain their views further on particular areas of discussion some prompts were offered which included the following:</w:t>
      </w:r>
    </w:p>
    <w:p w:rsidR="001A75E4" w:rsidRPr="00C07EDA" w:rsidRDefault="001A75E4" w:rsidP="001A75E4">
      <w:pPr>
        <w:pStyle w:val="ListParagraph"/>
        <w:numPr>
          <w:ilvl w:val="0"/>
          <w:numId w:val="1"/>
        </w:numPr>
        <w:spacing w:line="360" w:lineRule="auto"/>
      </w:pPr>
      <w:r w:rsidRPr="00C07EDA">
        <w:t>Tell me about the learning environment within the school?</w:t>
      </w:r>
    </w:p>
    <w:p w:rsidR="001A75E4" w:rsidRPr="00C07EDA" w:rsidRDefault="001A75E4" w:rsidP="001A75E4">
      <w:pPr>
        <w:pStyle w:val="ListParagraph"/>
        <w:numPr>
          <w:ilvl w:val="0"/>
          <w:numId w:val="1"/>
        </w:numPr>
        <w:spacing w:line="360" w:lineRule="auto"/>
      </w:pPr>
      <w:r w:rsidRPr="00C07EDA">
        <w:t>What do you think are your personal attitudes to learning and how do they differ?</w:t>
      </w:r>
    </w:p>
    <w:p w:rsidR="001A75E4" w:rsidRPr="00C07EDA" w:rsidRDefault="001A75E4" w:rsidP="001A75E4">
      <w:pPr>
        <w:pStyle w:val="ListParagraph"/>
        <w:numPr>
          <w:ilvl w:val="0"/>
          <w:numId w:val="1"/>
        </w:numPr>
        <w:spacing w:line="360" w:lineRule="auto"/>
      </w:pPr>
      <w:r w:rsidRPr="00C07EDA">
        <w:t>What do you think about the curriculum choices in your school?</w:t>
      </w:r>
    </w:p>
    <w:p w:rsidR="001A75E4" w:rsidRPr="00C07EDA" w:rsidRDefault="001A75E4" w:rsidP="001A75E4">
      <w:pPr>
        <w:pStyle w:val="ListParagraph"/>
        <w:numPr>
          <w:ilvl w:val="0"/>
          <w:numId w:val="1"/>
        </w:numPr>
        <w:spacing w:line="360" w:lineRule="auto"/>
      </w:pPr>
      <w:r w:rsidRPr="00C07EDA">
        <w:t>Tell me about your plans after you leave school?</w:t>
      </w:r>
    </w:p>
    <w:p w:rsidR="001A75E4" w:rsidRPr="00C07EDA" w:rsidRDefault="001A75E4" w:rsidP="001A75E4">
      <w:pPr>
        <w:spacing w:line="360" w:lineRule="auto"/>
      </w:pPr>
      <w:r w:rsidRPr="00C07EDA">
        <w:lastRenderedPageBreak/>
        <w:t>In open ended questions the pupils were also asked about VC (virtual classroom) learning, moving from GCSE to A Level studies and their perceptions of the difference in learning between their IFS and mainstream schools.</w:t>
      </w:r>
    </w:p>
    <w:p w:rsidR="001A75E4" w:rsidRPr="00C07EDA" w:rsidRDefault="001A75E4" w:rsidP="001A75E4">
      <w:pPr>
        <w:spacing w:line="360" w:lineRule="auto"/>
        <w:rPr>
          <w:rFonts w:cs="Arial"/>
        </w:rPr>
      </w:pPr>
      <w:r w:rsidRPr="12A9C779">
        <w:rPr>
          <w:rFonts w:cs="Arial"/>
        </w:rPr>
        <w:t xml:space="preserve">Data was collected through a focus group discussion, pupils’ comments were noted at the time of discussion for reference and were later transcribed to ensure accuracy when interpreting and analysing the comments, ethical considerations were taken into account and the recordings were destroyed after the research had been concluded. The discussion was based around the themes of their learning environment, personal attitudes to learning, curriculum, and work placements when they leave school. Lyons and Coyle (2007) suggest that semi-structured interviews are advantageous as it allows the facilitator to follow up on interesting and important issues that arise from the discussion and advocate this type of research method as being the most suitable for interpretative phenomenological analysis (IPA). Qualitative data was collected from the discussion which was more suitable to the research, due to the small numbers involved in the study, quantitative data analysis would not have been relevant and couldn’t show statistical significances and would have made the data </w:t>
      </w:r>
      <w:r>
        <w:rPr>
          <w:rFonts w:cs="Arial"/>
        </w:rPr>
        <w:t>disingenuous</w:t>
      </w:r>
      <w:r w:rsidRPr="12A9C779">
        <w:rPr>
          <w:rFonts w:cs="Arial"/>
        </w:rPr>
        <w:t xml:space="preserve"> due to the small sample size. My role in the discussion was as facilitator but not as leader of the discussion. The children are familiar with this format of stimulus and engage confidently in debate and discussion within their regular classroom setting, this made my role as facilitator simpler. It also facilitated the need to record the discussion so that comments could be accurately interpreted. Pupils contributed amongst themselves to the discussion and I only needed to give them the themes that I wanted them to discuss. However, as pupils knew that the discussion was for research purposes, this may have impacted on the results due to the fact it was recorded and transcribed. The need to record the pupils was necessary as discussions were lively and free flowing, manual recording may have proven challenging when trying to capture the pupils’ ideas. As part of the Senior Management Team I had permission to conduct discussions within a classroom situation and for the purpose of the research but also sought Trustee and </w:t>
      </w:r>
      <w:proofErr w:type="spellStart"/>
      <w:r w:rsidRPr="12A9C779">
        <w:rPr>
          <w:rFonts w:cs="Arial"/>
        </w:rPr>
        <w:t>Headteacher</w:t>
      </w:r>
      <w:proofErr w:type="spellEnd"/>
      <w:r w:rsidRPr="12A9C779">
        <w:rPr>
          <w:rFonts w:cs="Arial"/>
        </w:rPr>
        <w:t xml:space="preserve"> approval in conjunction with the BERA 2011 guidelines. </w:t>
      </w:r>
    </w:p>
    <w:p w:rsidR="001A75E4" w:rsidRPr="00C07EDA" w:rsidRDefault="001A75E4" w:rsidP="001A75E4">
      <w:pPr>
        <w:pStyle w:val="Heading3"/>
        <w:rPr>
          <w:b/>
          <w:sz w:val="32"/>
        </w:rPr>
      </w:pPr>
      <w:r w:rsidRPr="00C07EDA">
        <w:rPr>
          <w:b/>
          <w:sz w:val="32"/>
        </w:rPr>
        <w:t>Questionnaires</w:t>
      </w:r>
    </w:p>
    <w:p w:rsidR="001A75E4" w:rsidRPr="00C07EDA" w:rsidRDefault="001A75E4" w:rsidP="001A75E4">
      <w:pPr>
        <w:spacing w:line="360" w:lineRule="auto"/>
      </w:pPr>
      <w:r>
        <w:t xml:space="preserve">The questionnaire used in this study was designed to profile pupil perceptions over a number of areas, namely the learning environment, faith and attitudes to learning, the curriculum, leaving school and self-directed education. The questionnaire was also chosen to gain a more honest view from the pupils, one which was </w:t>
      </w:r>
      <w:proofErr w:type="spellStart"/>
      <w:r w:rsidRPr="00FE2A29">
        <w:t>autonomised</w:t>
      </w:r>
      <w:proofErr w:type="spellEnd"/>
      <w:r w:rsidRPr="006A3E49">
        <w:t xml:space="preserve"> and</w:t>
      </w:r>
      <w:r>
        <w:t xml:space="preserve"> where pupils were able to express their opinions without fear of judgement or dominance from members of the group. </w:t>
      </w:r>
    </w:p>
    <w:p w:rsidR="001A75E4" w:rsidRPr="00C07EDA" w:rsidRDefault="001A75E4" w:rsidP="001A75E4">
      <w:pPr>
        <w:spacing w:line="360" w:lineRule="auto"/>
      </w:pPr>
      <w:r w:rsidRPr="00C07EDA">
        <w:lastRenderedPageBreak/>
        <w:t>Following the discussion group, pupils were given a questionnaire to complete on the categories discussed within the focus group. The questionnaires sought to consolidate information presented verbally in the discussion and to triangulate the data generated from the literature review and the focus group discussion. The Questionnaires consisted of thirteen open questions separated under th</w:t>
      </w:r>
      <w:r>
        <w:t>ree</w:t>
      </w:r>
      <w:r w:rsidRPr="00C07EDA">
        <w:t xml:space="preserve"> categories of: </w:t>
      </w:r>
      <w:r>
        <w:t>The quality of relationships</w:t>
      </w:r>
      <w:r w:rsidRPr="00C07EDA">
        <w:t xml:space="preserve"> </w:t>
      </w:r>
      <w:r>
        <w:t xml:space="preserve">and </w:t>
      </w:r>
      <w:r w:rsidRPr="00C07EDA">
        <w:t xml:space="preserve">the learning environment, </w:t>
      </w:r>
      <w:r>
        <w:t>attitudes to learning and the quality of education</w:t>
      </w:r>
      <w:r w:rsidRPr="00C07EDA">
        <w:t>, and provision for life after leaving school. Cohen et al (2007) suggest using open questions to enable participants to give an open account in their own terms, to explain and qualify their responses and avoid the limitations of pre-set categories of response. However, Cohen et al (2007) also suggest the limitations of using open questions can lead to erroneous information, questionnaires that take longer to complete and that seem more onerous than closed question questionnaires. Open questions were sought as the final decision due to the need for qualitative data over quantitative as the study sought to ascertain pupils’ perceptions and views on faith and learning rather than generating quantitative data as previously mentioned, cohort size would be too small to accurately comment on statistical significance. The questionnaires were anonymised as to protect the identity of the pupils. There were several factors that could affect the reliability of the information given within the questionnaires such as concern to put the correct answer, putting an answer that would be pleasing to the teacher rather than the most appropriate to their views, worry as to who would see the results and by their moral and ethical conscience. These were taken into consideration when interpreting the information and steps were taken beforehand to try to minimise this by explaining to the pupils that the questionnaires would be anonymous and they were able to leave blank any questions that they didn’t feel comfortable answering. Handwriting would also be anonymised as the facilitator is not a regular teacher of the cohort so would not recognise the scripts.</w:t>
      </w:r>
    </w:p>
    <w:p w:rsidR="001A75E4" w:rsidRDefault="001A75E4" w:rsidP="001A75E4">
      <w:pPr>
        <w:spacing w:line="360" w:lineRule="auto"/>
      </w:pPr>
      <w:r w:rsidRPr="00C07EDA">
        <w:t>Lyons &amp; Coyle (2007) suggest aggregating preliminary themes and clustering them appropriately so as to narrow and interpret the data collected. The data generated from the discussion group and questionnaire was analysed according to this and was categorised</w:t>
      </w:r>
      <w:r>
        <w:t xml:space="preserve"> in the findings as</w:t>
      </w:r>
      <w:r w:rsidRPr="00C07EDA">
        <w:t xml:space="preserve"> </w:t>
      </w:r>
      <w:r>
        <w:t xml:space="preserve">three </w:t>
      </w:r>
      <w:r w:rsidRPr="00C07EDA">
        <w:t>main areas:</w:t>
      </w:r>
      <w:r>
        <w:t xml:space="preserve"> The quality of relationships and</w:t>
      </w:r>
      <w:r w:rsidRPr="00C07EDA">
        <w:t xml:space="preserve"> the learning environment,</w:t>
      </w:r>
      <w:r>
        <w:t xml:space="preserve"> attitudes to learning and</w:t>
      </w:r>
      <w:r w:rsidRPr="00C07EDA">
        <w:t xml:space="preserve"> the quality of education, and in provision for life after leaving school.</w:t>
      </w:r>
    </w:p>
    <w:p w:rsidR="001A75E4" w:rsidRPr="002B0123" w:rsidRDefault="001A75E4" w:rsidP="001A75E4">
      <w:pPr>
        <w:pStyle w:val="Heading1"/>
        <w:rPr>
          <w:b/>
        </w:rPr>
      </w:pPr>
      <w:r>
        <w:rPr>
          <w:b/>
        </w:rPr>
        <w:t>Findings, discussion and analysis</w:t>
      </w:r>
    </w:p>
    <w:p w:rsidR="001A75E4" w:rsidRDefault="001A75E4" w:rsidP="001A75E4">
      <w:pPr>
        <w:spacing w:line="360" w:lineRule="auto"/>
      </w:pPr>
      <w:r>
        <w:t>The qualitative analyses drawn from the discussion group is broadly categorised and discussed under the following three themes:</w:t>
      </w:r>
      <w:r w:rsidRPr="004A5D40">
        <w:t xml:space="preserve"> </w:t>
      </w:r>
      <w:r>
        <w:t>The quality of relationships and</w:t>
      </w:r>
      <w:r w:rsidRPr="00C07EDA">
        <w:t xml:space="preserve"> the learning environment,</w:t>
      </w:r>
      <w:r>
        <w:t xml:space="preserve"> attitudes to learning and</w:t>
      </w:r>
      <w:r w:rsidRPr="00C07EDA">
        <w:t xml:space="preserve"> the quality of education, and in provision for life after leaving school</w:t>
      </w:r>
      <w:r>
        <w:t xml:space="preserve">.  Responses from both the discussion and questionnaires show some significant links between faith and learning </w:t>
      </w:r>
      <w:r>
        <w:lastRenderedPageBreak/>
        <w:t>however responses appear constricted by the rules of the religion and appear to offer limited emotional responses to the questions or topics. Responses to both discussions and questionnaires also appear to show a collective response which may be a result of the literal translation of the faith and the discouragement to question its foundations or belief systems. The results of both methods do show a strong commitment to faith and rigid moral codes which can be seen in the graphs presented in the findings.</w:t>
      </w:r>
    </w:p>
    <w:p w:rsidR="001A75E4" w:rsidRDefault="001A75E4" w:rsidP="001A75E4">
      <w:pPr>
        <w:spacing w:line="360" w:lineRule="auto"/>
      </w:pPr>
      <w:r>
        <w:t xml:space="preserve">From working within the IFS for over a decade, it is notable to comment on the recognised difference between comments given by pupils throughout the discussion and questionnaire in comparison with informal observations as a teacher over time. One of the most notable comments made by the pupils during the discussion is the safe and nurturing environment of the school, with pupils commenting on the importance of sharing values, fostering a sense of belonging whilst also providing them with the knowledge that teachers outside of their faith support and encourage their moral and ethical values. However, as a </w:t>
      </w:r>
      <w:r w:rsidRPr="00D1753B">
        <w:t>long standing</w:t>
      </w:r>
      <w:r>
        <w:t xml:space="preserve"> member of staff, it has become apparent that the ethos and moral values of the </w:t>
      </w:r>
      <w:r w:rsidRPr="006A3E49">
        <w:t xml:space="preserve">religion are </w:t>
      </w:r>
      <w:r w:rsidRPr="00FE2A29">
        <w:t>rigid</w:t>
      </w:r>
      <w:r w:rsidRPr="006A3E49">
        <w:t xml:space="preserve"> and inquisitiveness</w:t>
      </w:r>
      <w:r>
        <w:t xml:space="preserve"> or challenge to the religion is not encouraged. It has been raised during recent inspections that Pupils inference skills remain underdeveloped and pupils underperform in this area of their Literacy. It could be suggested that as pupils are encouraged to read and study the scripture/bible of their religion and exposure to fictional material is limited that the part of the brain responsible for imagination and understanding and exploring meaning remains largely underdeveloped. Pupils are taught that scripture is to be taken literally and not questioned therefore encouraging pupils to move through school with a literal view of written material and a limited understanding of varying viewpoints.  This is evidenced in the schools reading test scores and in the drop between GCSE and A Level results as previously mentioned.</w:t>
      </w:r>
    </w:p>
    <w:p w:rsidR="001A75E4" w:rsidRDefault="001A75E4" w:rsidP="001A75E4">
      <w:pPr>
        <w:pStyle w:val="Heading2"/>
        <w:rPr>
          <w:b/>
        </w:rPr>
      </w:pPr>
    </w:p>
    <w:p w:rsidR="001A75E4" w:rsidRDefault="001A75E4" w:rsidP="001A75E4">
      <w:pPr>
        <w:pStyle w:val="Heading2"/>
        <w:rPr>
          <w:b/>
        </w:rPr>
      </w:pPr>
    </w:p>
    <w:p w:rsidR="001A75E4" w:rsidRDefault="001A75E4" w:rsidP="001A75E4">
      <w:pPr>
        <w:pStyle w:val="Heading2"/>
        <w:rPr>
          <w:b/>
        </w:rPr>
      </w:pPr>
    </w:p>
    <w:p w:rsidR="001A75E4" w:rsidRDefault="001A75E4" w:rsidP="001A75E4">
      <w:pPr>
        <w:pStyle w:val="Heading2"/>
        <w:rPr>
          <w:b/>
        </w:rPr>
      </w:pPr>
    </w:p>
    <w:p w:rsidR="00315F42" w:rsidRDefault="00315F42" w:rsidP="001A75E4">
      <w:pPr>
        <w:pStyle w:val="Heading2"/>
        <w:rPr>
          <w:b/>
        </w:rPr>
      </w:pPr>
    </w:p>
    <w:p w:rsidR="00315F42" w:rsidRDefault="00315F42" w:rsidP="00315F42"/>
    <w:p w:rsidR="00315F42" w:rsidRDefault="00315F42" w:rsidP="00315F42"/>
    <w:p w:rsidR="00315F42" w:rsidRPr="00315F42" w:rsidRDefault="00315F42" w:rsidP="00315F42"/>
    <w:p w:rsidR="00315F42" w:rsidRDefault="00315F42" w:rsidP="001A75E4">
      <w:pPr>
        <w:pStyle w:val="Heading2"/>
        <w:rPr>
          <w:b/>
        </w:rPr>
      </w:pPr>
    </w:p>
    <w:p w:rsidR="001A75E4" w:rsidRDefault="001A75E4" w:rsidP="001A75E4">
      <w:pPr>
        <w:pStyle w:val="Heading2"/>
        <w:rPr>
          <w:b/>
        </w:rPr>
      </w:pPr>
      <w:r w:rsidRPr="00D53273">
        <w:rPr>
          <w:b/>
        </w:rPr>
        <w:t>The Quality of Relationships &amp;</w:t>
      </w:r>
      <w:r>
        <w:t xml:space="preserve"> </w:t>
      </w:r>
      <w:proofErr w:type="gramStart"/>
      <w:r>
        <w:rPr>
          <w:b/>
        </w:rPr>
        <w:t>The</w:t>
      </w:r>
      <w:proofErr w:type="gramEnd"/>
      <w:r>
        <w:rPr>
          <w:b/>
        </w:rPr>
        <w:t xml:space="preserve"> L</w:t>
      </w:r>
      <w:r w:rsidRPr="002B0123">
        <w:rPr>
          <w:b/>
        </w:rPr>
        <w:t>ear</w:t>
      </w:r>
      <w:r>
        <w:rPr>
          <w:b/>
        </w:rPr>
        <w:t>ning E</w:t>
      </w:r>
      <w:r w:rsidRPr="002B0123">
        <w:rPr>
          <w:b/>
        </w:rPr>
        <w:t>nvironment</w:t>
      </w:r>
    </w:p>
    <w:p w:rsidR="001A75E4" w:rsidRDefault="001A75E4" w:rsidP="001A75E4"/>
    <w:p w:rsidR="001A75E4" w:rsidRDefault="001A75E4" w:rsidP="001A75E4">
      <w:r>
        <w:rPr>
          <w:noProof/>
          <w:lang w:eastAsia="en-GB"/>
        </w:rPr>
        <w:drawing>
          <wp:inline distT="0" distB="0" distL="0" distR="0" wp14:anchorId="543D77B1" wp14:editId="552599CA">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1A75E4" w:rsidRPr="00DD29BC" w:rsidRDefault="001A75E4" w:rsidP="001A75E4">
      <w:pPr>
        <w:rPr>
          <w:i/>
        </w:rPr>
      </w:pPr>
      <w:r>
        <w:tab/>
      </w:r>
      <w:r>
        <w:tab/>
      </w:r>
      <w:r>
        <w:tab/>
      </w:r>
      <w:r>
        <w:tab/>
      </w:r>
      <w:r>
        <w:tab/>
      </w:r>
      <w:r>
        <w:tab/>
      </w:r>
      <w:r>
        <w:tab/>
      </w:r>
      <w:r>
        <w:tab/>
      </w:r>
      <w:r>
        <w:tab/>
      </w:r>
      <w:r>
        <w:tab/>
      </w:r>
      <w:r>
        <w:tab/>
      </w:r>
      <w:r>
        <w:rPr>
          <w:i/>
        </w:rPr>
        <w:t>Graph</w:t>
      </w:r>
      <w:r w:rsidRPr="00DD29BC">
        <w:rPr>
          <w:i/>
        </w:rPr>
        <w:t xml:space="preserve"> 1</w:t>
      </w:r>
    </w:p>
    <w:p w:rsidR="001A75E4" w:rsidRDefault="001A75E4" w:rsidP="001A75E4">
      <w:pPr>
        <w:spacing w:line="360" w:lineRule="auto"/>
      </w:pPr>
      <w:r>
        <w:t xml:space="preserve">Graph 1 shows the comments given by the pupils on the learning environment based on their responses to the questionnaire. Five out of the six pupils cited that having a clean, light and relaxing environment helped them to learn with the other commenting on needing a variety of places to work as being important for their learning. This links directly to the focus group discussion where pupils commented on the importance of the self-directed learning environment where pupils felt they had the freedom and choice to learn in their own style and were able to adapt the environment to suit the way in which they learn. This was a feature of the independent faith school that is unique in comparison with mainstream secondary schools. All of the pupils cited that interruptions from both teachers and other pupils often hindered their learning with half of pupils stating that the interruptions often lacked purpose with particular reference in the focus group to teachers checking progress. Four out of the six pupils felt that taking responsibility for your own learning was important with one pupil commenting that one to one support was important and another pupil failing to comment on this question. The four responses made direct links to self-directed learning as the facilitator for initiative and they felt that this was the biggest factor in learning to manage their work and learning. </w:t>
      </w:r>
    </w:p>
    <w:p w:rsidR="001A75E4" w:rsidRDefault="001A75E4" w:rsidP="001A75E4">
      <w:pPr>
        <w:spacing w:line="360" w:lineRule="auto"/>
      </w:pPr>
      <w:r>
        <w:t xml:space="preserve">Within the focus group, one of the categories most commented on by pupils in the study was relationships and environment. This could be seen as being the most important aspect of their </w:t>
      </w:r>
      <w:r>
        <w:lastRenderedPageBreak/>
        <w:t xml:space="preserve">school life and would factor highly within their perceptions </w:t>
      </w:r>
      <w:r w:rsidRPr="00D1753B">
        <w:t>of their education and school life. Pupil responses focussed on the ideas of small class sizes, higher levels of focussed teacher attention, speeds of working and SDL (self-directed learning). All responses showed close links between higher academic standards, motivation and personalised learning alongside</w:t>
      </w:r>
      <w:r>
        <w:t xml:space="preserve"> teacher time. Figure 3 shows the correlation between the relationships </w:t>
      </w:r>
    </w:p>
    <w:p w:rsidR="001A75E4" w:rsidRDefault="001A75E4" w:rsidP="001A75E4">
      <w:r w:rsidRPr="00A630E2">
        <w:rPr>
          <w:i/>
        </w:rPr>
        <w:t>Figure 3</w:t>
      </w:r>
    </w:p>
    <w:p w:rsidR="001A75E4" w:rsidRDefault="001A75E4" w:rsidP="001A75E4">
      <w:r>
        <w:rPr>
          <w:noProof/>
          <w:lang w:eastAsia="en-GB"/>
        </w:rPr>
        <w:drawing>
          <wp:anchor distT="0" distB="0" distL="114300" distR="114300" simplePos="0" relativeHeight="251662336" behindDoc="0" locked="0" layoutInCell="1" allowOverlap="1" wp14:anchorId="1E89C815" wp14:editId="26CD7E1C">
            <wp:simplePos x="0" y="0"/>
            <wp:positionH relativeFrom="column">
              <wp:posOffset>501650</wp:posOffset>
            </wp:positionH>
            <wp:positionV relativeFrom="paragraph">
              <wp:posOffset>1540510</wp:posOffset>
            </wp:positionV>
            <wp:extent cx="3638550" cy="1504950"/>
            <wp:effectExtent l="0" t="0" r="19050" b="0"/>
            <wp:wrapSquare wrapText="bothSides"/>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page">
              <wp14:pctWidth>0</wp14:pctWidth>
            </wp14:sizeRelH>
            <wp14:sizeRelV relativeFrom="page">
              <wp14:pctHeight>0</wp14:pctHeight>
            </wp14:sizeRelV>
          </wp:anchor>
        </w:drawing>
      </w:r>
      <w:r>
        <w:tab/>
      </w:r>
      <w:r>
        <w:rPr>
          <w:noProof/>
          <w:lang w:eastAsia="en-GB"/>
        </w:rPr>
        <w:drawing>
          <wp:inline distT="0" distB="0" distL="0" distR="0" wp14:anchorId="346BBFA8" wp14:editId="24A44E73">
            <wp:extent cx="3638550" cy="1504950"/>
            <wp:effectExtent l="0" t="0" r="190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r>
        <w:tab/>
      </w:r>
      <w:r>
        <w:tab/>
      </w:r>
      <w:r>
        <w:tab/>
      </w:r>
      <w:r>
        <w:tab/>
      </w:r>
      <w:r>
        <w:tab/>
      </w:r>
      <w:r>
        <w:tab/>
      </w:r>
      <w:r>
        <w:tab/>
      </w:r>
      <w:r>
        <w:tab/>
      </w:r>
    </w:p>
    <w:p w:rsidR="001A75E4" w:rsidRDefault="001A75E4" w:rsidP="001A75E4">
      <w:r>
        <w:t xml:space="preserve">                                                                        </w:t>
      </w:r>
    </w:p>
    <w:p w:rsidR="001A75E4" w:rsidRDefault="001A75E4" w:rsidP="001A75E4"/>
    <w:p w:rsidR="001A75E4" w:rsidRDefault="001A75E4" w:rsidP="001A75E4"/>
    <w:p w:rsidR="001A75E4" w:rsidRDefault="001A75E4" w:rsidP="001A75E4">
      <w:r>
        <w:rPr>
          <w:noProof/>
          <w:lang w:eastAsia="en-GB"/>
        </w:rPr>
        <w:drawing>
          <wp:anchor distT="0" distB="0" distL="114300" distR="114300" simplePos="0" relativeHeight="251661312" behindDoc="0" locked="0" layoutInCell="1" allowOverlap="1" wp14:anchorId="4E625104" wp14:editId="2CCAEBFC">
            <wp:simplePos x="0" y="0"/>
            <wp:positionH relativeFrom="column">
              <wp:posOffset>488950</wp:posOffset>
            </wp:positionH>
            <wp:positionV relativeFrom="paragraph">
              <wp:posOffset>206375</wp:posOffset>
            </wp:positionV>
            <wp:extent cx="3638550" cy="1504950"/>
            <wp:effectExtent l="0" t="0" r="19050" b="0"/>
            <wp:wrapSquare wrapText="bothSides"/>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14:sizeRelH relativeFrom="page">
              <wp14:pctWidth>0</wp14:pctWidth>
            </wp14:sizeRelH>
            <wp14:sizeRelV relativeFrom="page">
              <wp14:pctHeight>0</wp14:pctHeight>
            </wp14:sizeRelV>
          </wp:anchor>
        </w:drawing>
      </w:r>
    </w:p>
    <w:p w:rsidR="001A75E4" w:rsidRDefault="001A75E4" w:rsidP="001A75E4"/>
    <w:p w:rsidR="001A75E4" w:rsidRDefault="001A75E4" w:rsidP="001A75E4"/>
    <w:p w:rsidR="001A75E4" w:rsidRDefault="001A75E4" w:rsidP="001A75E4"/>
    <w:p w:rsidR="001A75E4" w:rsidRDefault="001A75E4" w:rsidP="001A75E4"/>
    <w:p w:rsidR="001A75E4" w:rsidRDefault="001A75E4" w:rsidP="001A75E4"/>
    <w:p w:rsidR="001A75E4" w:rsidRDefault="001A75E4" w:rsidP="001A75E4">
      <w:pPr>
        <w:spacing w:line="360" w:lineRule="auto"/>
        <w:rPr>
          <w:i/>
        </w:rPr>
      </w:pPr>
      <w:r>
        <w:t xml:space="preserve">Whilst pupils commented on the direct link between small class sizes and higher academic achievement they also cited that SDL led to the individualisation of the learning process and enabled teachers to focus on pupils who needed more one to one attention. T. </w:t>
      </w:r>
      <w:proofErr w:type="spellStart"/>
      <w:proofErr w:type="gramStart"/>
      <w:r>
        <w:t>ap</w:t>
      </w:r>
      <w:proofErr w:type="spellEnd"/>
      <w:proofErr w:type="gramEnd"/>
      <w:r>
        <w:t xml:space="preserve"> Sion et al (2007) found similar findings in their 2007 study, which claimed the reason for the high standard of quality of education was due to correlations between high academic standards and small class sizes, motivation and quality of teaching and on the proportion of time spent with individuals.</w:t>
      </w:r>
      <w:r w:rsidRPr="00D53273">
        <w:t xml:space="preserve"> </w:t>
      </w:r>
      <w:r>
        <w:t>A female pupil commented on the advantages of smaller class sizes and increased support from the class teacher,</w:t>
      </w:r>
    </w:p>
    <w:p w:rsidR="001A75E4" w:rsidRPr="00D44EA1" w:rsidRDefault="001A75E4" w:rsidP="001A75E4">
      <w:pPr>
        <w:ind w:left="720"/>
        <w:rPr>
          <w:i/>
          <w:iCs/>
        </w:rPr>
      </w:pPr>
      <w:r w:rsidRPr="006A3E49">
        <w:rPr>
          <w:i/>
          <w:iCs/>
        </w:rPr>
        <w:lastRenderedPageBreak/>
        <w:t>….because we have small class sizes, about 6 or 7 maximum, it makes the learning loads better….there is more one to one teaching whereas if you’re in a massive class and you’re struggling, you’re less likely to be noticed.</w:t>
      </w:r>
      <w:r>
        <w:rPr>
          <w:i/>
          <w:iCs/>
        </w:rPr>
        <w:tab/>
      </w:r>
      <w:r>
        <w:rPr>
          <w:i/>
          <w:iCs/>
        </w:rPr>
        <w:tab/>
      </w:r>
      <w:r>
        <w:rPr>
          <w:i/>
          <w:iCs/>
        </w:rPr>
        <w:tab/>
      </w:r>
      <w:r>
        <w:rPr>
          <w:i/>
          <w:iCs/>
        </w:rPr>
        <w:tab/>
      </w:r>
      <w:r>
        <w:rPr>
          <w:i/>
          <w:iCs/>
        </w:rPr>
        <w:tab/>
        <w:t>Quote 1</w:t>
      </w:r>
    </w:p>
    <w:p w:rsidR="001A75E4" w:rsidRDefault="001A75E4" w:rsidP="001A75E4">
      <w:pPr>
        <w:spacing w:line="360" w:lineRule="auto"/>
      </w:pPr>
      <w:r>
        <w:t xml:space="preserve"> One of the male pupils suggested that smaller class sizes also increased confidence in their ability to contribute to class discussion</w:t>
      </w:r>
    </w:p>
    <w:p w:rsidR="001A75E4" w:rsidRPr="00D44EA1" w:rsidRDefault="001A75E4" w:rsidP="001A75E4">
      <w:pPr>
        <w:ind w:left="720"/>
        <w:rPr>
          <w:i/>
          <w:iCs/>
        </w:rPr>
      </w:pPr>
      <w:r w:rsidRPr="006A3E49">
        <w:rPr>
          <w:i/>
          <w:iCs/>
        </w:rPr>
        <w:t>…</w:t>
      </w:r>
      <w:r w:rsidRPr="009E2CB8">
        <w:rPr>
          <w:i/>
          <w:iCs/>
        </w:rPr>
        <w:t>if the class sizes were bigger you wouldn’t be free to shout out answers (fear of judgement), due to sma</w:t>
      </w:r>
      <w:r w:rsidRPr="00FE2A29">
        <w:rPr>
          <w:i/>
          <w:iCs/>
        </w:rPr>
        <w:t>ll</w:t>
      </w:r>
      <w:r w:rsidRPr="12A9C779">
        <w:rPr>
          <w:i/>
          <w:iCs/>
        </w:rPr>
        <w:t xml:space="preserve"> class sizes, we know each other strengths and weaknesses, so if we get to something we know they aren’t strong on, we all pitch in and help.</w:t>
      </w:r>
      <w:r>
        <w:rPr>
          <w:i/>
          <w:iCs/>
        </w:rPr>
        <w:tab/>
      </w:r>
      <w:r>
        <w:rPr>
          <w:i/>
          <w:iCs/>
        </w:rPr>
        <w:tab/>
        <w:t>Quote 2</w:t>
      </w:r>
    </w:p>
    <w:p w:rsidR="001A75E4" w:rsidRDefault="001A75E4" w:rsidP="001A75E4">
      <w:pPr>
        <w:spacing w:line="360" w:lineRule="auto"/>
      </w:pPr>
      <w:r>
        <w:t xml:space="preserve">Both quote one and quote two suggest that smaller class sizes are advantageous to learning and reinforce previous research from Sion et al (2007), Weinstein (1999) and Francis (2014). However, although small class sizes were stated as being beneficial on academic performance, they were also stated by pupils to be detrimental. Pupils felt that smaller class sizes were commensurate with limited friendship groups, fewer opportunities for group work and exaggerated behavioural issues between pupil and teacher such as failure to participate within the lesson, talking out of turn and failure to adhere to verbal instructions within the classroom.  L.J. Francis et al (2014) also found similar findings in their study suggesting that whilst pupils felt that small class sizes enabled teachers to value the growth of the whole person and not just their academic development, students commented on the disadvantages of small class sizes on relationships between students and the effect of discipline issues on relationships between students and teachers. </w:t>
      </w:r>
    </w:p>
    <w:p w:rsidR="001A75E4" w:rsidRDefault="001A75E4" w:rsidP="001A75E4">
      <w:pPr>
        <w:spacing w:line="360" w:lineRule="auto"/>
      </w:pPr>
      <w:r>
        <w:t xml:space="preserve">Pupils in the IFS commented on the positive and relaxed atmosphere of the class which was thought to be a result of the small class sizes, the understanding of each other’s learning needs and the interaction with the teacher, this was supported by Evans et al (2009) and </w:t>
      </w:r>
      <w:proofErr w:type="spellStart"/>
      <w:r>
        <w:t>Ashkanasy</w:t>
      </w:r>
      <w:proofErr w:type="spellEnd"/>
      <w:r>
        <w:t xml:space="preserve"> (2003) research that claims in an organisational setting where people are in close proximity and consistently work or play together as a group for differing quantities of time are seen to quickly develop a distinct social climate or feel. The meteorological metaphor ‘climate’ given to this environment can be apt for many reasons. Pupils felt that their peers were the biggest influence on their learning within the classroom and could influence the lesson in an equally positive or negative way dependent on mood. This was cited as being particularly relative to the </w:t>
      </w:r>
      <w:proofErr w:type="gramStart"/>
      <w:r>
        <w:t>boys</w:t>
      </w:r>
      <w:proofErr w:type="gramEnd"/>
      <w:r>
        <w:t xml:space="preserve"> participation.  </w:t>
      </w:r>
      <w:proofErr w:type="spellStart"/>
      <w:r w:rsidRPr="006A3E49">
        <w:t>Barsade</w:t>
      </w:r>
      <w:proofErr w:type="spellEnd"/>
      <w:r w:rsidRPr="009E2CB8">
        <w:t xml:space="preserve"> (2002) and </w:t>
      </w:r>
      <w:proofErr w:type="spellStart"/>
      <w:r w:rsidRPr="00FE2A29">
        <w:t>Hareli</w:t>
      </w:r>
      <w:proofErr w:type="spellEnd"/>
      <w:r w:rsidRPr="00FE2A29">
        <w:t xml:space="preserve"> &amp; </w:t>
      </w:r>
      <w:proofErr w:type="spellStart"/>
      <w:r w:rsidRPr="00FE2A29">
        <w:t>Rafaeli</w:t>
      </w:r>
      <w:proofErr w:type="spellEnd"/>
      <w:r w:rsidRPr="00FE2A29">
        <w:t xml:space="preserve"> (</w:t>
      </w:r>
      <w:r>
        <w:t xml:space="preserve">2008) supports these findings suggesting that the ‘climate’ can be easily changed quickly and can move from pleasant to unpleasant whilst also affecting everyone amongst it. </w:t>
      </w:r>
    </w:p>
    <w:p w:rsidR="001A75E4" w:rsidRDefault="001A75E4" w:rsidP="001A75E4">
      <w:pPr>
        <w:spacing w:line="360" w:lineRule="auto"/>
      </w:pPr>
      <w:r>
        <w:t xml:space="preserve">Pupils in this study felt that a positive relationship between teacher and pupil was important and had developed expectations of a ‘good teacher’ on arrival to the school.  This theory was supported by </w:t>
      </w:r>
      <w:proofErr w:type="spellStart"/>
      <w:r>
        <w:t>Rayneri</w:t>
      </w:r>
      <w:proofErr w:type="spellEnd"/>
      <w:r>
        <w:t xml:space="preserve"> et al (2006) as suggested previously that pupils arrive at school with a set of preconceived </w:t>
      </w:r>
      <w:r>
        <w:lastRenderedPageBreak/>
        <w:t>ideas of what makes a good teacher. All pupils stated that the teacher should be respectful of their ethos, should show an interest in understanding the needs of the pupil, should show an interest in their hobbies and interests and should support pupils where needed on a guidance basis. Teachers were aptly named as ‘guides on the side’ as opposed to ‘sage on the stage’ meaning that teachers should guide and steer learning in the correct direction rather than dominate the pupils learning. These terms evolved from teachers working within the SDL culture to help pupils understand their roles and clarify some of the main principles surrounding SDL but mainly to emphasise the necessity to find other methods of research and study rather than solely relying upon the teacher for information. This directly links to the schools learning ethos of SDL. Another belief that the pupils have in relation to their teacher interaction is the four B’s policy before asking the teacher. This stands for ‘buddy, book, brain’ then boss (teacher). Having this policy encourages pupils to seek out the answer independently and allows them to work in their own unique way best suited to their learning style. Asking the teacher is a ‘last resort’ for the pupil and ensures that there isn’t an over-reliance on teacher help when the pupil is capable of finding help and support elsewhere. This is thought to consolidate learning. Pupils in the current study suggested</w:t>
      </w:r>
    </w:p>
    <w:p w:rsidR="001A75E4" w:rsidRDefault="001A75E4" w:rsidP="001A75E4">
      <w:pPr>
        <w:ind w:left="720"/>
        <w:rPr>
          <w:i/>
        </w:rPr>
      </w:pPr>
      <w:r w:rsidRPr="006A3E49">
        <w:rPr>
          <w:i/>
        </w:rPr>
        <w:t>….</w:t>
      </w:r>
      <w:r w:rsidRPr="009E2CB8">
        <w:rPr>
          <w:i/>
        </w:rPr>
        <w:t xml:space="preserve">when we are in the SDL area…if we need </w:t>
      </w:r>
      <w:r w:rsidRPr="00FE2A29">
        <w:rPr>
          <w:i/>
        </w:rPr>
        <w:t>help we’d probably go to each other first…you’d get the question answered quicker than if you’d asked the teacher</w:t>
      </w:r>
      <w:r w:rsidRPr="00FE2A29">
        <w:rPr>
          <w:i/>
        </w:rPr>
        <w:tab/>
      </w:r>
      <w:r>
        <w:rPr>
          <w:i/>
        </w:rPr>
        <w:tab/>
      </w:r>
      <w:r w:rsidRPr="00FE2A29">
        <w:rPr>
          <w:i/>
        </w:rPr>
        <w:t>Quote 3</w:t>
      </w:r>
    </w:p>
    <w:p w:rsidR="001A75E4" w:rsidRDefault="001A75E4" w:rsidP="001A75E4">
      <w:pPr>
        <w:spacing w:line="360" w:lineRule="auto"/>
      </w:pPr>
      <w:r>
        <w:t>When asked about attitudes to learning, a female pupil also commented on how SDL (Self-directed learning) affects teachers within the classroom suggesting that since the new SDL style of learning had been introduced into the school, teachers felt a need to ‘check-up’ on pupil progress rather than leave the pupils to learn remotely.</w:t>
      </w:r>
    </w:p>
    <w:p w:rsidR="001A75E4" w:rsidRPr="003528ED" w:rsidRDefault="001A75E4" w:rsidP="001A75E4">
      <w:pPr>
        <w:ind w:left="720"/>
        <w:rPr>
          <w:i/>
        </w:rPr>
      </w:pPr>
      <w:r w:rsidRPr="006A3E49">
        <w:rPr>
          <w:i/>
        </w:rPr>
        <w:t>……the teacher comes up and tries to get you to explain</w:t>
      </w:r>
      <w:r w:rsidRPr="009E2CB8">
        <w:rPr>
          <w:i/>
        </w:rPr>
        <w:t xml:space="preserve"> what you’re doing because they feel like they haven’t got anything else</w:t>
      </w:r>
      <w:r w:rsidRPr="00FE2A29">
        <w:rPr>
          <w:i/>
        </w:rPr>
        <w:t xml:space="preserve"> to do.</w:t>
      </w:r>
      <w:r>
        <w:rPr>
          <w:i/>
        </w:rPr>
        <w:tab/>
      </w:r>
      <w:r>
        <w:rPr>
          <w:i/>
        </w:rPr>
        <w:tab/>
      </w:r>
      <w:r>
        <w:rPr>
          <w:i/>
        </w:rPr>
        <w:tab/>
      </w:r>
      <w:r>
        <w:rPr>
          <w:i/>
        </w:rPr>
        <w:tab/>
      </w:r>
      <w:r>
        <w:rPr>
          <w:i/>
        </w:rPr>
        <w:tab/>
        <w:t>Quote 4</w:t>
      </w:r>
    </w:p>
    <w:p w:rsidR="001A75E4" w:rsidRPr="005C00B6" w:rsidRDefault="001A75E4" w:rsidP="001A75E4">
      <w:pPr>
        <w:spacing w:line="360" w:lineRule="auto"/>
      </w:pPr>
      <w:r>
        <w:t>Both quotes three and four suggest that the relationship between a teacher and pupil can be both positive and negative and that this is highly dependent on need and attitude toward the task set. Pupils felt that within the learning environment support from their peers was just as important as teacher support.</w:t>
      </w:r>
    </w:p>
    <w:p w:rsidR="001A75E4" w:rsidRDefault="001A75E4" w:rsidP="001A75E4">
      <w:pPr>
        <w:spacing w:line="360" w:lineRule="auto"/>
      </w:pPr>
      <w:r>
        <w:t>Findings from Weinstein (1999) study strongly correlated with aspects of this study. He identified four aspects of classroom management that reflect the skills and competence of the teacher. The first is mindfulness shown through the awareness of others and their needs. Secondly, is the shift from an approach that focusses on external control to an approach that encourages pupil self-</w:t>
      </w:r>
      <w:proofErr w:type="gramStart"/>
      <w:r>
        <w:t>regulation.</w:t>
      </w:r>
      <w:proofErr w:type="gramEnd"/>
      <w:r>
        <w:t xml:space="preserve"> Thirdly is the importance of developing a trusting and caring relationship between teacher and pupil and lastly, an emphasis on classrooms as centres of active, student-oriented learning rather than teacher directed work. Pupils in the current study valued teacher feedback </w:t>
      </w:r>
      <w:r>
        <w:lastRenderedPageBreak/>
        <w:t xml:space="preserve">which they felt helped them develop their weaker areas and pointed out areas of strength, that teachers allowed pupils to investigate work in their preferred learning style and that teachers supported them in their learning through positive </w:t>
      </w:r>
      <w:r w:rsidRPr="006A3E49">
        <w:t xml:space="preserve">relationships this was supported by </w:t>
      </w:r>
      <w:r w:rsidRPr="009E2CB8">
        <w:t>Harvey &amp; Evans</w:t>
      </w:r>
      <w:r w:rsidRPr="00FE2A29">
        <w:t xml:space="preserve"> (2003) who suggested that the emotional climate</w:t>
      </w:r>
      <w:r>
        <w:t xml:space="preserve"> of the classroom is centrally managed by the teacher. It is made up of emotional transactions between teacher and pupil in which the teacher can gauge the feelings of pupils and plan accordingly. Pupils in the current study suggested</w:t>
      </w:r>
    </w:p>
    <w:p w:rsidR="001A75E4" w:rsidRPr="00FE40A6" w:rsidRDefault="001A75E4" w:rsidP="001A75E4">
      <w:pPr>
        <w:ind w:left="720"/>
        <w:rPr>
          <w:i/>
        </w:rPr>
      </w:pPr>
      <w:r w:rsidRPr="006A3E49">
        <w:rPr>
          <w:i/>
        </w:rPr>
        <w:t>…</w:t>
      </w:r>
      <w:r w:rsidRPr="009E2CB8">
        <w:rPr>
          <w:i/>
        </w:rPr>
        <w:t>the teachers can see that we work hard and put effort in so they respect us for that, that’s why they give us responsibility</w:t>
      </w:r>
      <w:r w:rsidRPr="00FE2A29">
        <w:rPr>
          <w:i/>
        </w:rPr>
        <w:t>, which you might not see in other schools…</w:t>
      </w:r>
      <w:r w:rsidRPr="00FE2A29">
        <w:rPr>
          <w:i/>
        </w:rPr>
        <w:tab/>
        <w:t>Quote 5</w:t>
      </w:r>
    </w:p>
    <w:p w:rsidR="001A75E4" w:rsidRDefault="001A75E4" w:rsidP="001A75E4">
      <w:pPr>
        <w:spacing w:line="360" w:lineRule="auto"/>
      </w:pPr>
      <w:r>
        <w:t xml:space="preserve">Francis (2014) stated in their 2014 study that the majority of former students appreciated the close relationships that they developed with other students and teachers. When pupils from the IFS were asked about the quality of their relationship between pupils and teachers, they felt that respect and a positive disposition from the teachers and pupils was the key to a good relationship. Pupils felt that a teachers’ enthusiasm and passion for their subject were key motivators for their learning and that a negative outlook on their curriculum area fostered a negative response from the class or individual pupil. An important facet of the pupils’ perception of the relationship between teachers and pupils was that it was the fault of the pupil if the relationship was compromised or inflexible. Pupils felt that an important factor affecting the teacher-pupil relationship was communication and the teachers’ willingness to take time to understand the pupils’ needs.  Pupils’ also felt that teachers who taught a variety of subjects within their school appeared to exhibit a more limited knowledge of all subject areas and in the needs of individual pupils in comparison to teachers with a subject specialism. </w:t>
      </w:r>
      <w:proofErr w:type="spellStart"/>
      <w:r>
        <w:t>Ap</w:t>
      </w:r>
      <w:proofErr w:type="spellEnd"/>
      <w:r>
        <w:t xml:space="preserve"> Sion </w:t>
      </w:r>
      <w:proofErr w:type="gramStart"/>
      <w:r>
        <w:t>et al</w:t>
      </w:r>
      <w:proofErr w:type="gramEnd"/>
      <w:r>
        <w:t xml:space="preserve"> (2007) study showed that male graduates thought that learning experiences were marred by inadequately trained subject teachers, unqualified teachers and a lack of continuity in teaching staff. Further research could seek to ascertain the </w:t>
      </w:r>
      <w:proofErr w:type="gramStart"/>
      <w:r>
        <w:t>teachers</w:t>
      </w:r>
      <w:proofErr w:type="gramEnd"/>
      <w:r>
        <w:t xml:space="preserve"> perspective on the relationships between themselves and the pupils and thus data collected could be compared to views of the pupils to investigate whether a teachers relationship with the pupil has an impact on learning and whether it has a positive or negative outcome.</w:t>
      </w:r>
    </w:p>
    <w:p w:rsidR="001A75E4" w:rsidRDefault="001A75E4" w:rsidP="001A75E4">
      <w:pPr>
        <w:spacing w:line="360" w:lineRule="auto"/>
      </w:pPr>
      <w:r>
        <w:t xml:space="preserve"> It was noted within the IFS that the learning environment changed significantly when pupils were being taught in combination with a VC (virtual classroom) class. Pupils stated that it can both help and hinder the learning process. </w:t>
      </w:r>
    </w:p>
    <w:p w:rsidR="001A75E4" w:rsidRPr="003528ED" w:rsidRDefault="001A75E4" w:rsidP="001A75E4">
      <w:pPr>
        <w:ind w:left="720"/>
        <w:rPr>
          <w:i/>
        </w:rPr>
      </w:pPr>
      <w:r w:rsidRPr="006A3E49">
        <w:rPr>
          <w:i/>
        </w:rPr>
        <w:t>The class can run much m</w:t>
      </w:r>
      <w:r w:rsidRPr="009E2CB8">
        <w:rPr>
          <w:i/>
        </w:rPr>
        <w:t>ore slowly, and you faff about with technology, it is slower, you know you don’t get as much done.</w:t>
      </w:r>
      <w:r w:rsidRPr="00FE2A29">
        <w:rPr>
          <w:i/>
        </w:rPr>
        <w:tab/>
      </w:r>
      <w:r w:rsidRPr="00FE2A29">
        <w:rPr>
          <w:i/>
        </w:rPr>
        <w:tab/>
      </w:r>
      <w:r w:rsidRPr="00FE2A29">
        <w:rPr>
          <w:i/>
        </w:rPr>
        <w:tab/>
      </w:r>
      <w:r>
        <w:rPr>
          <w:i/>
        </w:rPr>
        <w:tab/>
      </w:r>
      <w:r>
        <w:rPr>
          <w:i/>
        </w:rPr>
        <w:tab/>
      </w:r>
      <w:r w:rsidRPr="009E2CB8">
        <w:rPr>
          <w:i/>
        </w:rPr>
        <w:t>Quote 6</w:t>
      </w:r>
    </w:p>
    <w:p w:rsidR="001A75E4" w:rsidRDefault="001A75E4" w:rsidP="001A75E4">
      <w:pPr>
        <w:spacing w:line="360" w:lineRule="auto"/>
      </w:pPr>
      <w:r>
        <w:t xml:space="preserve">Quotes 5 and 6 evidence that VC can be both a positive and negative factor on learning, whilst it can develop </w:t>
      </w:r>
      <w:proofErr w:type="gramStart"/>
      <w:r>
        <w:t>pupils</w:t>
      </w:r>
      <w:proofErr w:type="gramEnd"/>
      <w:r>
        <w:t xml:space="preserve"> independence as a learner and foster a sense of responsibility, it can also hinder learning through technological deficits and a lack of understanding of pupil needs by the VC teacher.  </w:t>
      </w:r>
      <w:r>
        <w:lastRenderedPageBreak/>
        <w:t>Pupils felt that a lack of consistency with technology, teachers’ ability to work with the technology needed for VC learning and with outside factors such as attendance, participation and behaviour were also factors that influenced successful learning. Pupils commented on the benefits of bigger class sizes allowing more interaction through VC teaching but also on the effects of the behaviour when another class joins the lesson remotely.</w:t>
      </w:r>
    </w:p>
    <w:p w:rsidR="001A75E4" w:rsidRPr="000767B0" w:rsidRDefault="001A75E4" w:rsidP="001A75E4">
      <w:pPr>
        <w:ind w:left="720"/>
        <w:rPr>
          <w:i/>
        </w:rPr>
      </w:pPr>
      <w:r w:rsidRPr="006A3E49">
        <w:rPr>
          <w:i/>
        </w:rPr>
        <w:t>The VC group can muck around and it’s annoying when you’re trying to concentrate</w:t>
      </w:r>
      <w:r w:rsidRPr="009E2CB8">
        <w:rPr>
          <w:i/>
        </w:rPr>
        <w:t>.</w:t>
      </w:r>
      <w:r w:rsidRPr="00FE2A29">
        <w:rPr>
          <w:i/>
        </w:rPr>
        <w:t xml:space="preserve"> Quote 7</w:t>
      </w:r>
    </w:p>
    <w:p w:rsidR="001A75E4" w:rsidRDefault="001A75E4" w:rsidP="001A75E4">
      <w:pPr>
        <w:spacing w:line="360" w:lineRule="auto"/>
      </w:pPr>
      <w:r>
        <w:t>A distinction between the change of pace in the lesson and the participation of VC pupils was identified by a number of the pupils with particular reference to the demand on teacher time and the amount of work done as a result.</w:t>
      </w:r>
    </w:p>
    <w:p w:rsidR="001A75E4" w:rsidRPr="00011151" w:rsidRDefault="001A75E4" w:rsidP="001A75E4">
      <w:pPr>
        <w:ind w:left="720"/>
        <w:rPr>
          <w:i/>
        </w:rPr>
      </w:pPr>
      <w:r w:rsidRPr="006A3E49">
        <w:t>….</w:t>
      </w:r>
      <w:r w:rsidRPr="009E2CB8">
        <w:rPr>
          <w:i/>
        </w:rPr>
        <w:t xml:space="preserve">the teacher can’t do anything because they aren’t face to face with them, it’s not the same when they </w:t>
      </w:r>
      <w:r w:rsidRPr="00FE2A29">
        <w:rPr>
          <w:i/>
        </w:rPr>
        <w:t xml:space="preserve">aren’t in the room, </w:t>
      </w:r>
      <w:proofErr w:type="gramStart"/>
      <w:r w:rsidRPr="00FE2A29">
        <w:rPr>
          <w:i/>
        </w:rPr>
        <w:t>pupils</w:t>
      </w:r>
      <w:proofErr w:type="gramEnd"/>
      <w:r w:rsidRPr="00FE2A29">
        <w:rPr>
          <w:i/>
        </w:rPr>
        <w:t xml:space="preserve"> can just turn up when they want.</w:t>
      </w:r>
      <w:r w:rsidRPr="00FE2A29">
        <w:rPr>
          <w:i/>
        </w:rPr>
        <w:tab/>
      </w:r>
      <w:r>
        <w:rPr>
          <w:i/>
        </w:rPr>
        <w:tab/>
      </w:r>
      <w:r w:rsidRPr="00FE2A29">
        <w:rPr>
          <w:i/>
        </w:rPr>
        <w:t>Quote 8</w:t>
      </w:r>
    </w:p>
    <w:p w:rsidR="001A75E4" w:rsidRDefault="001A75E4" w:rsidP="001A75E4">
      <w:pPr>
        <w:spacing w:line="360" w:lineRule="auto"/>
      </w:pPr>
      <w:r>
        <w:t>Quotes seven and eight show that behaviour can be a large influence on the both the quantity and quality of learning taking place within the classroom. Behaviour was cited as the biggest influence on classroom learning by Evans et al (2009) who suggest that as classroom climate closely relates to the morale of teachers and their subsequent workload, to positive school-wide discipline and expectations and values that are communicated to pupils through the school management system that classroom climate is affected directly by the skills of the individual teacher. Pupils felt that often behaviour within the classroom during a VC lesson was out of the tea</w:t>
      </w:r>
      <w:r w:rsidRPr="006A3E49">
        <w:t xml:space="preserve">chers’ control. </w:t>
      </w:r>
      <w:r w:rsidRPr="009E2CB8">
        <w:t>Chapin &amp; Eastman</w:t>
      </w:r>
      <w:r w:rsidRPr="00FE2A29">
        <w:t xml:space="preserve"> (1996) research opposes these findings and claims that teaching</w:t>
      </w:r>
      <w:r>
        <w:t xml:space="preserve"> methods and both instructional strategies and discipline management skills are teacher characteristics that have been defined as contributing to positive classroom climates. A combination of clear and well-structured procedural rules together with opportunities for active participation and engagement have shown to positively affect pupil’s self-efficacy and beliefs (</w:t>
      </w:r>
      <w:r w:rsidRPr="006A3E49">
        <w:t>Keyser</w:t>
      </w:r>
      <w:r w:rsidRPr="009E2CB8">
        <w:t xml:space="preserve"> &amp; </w:t>
      </w:r>
      <w:proofErr w:type="spellStart"/>
      <w:r w:rsidRPr="009E2CB8">
        <w:t>Barling</w:t>
      </w:r>
      <w:proofErr w:type="spellEnd"/>
      <w:r w:rsidRPr="009E2CB8">
        <w:t xml:space="preserve"> 1981).</w:t>
      </w:r>
      <w:r>
        <w:t xml:space="preserve"> This could be directly applied to standard classroom teaching where teachers are face to face with pupils however conditions mimicked by VC teaching should require a different set of expectations and instructional adjustments to manage situations that arise from distance learning. Quote nine evidences the need for a classroom teacher to be skilled in managing behaviour remotely, if behaviour is not managed and expectations established, quality of teaching and learning is heavily influenced and has a negative impact on both teacher and pupil.  </w:t>
      </w:r>
    </w:p>
    <w:p w:rsidR="001A75E4" w:rsidRPr="000767B0" w:rsidRDefault="001A75E4" w:rsidP="001A75E4">
      <w:pPr>
        <w:ind w:left="720"/>
        <w:rPr>
          <w:i/>
        </w:rPr>
      </w:pPr>
      <w:r w:rsidRPr="006A3E49">
        <w:rPr>
          <w:i/>
        </w:rPr>
        <w:t xml:space="preserve">….you have to get the </w:t>
      </w:r>
      <w:r w:rsidRPr="009E2CB8">
        <w:rPr>
          <w:i/>
        </w:rPr>
        <w:t>VC pupils from other classes on the right side…otherwise it spoils the lesson and you can’t learn…the teacher spends the lesson trying to control the pupils remotely and they can just leave when they want….it’s hard when they muck about.</w:t>
      </w:r>
      <w:r>
        <w:rPr>
          <w:i/>
        </w:rPr>
        <w:t xml:space="preserve"> </w:t>
      </w:r>
      <w:r w:rsidRPr="00FE2A29">
        <w:rPr>
          <w:i/>
        </w:rPr>
        <w:t>Quote 9</w:t>
      </w:r>
    </w:p>
    <w:p w:rsidR="001A75E4" w:rsidRDefault="001A75E4" w:rsidP="001A75E4">
      <w:pPr>
        <w:spacing w:line="360" w:lineRule="auto"/>
      </w:pPr>
      <w:r>
        <w:t xml:space="preserve">It could be pertinent for further research to observe VC lessons and ascertain what problems are occurring and how they influence the pupils learning. This would also help the school to develop </w:t>
      </w:r>
      <w:r>
        <w:lastRenderedPageBreak/>
        <w:t xml:space="preserve">strategies to manage the problems or behaviours occurring within the VC classroom. </w:t>
      </w:r>
      <w:r w:rsidRPr="00FE2A29">
        <w:t>When asked</w:t>
      </w:r>
      <w:r w:rsidRPr="006A3E49">
        <w:t xml:space="preserve"> about friendship</w:t>
      </w:r>
      <w:r>
        <w:t xml:space="preserve"> groups, pupils suggested that friendship groups helped you to develop social skills, help to build confidence and develop better negotiation skills. Baker and Freeman (2005) reinforced this and stated that relationships amongst students themselves should replicate Christian openness and inclusivity and should further encourage students to partake in orderliness, obedience, forgiveness, kindness and love. Pupils within the IFS felt that their friendships fostered motivation, learning and support and whilst sharing the same ethos helped with mutual understanding and compassion there was little reference to sentiment or tolerance amongst each other. Friendship groups were an important part of the education process within the school and centred on shared learning goals, academic progression and in preparation for work. </w:t>
      </w:r>
    </w:p>
    <w:p w:rsidR="001A75E4" w:rsidRDefault="001A75E4" w:rsidP="001A75E4">
      <w:pPr>
        <w:spacing w:line="360" w:lineRule="auto"/>
      </w:pPr>
      <w:r>
        <w:t>When pupils were asked about the religious ethos of the school, pupils reported that sharing the same ethos was important to their learning. Pupils felt that through shared beliefs and values whilst in school, enabled them to share the same learning goals. Francis et al (2014) supported the focus group comments by suggesting that the school environment offered them nurturing qualities such as freedom and security and that the notion of faith permeating all aspects of school life and ethos made school ‘a homely, loving and safe place to be’. Whilst pupils from the IFS felt that sharing the same ethos and moral values was important to their academic progression, they also felt that it nurtured enthusiasm and fostered a commitment to learning. L.J. Francis (2005) also claims that alongside the family environment the school plays a major context in which values are formed and at the centre of the development of those values is the importance of the peer group themselves. This was echoed in the information given by pupils from the IFS in the questionnaire responses. This could be further researched through examining the role of peer groups and their influence on social development within the school. It would be interesting to find out how friendship groups influence the choices made whilst at school and whether these have a positive or negative influence on these choices.</w:t>
      </w:r>
    </w:p>
    <w:p w:rsidR="001A75E4" w:rsidRDefault="001A75E4" w:rsidP="001A75E4">
      <w:pPr>
        <w:spacing w:line="360" w:lineRule="auto"/>
      </w:pPr>
      <w:r>
        <w:t xml:space="preserve">In </w:t>
      </w:r>
      <w:proofErr w:type="spellStart"/>
      <w:proofErr w:type="gramStart"/>
      <w:r>
        <w:t>Ap</w:t>
      </w:r>
      <w:proofErr w:type="spellEnd"/>
      <w:proofErr w:type="gramEnd"/>
      <w:r>
        <w:t xml:space="preserve"> Sion (2007) study, it was also suggested that there was a higher importance placed on core subject areas and teachers took a divisive view on peripheral subjects such as PE whereas in the IFS pupils felt that there had been a recent shift from academically based subjects to curriculum areas with a more practical focus. Pupils felt that this increased their inclusivity within the school and was a move to meet all pupils’ academic needs. Male graduates in </w:t>
      </w:r>
      <w:proofErr w:type="spellStart"/>
      <w:r>
        <w:t>Ap</w:t>
      </w:r>
      <w:proofErr w:type="spellEnd"/>
      <w:r>
        <w:t xml:space="preserve"> Sion 2007 study also cited that they felt they were offered a restricted subject choice and stated that there were specific curriculum areas unavailable for examinations particularly sporting activities. This was also noted in the IFS study that PE was not available as an examination subject and that experiences for sporting achievement were limited due to the ethos and nature of the school. Within the IFS, competitive </w:t>
      </w:r>
      <w:r>
        <w:lastRenderedPageBreak/>
        <w:t xml:space="preserve">sports and sports that involved full contact were restricted from pupils as they directly contravened religious and school ethos. Similar subjects were studied at Key Stage three but were not provided as examination areas due to the contravening nature against the religion, subjects such as music and media would not be allowed at examination level and English Literature and Biology at A Level were prohibited due to the exposure to inappropriate and contravening material that would need to be studied. This would limit the pupils’ creative and imaginative studies and marginalise their academic potential steering pupils towards subject with a more logical and factual base. AISWA (2015) commented that one of the characterising factors of independent schools was their ability to develop their own culture, ethos and values system which incorporated the consequent development of their own curriculum which suited that system. </w:t>
      </w:r>
    </w:p>
    <w:p w:rsidR="001A75E4" w:rsidRPr="00FE40A6" w:rsidRDefault="001A75E4" w:rsidP="001A75E4">
      <w:pPr>
        <w:pStyle w:val="Heading2"/>
        <w:rPr>
          <w:b/>
        </w:rPr>
      </w:pPr>
      <w:r>
        <w:rPr>
          <w:b/>
        </w:rPr>
        <w:t xml:space="preserve">Attitudes to Learning &amp; </w:t>
      </w:r>
      <w:proofErr w:type="gramStart"/>
      <w:r w:rsidRPr="00FE40A6">
        <w:rPr>
          <w:b/>
        </w:rPr>
        <w:t>The</w:t>
      </w:r>
      <w:proofErr w:type="gramEnd"/>
      <w:r w:rsidRPr="00FE40A6">
        <w:rPr>
          <w:b/>
        </w:rPr>
        <w:t xml:space="preserve"> Quality of Education</w:t>
      </w:r>
    </w:p>
    <w:p w:rsidR="001A75E4" w:rsidRDefault="001A75E4" w:rsidP="001A75E4">
      <w:pPr>
        <w:pStyle w:val="Heading2"/>
        <w:rPr>
          <w:b/>
        </w:rPr>
      </w:pPr>
    </w:p>
    <w:p w:rsidR="001A75E4" w:rsidRDefault="001A75E4" w:rsidP="001A75E4">
      <w:r>
        <w:rPr>
          <w:noProof/>
          <w:lang w:eastAsia="en-GB"/>
        </w:rPr>
        <w:drawing>
          <wp:inline distT="0" distB="0" distL="0" distR="0" wp14:anchorId="7FCBDABD" wp14:editId="4A938DB4">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1A75E4" w:rsidRPr="00170428" w:rsidRDefault="001A75E4" w:rsidP="001A75E4">
      <w:pPr>
        <w:rPr>
          <w:i/>
        </w:rPr>
      </w:pPr>
      <w:r>
        <w:tab/>
      </w:r>
      <w:r>
        <w:tab/>
      </w:r>
      <w:r>
        <w:tab/>
      </w:r>
      <w:r>
        <w:tab/>
      </w:r>
      <w:r>
        <w:tab/>
      </w:r>
      <w:r>
        <w:tab/>
      </w:r>
      <w:r>
        <w:tab/>
      </w:r>
      <w:r>
        <w:tab/>
      </w:r>
      <w:r>
        <w:tab/>
      </w:r>
      <w:r>
        <w:tab/>
      </w:r>
      <w:r w:rsidRPr="00170428">
        <w:rPr>
          <w:i/>
        </w:rPr>
        <w:t>Graph 2</w:t>
      </w:r>
    </w:p>
    <w:p w:rsidR="001A75E4" w:rsidRDefault="001A75E4" w:rsidP="001A75E4">
      <w:r>
        <w:rPr>
          <w:noProof/>
          <w:lang w:eastAsia="en-GB"/>
        </w:rPr>
        <w:lastRenderedPageBreak/>
        <w:drawing>
          <wp:inline distT="0" distB="0" distL="0" distR="0" wp14:anchorId="19B014C6" wp14:editId="1319B65E">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1A75E4" w:rsidRPr="00170428" w:rsidRDefault="001A75E4" w:rsidP="001A75E4">
      <w:pPr>
        <w:rPr>
          <w:i/>
        </w:rPr>
      </w:pPr>
      <w:r>
        <w:tab/>
      </w:r>
      <w:r>
        <w:tab/>
      </w:r>
      <w:r>
        <w:tab/>
      </w:r>
      <w:r>
        <w:tab/>
      </w:r>
      <w:r>
        <w:tab/>
      </w:r>
      <w:r>
        <w:tab/>
      </w:r>
      <w:r>
        <w:tab/>
      </w:r>
      <w:r>
        <w:tab/>
      </w:r>
      <w:r>
        <w:tab/>
      </w:r>
      <w:r>
        <w:tab/>
      </w:r>
      <w:r w:rsidRPr="00170428">
        <w:rPr>
          <w:i/>
        </w:rPr>
        <w:t>Graph 3</w:t>
      </w:r>
    </w:p>
    <w:p w:rsidR="001A75E4" w:rsidRDefault="001A75E4" w:rsidP="001A75E4">
      <w:pPr>
        <w:spacing w:line="360" w:lineRule="auto"/>
      </w:pPr>
      <w:r>
        <w:t>Graph two represents pupils’ comments on attitudes to learning from the questionnaire. Four out of six pupils felt that learning takes place at church in addition to the structured learning at school with the other two pupils commenting that they felt that learning also occurs at home and whilst at work. All pupils commented on the importance of sharing the same morals and values whilst at school and they all felt that this was crucial for their wellbeing at school. All pupils felt that there were both positives and negatives to being educated within a faith environment, with pupils citing more one to one time with the teacher, closer relationships between students, being offered a high standard of education and higher motivation levels as being positive in nature. However, pupils also felt that fewer resources, lower funding levels, limited opportunity for collaboration and opportunities to learn within different mediums were negative factors of being educated in an independent school. All pupils stated that they felt small class sizes had both negative and positive attributes. With fewer pupils, it was felt that teacher attention was more focussed on each pupil making the pupil feel more valued whilst they also felt that having smaller class sizes meant limited opportunities for group work and collaboration.</w:t>
      </w:r>
    </w:p>
    <w:p w:rsidR="001A75E4" w:rsidRDefault="001A75E4" w:rsidP="001A75E4">
      <w:pPr>
        <w:spacing w:line="360" w:lineRule="auto"/>
      </w:pPr>
      <w:r>
        <w:t xml:space="preserve">Graph three shows the pupils responses to the quality of education within an independent faith school taken from the questionnaires. In response to being asked whether they felt they had enough choice of subject at both GCSE and A Level, all pupils commented on the lack of choice at GCSE however half of the pupils felt that this choice improved at A Level with the addition of VC (Virtual Classroom) learning. All pupils also felt that the subject choices catered for their learning needs and all pupils felt that the subject choices were appropriate for their chosen career path. Within the </w:t>
      </w:r>
      <w:r>
        <w:lastRenderedPageBreak/>
        <w:t xml:space="preserve">focus group subject choice was linked to </w:t>
      </w:r>
      <w:proofErr w:type="gramStart"/>
      <w:r>
        <w:t>limited</w:t>
      </w:r>
      <w:proofErr w:type="gramEnd"/>
      <w:r>
        <w:t xml:space="preserve"> funding and pupils showed an understanding for fewer options at GCSE with pupils citing the school as needing to be sustainable.</w:t>
      </w:r>
    </w:p>
    <w:p w:rsidR="001A75E4" w:rsidRDefault="001A75E4" w:rsidP="001A75E4">
      <w:pPr>
        <w:spacing w:line="360" w:lineRule="auto"/>
      </w:pPr>
      <w:r>
        <w:t xml:space="preserve">The perceptions of the focus group focussed on the importance of education. Pupils felt that facets such as having a positive </w:t>
      </w:r>
      <w:proofErr w:type="spellStart"/>
      <w:r>
        <w:t>mindset</w:t>
      </w:r>
      <w:proofErr w:type="spellEnd"/>
      <w:r>
        <w:t xml:space="preserve">, having inclusive teachers of pupils of all abilities, sharing the same learning beliefs and that learning has no age boundaries contributed to factors that influence their learning.  </w:t>
      </w:r>
    </w:p>
    <w:p w:rsidR="001A75E4" w:rsidRDefault="001A75E4" w:rsidP="001A75E4">
      <w:r>
        <w:rPr>
          <w:noProof/>
          <w:lang w:eastAsia="en-GB"/>
        </w:rPr>
        <w:drawing>
          <wp:inline distT="0" distB="0" distL="0" distR="0" wp14:anchorId="5C75DDBB" wp14:editId="30C847DE">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rsidR="001A75E4" w:rsidRPr="00932EA6" w:rsidRDefault="001A75E4" w:rsidP="001A75E4">
      <w:pPr>
        <w:rPr>
          <w:i/>
        </w:rPr>
      </w:pPr>
      <w:r>
        <w:tab/>
      </w:r>
      <w:r>
        <w:tab/>
      </w:r>
      <w:r>
        <w:tab/>
      </w:r>
      <w:r>
        <w:tab/>
      </w:r>
      <w:r>
        <w:tab/>
      </w:r>
      <w:r>
        <w:tab/>
      </w:r>
      <w:r>
        <w:tab/>
      </w:r>
      <w:r w:rsidRPr="00932EA6">
        <w:rPr>
          <w:i/>
        </w:rPr>
        <w:t>Figure 4</w:t>
      </w:r>
    </w:p>
    <w:p w:rsidR="001A75E4" w:rsidRDefault="001A75E4" w:rsidP="001A75E4">
      <w:pPr>
        <w:spacing w:line="360" w:lineRule="auto"/>
      </w:pPr>
      <w:r>
        <w:t xml:space="preserve">Pupils from the IFS school shared the same belief in the importance of education. Pupils felt that it was easier to learn when they all valued their education. Francis (2001) found that female students had a more positive attitude towards school than male students. The study further exemplified female students to enjoy school over male students and to feel a higher sense of happiness than male students. </w:t>
      </w:r>
      <w:proofErr w:type="spellStart"/>
      <w:r>
        <w:t>Ap</w:t>
      </w:r>
      <w:proofErr w:type="spellEnd"/>
      <w:r>
        <w:t xml:space="preserve"> Sion et al (2007) found male graduates to have been equally happy and content at school citing that their school environment was accepting and the use of words such as ‘family’, ‘homely’ and ‘caring’ were also mentioned when questioned over their feelings about school. Pupils from the IFS used words such as ‘responsibility’, ‘inclusivity’, and ‘learning habits’ to describe their feelings and attitudes towards learning suggesting that their view of learning is more regimented. Pupils’ perceptions of school and their learning were very similar to their views on work and life after school with comments focussing on academic achievement, skills developed whilst at school, forming good working relationships with other pupils and teachers and in the breadth of teacher knowledge in their subject which were highlighted as important to the pupils. </w:t>
      </w:r>
    </w:p>
    <w:p w:rsidR="001A75E4" w:rsidRDefault="001A75E4" w:rsidP="001A75E4">
      <w:pPr>
        <w:spacing w:line="360" w:lineRule="auto"/>
      </w:pPr>
      <w:r>
        <w:lastRenderedPageBreak/>
        <w:t xml:space="preserve">Pupils within the IFS felt that their learning mainly occurred within the school premises but a few stated that learning also occurred at home with family, during work placements and within the church community. Francis (2005) found that alongside the family, school provides the major context from which learning takes place and core values are formed. He further suggests that the school environment is not necessarily formed only by its governors, teachers and curriculum but states that the main factor is the worldview of the pupils that it contains and places the importance of peer group during adolescence at the centre. This was also the case with the pupils from the IFS school who commented on the importance of close working relationships with other pupils. Pupils felt that through working with peers, gave them a greater understanding of the learning process and allowed them to see learning from a different perspective. Pupils moved on to say that this further increased their awareness of others and helped them to be more empathetic with each other. </w:t>
      </w:r>
    </w:p>
    <w:p w:rsidR="001A75E4" w:rsidRDefault="001A75E4" w:rsidP="001A75E4">
      <w:pPr>
        <w:spacing w:line="360" w:lineRule="auto"/>
      </w:pPr>
      <w:r>
        <w:t xml:space="preserve">Francis found that parents who elected to send their children to an independent Christian school did so with the purpose of replicating the home environment and values that it upholds directly to the school environment. Pupils stated that teachers valuing their ethos, and taking an interest in their hobbies was important to them to feel motivated to learn. Francis echoes this in his 2005 research which suggests that governors, </w:t>
      </w:r>
      <w:proofErr w:type="spellStart"/>
      <w:r>
        <w:t>headteachers</w:t>
      </w:r>
      <w:proofErr w:type="spellEnd"/>
      <w:r>
        <w:t xml:space="preserve"> and staff are appointed within a school based on their values which are expected to line up with the ethos of the school. Research from the IFS supported this theory. When pupils were asked about the teachers within the school and their attitudes towards their values, they commented on the positive nature of teachers towards their beliefs and that teachers took an interest in understanding more about the ethos so they could better adhere and respect it. Pupils felt that whilst some teachers didn’t show an interest or understanding of the ethos, they still respected it as part of their role as teacher, that was shown as being important to the pupils. Pupils used the words ‘accountable’, ‘influence’ and ‘limitations’ when discussing the school environment and its ethos with pupils feeling that it was their responsibility to uphold the correct values and in ensuring teachers understood the principles of that ethos. Pupils felt that teachers were ‘respectful’ and ‘inquisitive’ about the </w:t>
      </w:r>
      <w:proofErr w:type="gramStart"/>
      <w:r>
        <w:t>pupils</w:t>
      </w:r>
      <w:proofErr w:type="gramEnd"/>
      <w:r>
        <w:t xml:space="preserve"> beliefs which they also felt showed a deeper appreciation for understanding a pupil and their needs. </w:t>
      </w:r>
      <w:proofErr w:type="spellStart"/>
      <w:proofErr w:type="gramStart"/>
      <w:r>
        <w:t>Ap</w:t>
      </w:r>
      <w:proofErr w:type="spellEnd"/>
      <w:proofErr w:type="gramEnd"/>
      <w:r>
        <w:t xml:space="preserve"> </w:t>
      </w:r>
      <w:proofErr w:type="spellStart"/>
      <w:r>
        <w:t>sion</w:t>
      </w:r>
      <w:proofErr w:type="spellEnd"/>
      <w:r>
        <w:t xml:space="preserve"> et al (2007) found that male graduates also commented on the accepting environment found in their schools. Stating that the caring and ‘general feel’ of the school was important and that having God as the foundation of the school was the reason for it. </w:t>
      </w:r>
    </w:p>
    <w:p w:rsidR="001A75E4" w:rsidRDefault="001A75E4" w:rsidP="001A75E4">
      <w:pPr>
        <w:spacing w:line="360" w:lineRule="auto"/>
      </w:pPr>
      <w:r>
        <w:t>Quote ten shows that overall, participants felt that the quality of education within their school environment was good with particular focus on good quality teaching, a good breadth of curriculum subjects to choose from and a supportive learning environment. There was some concern over the ‘step-up’ from GCSE level work to A-Level work.</w:t>
      </w:r>
    </w:p>
    <w:p w:rsidR="001A75E4" w:rsidRPr="00011151" w:rsidRDefault="001A75E4" w:rsidP="001A75E4">
      <w:pPr>
        <w:ind w:left="720"/>
        <w:rPr>
          <w:i/>
        </w:rPr>
      </w:pPr>
      <w:r w:rsidRPr="006A3E49">
        <w:rPr>
          <w:i/>
        </w:rPr>
        <w:lastRenderedPageBreak/>
        <w:t>Each lesson isn’t quite as int</w:t>
      </w:r>
      <w:r w:rsidRPr="009E2CB8">
        <w:rPr>
          <w:i/>
        </w:rPr>
        <w:t>ense, although saying that, it is a bit more relaxed, as you have a lot of responsibility and not as many subjects only three or four but it’s also subjects you enjoy doing and you get more study time as well</w:t>
      </w:r>
      <w:r w:rsidRPr="00FE2A29">
        <w:rPr>
          <w:i/>
        </w:rPr>
        <w:tab/>
      </w:r>
      <w:r w:rsidRPr="00FE2A29">
        <w:rPr>
          <w:i/>
        </w:rPr>
        <w:tab/>
      </w:r>
      <w:r w:rsidRPr="00FE2A29">
        <w:rPr>
          <w:i/>
        </w:rPr>
        <w:tab/>
      </w:r>
      <w:r w:rsidRPr="00FE2A29">
        <w:rPr>
          <w:i/>
        </w:rPr>
        <w:tab/>
        <w:t>Quote 10</w:t>
      </w:r>
    </w:p>
    <w:p w:rsidR="001A75E4" w:rsidRDefault="001A75E4" w:rsidP="001A75E4">
      <w:pPr>
        <w:spacing w:line="360" w:lineRule="auto"/>
      </w:pPr>
      <w:r>
        <w:t>Pupils also felt that even though the ‘step-up’ from GCSE to A-Level work was hard that they had a more secure knowledge of their chosen subject areas then they had at GCSE. It was felt that although subjects appeared easier at GCSE level and more were studied, you gained less in-depth knowledge of the subject whereas at A-Level, you had fewer subject areas but the knowledge was deeper.</w:t>
      </w:r>
    </w:p>
    <w:p w:rsidR="001A75E4" w:rsidRPr="00FE40A6" w:rsidRDefault="001A75E4" w:rsidP="001A75E4">
      <w:pPr>
        <w:pStyle w:val="Heading2"/>
        <w:rPr>
          <w:b/>
        </w:rPr>
      </w:pPr>
      <w:r w:rsidRPr="00FE40A6">
        <w:rPr>
          <w:b/>
        </w:rPr>
        <w:t xml:space="preserve">Life </w:t>
      </w:r>
      <w:proofErr w:type="gramStart"/>
      <w:r w:rsidRPr="00FE40A6">
        <w:rPr>
          <w:b/>
        </w:rPr>
        <w:t>After</w:t>
      </w:r>
      <w:proofErr w:type="gramEnd"/>
      <w:r w:rsidRPr="00FE40A6">
        <w:rPr>
          <w:b/>
        </w:rPr>
        <w:t xml:space="preserve"> Leaving School</w:t>
      </w:r>
    </w:p>
    <w:p w:rsidR="001A75E4" w:rsidRDefault="001A75E4" w:rsidP="001A75E4"/>
    <w:p w:rsidR="001A75E4" w:rsidRDefault="001A75E4" w:rsidP="001A75E4">
      <w:r>
        <w:rPr>
          <w:noProof/>
          <w:lang w:eastAsia="en-GB"/>
        </w:rPr>
        <w:drawing>
          <wp:inline distT="0" distB="0" distL="0" distR="0" wp14:anchorId="0E79EFEF" wp14:editId="76F666F5">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rsidR="001A75E4" w:rsidRPr="00E31249" w:rsidRDefault="001A75E4" w:rsidP="001A75E4">
      <w:pPr>
        <w:rPr>
          <w:i/>
        </w:rPr>
      </w:pPr>
      <w:r>
        <w:tab/>
      </w:r>
      <w:r>
        <w:tab/>
      </w:r>
      <w:r>
        <w:tab/>
      </w:r>
      <w:r>
        <w:tab/>
      </w:r>
      <w:r>
        <w:tab/>
      </w:r>
      <w:r>
        <w:tab/>
      </w:r>
      <w:r>
        <w:tab/>
      </w:r>
      <w:r>
        <w:tab/>
      </w:r>
      <w:r>
        <w:tab/>
      </w:r>
      <w:r>
        <w:tab/>
      </w:r>
      <w:r w:rsidRPr="00E31249">
        <w:rPr>
          <w:i/>
        </w:rPr>
        <w:t>Graph 4</w:t>
      </w:r>
    </w:p>
    <w:p w:rsidR="001A75E4" w:rsidRDefault="001A75E4" w:rsidP="001A75E4">
      <w:pPr>
        <w:spacing w:line="360" w:lineRule="auto"/>
      </w:pPr>
      <w:r>
        <w:t xml:space="preserve">Graph four illustrates pupils’ comments on their feelings towards leaving school and whether they feel that being educated within a strict faith environment has adequately prepared them for their chosen career path. Overall, all of the pupils felt that school had prepared them well for the world of work and that they had chosen A Level subject choices based on their career aspirations, however, little was mentioned about the choice of subject being for enjoyment or due to previous academic grades at GCSE. This echoes the focus group study which suggested that pupils valued career over academia and many of their choices had been based on job opportunity after leaving school rather than passion for the subject. Four out of the six pupils felt that the school’s career advancement programme (CAP) had helped them prepare for work whilst the remaining pupils felt that teachers and supportive work placements had contributed to their sense of ease regarding the transition </w:t>
      </w:r>
      <w:r>
        <w:lastRenderedPageBreak/>
        <w:t xml:space="preserve">between school and work. Half of the pupils felt that both teamwork and having a good work ethic were important attributes to have when leaving school with the remaining pupils citing independence, flexibility and honesty as skills that were important to them. None of the pupils mentioned further education within their questionnaire with the central focus being on securing employment, this is supported by the school’s religious ethos that discourages tertiary study at university but is in the emergent stages of encouraging distance learning courses and work based training. </w:t>
      </w:r>
    </w:p>
    <w:p w:rsidR="001A75E4" w:rsidRDefault="001A75E4" w:rsidP="001A75E4">
      <w:pPr>
        <w:spacing w:line="360" w:lineRule="auto"/>
      </w:pPr>
      <w:r>
        <w:t>From the focus group discussion, pupils linked four main characteristics they aspired to leave school with that they felt were important attributes and qualities to possess when moving into their chosen career. Figure 5 shows these</w:t>
      </w:r>
    </w:p>
    <w:p w:rsidR="001A75E4" w:rsidRDefault="001A75E4" w:rsidP="001A75E4">
      <w:r>
        <w:rPr>
          <w:noProof/>
          <w:lang w:eastAsia="en-GB"/>
        </w:rPr>
        <w:drawing>
          <wp:anchor distT="0" distB="0" distL="114300" distR="114300" simplePos="0" relativeHeight="251660288" behindDoc="0" locked="0" layoutInCell="1" allowOverlap="1" wp14:anchorId="65D8BB9D" wp14:editId="46A2648E">
            <wp:simplePos x="0" y="0"/>
            <wp:positionH relativeFrom="column">
              <wp:posOffset>584200</wp:posOffset>
            </wp:positionH>
            <wp:positionV relativeFrom="paragraph">
              <wp:posOffset>3810</wp:posOffset>
            </wp:positionV>
            <wp:extent cx="4197350" cy="2114550"/>
            <wp:effectExtent l="0" t="0" r="12700" b="19050"/>
            <wp:wrapSquare wrapText="bothSides"/>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14:sizeRelH relativeFrom="page">
              <wp14:pctWidth>0</wp14:pctWidth>
            </wp14:sizeRelH>
            <wp14:sizeRelV relativeFrom="page">
              <wp14:pctHeight>0</wp14:pctHeight>
            </wp14:sizeRelV>
          </wp:anchor>
        </w:drawing>
      </w:r>
    </w:p>
    <w:p w:rsidR="001A75E4" w:rsidRDefault="001A75E4" w:rsidP="001A75E4"/>
    <w:p w:rsidR="001A75E4" w:rsidRDefault="001A75E4" w:rsidP="001A75E4"/>
    <w:p w:rsidR="001A75E4" w:rsidRDefault="001A75E4" w:rsidP="001A75E4"/>
    <w:p w:rsidR="001A75E4" w:rsidRDefault="001A75E4" w:rsidP="001A75E4"/>
    <w:p w:rsidR="001A75E4" w:rsidRDefault="001A75E4" w:rsidP="001A75E4"/>
    <w:p w:rsidR="001A75E4" w:rsidRDefault="001A75E4" w:rsidP="001A75E4"/>
    <w:p w:rsidR="001A75E4" w:rsidRPr="009D4D08" w:rsidRDefault="001A75E4" w:rsidP="001A75E4">
      <w:pPr>
        <w:rPr>
          <w:i/>
        </w:rPr>
      </w:pPr>
      <w:r>
        <w:tab/>
      </w:r>
      <w:r>
        <w:tab/>
      </w:r>
      <w:r>
        <w:tab/>
      </w:r>
      <w:r>
        <w:tab/>
      </w:r>
      <w:r>
        <w:tab/>
      </w:r>
      <w:r>
        <w:tab/>
      </w:r>
      <w:r>
        <w:tab/>
      </w:r>
      <w:r>
        <w:tab/>
      </w:r>
      <w:r>
        <w:tab/>
      </w:r>
      <w:r>
        <w:tab/>
      </w:r>
      <w:r w:rsidRPr="009D4D08">
        <w:rPr>
          <w:i/>
        </w:rPr>
        <w:t>Figure 5</w:t>
      </w:r>
    </w:p>
    <w:p w:rsidR="001A75E4" w:rsidRDefault="001A75E4" w:rsidP="001A75E4">
      <w:pPr>
        <w:spacing w:line="360" w:lineRule="auto"/>
      </w:pPr>
      <w:r>
        <w:t>Overall, pupils felt adequately prepared for life after school. Due to the ethos of the school, pupils are discouraged from attending tertiary colleges or university as it directly contravenes with their religion. Pupils leave school and move on to the family business or a business linked with their community. They are encouraged to pursue further education but as distant learning courses that can be studied away from outside learning institutes.  Francis (2014) study found that the former students in the study felt that their schools had adequately prepared them for the next stage. This was characterised in terms of academic preparation, faith preparation and character preparation. He found that despite feelings of readiness from former students they felt that there was a large step between moving from a close and protected environment to a larger more impersonal environment. When asked about their feelings towards leaving school, pupils in the IFS felt prepared as they knew the people and businesses that they would be working for.</w:t>
      </w:r>
    </w:p>
    <w:p w:rsidR="001A75E4" w:rsidRPr="005F15FA" w:rsidRDefault="001A75E4" w:rsidP="001A75E4">
      <w:pPr>
        <w:ind w:left="720"/>
        <w:rPr>
          <w:i/>
        </w:rPr>
      </w:pPr>
      <w:r w:rsidRPr="006A3E49">
        <w:rPr>
          <w:i/>
        </w:rPr>
        <w:t>….</w:t>
      </w:r>
      <w:r w:rsidRPr="009E2CB8">
        <w:rPr>
          <w:i/>
        </w:rPr>
        <w:t>Businesses know us, they know what we are capable of, they know what we are like, they have seen our learning in school so they know us really well, from outside school also…</w:t>
      </w:r>
      <w:r w:rsidRPr="00FE2A29">
        <w:rPr>
          <w:i/>
        </w:rPr>
        <w:t xml:space="preserve">      Quote 11</w:t>
      </w:r>
    </w:p>
    <w:p w:rsidR="001A75E4" w:rsidRDefault="001A75E4" w:rsidP="001A75E4">
      <w:pPr>
        <w:spacing w:line="360" w:lineRule="auto"/>
      </w:pPr>
      <w:r>
        <w:lastRenderedPageBreak/>
        <w:t>The links between community and business are clearly illustrated by the recognition of the importance of the relationship and personal knowledge. Throughout the pupils academic career they participate in work experience within the community businesses, conduct business presentations and visit community businesses on school trips, this helps them to familiarise themselves with potential employers and their businesses. Pupils feel supported in their move to the business world:</w:t>
      </w:r>
    </w:p>
    <w:p w:rsidR="001A75E4" w:rsidRPr="006D3873" w:rsidRDefault="001A75E4" w:rsidP="001A75E4">
      <w:pPr>
        <w:ind w:left="720"/>
        <w:rPr>
          <w:i/>
        </w:rPr>
      </w:pPr>
      <w:r w:rsidRPr="006A3E49">
        <w:rPr>
          <w:i/>
        </w:rPr>
        <w:t xml:space="preserve">…They generally know you quite well before you go into the business….the </w:t>
      </w:r>
      <w:proofErr w:type="gramStart"/>
      <w:r w:rsidRPr="006A3E49">
        <w:rPr>
          <w:i/>
        </w:rPr>
        <w:t>company</w:t>
      </w:r>
      <w:proofErr w:type="gramEnd"/>
      <w:r w:rsidRPr="006A3E49">
        <w:rPr>
          <w:i/>
        </w:rPr>
        <w:t xml:space="preserve"> will do the best for you….they’ll know what’s best for yo</w:t>
      </w:r>
      <w:r w:rsidRPr="009E2CB8">
        <w:rPr>
          <w:i/>
        </w:rPr>
        <w:t>u and you’ll feel comfortable going into a business when you already know them….</w:t>
      </w:r>
      <w:r w:rsidRPr="00FE2A29">
        <w:rPr>
          <w:i/>
        </w:rPr>
        <w:t xml:space="preserve"> </w:t>
      </w:r>
      <w:r w:rsidRPr="00FE2A29">
        <w:rPr>
          <w:i/>
        </w:rPr>
        <w:tab/>
      </w:r>
      <w:r w:rsidRPr="00FE2A29">
        <w:rPr>
          <w:i/>
        </w:rPr>
        <w:tab/>
      </w:r>
      <w:r>
        <w:rPr>
          <w:i/>
        </w:rPr>
        <w:tab/>
      </w:r>
      <w:r>
        <w:rPr>
          <w:i/>
        </w:rPr>
        <w:tab/>
      </w:r>
      <w:r>
        <w:rPr>
          <w:i/>
        </w:rPr>
        <w:tab/>
      </w:r>
      <w:r w:rsidRPr="009E2CB8">
        <w:rPr>
          <w:i/>
        </w:rPr>
        <w:t>Quote 12</w:t>
      </w:r>
    </w:p>
    <w:p w:rsidR="001A75E4" w:rsidRDefault="001A75E4" w:rsidP="001A75E4">
      <w:pPr>
        <w:spacing w:line="360" w:lineRule="auto"/>
      </w:pPr>
      <w:proofErr w:type="spellStart"/>
      <w:proofErr w:type="gramStart"/>
      <w:r>
        <w:t>Ap</w:t>
      </w:r>
      <w:proofErr w:type="spellEnd"/>
      <w:proofErr w:type="gramEnd"/>
      <w:r>
        <w:t xml:space="preserve"> </w:t>
      </w:r>
      <w:proofErr w:type="spellStart"/>
      <w:r>
        <w:t>sion</w:t>
      </w:r>
      <w:proofErr w:type="spellEnd"/>
      <w:r>
        <w:t xml:space="preserve"> et al (2007) study supported the focus group discussion which showed that male graduates felt that their school had prepared them well for the next stage in life but a few males commented that it was the experiences outside school that had helped with this. Pupils in this study commented on the effectiveness of their schools career advancement programme, stating that it helped bridge the gap between school and work through the support of employers and teachers working together. Pupils get the opportunity to work with local business to further develop their business knowledge alongside their academic studies, this helps employers get to know and understand their potential employees and reduces the anxieties faced by pupils after school life. Quote thirteen shows through the close working relationship between school and potential businesses, pupils felt that businesses were able to match potential roles with pupils according to their strengths:</w:t>
      </w:r>
    </w:p>
    <w:p w:rsidR="001A75E4" w:rsidRPr="006D3873" w:rsidRDefault="001A75E4" w:rsidP="001A75E4">
      <w:pPr>
        <w:ind w:left="720"/>
        <w:rPr>
          <w:i/>
        </w:rPr>
      </w:pPr>
      <w:r w:rsidRPr="006D3873">
        <w:rPr>
          <w:i/>
        </w:rPr>
        <w:t>….businesses have a role in mind for people to go into and they look at people according to their strengths and weaknesses…it helps that they know the pupils well….</w:t>
      </w:r>
      <w:r>
        <w:rPr>
          <w:i/>
        </w:rPr>
        <w:tab/>
      </w:r>
      <w:r w:rsidRPr="006D3873">
        <w:rPr>
          <w:i/>
        </w:rPr>
        <w:t>Quote 13</w:t>
      </w:r>
    </w:p>
    <w:p w:rsidR="001A75E4" w:rsidRDefault="001A75E4" w:rsidP="001A75E4">
      <w:pPr>
        <w:spacing w:line="360" w:lineRule="auto"/>
      </w:pPr>
      <w:r>
        <w:t xml:space="preserve">When asked about further study after leaving school, pupils felt that further study was important to their careers, they also felt that this was heavily supported by the businesses who often funded the training. This was supported by </w:t>
      </w:r>
      <w:proofErr w:type="spellStart"/>
      <w:proofErr w:type="gramStart"/>
      <w:r>
        <w:t>Ap</w:t>
      </w:r>
      <w:proofErr w:type="spellEnd"/>
      <w:proofErr w:type="gramEnd"/>
      <w:r>
        <w:t xml:space="preserve"> </w:t>
      </w:r>
      <w:proofErr w:type="spellStart"/>
      <w:r>
        <w:t>sion</w:t>
      </w:r>
      <w:proofErr w:type="spellEnd"/>
      <w:r>
        <w:t xml:space="preserve"> et al (2007) study that found moving from a school with a religious ethos gave the male graduates the appropriate attributes to successfully integrate into the wider world. Francis (2001) &amp; Hill &amp; </w:t>
      </w:r>
      <w:proofErr w:type="spellStart"/>
      <w:r>
        <w:t>Scharff</w:t>
      </w:r>
      <w:proofErr w:type="spellEnd"/>
      <w:r>
        <w:t xml:space="preserve"> (1976) suggested that work-related attitudes and values are developed well before school-leaving age. They further suggest that the majority of young people are committed to investing energy into the world of work and demonstrate signs of personal ambitions. A later study by Francis (2005) found that pupils attending Christian schools are even more committed to the idea that it is important to work hard. Pupils within the IFS commented that their academic achievement and development are centred on move to the business world and that school helps pupils to develop the skills and attributes necessary to be successful in the world of work. Francis (2005) moves on to say that pupils who have attended a Christian school are a little less ambitious about wanting to get to the top in their work when they get a job. Findings from the study within the IFS showed that pupils were less concerned over their academic grades at GCSE and </w:t>
      </w:r>
      <w:r>
        <w:lastRenderedPageBreak/>
        <w:t xml:space="preserve">A Level as these had little impact on their prospective job offer. As pupils don’t progress to colleges or universities, grades that were obtained in external examinations seemed to bear little weight in their thoughts related to their career. Pupils cited personal skills and attributes, developing relationships between peers and employers and in further training as important to career advancement with little emphasis placed on academic attainment. Francis (2005) felt that pupils who attended Christian schools were less likely to believe that a job gives you a sense of purpose, however pupils in this current study felt that your chosen career path shaped who you were as an individual and helped you to be understood and valued by the community. Quote fourteen supports the comments from the pupil questionnaires and demonstrates the importance of developing attributes suitable for career rather than personal qualities for social success. Both the questionnaire and focus group discussion showed little or no reference to developing skills and qualities as a person or towards developing relationships with the wider community. </w:t>
      </w:r>
    </w:p>
    <w:p w:rsidR="001A75E4" w:rsidRDefault="001A75E4" w:rsidP="001A75E4">
      <w:pPr>
        <w:ind w:left="720"/>
      </w:pPr>
      <w:r>
        <w:t>…</w:t>
      </w:r>
      <w:r w:rsidRPr="007C0148">
        <w:rPr>
          <w:i/>
        </w:rPr>
        <w:t>the above attributes (see figure 5) are all key to being successful in the world of work and will help greatly when trying to secure a job…..</w:t>
      </w:r>
      <w:r w:rsidRPr="007C0148">
        <w:rPr>
          <w:i/>
        </w:rPr>
        <w:tab/>
      </w:r>
      <w:r w:rsidRPr="007C0148">
        <w:rPr>
          <w:i/>
        </w:rPr>
        <w:tab/>
      </w:r>
      <w:r>
        <w:rPr>
          <w:i/>
        </w:rPr>
        <w:tab/>
      </w:r>
      <w:r>
        <w:rPr>
          <w:i/>
        </w:rPr>
        <w:tab/>
      </w:r>
      <w:r>
        <w:rPr>
          <w:i/>
        </w:rPr>
        <w:tab/>
        <w:t>Q</w:t>
      </w:r>
      <w:r w:rsidRPr="007C0148">
        <w:rPr>
          <w:i/>
        </w:rPr>
        <w:t>uote 14</w:t>
      </w:r>
    </w:p>
    <w:p w:rsidR="001A75E4" w:rsidRDefault="001A75E4" w:rsidP="001A75E4">
      <w:pPr>
        <w:spacing w:line="360" w:lineRule="auto"/>
      </w:pPr>
      <w:r>
        <w:t xml:space="preserve">When further questioned on academic choices relating to work, pupils felt that subject choices were limited due to funding issues and there should be a greater emphasis placed on practical subjects. It was however, echoed that with VC technology being actively used within the classroom, that subject choices are broader at A Level, pupils were keen to see this filter down to GCSE subjects where opportunities to study a wider range of subject were limited due to staff and funding. One of the most surprising findings from the study appeared to be that pupils felt to be successful meant to succeed at their chosen career with no mention of family, religion or personal success. All pupils commented on the importance of ambition but this was centralised around business with only a few comments on friendship groups, wellbeing, personal growth and church suggesting that increased wealth, business success and how they are perceived by employers are all important factors in their idea of what it means to succeed thus it could be suggested that religion isn’t central to their goals and ambitions but offers the security necessary to reach success. The results from the questionnaire support this suggesting that the skills and attributes they felt were important to them were linked to potential careers with half of the pupils commenting that both teamwork and having a good work ethic were important attributes to have when leaving school with the remaining pupils citing independence, flexibility and honesty as skills that were important to them. This was also echoed in the focus group discussion where pupils discussed skills and attributes with a direct link to leaving school and little reference to applying these skills whilst at school or within their chosen subjects. It could be suggested that similarly to church and school, pupils categorise work and school as separate entities rather than making links between the two. This could be further investigated to </w:t>
      </w:r>
      <w:r>
        <w:lastRenderedPageBreak/>
        <w:t xml:space="preserve">ascertain what skills and attributes they think are needed to be successful academically in addition to success in the business world. </w:t>
      </w:r>
    </w:p>
    <w:p w:rsidR="001A75E4" w:rsidRDefault="001A75E4" w:rsidP="001A75E4"/>
    <w:p w:rsidR="001A75E4" w:rsidRPr="00986DF8" w:rsidRDefault="001A75E4" w:rsidP="001A75E4">
      <w:pPr>
        <w:pStyle w:val="Heading3"/>
        <w:rPr>
          <w:b/>
          <w:sz w:val="32"/>
        </w:rPr>
      </w:pPr>
      <w:r w:rsidRPr="00986DF8">
        <w:rPr>
          <w:b/>
          <w:sz w:val="32"/>
        </w:rPr>
        <w:t>Conclusion</w:t>
      </w:r>
    </w:p>
    <w:p w:rsidR="001A75E4" w:rsidRDefault="001A75E4" w:rsidP="001A75E4"/>
    <w:p w:rsidR="001A75E4" w:rsidRDefault="001A75E4" w:rsidP="001A75E4">
      <w:pPr>
        <w:spacing w:line="360" w:lineRule="auto"/>
      </w:pPr>
      <w:r>
        <w:t xml:space="preserve">For pupils attending a faith based school, education and attending school is an important factor in their everyday lives. Close to time spent with family and friends and the church environment, attending school is one of the most significant places for pupils that helps guide and shape their morals and values. The findings of this research suggest that whilst an independent faith school is largely guided by its school mission statements, trustees and the contents of its policies, it is more heavily influenced by the views and behaviours of its pupils themselves. This can be evidenced by the pupil view of peer support as being most important whilst at school. With pupil voice often becoming the centre of school inspections and forming an integral part of school based research, its prominence is often cursory and can merely satisfy criteria rather than contribute to the educational matters to be prioritised. From this study, it is evident that pupil voice impacts highly on academic achievement and behaviour and the importance of pupil views weigh heavily on educational, moral and social outcomes. It could be suggested that an emphasis on this mode of analysis should be more heavily weighted when deciphering school improvement targets and on the day to day functioning of the school to ensure best outcomes and provision for pupils. </w:t>
      </w:r>
    </w:p>
    <w:p w:rsidR="001A75E4" w:rsidRDefault="001A75E4" w:rsidP="001A75E4">
      <w:pPr>
        <w:spacing w:line="360" w:lineRule="auto"/>
      </w:pPr>
      <w:r>
        <w:t>The present study sought to listen to the voices of the pupils attending a faith based school and ascertain whether being educated in a strict faith background impacted on their learning throughout their school life. Their views were analysed from both discussion and questionnaires and were broadly categorised into the three themes of:</w:t>
      </w:r>
      <w:r w:rsidRPr="0051361C">
        <w:t xml:space="preserve"> </w:t>
      </w:r>
      <w:r>
        <w:t>The quality of relationships</w:t>
      </w:r>
      <w:r w:rsidRPr="00C07EDA">
        <w:t xml:space="preserve"> </w:t>
      </w:r>
      <w:r>
        <w:t xml:space="preserve">and </w:t>
      </w:r>
      <w:r w:rsidRPr="00C07EDA">
        <w:t xml:space="preserve">the learning environment, </w:t>
      </w:r>
      <w:r>
        <w:t>attitudes to learning and the quality of education</w:t>
      </w:r>
      <w:r w:rsidRPr="00C07EDA">
        <w:t>, and provision for life after leaving school</w:t>
      </w:r>
      <w:r>
        <w:t>. On the basis of the findings, the following main conclusions could be drawn.</w:t>
      </w:r>
    </w:p>
    <w:p w:rsidR="001A75E4" w:rsidRDefault="001A75E4" w:rsidP="001A75E4">
      <w:pPr>
        <w:spacing w:line="360" w:lineRule="auto"/>
      </w:pPr>
      <w:r>
        <w:t xml:space="preserve">First, although pupils were aware that there were variables within the school that could not be controlled such as limitations placed on subject choice due to small class sizes and budget, pupils highlighted the advantages of small class sizes, supportive staff and high academic achievement over negative aspects such as limited opportunities for group work, a reduced curriculum and having to study via video conferencing rather than face to face teaching. Pupils felt that the learning environment both helped and hindered their learning in equal measures but felt that overall, had little impact on their academic achievement or chosen career path. Further investigation through classroom observations and teacher interviews/questionnaires could help to inform future research </w:t>
      </w:r>
      <w:r>
        <w:lastRenderedPageBreak/>
        <w:t xml:space="preserve">into the learning environment within the classroom and what positive and negative factors influence this. The lack of up to date research in a faith school as previously mentioned also includes behaviour within faith schools and this could be an interesting research study to ascertain whether behaviour affects the classroom environment within a faith school compared with that of a mainstream secondary school.  Pupils felt that good quality relationships with staff were highly important for their education and cited a strong interest in their strengths and weaknesses as a motivator to achieve and helped them to personalise their learning.  </w:t>
      </w:r>
    </w:p>
    <w:p w:rsidR="001A75E4" w:rsidRDefault="001A75E4" w:rsidP="001A75E4">
      <w:pPr>
        <w:spacing w:line="360" w:lineRule="auto"/>
      </w:pPr>
      <w:r>
        <w:t xml:space="preserve">Secondly, all of the pupils favoured the religious ethos of the school suggesting that it gave them a shared goal and sense of support which was important to them. This echoed </w:t>
      </w:r>
      <w:proofErr w:type="spellStart"/>
      <w:proofErr w:type="gramStart"/>
      <w:r>
        <w:t>Ap</w:t>
      </w:r>
      <w:proofErr w:type="spellEnd"/>
      <w:r>
        <w:t xml:space="preserve"> Sion et al</w:t>
      </w:r>
      <w:proofErr w:type="gramEnd"/>
      <w:r>
        <w:t xml:space="preserve"> (2007) and Baker &amp; Freeman (2005) research which showed a positive link between happiness and being educated in a faith based school. Pupils felt that a close link between home and school was important and that religion allowed them that transition and added to the security of their school environment. They also felt that it afforded them the support from peers as they all shared a common purpose and an appreciation that everyone learns differently. </w:t>
      </w:r>
    </w:p>
    <w:p w:rsidR="001A75E4" w:rsidRDefault="001A75E4" w:rsidP="001A75E4">
      <w:pPr>
        <w:spacing w:line="360" w:lineRule="auto"/>
      </w:pPr>
      <w:r>
        <w:t>Thirdly, although pupils felt that their faith fostered a positive school environment and was a large motivator in their academic success, academia appeared to fall short when compared to aspirations for work and career with pupils placing being successful within a business as more important than educational attainment this was evident in the little mention of academic success in neither the focus group or questionnaire. Further research could probe more deeply into pupils’ perceptions of academic success and may provide further insight into the value of academia. From the comments made during the focus group discussion and in the questionnaires pupils felt that the limited curriculum choices hindered their academic progression, particularly a lack of practical based subjects, pupils also cited that the subjects offered within the school allowed them to train successfully for their chosen career path and prepared them adequately for roles after school.  Pupils were however able to comment on the reasons for limited subject choices referring to a restricted budget and limited staffing showing an understanding of the school system and its limitations.</w:t>
      </w:r>
    </w:p>
    <w:p w:rsidR="001A75E4" w:rsidRDefault="001A75E4" w:rsidP="001A75E4">
      <w:pPr>
        <w:spacing w:line="360" w:lineRule="auto"/>
      </w:pPr>
      <w:r>
        <w:t xml:space="preserve">Fourthly, pupils felt well prepared for leaving school with all pupils stating that they were confident that they had job offers when they left school and felt that they had developed the skills needed to be successful in their chosen career. There was little mention of integrating with the outside world or of any feelings towards the transition between school and dealing with the public with whom they had had limited exposure. When asked about leaving school, all pupils felt excited about their first job and moving forward in their chosen career. </w:t>
      </w:r>
    </w:p>
    <w:p w:rsidR="001A75E4" w:rsidRDefault="001A75E4" w:rsidP="001A75E4">
      <w:pPr>
        <w:spacing w:line="360" w:lineRule="auto"/>
      </w:pPr>
      <w:r>
        <w:lastRenderedPageBreak/>
        <w:t xml:space="preserve">In retrospect, concerns relating to the divisive effect commented on by Lawton &amp; Cairns (2005) that such a strict religious school ethos may exert over their pupils both in their academic life and after leaving school remain questionable from the views secured by the pupils in both the focus group and questionnaire attending these institutes. All of the pupils felt that the religious ethos contributed in a positive way to their educational experiences and would continue to do so into the world of work. It was also noted that gender was not identified as a significant factor in the pupils’ responses as both genders felt equally supported by the school. However, based on reflection of pupil responses and the little reference made to academic success within both the focus group and questionnaire, it may be pertinent for the faith school to conduct further research into the importance of academic success both from the pupils and within the business community. </w:t>
      </w:r>
    </w:p>
    <w:p w:rsidR="001A75E4" w:rsidRDefault="001A75E4" w:rsidP="001A75E4">
      <w:pPr>
        <w:spacing w:line="360" w:lineRule="auto"/>
      </w:pPr>
    </w:p>
    <w:p w:rsidR="001A75E4" w:rsidRDefault="001A75E4" w:rsidP="001A75E4">
      <w:pPr>
        <w:spacing w:line="360" w:lineRule="auto"/>
      </w:pPr>
    </w:p>
    <w:p w:rsidR="001A75E4" w:rsidRDefault="001A75E4" w:rsidP="001A75E4">
      <w:pPr>
        <w:spacing w:line="360" w:lineRule="auto"/>
      </w:pPr>
    </w:p>
    <w:p w:rsidR="001A75E4" w:rsidRDefault="001A75E4" w:rsidP="001A75E4">
      <w:pPr>
        <w:spacing w:line="360" w:lineRule="auto"/>
      </w:pPr>
    </w:p>
    <w:p w:rsidR="001A75E4" w:rsidRDefault="001A75E4" w:rsidP="001A75E4">
      <w:pPr>
        <w:spacing w:line="360" w:lineRule="auto"/>
      </w:pPr>
    </w:p>
    <w:p w:rsidR="001A75E4" w:rsidRDefault="001A75E4" w:rsidP="001A75E4"/>
    <w:p w:rsidR="001A75E4" w:rsidRDefault="001A75E4" w:rsidP="001A75E4"/>
    <w:p w:rsidR="001A75E4" w:rsidRDefault="001A75E4" w:rsidP="001A75E4"/>
    <w:p w:rsidR="001A75E4" w:rsidRDefault="001A75E4" w:rsidP="001A75E4"/>
    <w:p w:rsidR="001A75E4" w:rsidRDefault="001A75E4" w:rsidP="001A75E4"/>
    <w:p w:rsidR="001A75E4" w:rsidRDefault="001A75E4" w:rsidP="001A75E4">
      <w:pPr>
        <w:pStyle w:val="Heading1"/>
        <w:rPr>
          <w:b/>
        </w:rPr>
      </w:pPr>
    </w:p>
    <w:p w:rsidR="001A75E4" w:rsidRDefault="001A75E4" w:rsidP="001A75E4">
      <w:pPr>
        <w:pStyle w:val="Heading1"/>
        <w:rPr>
          <w:b/>
        </w:rPr>
      </w:pPr>
    </w:p>
    <w:p w:rsidR="001A75E4" w:rsidRDefault="001A75E4" w:rsidP="001A75E4">
      <w:pPr>
        <w:pStyle w:val="Heading1"/>
        <w:rPr>
          <w:b/>
        </w:rPr>
      </w:pPr>
    </w:p>
    <w:p w:rsidR="001A75E4" w:rsidRPr="001A75E4" w:rsidRDefault="001A75E4" w:rsidP="001A75E4"/>
    <w:p w:rsidR="00D63C19" w:rsidRDefault="00D63C19" w:rsidP="001A75E4">
      <w:pPr>
        <w:pStyle w:val="Heading1"/>
        <w:rPr>
          <w:b/>
        </w:rPr>
      </w:pPr>
    </w:p>
    <w:p w:rsidR="00D63C19" w:rsidRPr="00D63C19" w:rsidRDefault="00D63C19" w:rsidP="00D63C19"/>
    <w:p w:rsidR="001A75E4" w:rsidRPr="002130E7" w:rsidRDefault="001A75E4" w:rsidP="001A75E4">
      <w:pPr>
        <w:pStyle w:val="Heading1"/>
        <w:rPr>
          <w:b/>
        </w:rPr>
      </w:pPr>
      <w:r w:rsidRPr="002130E7">
        <w:rPr>
          <w:b/>
        </w:rPr>
        <w:lastRenderedPageBreak/>
        <w:t>References</w:t>
      </w:r>
    </w:p>
    <w:p w:rsidR="001A75E4" w:rsidRDefault="001A75E4" w:rsidP="001A75E4"/>
    <w:p w:rsidR="001A75E4" w:rsidRDefault="001A75E4" w:rsidP="001A75E4">
      <w:r>
        <w:t xml:space="preserve">AISWA (2015). </w:t>
      </w:r>
      <w:r w:rsidRPr="00FE2A29">
        <w:rPr>
          <w:i/>
        </w:rPr>
        <w:t>Independent schools: What independence really means</w:t>
      </w:r>
      <w:r>
        <w:t>. Perth, WA: Association of Independent Schools of Western Australia Inc. https://www.ais.wa.edu.au/aiswa_page_files_download/227942</w:t>
      </w:r>
    </w:p>
    <w:p w:rsidR="001A75E4" w:rsidRDefault="001A75E4" w:rsidP="001A75E4">
      <w:proofErr w:type="spellStart"/>
      <w:r>
        <w:t>Ap</w:t>
      </w:r>
      <w:proofErr w:type="spellEnd"/>
      <w:r>
        <w:t xml:space="preserve"> Sion, T, Francis, L.J. &amp; Baker, S. (2007): </w:t>
      </w:r>
      <w:r w:rsidRPr="005E3F80">
        <w:rPr>
          <w:i/>
        </w:rPr>
        <w:t>Experiencing education in the new Christian schools in the United Kingdom: Listening to the male graduates</w:t>
      </w:r>
      <w:r>
        <w:t>, Journal of Beliefs and Values, Routledge, 28, 1 – 15</w:t>
      </w:r>
    </w:p>
    <w:p w:rsidR="001A75E4" w:rsidRDefault="001A75E4" w:rsidP="001A75E4">
      <w:proofErr w:type="spellStart"/>
      <w:r>
        <w:t>Ap</w:t>
      </w:r>
      <w:proofErr w:type="spellEnd"/>
      <w:r>
        <w:t xml:space="preserve"> Sion, T, Francis, L.J. &amp; Baker, S. (2009): </w:t>
      </w:r>
      <w:r w:rsidRPr="005E3F80">
        <w:rPr>
          <w:i/>
        </w:rPr>
        <w:t>The theological case for Christian schools in England and Wales: A qualitative perspective listening to female alumnae</w:t>
      </w:r>
      <w:r>
        <w:t xml:space="preserve">. In L.J. Francis, M. Robins, &amp; J. Astley (Eds.), </w:t>
      </w:r>
      <w:r w:rsidRPr="005E3F80">
        <w:rPr>
          <w:i/>
        </w:rPr>
        <w:t>Empirical theology in texts and tables: Qualitative, quantitative and comparative perspectives</w:t>
      </w:r>
      <w:r>
        <w:t xml:space="preserve"> (pp. 217-245). Leiden, </w:t>
      </w:r>
      <w:proofErr w:type="gramStart"/>
      <w:r>
        <w:t>The</w:t>
      </w:r>
      <w:proofErr w:type="gramEnd"/>
      <w:r>
        <w:t xml:space="preserve"> Netherlands: Brill.</w:t>
      </w:r>
    </w:p>
    <w:p w:rsidR="001A75E4" w:rsidRDefault="001A75E4" w:rsidP="001A75E4">
      <w:proofErr w:type="spellStart"/>
      <w:r>
        <w:t>Ashkanasy</w:t>
      </w:r>
      <w:proofErr w:type="spellEnd"/>
      <w:r>
        <w:t xml:space="preserve">, N.M. (2003). </w:t>
      </w:r>
      <w:r w:rsidRPr="005E3F80">
        <w:rPr>
          <w:i/>
        </w:rPr>
        <w:t>Emotions in organizations: a multi-level perspective. Multi-Level Issues in Organizational Behaviour and Strategy Research</w:t>
      </w:r>
      <w:r>
        <w:t xml:space="preserve"> in Multi-Level Issues 2: </w:t>
      </w:r>
      <w:proofErr w:type="gramStart"/>
      <w:r>
        <w:t>9  -</w:t>
      </w:r>
      <w:proofErr w:type="gramEnd"/>
      <w:r>
        <w:t xml:space="preserve"> 54</w:t>
      </w:r>
    </w:p>
    <w:p w:rsidR="001A75E4" w:rsidRDefault="001A75E4" w:rsidP="001A75E4">
      <w:r>
        <w:t xml:space="preserve">Baker, S. &amp; Freeman, D. (2005) </w:t>
      </w:r>
      <w:proofErr w:type="gramStart"/>
      <w:r w:rsidRPr="005E3F80">
        <w:rPr>
          <w:i/>
        </w:rPr>
        <w:t>The</w:t>
      </w:r>
      <w:proofErr w:type="gramEnd"/>
      <w:r w:rsidRPr="005E3F80">
        <w:rPr>
          <w:i/>
        </w:rPr>
        <w:t xml:space="preserve"> love of God in the classroom: the story of the new Christian schools. </w:t>
      </w:r>
      <w:r>
        <w:t>(</w:t>
      </w:r>
      <w:proofErr w:type="spellStart"/>
      <w:r>
        <w:t>Fearn</w:t>
      </w:r>
      <w:proofErr w:type="spellEnd"/>
      <w:r>
        <w:t>, Christian Focus).</w:t>
      </w:r>
    </w:p>
    <w:p w:rsidR="001A75E4" w:rsidRDefault="001A75E4" w:rsidP="001A75E4">
      <w:proofErr w:type="spellStart"/>
      <w:r>
        <w:t>Barsade</w:t>
      </w:r>
      <w:proofErr w:type="spellEnd"/>
      <w:r>
        <w:t xml:space="preserve">, </w:t>
      </w:r>
      <w:proofErr w:type="spellStart"/>
      <w:proofErr w:type="gramStart"/>
      <w:r>
        <w:t>s.g</w:t>
      </w:r>
      <w:proofErr w:type="spellEnd"/>
      <w:proofErr w:type="gramEnd"/>
      <w:r>
        <w:t xml:space="preserve">. (2002). </w:t>
      </w:r>
      <w:r w:rsidRPr="005E3F80">
        <w:rPr>
          <w:i/>
        </w:rPr>
        <w:t>The ripple effect: emotional contagion and its influence on group behaviour</w:t>
      </w:r>
      <w:r>
        <w:t>. Administrative Science Quarterly 47: 644 - 675</w:t>
      </w:r>
    </w:p>
    <w:p w:rsidR="001A75E4" w:rsidRDefault="001A75E4" w:rsidP="001A75E4">
      <w:r>
        <w:t xml:space="preserve">British Educational Research Guidelines (BERA 2011) </w:t>
      </w:r>
      <w:r w:rsidRPr="00986DF8">
        <w:t>https://www.bera.ac.uk/researchers-resources/publications/ethical-guidelines-for-educational-research-2011</w:t>
      </w:r>
    </w:p>
    <w:p w:rsidR="001A75E4" w:rsidRDefault="001A75E4" w:rsidP="001A75E4">
      <w:proofErr w:type="spellStart"/>
      <w:r>
        <w:t>Brummelen</w:t>
      </w:r>
      <w:proofErr w:type="spellEnd"/>
      <w:r>
        <w:t xml:space="preserve">, H.V. &amp; </w:t>
      </w:r>
      <w:proofErr w:type="spellStart"/>
      <w:r>
        <w:t>Koole</w:t>
      </w:r>
      <w:proofErr w:type="spellEnd"/>
      <w:r>
        <w:t xml:space="preserve">, R. (2012) </w:t>
      </w:r>
      <w:r w:rsidRPr="005E3F80">
        <w:rPr>
          <w:i/>
        </w:rPr>
        <w:t>“Have They Learned to Swim Around in the Big Puddle?</w:t>
      </w:r>
      <w:proofErr w:type="gramStart"/>
      <w:r w:rsidRPr="005E3F80">
        <w:rPr>
          <w:i/>
        </w:rPr>
        <w:t>”:</w:t>
      </w:r>
      <w:proofErr w:type="gramEnd"/>
      <w:r w:rsidRPr="005E3F80">
        <w:rPr>
          <w:i/>
        </w:rPr>
        <w:t xml:space="preserve"> Cultural Awareness and Engagement of Christian High School Students</w:t>
      </w:r>
      <w:r>
        <w:t>, Journal of School Choice, 6:40–61,</w:t>
      </w:r>
    </w:p>
    <w:p w:rsidR="001A75E4" w:rsidRDefault="001A75E4" w:rsidP="001A75E4">
      <w:r>
        <w:t xml:space="preserve">Chadwick, P. (1997) </w:t>
      </w:r>
      <w:r w:rsidRPr="005E3F80">
        <w:rPr>
          <w:i/>
        </w:rPr>
        <w:t>Shifting Alliances: Church and state in English</w:t>
      </w:r>
      <w:r>
        <w:t xml:space="preserve"> Education (London, </w:t>
      </w:r>
      <w:proofErr w:type="spellStart"/>
      <w:r>
        <w:t>Cassell</w:t>
      </w:r>
      <w:proofErr w:type="spellEnd"/>
      <w:r>
        <w:t>).</w:t>
      </w:r>
    </w:p>
    <w:p w:rsidR="001A75E4" w:rsidRDefault="001A75E4" w:rsidP="001A75E4">
      <w:r>
        <w:t xml:space="preserve">Chapin, s. &amp; </w:t>
      </w:r>
      <w:proofErr w:type="spellStart"/>
      <w:r>
        <w:t>Eastmasn</w:t>
      </w:r>
      <w:proofErr w:type="spellEnd"/>
      <w:r>
        <w:t xml:space="preserve">, K. (1996) </w:t>
      </w:r>
      <w:r w:rsidRPr="005E3F80">
        <w:rPr>
          <w:i/>
        </w:rPr>
        <w:t xml:space="preserve">External and internal </w:t>
      </w:r>
      <w:proofErr w:type="spellStart"/>
      <w:r w:rsidRPr="005E3F80">
        <w:rPr>
          <w:i/>
        </w:rPr>
        <w:t>chracteristics</w:t>
      </w:r>
      <w:proofErr w:type="spellEnd"/>
      <w:r w:rsidRPr="005E3F80">
        <w:rPr>
          <w:i/>
        </w:rPr>
        <w:t xml:space="preserve"> of learning environments</w:t>
      </w:r>
      <w:r>
        <w:t>. Mathematics Teacher 89: 112 - 115</w:t>
      </w:r>
    </w:p>
    <w:p w:rsidR="001A75E4" w:rsidRDefault="001A75E4" w:rsidP="001A75E4">
      <w:r>
        <w:t xml:space="preserve">Cohen, L., </w:t>
      </w:r>
      <w:proofErr w:type="spellStart"/>
      <w:r>
        <w:t>Manion</w:t>
      </w:r>
      <w:proofErr w:type="spellEnd"/>
      <w:r>
        <w:t xml:space="preserve">, L. &amp; Morrison, K. (2007) </w:t>
      </w:r>
      <w:r w:rsidRPr="005E3F80">
        <w:rPr>
          <w:i/>
        </w:rPr>
        <w:t>Research methods in education</w:t>
      </w:r>
      <w:r>
        <w:t xml:space="preserve"> 7</w:t>
      </w:r>
      <w:r w:rsidRPr="00986DF8">
        <w:rPr>
          <w:vertAlign w:val="superscript"/>
        </w:rPr>
        <w:t>th</w:t>
      </w:r>
      <w:r>
        <w:t xml:space="preserve"> edition. </w:t>
      </w:r>
      <w:proofErr w:type="spellStart"/>
      <w:r>
        <w:t>London</w:t>
      </w:r>
      <w:proofErr w:type="gramStart"/>
      <w:r>
        <w:t>:Routledge</w:t>
      </w:r>
      <w:proofErr w:type="spellEnd"/>
      <w:proofErr w:type="gramEnd"/>
    </w:p>
    <w:p w:rsidR="001A75E4" w:rsidRDefault="001A75E4" w:rsidP="001A75E4">
      <w:r>
        <w:t xml:space="preserve">Cruickshank, M. (1963) </w:t>
      </w:r>
      <w:r w:rsidRPr="005E3F80">
        <w:rPr>
          <w:i/>
        </w:rPr>
        <w:t>Church and state in English Education</w:t>
      </w:r>
      <w:r>
        <w:t xml:space="preserve"> (London, Macmillan).</w:t>
      </w:r>
    </w:p>
    <w:p w:rsidR="001A75E4" w:rsidRDefault="001A75E4" w:rsidP="001A75E4">
      <w:r>
        <w:t xml:space="preserve">Davis, H.A. (2003) </w:t>
      </w:r>
      <w:r w:rsidRPr="005E3F80">
        <w:rPr>
          <w:i/>
        </w:rPr>
        <w:t>Conceptualizing the role of student-teacher relationships on children’s cognitive and social development</w:t>
      </w:r>
      <w:r>
        <w:t>. Educational Psychologist 38: 207 - 234</w:t>
      </w:r>
    </w:p>
    <w:p w:rsidR="001A75E4" w:rsidRDefault="001A75E4" w:rsidP="001A75E4">
      <w:r>
        <w:t xml:space="preserve">Dawkins, R. (2001) </w:t>
      </w:r>
      <w:r w:rsidRPr="005E3F80">
        <w:rPr>
          <w:i/>
        </w:rPr>
        <w:t>No faith in the absurd</w:t>
      </w:r>
      <w:r>
        <w:t>, Times Educational Supplement, 23 February.</w:t>
      </w:r>
    </w:p>
    <w:p w:rsidR="001A75E4" w:rsidRDefault="001A75E4" w:rsidP="001A75E4">
      <w:r>
        <w:t xml:space="preserve">Deakin, R. (1989) </w:t>
      </w:r>
      <w:proofErr w:type="gramStart"/>
      <w:r w:rsidRPr="005E3F80">
        <w:rPr>
          <w:i/>
        </w:rPr>
        <w:t>The</w:t>
      </w:r>
      <w:proofErr w:type="gramEnd"/>
      <w:r w:rsidRPr="005E3F80">
        <w:rPr>
          <w:i/>
        </w:rPr>
        <w:t xml:space="preserve"> new Christian schools</w:t>
      </w:r>
      <w:r>
        <w:t xml:space="preserve"> (Bristol, </w:t>
      </w:r>
      <w:proofErr w:type="spellStart"/>
      <w:r>
        <w:t>Regius</w:t>
      </w:r>
      <w:proofErr w:type="spellEnd"/>
      <w:r>
        <w:t xml:space="preserve"> Press)</w:t>
      </w:r>
    </w:p>
    <w:p w:rsidR="001A75E4" w:rsidRDefault="001A75E4" w:rsidP="001A75E4">
      <w:proofErr w:type="spellStart"/>
      <w:r>
        <w:t>Denscombe</w:t>
      </w:r>
      <w:proofErr w:type="spellEnd"/>
      <w:r>
        <w:t>, M. (2010) (4</w:t>
      </w:r>
      <w:r w:rsidRPr="00986DF8">
        <w:rPr>
          <w:vertAlign w:val="superscript"/>
        </w:rPr>
        <w:t>th</w:t>
      </w:r>
      <w:r>
        <w:t xml:space="preserve"> edition) </w:t>
      </w:r>
      <w:r w:rsidRPr="005E3F80">
        <w:rPr>
          <w:i/>
        </w:rPr>
        <w:t>The Good Research Guide: for small-scale social research projects</w:t>
      </w:r>
      <w:r>
        <w:t>. Buckingham: Open University Press</w:t>
      </w:r>
    </w:p>
    <w:p w:rsidR="001A75E4" w:rsidRDefault="001A75E4" w:rsidP="001A75E4">
      <w:r>
        <w:t xml:space="preserve">ESTYN Common Inspection Framework (2010) </w:t>
      </w:r>
      <w:r w:rsidRPr="003A42BB">
        <w:t>https://www.estyn.gov.wales/sites/default/files/documents/Common%20Inspection%20Framework.pdf</w:t>
      </w:r>
    </w:p>
    <w:p w:rsidR="001A75E4" w:rsidRDefault="001A75E4" w:rsidP="001A75E4">
      <w:proofErr w:type="spellStart"/>
      <w:r>
        <w:lastRenderedPageBreak/>
        <w:t>Evangelinou-Yiannakis</w:t>
      </w:r>
      <w:proofErr w:type="spellEnd"/>
      <w:r>
        <w:t xml:space="preserve">, A. (2016) </w:t>
      </w:r>
      <w:r w:rsidRPr="005E3F80">
        <w:rPr>
          <w:i/>
        </w:rPr>
        <w:t>Challenges faced by a faith-based school in a rural, predominantly secular setting</w:t>
      </w:r>
      <w:r>
        <w:t>: Implications, Issues in Educational Research, 26 (4), 561-575</w:t>
      </w:r>
    </w:p>
    <w:p w:rsidR="001A75E4" w:rsidRDefault="001A75E4" w:rsidP="001A75E4">
      <w:r>
        <w:t xml:space="preserve">Evans, I.M., Harvey, S.T., Buckley, L. &amp; Yan, E. (2009) </w:t>
      </w:r>
      <w:r w:rsidRPr="005E3F80">
        <w:rPr>
          <w:i/>
        </w:rPr>
        <w:t>Differentiating classroom climate concepts: Academic, management, and emotional environments</w:t>
      </w:r>
      <w:r>
        <w:t>, New Zealand Journal of Social Sciences Online, 4:2, 131-146</w:t>
      </w:r>
    </w:p>
    <w:p w:rsidR="001A75E4" w:rsidRPr="00FE2A29" w:rsidRDefault="001A75E4" w:rsidP="001A75E4">
      <w:pPr>
        <w:jc w:val="both"/>
        <w:rPr>
          <w:rFonts w:cs="Times New Roman"/>
          <w:lang w:val="en-US"/>
        </w:rPr>
      </w:pPr>
      <w:proofErr w:type="spellStart"/>
      <w:r w:rsidRPr="00FE2A29">
        <w:rPr>
          <w:rFonts w:cs="Times New Roman"/>
          <w:lang w:val="en-US"/>
        </w:rPr>
        <w:t>Fictman</w:t>
      </w:r>
      <w:proofErr w:type="spellEnd"/>
      <w:r w:rsidRPr="00FE2A29">
        <w:rPr>
          <w:rFonts w:cs="Times New Roman"/>
          <w:lang w:val="en-US"/>
        </w:rPr>
        <w:t xml:space="preserve">-Dana, N. &amp; </w:t>
      </w:r>
      <w:proofErr w:type="spellStart"/>
      <w:r w:rsidRPr="00FE2A29">
        <w:rPr>
          <w:rFonts w:cs="Times New Roman"/>
          <w:lang w:val="en-US"/>
        </w:rPr>
        <w:t>Ydndol-Hoppey</w:t>
      </w:r>
      <w:proofErr w:type="spellEnd"/>
      <w:r w:rsidRPr="00FE2A29">
        <w:rPr>
          <w:rFonts w:cs="Times New Roman"/>
          <w:lang w:val="en-US"/>
        </w:rPr>
        <w:t>, D. (2008) (2</w:t>
      </w:r>
      <w:r w:rsidRPr="00FE2A29">
        <w:rPr>
          <w:rFonts w:cs="Times New Roman"/>
          <w:vertAlign w:val="superscript"/>
          <w:lang w:val="en-US"/>
        </w:rPr>
        <w:t>nd</w:t>
      </w:r>
      <w:r w:rsidRPr="00FE2A29">
        <w:rPr>
          <w:rFonts w:cs="Times New Roman"/>
          <w:lang w:val="en-US"/>
        </w:rPr>
        <w:t xml:space="preserve"> Ed) </w:t>
      </w:r>
      <w:r w:rsidRPr="00FE2A29">
        <w:rPr>
          <w:rFonts w:cs="Times New Roman"/>
          <w:i/>
          <w:lang w:val="en-US"/>
        </w:rPr>
        <w:t>The Reflective Educator's Guide to Classroom Research: Learning to Teach and Teaching to Learn Through Practitioner</w:t>
      </w:r>
      <w:r w:rsidRPr="00FE2A29">
        <w:rPr>
          <w:rFonts w:cs="Times New Roman"/>
          <w:lang w:val="en-US"/>
        </w:rPr>
        <w:t>.  Corwin Press.</w:t>
      </w:r>
    </w:p>
    <w:p w:rsidR="001A75E4" w:rsidRDefault="001A75E4" w:rsidP="001A75E4">
      <w:r>
        <w:t xml:space="preserve">Francis, L.J. (1987) </w:t>
      </w:r>
      <w:r w:rsidRPr="005E3F80">
        <w:rPr>
          <w:i/>
        </w:rPr>
        <w:t>Religion in the primary school: Partnership between church and state</w:t>
      </w:r>
      <w:r>
        <w:t>? (London, Collins Liturgical Publications).</w:t>
      </w:r>
    </w:p>
    <w:p w:rsidR="001A75E4" w:rsidRDefault="001A75E4" w:rsidP="001A75E4">
      <w:r>
        <w:t xml:space="preserve">Francis, L.J. (1988) </w:t>
      </w:r>
      <w:r w:rsidRPr="005E3F80">
        <w:rPr>
          <w:i/>
        </w:rPr>
        <w:t>The development of a scale of attitude towards Christianity among 8-16 year olds</w:t>
      </w:r>
      <w:r>
        <w:t>, Collected Original Resources in Education, 12, fiche 1, AO4.</w:t>
      </w:r>
    </w:p>
    <w:p w:rsidR="001A75E4" w:rsidRDefault="001A75E4" w:rsidP="001A75E4">
      <w:r>
        <w:t xml:space="preserve">Francis, L.J. (2001) </w:t>
      </w:r>
      <w:proofErr w:type="gramStart"/>
      <w:r w:rsidRPr="005E3F80">
        <w:rPr>
          <w:i/>
        </w:rPr>
        <w:t>The</w:t>
      </w:r>
      <w:proofErr w:type="gramEnd"/>
      <w:r w:rsidRPr="005E3F80">
        <w:rPr>
          <w:i/>
        </w:rPr>
        <w:t xml:space="preserve"> values debate: a voice from the pupils</w:t>
      </w:r>
      <w:r>
        <w:t xml:space="preserve"> (London, Woburn Press).</w:t>
      </w:r>
    </w:p>
    <w:p w:rsidR="001A75E4" w:rsidRDefault="001A75E4" w:rsidP="001A75E4">
      <w:r>
        <w:t xml:space="preserve">Francis, L.J. (2005) </w:t>
      </w:r>
      <w:r w:rsidRPr="005E3F80">
        <w:rPr>
          <w:i/>
        </w:rPr>
        <w:t>Independent Christian schools and pupil values: an empirical investigation among 13- to 15- year old boys</w:t>
      </w:r>
      <w:r>
        <w:t>, British Journal of Religious Education, 27, 127 – 141.</w:t>
      </w:r>
    </w:p>
    <w:p w:rsidR="001A75E4" w:rsidRDefault="001A75E4" w:rsidP="001A75E4">
      <w:pPr>
        <w:pStyle w:val="Heading1"/>
        <w:rPr>
          <w:rStyle w:val="nlmarticle-title"/>
          <w:rFonts w:asciiTheme="minorHAnsi" w:hAnsiTheme="minorHAnsi"/>
          <w:color w:val="333333"/>
          <w:sz w:val="22"/>
          <w:szCs w:val="22"/>
        </w:rPr>
      </w:pPr>
      <w:r w:rsidRPr="00B84BD4">
        <w:rPr>
          <w:rFonts w:asciiTheme="minorHAnsi" w:hAnsiTheme="minorHAnsi"/>
          <w:color w:val="auto"/>
          <w:sz w:val="22"/>
          <w:szCs w:val="22"/>
        </w:rPr>
        <w:t xml:space="preserve">Francis, L.J. &amp; </w:t>
      </w:r>
      <w:proofErr w:type="spellStart"/>
      <w:r w:rsidRPr="00B84BD4">
        <w:rPr>
          <w:rFonts w:asciiTheme="minorHAnsi" w:hAnsiTheme="minorHAnsi"/>
          <w:color w:val="auto"/>
          <w:sz w:val="22"/>
          <w:szCs w:val="22"/>
        </w:rPr>
        <w:t>Graig</w:t>
      </w:r>
      <w:proofErr w:type="spellEnd"/>
      <w:r w:rsidRPr="00B84BD4">
        <w:rPr>
          <w:rFonts w:asciiTheme="minorHAnsi" w:hAnsiTheme="minorHAnsi"/>
          <w:color w:val="auto"/>
          <w:sz w:val="22"/>
          <w:szCs w:val="22"/>
        </w:rPr>
        <w:t xml:space="preserve">, C.L. (2007) </w:t>
      </w:r>
      <w:proofErr w:type="spellStart"/>
      <w:r w:rsidRPr="005E3F80">
        <w:rPr>
          <w:rStyle w:val="nlmarticle-title"/>
          <w:rFonts w:asciiTheme="minorHAnsi" w:hAnsiTheme="minorHAnsi"/>
          <w:i/>
          <w:color w:val="333333"/>
          <w:sz w:val="22"/>
          <w:szCs w:val="22"/>
        </w:rPr>
        <w:t>Tweenagers</w:t>
      </w:r>
      <w:proofErr w:type="spellEnd"/>
      <w:r w:rsidRPr="005E3F80">
        <w:rPr>
          <w:rStyle w:val="nlmarticle-title"/>
          <w:rFonts w:asciiTheme="minorHAnsi" w:hAnsiTheme="minorHAnsi"/>
          <w:i/>
          <w:color w:val="333333"/>
          <w:sz w:val="22"/>
          <w:szCs w:val="22"/>
        </w:rPr>
        <w:t xml:space="preserve"> in the church: an empirical perspective on attitude development</w:t>
      </w:r>
      <w:r w:rsidRPr="005E6076">
        <w:rPr>
          <w:rStyle w:val="nlmarticle-title"/>
          <w:rFonts w:asciiTheme="minorHAnsi" w:hAnsiTheme="minorHAnsi"/>
          <w:color w:val="auto"/>
          <w:sz w:val="22"/>
          <w:szCs w:val="22"/>
        </w:rPr>
        <w:t xml:space="preserve">, </w:t>
      </w:r>
      <w:r w:rsidRPr="005E6076">
        <w:rPr>
          <w:rFonts w:asciiTheme="minorHAnsi" w:hAnsiTheme="minorHAnsi"/>
          <w:color w:val="auto"/>
          <w:sz w:val="22"/>
          <w:szCs w:val="22"/>
        </w:rPr>
        <w:t>Journal of Beliefs &amp; Values, Vol. 27, No. 1, April 2006, pp. 95–109</w:t>
      </w:r>
    </w:p>
    <w:p w:rsidR="001A75E4" w:rsidRDefault="001A75E4" w:rsidP="001A75E4">
      <w:pPr>
        <w:pStyle w:val="Heading1"/>
        <w:rPr>
          <w:rStyle w:val="nlmarticle-title"/>
          <w:rFonts w:asciiTheme="minorHAnsi" w:hAnsiTheme="minorHAnsi"/>
          <w:color w:val="auto"/>
          <w:sz w:val="22"/>
          <w:szCs w:val="22"/>
        </w:rPr>
      </w:pPr>
      <w:r w:rsidRPr="00E45E53">
        <w:rPr>
          <w:rFonts w:asciiTheme="minorHAnsi" w:hAnsiTheme="minorHAnsi"/>
          <w:color w:val="auto"/>
          <w:sz w:val="22"/>
          <w:szCs w:val="22"/>
        </w:rPr>
        <w:t xml:space="preserve">Francis, L.J. (2011) </w:t>
      </w:r>
      <w:proofErr w:type="gramStart"/>
      <w:r w:rsidRPr="005E3F80">
        <w:rPr>
          <w:rStyle w:val="nlmarticle-title"/>
          <w:rFonts w:asciiTheme="minorHAnsi" w:hAnsiTheme="minorHAnsi"/>
          <w:i/>
          <w:color w:val="auto"/>
          <w:sz w:val="22"/>
          <w:szCs w:val="22"/>
        </w:rPr>
        <w:t>The</w:t>
      </w:r>
      <w:proofErr w:type="gramEnd"/>
      <w:r w:rsidRPr="005E3F80">
        <w:rPr>
          <w:rStyle w:val="nlmarticle-title"/>
          <w:rFonts w:asciiTheme="minorHAnsi" w:hAnsiTheme="minorHAnsi"/>
          <w:i/>
          <w:color w:val="auto"/>
          <w:sz w:val="22"/>
          <w:szCs w:val="22"/>
        </w:rPr>
        <w:t xml:space="preserve"> Psychology of Gender Differences in Religion: A Review of Empirical Research</w:t>
      </w:r>
      <w:r>
        <w:rPr>
          <w:rStyle w:val="nlmarticle-title"/>
          <w:rFonts w:asciiTheme="minorHAnsi" w:hAnsiTheme="minorHAnsi"/>
          <w:color w:val="auto"/>
          <w:sz w:val="22"/>
          <w:szCs w:val="22"/>
        </w:rPr>
        <w:t xml:space="preserve">, </w:t>
      </w:r>
      <w:r w:rsidRPr="005E6076">
        <w:rPr>
          <w:rFonts w:asciiTheme="minorHAnsi" w:hAnsiTheme="minorHAnsi"/>
          <w:color w:val="auto"/>
          <w:sz w:val="22"/>
          <w:szCs w:val="22"/>
        </w:rPr>
        <w:t>Religion (1997) 27, 81–96</w:t>
      </w:r>
    </w:p>
    <w:p w:rsidR="001A75E4" w:rsidRDefault="001A75E4" w:rsidP="001A75E4">
      <w:pPr>
        <w:spacing w:before="240" w:line="240" w:lineRule="auto"/>
      </w:pPr>
      <w:r>
        <w:t xml:space="preserve">Francis, L.J. &amp; </w:t>
      </w:r>
      <w:proofErr w:type="spellStart"/>
      <w:r>
        <w:t>Ap</w:t>
      </w:r>
      <w:proofErr w:type="spellEnd"/>
      <w:r>
        <w:t xml:space="preserve"> Sion, T. (2014) </w:t>
      </w:r>
      <w:r w:rsidRPr="005E3F80">
        <w:rPr>
          <w:i/>
        </w:rPr>
        <w:t>Measuring the contribution of independent Christian secondary schools to students’ religious, personal, and social values</w:t>
      </w:r>
      <w:r>
        <w:t>, Journal of Research on Christian Education, 23:29–55</w:t>
      </w:r>
    </w:p>
    <w:p w:rsidR="001A75E4" w:rsidRDefault="001A75E4" w:rsidP="001A75E4">
      <w:r>
        <w:t xml:space="preserve">Francis, L.J., Pyke, A., &amp; Penny G. (2015) </w:t>
      </w:r>
      <w:r w:rsidRPr="005E3F80">
        <w:rPr>
          <w:i/>
        </w:rPr>
        <w:t>Christian Affiliation, Christian Practice, and Attitudes to Religious Diversity: A Quantitative Analysis among 13- to 15-year-old Female Students in the UK</w:t>
      </w:r>
      <w:r>
        <w:t>, Journal of Contemporary Religion, 2015 Vol. 30, No. 2, 249–263</w:t>
      </w:r>
    </w:p>
    <w:p w:rsidR="001A75E4" w:rsidRDefault="001A75E4" w:rsidP="001A75E4">
      <w:r>
        <w:t xml:space="preserve">Gallagher, M. (1997) </w:t>
      </w:r>
      <w:proofErr w:type="gramStart"/>
      <w:r w:rsidRPr="005E3F80">
        <w:rPr>
          <w:i/>
        </w:rPr>
        <w:t>New</w:t>
      </w:r>
      <w:proofErr w:type="gramEnd"/>
      <w:r w:rsidRPr="005E3F80">
        <w:rPr>
          <w:i/>
        </w:rPr>
        <w:t xml:space="preserve"> forms of cultural unbelief</w:t>
      </w:r>
      <w:r>
        <w:t>. In P. Hogan and K. Williams (</w:t>
      </w:r>
      <w:proofErr w:type="spellStart"/>
      <w:r>
        <w:t>Eds</w:t>
      </w:r>
      <w:proofErr w:type="spellEnd"/>
      <w:r>
        <w:t xml:space="preserve">) </w:t>
      </w:r>
      <w:proofErr w:type="gramStart"/>
      <w:r>
        <w:t>The</w:t>
      </w:r>
      <w:proofErr w:type="gramEnd"/>
      <w:r>
        <w:t xml:space="preserve"> future of religion in Irish education (Dublin, Veritas).</w:t>
      </w:r>
    </w:p>
    <w:p w:rsidR="001A75E4" w:rsidRDefault="001A75E4" w:rsidP="001A75E4">
      <w:r>
        <w:t xml:space="preserve">Gardiner, R., Cairns, J., &amp; Lawton, D. (2005) </w:t>
      </w:r>
      <w:r w:rsidRPr="005E3F80">
        <w:rPr>
          <w:i/>
        </w:rPr>
        <w:t>Faith Schools: Consensus or Conflict?</w:t>
      </w:r>
      <w:r>
        <w:t xml:space="preserve"> London: </w:t>
      </w:r>
      <w:proofErr w:type="spellStart"/>
      <w:r>
        <w:t>RoutledgeFalmer</w:t>
      </w:r>
      <w:proofErr w:type="spellEnd"/>
    </w:p>
    <w:p w:rsidR="001A75E4" w:rsidRDefault="001A75E4" w:rsidP="001A75E4">
      <w:r>
        <w:t xml:space="preserve">Godfrey, R. &amp; Morris, A. (2008) </w:t>
      </w:r>
      <w:r w:rsidRPr="005E3F80">
        <w:rPr>
          <w:i/>
        </w:rPr>
        <w:t>Explaining high attainment in faith schools: the impact of Religious Education and other examinations on pupils’ GCSE point scores</w:t>
      </w:r>
      <w:r>
        <w:t>, British Journal of Religious Education, 30:3, 211-222</w:t>
      </w:r>
    </w:p>
    <w:p w:rsidR="001A75E4" w:rsidRDefault="001A75E4" w:rsidP="001A75E4">
      <w:r>
        <w:t>Gordon, J. &amp; Grant, G. (</w:t>
      </w:r>
      <w:proofErr w:type="spellStart"/>
      <w:r>
        <w:t>Eds</w:t>
      </w:r>
      <w:proofErr w:type="spellEnd"/>
      <w:r>
        <w:t xml:space="preserve">) (1997) </w:t>
      </w:r>
      <w:proofErr w:type="gramStart"/>
      <w:r w:rsidRPr="005E3F80">
        <w:rPr>
          <w:i/>
        </w:rPr>
        <w:t>How</w:t>
      </w:r>
      <w:proofErr w:type="gramEnd"/>
      <w:r w:rsidRPr="005E3F80">
        <w:rPr>
          <w:i/>
        </w:rPr>
        <w:t xml:space="preserve"> we feel: an insight into the emotional world of teenagers</w:t>
      </w:r>
      <w:r>
        <w:t xml:space="preserve"> (London, Jessica Kingsley Publishers).</w:t>
      </w:r>
    </w:p>
    <w:p w:rsidR="001A75E4" w:rsidRDefault="001A75E4" w:rsidP="001A75E4">
      <w:r>
        <w:t xml:space="preserve">Grace, G. (2003) </w:t>
      </w:r>
      <w:r w:rsidRPr="005E3F80">
        <w:rPr>
          <w:i/>
        </w:rPr>
        <w:t>Educational studies and faith-based schooling: Moving from prejudice to evidence-based argument</w:t>
      </w:r>
      <w:r>
        <w:t>, British Journal of Educational Studies, 51:2, 149 – 167</w:t>
      </w:r>
    </w:p>
    <w:p w:rsidR="001A75E4" w:rsidRDefault="001A75E4" w:rsidP="001A75E4">
      <w:proofErr w:type="spellStart"/>
      <w:r>
        <w:t>Hareli</w:t>
      </w:r>
      <w:proofErr w:type="spellEnd"/>
      <w:r>
        <w:t xml:space="preserve">, S., &amp; </w:t>
      </w:r>
      <w:proofErr w:type="spellStart"/>
      <w:r>
        <w:t>Rafaeli</w:t>
      </w:r>
      <w:proofErr w:type="spellEnd"/>
      <w:r>
        <w:t xml:space="preserve">, A. (2008) </w:t>
      </w:r>
      <w:r w:rsidRPr="005E3F80">
        <w:rPr>
          <w:i/>
        </w:rPr>
        <w:t>Emotion cycles: on the influence of emotion in organizations</w:t>
      </w:r>
      <w:r>
        <w:t>. Research in Organizational Behaviour 28: 35 – 59.</w:t>
      </w:r>
    </w:p>
    <w:p w:rsidR="001A75E4" w:rsidRDefault="001A75E4" w:rsidP="001A75E4">
      <w:r>
        <w:lastRenderedPageBreak/>
        <w:t xml:space="preserve">Harvey, S., &amp; Evans, I.M. (2003) </w:t>
      </w:r>
      <w:r w:rsidRPr="005E3F80">
        <w:rPr>
          <w:i/>
        </w:rPr>
        <w:t>Understanding the emotional environment of the classroom</w:t>
      </w:r>
      <w:r>
        <w:t xml:space="preserve">. In: Fraser D, </w:t>
      </w:r>
      <w:proofErr w:type="spellStart"/>
      <w:r>
        <w:t>Openshaw</w:t>
      </w:r>
      <w:proofErr w:type="spellEnd"/>
      <w:r>
        <w:t xml:space="preserve"> R ed. </w:t>
      </w:r>
      <w:proofErr w:type="gramStart"/>
      <w:r w:rsidRPr="005E3F80">
        <w:rPr>
          <w:i/>
        </w:rPr>
        <w:t>Informing</w:t>
      </w:r>
      <w:proofErr w:type="gramEnd"/>
      <w:r w:rsidRPr="005E3F80">
        <w:rPr>
          <w:i/>
        </w:rPr>
        <w:t xml:space="preserve"> our practice</w:t>
      </w:r>
      <w:r>
        <w:t xml:space="preserve">. Palmerston North, New Zealand, </w:t>
      </w:r>
      <w:proofErr w:type="spellStart"/>
      <w:r>
        <w:t>Kanuka</w:t>
      </w:r>
      <w:proofErr w:type="spellEnd"/>
      <w:r>
        <w:t xml:space="preserve"> Grove Press. PP. 182 - 195</w:t>
      </w:r>
    </w:p>
    <w:p w:rsidR="001A75E4" w:rsidRDefault="001A75E4" w:rsidP="001A75E4">
      <w:r>
        <w:t xml:space="preserve">Keyser, V., &amp; </w:t>
      </w:r>
      <w:proofErr w:type="spellStart"/>
      <w:r>
        <w:t>Barling</w:t>
      </w:r>
      <w:proofErr w:type="spellEnd"/>
      <w:r>
        <w:t xml:space="preserve">, J. (1981) </w:t>
      </w:r>
      <w:r w:rsidRPr="005E3F80">
        <w:rPr>
          <w:i/>
        </w:rPr>
        <w:t>Determinants of children’s self-efficacy beliefs in an academic environment</w:t>
      </w:r>
      <w:r>
        <w:t>. Cognitive Therapy and Research 5: 29 - 39</w:t>
      </w:r>
    </w:p>
    <w:p w:rsidR="001A75E4" w:rsidRDefault="001A75E4" w:rsidP="001A75E4">
      <w:proofErr w:type="spellStart"/>
      <w:r>
        <w:t>LeCompte</w:t>
      </w:r>
      <w:proofErr w:type="spellEnd"/>
      <w:r>
        <w:t xml:space="preserve">, M. &amp; </w:t>
      </w:r>
      <w:proofErr w:type="spellStart"/>
      <w:r>
        <w:t>Preislle</w:t>
      </w:r>
      <w:proofErr w:type="spellEnd"/>
      <w:r>
        <w:t xml:space="preserve">, J. (1993) </w:t>
      </w:r>
      <w:r w:rsidRPr="005E3F80">
        <w:rPr>
          <w:i/>
        </w:rPr>
        <w:t>Ethnography and qualitative design in educational research</w:t>
      </w:r>
      <w:r>
        <w:t>, second edition, London: Academic Press</w:t>
      </w:r>
    </w:p>
    <w:p w:rsidR="001A75E4" w:rsidRDefault="001A75E4" w:rsidP="001A75E4">
      <w:r>
        <w:t xml:space="preserve">Lincoln, Y.S. &amp; Guba, E. (1985) </w:t>
      </w:r>
      <w:r w:rsidRPr="005E3F80">
        <w:rPr>
          <w:i/>
        </w:rPr>
        <w:t>Naturalistic Enquiry</w:t>
      </w:r>
      <w:r>
        <w:t>. Beverley Hills. CA: SAGE</w:t>
      </w:r>
    </w:p>
    <w:p w:rsidR="001A75E4" w:rsidRDefault="001A75E4" w:rsidP="001A75E4">
      <w:r>
        <w:t xml:space="preserve">Lyons, E. &amp; Coyle, A. (2007) </w:t>
      </w:r>
      <w:r w:rsidRPr="005E3F80">
        <w:rPr>
          <w:i/>
        </w:rPr>
        <w:t>Analysing qualitative data in Psychology</w:t>
      </w:r>
      <w:r>
        <w:t xml:space="preserve">, </w:t>
      </w:r>
      <w:proofErr w:type="spellStart"/>
      <w:r>
        <w:t>London</w:t>
      </w:r>
      <w:proofErr w:type="gramStart"/>
      <w:r>
        <w:t>:SAGE</w:t>
      </w:r>
      <w:proofErr w:type="spellEnd"/>
      <w:proofErr w:type="gramEnd"/>
    </w:p>
    <w:p w:rsidR="001A75E4" w:rsidRDefault="001A75E4" w:rsidP="001A75E4">
      <w:r>
        <w:t xml:space="preserve">Merton, R.K. &amp; Kendall, P.L. (1946) </w:t>
      </w:r>
      <w:proofErr w:type="gramStart"/>
      <w:r w:rsidRPr="005E3F80">
        <w:rPr>
          <w:i/>
        </w:rPr>
        <w:t>The</w:t>
      </w:r>
      <w:proofErr w:type="gramEnd"/>
      <w:r w:rsidRPr="005E3F80">
        <w:rPr>
          <w:i/>
        </w:rPr>
        <w:t xml:space="preserve"> focused interview</w:t>
      </w:r>
      <w:r>
        <w:t>. American Journal of Sociology, 51, 541 – 57.</w:t>
      </w:r>
    </w:p>
    <w:p w:rsidR="001A75E4" w:rsidRDefault="001A75E4" w:rsidP="001A75E4">
      <w:r>
        <w:t xml:space="preserve">Murphy, J. (1971) </w:t>
      </w:r>
      <w:r w:rsidRPr="005E3F80">
        <w:rPr>
          <w:i/>
        </w:rPr>
        <w:t xml:space="preserve">Church, state and schools in Britain 1800-1970b </w:t>
      </w:r>
      <w:r>
        <w:t>(London, Routledge and Kegan Paul).</w:t>
      </w:r>
    </w:p>
    <w:p w:rsidR="001A75E4" w:rsidRDefault="001A75E4" w:rsidP="001A75E4">
      <w:r>
        <w:t xml:space="preserve">O’Keefe, B. (1992) </w:t>
      </w:r>
      <w:r w:rsidRPr="005E3F80">
        <w:rPr>
          <w:i/>
        </w:rPr>
        <w:t>A look at the Christian Schools movement</w:t>
      </w:r>
      <w:r>
        <w:t xml:space="preserve">, in: B. Watson (Ed.) </w:t>
      </w:r>
      <w:r w:rsidRPr="005E3F80">
        <w:rPr>
          <w:i/>
        </w:rPr>
        <w:t>Priorities in religious education</w:t>
      </w:r>
      <w:r>
        <w:t xml:space="preserve"> (London, </w:t>
      </w:r>
      <w:proofErr w:type="spellStart"/>
      <w:r>
        <w:t>Falmer</w:t>
      </w:r>
      <w:proofErr w:type="spellEnd"/>
      <w:r>
        <w:t xml:space="preserve"> Press), 92 – 112</w:t>
      </w:r>
    </w:p>
    <w:p w:rsidR="001A75E4" w:rsidRDefault="001A75E4" w:rsidP="001A75E4">
      <w:r>
        <w:t xml:space="preserve">Oppenheim, A.N. (1992) </w:t>
      </w:r>
      <w:r w:rsidRPr="005E3F80">
        <w:rPr>
          <w:i/>
        </w:rPr>
        <w:t>Questionnaire design, Interviewing and Attitude Measurement</w:t>
      </w:r>
      <w:r>
        <w:t>. London. Pinter.</w:t>
      </w:r>
    </w:p>
    <w:p w:rsidR="001A75E4" w:rsidRDefault="001A75E4" w:rsidP="001A75E4">
      <w:proofErr w:type="spellStart"/>
      <w:r>
        <w:t>Poyntz</w:t>
      </w:r>
      <w:proofErr w:type="spellEnd"/>
      <w:r>
        <w:t xml:space="preserve">, C. &amp; </w:t>
      </w:r>
      <w:proofErr w:type="spellStart"/>
      <w:r>
        <w:t>Walford</w:t>
      </w:r>
      <w:proofErr w:type="spellEnd"/>
      <w:r>
        <w:t xml:space="preserve">, G. (1994) </w:t>
      </w:r>
      <w:proofErr w:type="gramStart"/>
      <w:r w:rsidRPr="005E3F80">
        <w:rPr>
          <w:i/>
        </w:rPr>
        <w:t>The</w:t>
      </w:r>
      <w:proofErr w:type="gramEnd"/>
      <w:r w:rsidRPr="005E3F80">
        <w:rPr>
          <w:i/>
        </w:rPr>
        <w:t xml:space="preserve"> new Christian schools: a survey</w:t>
      </w:r>
      <w:r>
        <w:t>, Educational Studies, 20, 127-43</w:t>
      </w:r>
    </w:p>
    <w:p w:rsidR="001A75E4" w:rsidRDefault="001A75E4" w:rsidP="001A75E4">
      <w:proofErr w:type="spellStart"/>
      <w:r>
        <w:t>Rayneri</w:t>
      </w:r>
      <w:proofErr w:type="spellEnd"/>
      <w:r>
        <w:t>, L.J., Gerber B.L., &amp; Wiley, L.P. (2006)</w:t>
      </w:r>
      <w:r w:rsidRPr="005E3F80">
        <w:rPr>
          <w:i/>
        </w:rPr>
        <w:t xml:space="preserve"> </w:t>
      </w:r>
      <w:proofErr w:type="gramStart"/>
      <w:r w:rsidRPr="005E3F80">
        <w:rPr>
          <w:i/>
        </w:rPr>
        <w:t>The</w:t>
      </w:r>
      <w:proofErr w:type="gramEnd"/>
      <w:r w:rsidRPr="005E3F80">
        <w:rPr>
          <w:i/>
        </w:rPr>
        <w:t xml:space="preserve"> relationship between classroom environment and the learning style preferences of gifted middle school students and the impact on levels of performance</w:t>
      </w:r>
      <w:r>
        <w:t>. Gifted Child Quarterly 50: 104 - 118</w:t>
      </w:r>
    </w:p>
    <w:p w:rsidR="001A75E4" w:rsidRDefault="001A75E4" w:rsidP="001A75E4">
      <w:proofErr w:type="spellStart"/>
      <w:r>
        <w:t>Sanbrock</w:t>
      </w:r>
      <w:proofErr w:type="spellEnd"/>
      <w:r>
        <w:t xml:space="preserve">, F. (2011) </w:t>
      </w:r>
      <w:r w:rsidRPr="005E3F80">
        <w:rPr>
          <w:i/>
        </w:rPr>
        <w:t>Marcia’s Four statuses of identity</w:t>
      </w:r>
      <w:r>
        <w:t>, 13</w:t>
      </w:r>
      <w:r w:rsidRPr="007E1447">
        <w:rPr>
          <w:vertAlign w:val="superscript"/>
        </w:rPr>
        <w:t>th</w:t>
      </w:r>
      <w:r>
        <w:t xml:space="preserve"> Edition, Child Development, Chapter 11, The self and Identity, 336 – 339</w:t>
      </w:r>
    </w:p>
    <w:p w:rsidR="001A75E4" w:rsidRDefault="001A75E4" w:rsidP="001A75E4">
      <w:proofErr w:type="spellStart"/>
      <w:r>
        <w:t>Sudman</w:t>
      </w:r>
      <w:proofErr w:type="spellEnd"/>
      <w:r>
        <w:t xml:space="preserve">, S. &amp; </w:t>
      </w:r>
      <w:proofErr w:type="spellStart"/>
      <w:r>
        <w:t>Bradburn</w:t>
      </w:r>
      <w:proofErr w:type="spellEnd"/>
      <w:r>
        <w:t xml:space="preserve">, N.M. (1982) </w:t>
      </w:r>
      <w:r w:rsidRPr="005E3F80">
        <w:rPr>
          <w:i/>
        </w:rPr>
        <w:t>Asking Questions – A Practical Guide to Questionnaire Design</w:t>
      </w:r>
      <w:r>
        <w:t xml:space="preserve">. San Francisco, CA: </w:t>
      </w:r>
      <w:proofErr w:type="spellStart"/>
      <w:r>
        <w:t>Jossey</w:t>
      </w:r>
      <w:proofErr w:type="spellEnd"/>
      <w:r>
        <w:t>-Bass</w:t>
      </w:r>
    </w:p>
    <w:p w:rsidR="001A75E4" w:rsidRDefault="001A75E4" w:rsidP="001A75E4">
      <w:r>
        <w:t xml:space="preserve">Thomas, G. (2013) </w:t>
      </w:r>
      <w:r w:rsidRPr="005E3F80">
        <w:rPr>
          <w:i/>
        </w:rPr>
        <w:t>How to do your research project</w:t>
      </w:r>
      <w:r>
        <w:t xml:space="preserve">. Second edition. </w:t>
      </w:r>
      <w:proofErr w:type="spellStart"/>
      <w:r>
        <w:t>London</w:t>
      </w:r>
      <w:proofErr w:type="gramStart"/>
      <w:r>
        <w:t>:SAGE</w:t>
      </w:r>
      <w:proofErr w:type="spellEnd"/>
      <w:proofErr w:type="gramEnd"/>
    </w:p>
    <w:p w:rsidR="001A75E4" w:rsidRDefault="001A75E4" w:rsidP="001A75E4">
      <w:proofErr w:type="spellStart"/>
      <w:r>
        <w:t>Walford</w:t>
      </w:r>
      <w:proofErr w:type="spellEnd"/>
      <w:r>
        <w:t xml:space="preserve">, G. (1995a) Educational Politics: </w:t>
      </w:r>
      <w:r w:rsidRPr="005E3F80">
        <w:rPr>
          <w:i/>
        </w:rPr>
        <w:t>pressure groups and faith-based schools</w:t>
      </w:r>
      <w:r>
        <w:t xml:space="preserve"> (Aldershot, Avebury).</w:t>
      </w:r>
    </w:p>
    <w:p w:rsidR="001A75E4" w:rsidRDefault="001A75E4" w:rsidP="001A75E4">
      <w:proofErr w:type="spellStart"/>
      <w:r>
        <w:t>Walford</w:t>
      </w:r>
      <w:proofErr w:type="spellEnd"/>
      <w:r>
        <w:t xml:space="preserve">, G. (2000) </w:t>
      </w:r>
      <w:r w:rsidRPr="005E3F80">
        <w:rPr>
          <w:i/>
        </w:rPr>
        <w:t xml:space="preserve">Policy and politics in education: sponsored grant-maintained schools and religious diversity </w:t>
      </w:r>
      <w:r>
        <w:t>(Aldershot, Avebury).</w:t>
      </w:r>
    </w:p>
    <w:p w:rsidR="001A75E4" w:rsidRDefault="001A75E4" w:rsidP="001A75E4">
      <w:r>
        <w:t xml:space="preserve">Watson, K. &amp; </w:t>
      </w:r>
      <w:proofErr w:type="spellStart"/>
      <w:r>
        <w:t>MacKenzie</w:t>
      </w:r>
      <w:proofErr w:type="spellEnd"/>
      <w:r>
        <w:t xml:space="preserve">, P. (1996) </w:t>
      </w:r>
      <w:proofErr w:type="gramStart"/>
      <w:r w:rsidRPr="005E3F80">
        <w:rPr>
          <w:i/>
        </w:rPr>
        <w:t>The</w:t>
      </w:r>
      <w:proofErr w:type="gramEnd"/>
      <w:r w:rsidRPr="005E3F80">
        <w:rPr>
          <w:i/>
        </w:rPr>
        <w:t xml:space="preserve"> new Christian schools in England and Wales: an analysis of current issues and controversies</w:t>
      </w:r>
      <w:r>
        <w:t>, Journal of Research on Christian Education, 5, 179-208</w:t>
      </w:r>
    </w:p>
    <w:p w:rsidR="001A75E4" w:rsidRDefault="001A75E4" w:rsidP="001A75E4">
      <w:r>
        <w:t xml:space="preserve">Weinstein, C.S. (1999) </w:t>
      </w:r>
      <w:r w:rsidRPr="005E3F80">
        <w:rPr>
          <w:i/>
        </w:rPr>
        <w:t>reflections on best practices and promising programs</w:t>
      </w:r>
      <w:r>
        <w:t xml:space="preserve">. In: </w:t>
      </w:r>
      <w:proofErr w:type="spellStart"/>
      <w:r>
        <w:t>Feeiberg</w:t>
      </w:r>
      <w:proofErr w:type="spellEnd"/>
      <w:r>
        <w:t xml:space="preserve"> H.J. ed. </w:t>
      </w:r>
      <w:proofErr w:type="gramStart"/>
      <w:r>
        <w:t>Beyond</w:t>
      </w:r>
      <w:proofErr w:type="gramEnd"/>
      <w:r>
        <w:t xml:space="preserve"> behaviourism: </w:t>
      </w:r>
      <w:r w:rsidRPr="005E3F80">
        <w:rPr>
          <w:i/>
        </w:rPr>
        <w:t>changing the classroom management paradigm</w:t>
      </w:r>
      <w:r>
        <w:t xml:space="preserve">. Boston, </w:t>
      </w:r>
      <w:proofErr w:type="spellStart"/>
      <w:r>
        <w:t>Allyn</w:t>
      </w:r>
      <w:proofErr w:type="spellEnd"/>
      <w:r>
        <w:t xml:space="preserve"> &amp; Bacon. Pp 145 – 163.</w:t>
      </w:r>
    </w:p>
    <w:p w:rsidR="001A75E4" w:rsidRDefault="001A75E4" w:rsidP="001A75E4"/>
    <w:p w:rsidR="001A75E4" w:rsidRDefault="001A75E4" w:rsidP="001A75E4">
      <w:pPr>
        <w:pStyle w:val="Title"/>
      </w:pPr>
      <w:r>
        <w:lastRenderedPageBreak/>
        <w:t>Appendices</w:t>
      </w:r>
    </w:p>
    <w:p w:rsidR="006D1D8E" w:rsidRDefault="006D1D8E"/>
    <w:sectPr w:rsidR="006D1D8E">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C377F" w:rsidRDefault="008C377F" w:rsidP="001A75E4">
      <w:pPr>
        <w:spacing w:after="0" w:line="240" w:lineRule="auto"/>
      </w:pPr>
      <w:r>
        <w:separator/>
      </w:r>
    </w:p>
  </w:endnote>
  <w:endnote w:type="continuationSeparator" w:id="0">
    <w:p w:rsidR="008C377F" w:rsidRDefault="008C377F" w:rsidP="001A7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C377F" w:rsidRDefault="008C377F" w:rsidP="001A75E4">
      <w:pPr>
        <w:spacing w:after="0" w:line="240" w:lineRule="auto"/>
      </w:pPr>
      <w:r>
        <w:separator/>
      </w:r>
    </w:p>
  </w:footnote>
  <w:footnote w:type="continuationSeparator" w:id="0">
    <w:p w:rsidR="008C377F" w:rsidRDefault="008C377F" w:rsidP="001A75E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7273109"/>
      <w:docPartObj>
        <w:docPartGallery w:val="Page Numbers (Top of Page)"/>
        <w:docPartUnique/>
      </w:docPartObj>
    </w:sdtPr>
    <w:sdtEndPr>
      <w:rPr>
        <w:color w:val="7F7F7F" w:themeColor="background1" w:themeShade="7F"/>
        <w:spacing w:val="60"/>
      </w:rPr>
    </w:sdtEndPr>
    <w:sdtContent>
      <w:p w:rsidR="00315F42" w:rsidRDefault="00315F4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665DB7" w:rsidRPr="00665DB7">
          <w:rPr>
            <w:b/>
            <w:bCs/>
            <w:noProof/>
          </w:rPr>
          <w:t>21</w:t>
        </w:r>
        <w:r>
          <w:rPr>
            <w:b/>
            <w:bCs/>
            <w:noProof/>
          </w:rPr>
          <w:fldChar w:fldCharType="end"/>
        </w:r>
        <w:r>
          <w:rPr>
            <w:b/>
            <w:bCs/>
          </w:rPr>
          <w:t xml:space="preserve"> | </w:t>
        </w:r>
        <w:r>
          <w:rPr>
            <w:color w:val="7F7F7F" w:themeColor="background1" w:themeShade="7F"/>
            <w:spacing w:val="60"/>
          </w:rPr>
          <w:t>Page</w:t>
        </w:r>
      </w:p>
    </w:sdtContent>
  </w:sdt>
  <w:p w:rsidR="00315F42" w:rsidRDefault="00315F4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46E4B63"/>
    <w:multiLevelType w:val="hybridMultilevel"/>
    <w:tmpl w:val="31E6B57E"/>
    <w:lvl w:ilvl="0" w:tplc="5D724B6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75E4"/>
    <w:rsid w:val="00142F4F"/>
    <w:rsid w:val="001A75E4"/>
    <w:rsid w:val="001D4B65"/>
    <w:rsid w:val="00315F42"/>
    <w:rsid w:val="005E3F80"/>
    <w:rsid w:val="00665DB7"/>
    <w:rsid w:val="006778E5"/>
    <w:rsid w:val="006D1D8E"/>
    <w:rsid w:val="008C377F"/>
    <w:rsid w:val="00CB537F"/>
    <w:rsid w:val="00D63C19"/>
    <w:rsid w:val="00E40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27067E4-D82B-4919-8D8C-0F90783BA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75E4"/>
    <w:rPr>
      <w:rFonts w:eastAsiaTheme="minorEastAsia"/>
    </w:rPr>
  </w:style>
  <w:style w:type="paragraph" w:styleId="Heading1">
    <w:name w:val="heading 1"/>
    <w:basedOn w:val="Normal"/>
    <w:next w:val="Normal"/>
    <w:link w:val="Heading1Char"/>
    <w:uiPriority w:val="9"/>
    <w:qFormat/>
    <w:rsid w:val="001A75E4"/>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1A75E4"/>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1A75E4"/>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7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5E4"/>
  </w:style>
  <w:style w:type="paragraph" w:styleId="Footer">
    <w:name w:val="footer"/>
    <w:basedOn w:val="Normal"/>
    <w:link w:val="FooterChar"/>
    <w:uiPriority w:val="99"/>
    <w:unhideWhenUsed/>
    <w:rsid w:val="001A7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5E4"/>
  </w:style>
  <w:style w:type="character" w:customStyle="1" w:styleId="Heading1Char">
    <w:name w:val="Heading 1 Char"/>
    <w:basedOn w:val="DefaultParagraphFont"/>
    <w:link w:val="Heading1"/>
    <w:uiPriority w:val="9"/>
    <w:rsid w:val="001A75E4"/>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1A75E4"/>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1A75E4"/>
    <w:rPr>
      <w:rFonts w:asciiTheme="majorHAnsi" w:eastAsiaTheme="majorEastAsia" w:hAnsiTheme="majorHAnsi" w:cstheme="majorBidi"/>
      <w:color w:val="2E74B5" w:themeColor="accent1" w:themeShade="BF"/>
      <w:sz w:val="28"/>
      <w:szCs w:val="28"/>
    </w:rPr>
  </w:style>
  <w:style w:type="paragraph" w:styleId="ListParagraph">
    <w:name w:val="List Paragraph"/>
    <w:basedOn w:val="Normal"/>
    <w:uiPriority w:val="34"/>
    <w:qFormat/>
    <w:rsid w:val="001A75E4"/>
    <w:pPr>
      <w:ind w:left="720"/>
      <w:contextualSpacing/>
    </w:pPr>
  </w:style>
  <w:style w:type="character" w:customStyle="1" w:styleId="nlmarticle-title">
    <w:name w:val="nlm_article-title"/>
    <w:basedOn w:val="DefaultParagraphFont"/>
    <w:rsid w:val="001A75E4"/>
  </w:style>
  <w:style w:type="paragraph" w:styleId="Title">
    <w:name w:val="Title"/>
    <w:basedOn w:val="Normal"/>
    <w:next w:val="Normal"/>
    <w:link w:val="TitleChar"/>
    <w:uiPriority w:val="10"/>
    <w:qFormat/>
    <w:rsid w:val="001A75E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A75E4"/>
    <w:rPr>
      <w:rFonts w:asciiTheme="majorHAnsi" w:eastAsiaTheme="majorEastAsia" w:hAnsiTheme="majorHAnsi" w:cstheme="majorBidi"/>
      <w:caps/>
      <w:color w:val="44546A" w:themeColor="text2"/>
      <w:spacing w:val="-15"/>
      <w:sz w:val="72"/>
      <w:szCs w:val="72"/>
    </w:rPr>
  </w:style>
  <w:style w:type="paragraph" w:styleId="CommentText">
    <w:name w:val="annotation text"/>
    <w:basedOn w:val="Normal"/>
    <w:link w:val="CommentTextChar"/>
    <w:uiPriority w:val="99"/>
    <w:semiHidden/>
    <w:unhideWhenUsed/>
    <w:rsid w:val="001A75E4"/>
    <w:pPr>
      <w:spacing w:line="240" w:lineRule="auto"/>
    </w:pPr>
    <w:rPr>
      <w:sz w:val="20"/>
      <w:szCs w:val="20"/>
    </w:rPr>
  </w:style>
  <w:style w:type="character" w:customStyle="1" w:styleId="CommentTextChar">
    <w:name w:val="Comment Text Char"/>
    <w:basedOn w:val="DefaultParagraphFont"/>
    <w:link w:val="CommentText"/>
    <w:uiPriority w:val="99"/>
    <w:semiHidden/>
    <w:rsid w:val="001A75E4"/>
    <w:rPr>
      <w:rFonts w:eastAsiaTheme="minorEastAsia"/>
      <w:sz w:val="20"/>
      <w:szCs w:val="20"/>
    </w:rPr>
  </w:style>
  <w:style w:type="character" w:styleId="CommentReference">
    <w:name w:val="annotation reference"/>
    <w:basedOn w:val="DefaultParagraphFont"/>
    <w:uiPriority w:val="99"/>
    <w:semiHidden/>
    <w:unhideWhenUsed/>
    <w:rsid w:val="001A75E4"/>
    <w:rPr>
      <w:sz w:val="16"/>
      <w:szCs w:val="16"/>
    </w:rPr>
  </w:style>
  <w:style w:type="paragraph" w:styleId="TOC1">
    <w:name w:val="toc 1"/>
    <w:basedOn w:val="Normal"/>
    <w:next w:val="Normal"/>
    <w:autoRedefine/>
    <w:uiPriority w:val="39"/>
    <w:unhideWhenUsed/>
    <w:rsid w:val="001A75E4"/>
    <w:pPr>
      <w:spacing w:after="100"/>
    </w:pPr>
    <w:rPr>
      <w:rFonts w:eastAsiaTheme="minorHAnsi"/>
    </w:rPr>
  </w:style>
  <w:style w:type="character" w:styleId="Hyperlink">
    <w:name w:val="Hyperlink"/>
    <w:basedOn w:val="DefaultParagraphFont"/>
    <w:uiPriority w:val="99"/>
    <w:unhideWhenUsed/>
    <w:rsid w:val="001A75E4"/>
    <w:rPr>
      <w:color w:val="0563C1" w:themeColor="hyperlink"/>
      <w:u w:val="single"/>
    </w:rPr>
  </w:style>
  <w:style w:type="paragraph" w:styleId="BalloonText">
    <w:name w:val="Balloon Text"/>
    <w:basedOn w:val="Normal"/>
    <w:link w:val="BalloonTextChar"/>
    <w:uiPriority w:val="99"/>
    <w:semiHidden/>
    <w:unhideWhenUsed/>
    <w:rsid w:val="001A75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75E4"/>
    <w:rPr>
      <w:rFonts w:ascii="Segoe UI" w:eastAsiaTheme="minorEastAsia" w:hAnsi="Segoe UI" w:cs="Segoe UI"/>
      <w:sz w:val="18"/>
      <w:szCs w:val="18"/>
    </w:rPr>
  </w:style>
  <w:style w:type="paragraph" w:styleId="CommentSubject">
    <w:name w:val="annotation subject"/>
    <w:basedOn w:val="CommentText"/>
    <w:next w:val="CommentText"/>
    <w:link w:val="CommentSubjectChar"/>
    <w:uiPriority w:val="99"/>
    <w:semiHidden/>
    <w:unhideWhenUsed/>
    <w:rsid w:val="001A75E4"/>
    <w:rPr>
      <w:b/>
      <w:bCs/>
    </w:rPr>
  </w:style>
  <w:style w:type="character" w:customStyle="1" w:styleId="CommentSubjectChar">
    <w:name w:val="Comment Subject Char"/>
    <w:basedOn w:val="CommentTextChar"/>
    <w:link w:val="CommentSubject"/>
    <w:uiPriority w:val="99"/>
    <w:semiHidden/>
    <w:rsid w:val="001A75E4"/>
    <w:rPr>
      <w:rFonts w:eastAsiaTheme="minorEastAsia"/>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microsoft.com/office/2007/relationships/diagramDrawing" Target="diagrams/drawing6.xml"/><Relationship Id="rId3" Type="http://schemas.openxmlformats.org/officeDocument/2006/relationships/settings" Target="settings.xml"/><Relationship Id="rId21" Type="http://schemas.openxmlformats.org/officeDocument/2006/relationships/diagramColors" Target="diagrams/colors3.xml"/><Relationship Id="rId34" Type="http://schemas.openxmlformats.org/officeDocument/2006/relationships/chart" Target="charts/chart3.xml"/><Relationship Id="rId42" Type="http://schemas.openxmlformats.org/officeDocument/2006/relationships/diagramLayout" Target="diagrams/layout7.xml"/><Relationship Id="rId47"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chart" Target="charts/chart1.xml"/><Relationship Id="rId25" Type="http://schemas.openxmlformats.org/officeDocument/2006/relationships/diagramQuickStyle" Target="diagrams/quickStyle4.xml"/><Relationship Id="rId33" Type="http://schemas.openxmlformats.org/officeDocument/2006/relationships/chart" Target="charts/chart2.xml"/><Relationship Id="rId38" Type="http://schemas.openxmlformats.org/officeDocument/2006/relationships/diagramColors" Target="diagrams/colors6.xml"/><Relationship Id="rId46" Type="http://schemas.openxmlformats.org/officeDocument/2006/relationships/header" Target="header1.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QuickStyle" Target="diagrams/quickStyle3.xml"/><Relationship Id="rId29" Type="http://schemas.openxmlformats.org/officeDocument/2006/relationships/diagramLayout" Target="diagrams/layout5.xml"/><Relationship Id="rId41" Type="http://schemas.openxmlformats.org/officeDocument/2006/relationships/diagramData" Target="diagrams/data7.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Layout" Target="diagrams/layout4.xml"/><Relationship Id="rId32" Type="http://schemas.microsoft.com/office/2007/relationships/diagramDrawing" Target="diagrams/drawing5.xml"/><Relationship Id="rId37" Type="http://schemas.openxmlformats.org/officeDocument/2006/relationships/diagramQuickStyle" Target="diagrams/quickStyle6.xml"/><Relationship Id="rId40" Type="http://schemas.openxmlformats.org/officeDocument/2006/relationships/chart" Target="charts/chart4.xml"/><Relationship Id="rId45" Type="http://schemas.microsoft.com/office/2007/relationships/diagramDrawing" Target="diagrams/drawing7.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Layout" Target="diagrams/layout6.xml"/><Relationship Id="rId10" Type="http://schemas.openxmlformats.org/officeDocument/2006/relationships/diagramColors" Target="diagrams/colors1.xml"/><Relationship Id="rId19" Type="http://schemas.openxmlformats.org/officeDocument/2006/relationships/diagramLayout" Target="diagrams/layout3.xml"/><Relationship Id="rId31" Type="http://schemas.openxmlformats.org/officeDocument/2006/relationships/diagramColors" Target="diagrams/colors5.xml"/><Relationship Id="rId44" Type="http://schemas.openxmlformats.org/officeDocument/2006/relationships/diagramColors" Target="diagrams/colors7.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Data" Target="diagrams/data6.xml"/><Relationship Id="rId43" Type="http://schemas.openxmlformats.org/officeDocument/2006/relationships/diagramQuickStyle" Target="diagrams/quickStyle7.xml"/><Relationship Id="rId48"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Learning</a:t>
            </a:r>
            <a:r>
              <a:rPr lang="en-GB" baseline="0"/>
              <a:t> environment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Clean, light and relaxing environment</c:v>
                </c:pt>
                <c:pt idx="1">
                  <c:v>Interruptions hinder learning</c:v>
                </c:pt>
                <c:pt idx="2">
                  <c:v>Biggest influence on learning is taking responsibility</c:v>
                </c:pt>
                <c:pt idx="3">
                  <c:v>SDL environment makes school unique</c:v>
                </c:pt>
              </c:strCache>
            </c:strRef>
          </c:cat>
          <c:val>
            <c:numRef>
              <c:f>Sheet1!$B$2:$B$5</c:f>
              <c:numCache>
                <c:formatCode>General</c:formatCode>
                <c:ptCount val="4"/>
                <c:pt idx="0">
                  <c:v>5</c:v>
                </c:pt>
                <c:pt idx="1">
                  <c:v>6</c:v>
                </c:pt>
                <c:pt idx="2">
                  <c:v>4</c:v>
                </c:pt>
                <c:pt idx="3">
                  <c:v>4</c:v>
                </c:pt>
              </c:numCache>
            </c:numRef>
          </c:val>
          <c:extLst xmlns:c16r2="http://schemas.microsoft.com/office/drawing/2015/06/chart">
            <c:ext xmlns:c16="http://schemas.microsoft.com/office/drawing/2014/chart" uri="{C3380CC4-5D6E-409C-BE32-E72D297353CC}">
              <c16:uniqueId val="{00000000-8A82-4E37-93FE-40735AAF9F4D}"/>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4"/>
                <c:pt idx="0">
                  <c:v>Clean, light and relaxing environment</c:v>
                </c:pt>
                <c:pt idx="1">
                  <c:v>Interruptions hinder learning</c:v>
                </c:pt>
                <c:pt idx="2">
                  <c:v>Biggest influence on learning is taking responsibility</c:v>
                </c:pt>
                <c:pt idx="3">
                  <c:v>SDL environment makes school unique</c:v>
                </c:pt>
              </c:strCache>
            </c:strRef>
          </c:cat>
          <c:val>
            <c:numRef>
              <c:f>Sheet1!$C$2:$C$5</c:f>
              <c:numCache>
                <c:formatCode>General</c:formatCode>
                <c:ptCount val="4"/>
              </c:numCache>
            </c:numRef>
          </c:val>
          <c:extLst xmlns:c16r2="http://schemas.microsoft.com/office/drawing/2015/06/chart">
            <c:ext xmlns:c16="http://schemas.microsoft.com/office/drawing/2014/chart" uri="{C3380CC4-5D6E-409C-BE32-E72D297353CC}">
              <c16:uniqueId val="{00000001-8A82-4E37-93FE-40735AAF9F4D}"/>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4"/>
                <c:pt idx="0">
                  <c:v>Clean, light and relaxing environment</c:v>
                </c:pt>
                <c:pt idx="1">
                  <c:v>Interruptions hinder learning</c:v>
                </c:pt>
                <c:pt idx="2">
                  <c:v>Biggest influence on learning is taking responsibility</c:v>
                </c:pt>
                <c:pt idx="3">
                  <c:v>SDL environment makes school unique</c:v>
                </c:pt>
              </c:strCache>
            </c:strRef>
          </c:cat>
          <c:val>
            <c:numRef>
              <c:f>Sheet1!$D$2:$D$5</c:f>
              <c:numCache>
                <c:formatCode>General</c:formatCode>
                <c:ptCount val="4"/>
              </c:numCache>
            </c:numRef>
          </c:val>
          <c:extLst xmlns:c16r2="http://schemas.microsoft.com/office/drawing/2015/06/chart">
            <c:ext xmlns:c16="http://schemas.microsoft.com/office/drawing/2014/chart" uri="{C3380CC4-5D6E-409C-BE32-E72D297353CC}">
              <c16:uniqueId val="{00000002-8A82-4E37-93FE-40735AAF9F4D}"/>
            </c:ext>
          </c:extLst>
        </c:ser>
        <c:dLbls>
          <c:showLegendKey val="0"/>
          <c:showVal val="0"/>
          <c:showCatName val="0"/>
          <c:showSerName val="0"/>
          <c:showPercent val="0"/>
          <c:showBubbleSize val="0"/>
        </c:dLbls>
        <c:gapWidth val="219"/>
        <c:overlap val="-27"/>
        <c:axId val="341356248"/>
        <c:axId val="443940784"/>
      </c:barChart>
      <c:catAx>
        <c:axId val="341356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940784"/>
        <c:crosses val="autoZero"/>
        <c:auto val="1"/>
        <c:lblAlgn val="ctr"/>
        <c:lblOffset val="100"/>
        <c:noMultiLvlLbl val="0"/>
      </c:catAx>
      <c:valAx>
        <c:axId val="443940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356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Attitudes to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Learning takes place at church</c:v>
                </c:pt>
                <c:pt idx="1">
                  <c:v>Sharing the same values and morals is important</c:v>
                </c:pt>
                <c:pt idx="2">
                  <c:v>There are both positives and negatives of being educated at a faith school</c:v>
                </c:pt>
                <c:pt idx="3">
                  <c:v>Friendship groups are important at school</c:v>
                </c:pt>
                <c:pt idx="4">
                  <c:v>Positive relationship with the teacher is important</c:v>
                </c:pt>
              </c:strCache>
            </c:strRef>
          </c:cat>
          <c:val>
            <c:numRef>
              <c:f>Sheet1!$B$2:$B$6</c:f>
              <c:numCache>
                <c:formatCode>General</c:formatCode>
                <c:ptCount val="5"/>
                <c:pt idx="0">
                  <c:v>4</c:v>
                </c:pt>
                <c:pt idx="1">
                  <c:v>6</c:v>
                </c:pt>
                <c:pt idx="2">
                  <c:v>6</c:v>
                </c:pt>
                <c:pt idx="3">
                  <c:v>6</c:v>
                </c:pt>
                <c:pt idx="4">
                  <c:v>5</c:v>
                </c:pt>
              </c:numCache>
            </c:numRef>
          </c:val>
          <c:extLst xmlns:c16r2="http://schemas.microsoft.com/office/drawing/2015/06/chart">
            <c:ext xmlns:c16="http://schemas.microsoft.com/office/drawing/2014/chart" uri="{C3380CC4-5D6E-409C-BE32-E72D297353CC}">
              <c16:uniqueId val="{00000000-E3E5-41E9-A7BE-30157C54C191}"/>
            </c:ext>
          </c:extLst>
        </c:ser>
        <c:ser>
          <c:idx val="1"/>
          <c:order val="1"/>
          <c:tx>
            <c:strRef>
              <c:f>Sheet1!$C$1</c:f>
              <c:strCache>
                <c:ptCount val="1"/>
                <c:pt idx="0">
                  <c:v>Column1</c:v>
                </c:pt>
              </c:strCache>
            </c:strRef>
          </c:tx>
          <c:spPr>
            <a:solidFill>
              <a:schemeClr val="accent2"/>
            </a:solidFill>
            <a:ln>
              <a:noFill/>
            </a:ln>
            <a:effectLst/>
          </c:spPr>
          <c:invertIfNegative val="0"/>
          <c:cat>
            <c:strRef>
              <c:f>Sheet1!$A$2:$A$6</c:f>
              <c:strCache>
                <c:ptCount val="5"/>
                <c:pt idx="0">
                  <c:v>Learning takes place at church</c:v>
                </c:pt>
                <c:pt idx="1">
                  <c:v>Sharing the same values and morals is important</c:v>
                </c:pt>
                <c:pt idx="2">
                  <c:v>There are both positives and negatives of being educated at a faith school</c:v>
                </c:pt>
                <c:pt idx="3">
                  <c:v>Friendship groups are important at school</c:v>
                </c:pt>
                <c:pt idx="4">
                  <c:v>Positive relationship with the teacher is important</c:v>
                </c:pt>
              </c:strCache>
            </c:strRef>
          </c:cat>
          <c:val>
            <c:numRef>
              <c:f>Sheet1!$C$2:$C$6</c:f>
              <c:numCache>
                <c:formatCode>General</c:formatCode>
                <c:ptCount val="5"/>
              </c:numCache>
            </c:numRef>
          </c:val>
          <c:extLst xmlns:c16r2="http://schemas.microsoft.com/office/drawing/2015/06/chart">
            <c:ext xmlns:c16="http://schemas.microsoft.com/office/drawing/2014/chart" uri="{C3380CC4-5D6E-409C-BE32-E72D297353CC}">
              <c16:uniqueId val="{00000001-E3E5-41E9-A7BE-30157C54C191}"/>
            </c:ext>
          </c:extLst>
        </c:ser>
        <c:ser>
          <c:idx val="2"/>
          <c:order val="2"/>
          <c:tx>
            <c:strRef>
              <c:f>Sheet1!$D$1</c:f>
              <c:strCache>
                <c:ptCount val="1"/>
                <c:pt idx="0">
                  <c:v>Column2</c:v>
                </c:pt>
              </c:strCache>
            </c:strRef>
          </c:tx>
          <c:spPr>
            <a:solidFill>
              <a:schemeClr val="accent3"/>
            </a:solidFill>
            <a:ln>
              <a:noFill/>
            </a:ln>
            <a:effectLst/>
          </c:spPr>
          <c:invertIfNegative val="0"/>
          <c:cat>
            <c:strRef>
              <c:f>Sheet1!$A$2:$A$6</c:f>
              <c:strCache>
                <c:ptCount val="5"/>
                <c:pt idx="0">
                  <c:v>Learning takes place at church</c:v>
                </c:pt>
                <c:pt idx="1">
                  <c:v>Sharing the same values and morals is important</c:v>
                </c:pt>
                <c:pt idx="2">
                  <c:v>There are both positives and negatives of being educated at a faith school</c:v>
                </c:pt>
                <c:pt idx="3">
                  <c:v>Friendship groups are important at school</c:v>
                </c:pt>
                <c:pt idx="4">
                  <c:v>Positive relationship with the teacher is important</c:v>
                </c:pt>
              </c:strCache>
            </c:strRef>
          </c:cat>
          <c:val>
            <c:numRef>
              <c:f>Sheet1!$D$2:$D$6</c:f>
              <c:numCache>
                <c:formatCode>General</c:formatCode>
                <c:ptCount val="5"/>
              </c:numCache>
            </c:numRef>
          </c:val>
          <c:extLst xmlns:c16r2="http://schemas.microsoft.com/office/drawing/2015/06/chart">
            <c:ext xmlns:c16="http://schemas.microsoft.com/office/drawing/2014/chart" uri="{C3380CC4-5D6E-409C-BE32-E72D297353CC}">
              <c16:uniqueId val="{00000002-E3E5-41E9-A7BE-30157C54C191}"/>
            </c:ext>
          </c:extLst>
        </c:ser>
        <c:dLbls>
          <c:showLegendKey val="0"/>
          <c:showVal val="0"/>
          <c:showCatName val="0"/>
          <c:showSerName val="0"/>
          <c:showPercent val="0"/>
          <c:showBubbleSize val="0"/>
        </c:dLbls>
        <c:gapWidth val="219"/>
        <c:overlap val="-27"/>
        <c:axId val="436709896"/>
        <c:axId val="436704016"/>
      </c:barChart>
      <c:catAx>
        <c:axId val="436709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704016"/>
        <c:crosses val="autoZero"/>
        <c:auto val="1"/>
        <c:lblAlgn val="ctr"/>
        <c:lblOffset val="100"/>
        <c:noMultiLvlLbl val="0"/>
      </c:catAx>
      <c:valAx>
        <c:axId val="436704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709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Quality</a:t>
            </a:r>
            <a:r>
              <a:rPr lang="en-GB" baseline="0"/>
              <a:t> of Education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Pupils feel that they have a limited selection of GCSE/A Level choices</c:v>
                </c:pt>
                <c:pt idx="1">
                  <c:v>Pupils felt VC offered more subject options at A Level</c:v>
                </c:pt>
                <c:pt idx="2">
                  <c:v>Pupils felt that subjects offered were suited to their needs</c:v>
                </c:pt>
                <c:pt idx="3">
                  <c:v>Pupils felt that GCSE subject choice could be improved</c:v>
                </c:pt>
              </c:strCache>
            </c:strRef>
          </c:cat>
          <c:val>
            <c:numRef>
              <c:f>Sheet1!$B$2:$B$5</c:f>
              <c:numCache>
                <c:formatCode>General</c:formatCode>
                <c:ptCount val="4"/>
                <c:pt idx="0">
                  <c:v>6</c:v>
                </c:pt>
                <c:pt idx="1">
                  <c:v>3</c:v>
                </c:pt>
                <c:pt idx="2">
                  <c:v>6</c:v>
                </c:pt>
                <c:pt idx="3">
                  <c:v>6</c:v>
                </c:pt>
              </c:numCache>
            </c:numRef>
          </c:val>
          <c:extLst xmlns:c16r2="http://schemas.microsoft.com/office/drawing/2015/06/chart">
            <c:ext xmlns:c16="http://schemas.microsoft.com/office/drawing/2014/chart" uri="{C3380CC4-5D6E-409C-BE32-E72D297353CC}">
              <c16:uniqueId val="{00000000-315F-440C-AC48-55A856DE621B}"/>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4"/>
                <c:pt idx="0">
                  <c:v>Pupils feel that they have a limited selection of GCSE/A Level choices</c:v>
                </c:pt>
                <c:pt idx="1">
                  <c:v>Pupils felt VC offered more subject options at A Level</c:v>
                </c:pt>
                <c:pt idx="2">
                  <c:v>Pupils felt that subjects offered were suited to their needs</c:v>
                </c:pt>
                <c:pt idx="3">
                  <c:v>Pupils felt that GCSE subject choice could be improved</c:v>
                </c:pt>
              </c:strCache>
            </c:strRef>
          </c:cat>
          <c:val>
            <c:numRef>
              <c:f>Sheet1!$C$2:$C$5</c:f>
              <c:numCache>
                <c:formatCode>General</c:formatCode>
                <c:ptCount val="4"/>
              </c:numCache>
            </c:numRef>
          </c:val>
          <c:extLst xmlns:c16r2="http://schemas.microsoft.com/office/drawing/2015/06/chart">
            <c:ext xmlns:c16="http://schemas.microsoft.com/office/drawing/2014/chart" uri="{C3380CC4-5D6E-409C-BE32-E72D297353CC}">
              <c16:uniqueId val="{00000001-315F-440C-AC48-55A856DE621B}"/>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4"/>
                <c:pt idx="0">
                  <c:v>Pupils feel that they have a limited selection of GCSE/A Level choices</c:v>
                </c:pt>
                <c:pt idx="1">
                  <c:v>Pupils felt VC offered more subject options at A Level</c:v>
                </c:pt>
                <c:pt idx="2">
                  <c:v>Pupils felt that subjects offered were suited to their needs</c:v>
                </c:pt>
                <c:pt idx="3">
                  <c:v>Pupils felt that GCSE subject choice could be improved</c:v>
                </c:pt>
              </c:strCache>
            </c:strRef>
          </c:cat>
          <c:val>
            <c:numRef>
              <c:f>Sheet1!$D$2:$D$5</c:f>
              <c:numCache>
                <c:formatCode>General</c:formatCode>
                <c:ptCount val="4"/>
              </c:numCache>
            </c:numRef>
          </c:val>
          <c:extLst xmlns:c16r2="http://schemas.microsoft.com/office/drawing/2015/06/chart">
            <c:ext xmlns:c16="http://schemas.microsoft.com/office/drawing/2014/chart" uri="{C3380CC4-5D6E-409C-BE32-E72D297353CC}">
              <c16:uniqueId val="{00000002-315F-440C-AC48-55A856DE621B}"/>
            </c:ext>
          </c:extLst>
        </c:ser>
        <c:dLbls>
          <c:showLegendKey val="0"/>
          <c:showVal val="0"/>
          <c:showCatName val="0"/>
          <c:showSerName val="0"/>
          <c:showPercent val="0"/>
          <c:showBubbleSize val="0"/>
        </c:dLbls>
        <c:gapWidth val="219"/>
        <c:overlap val="-27"/>
        <c:axId val="436704800"/>
        <c:axId val="436706760"/>
      </c:barChart>
      <c:catAx>
        <c:axId val="436704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706760"/>
        <c:crosses val="autoZero"/>
        <c:auto val="1"/>
        <c:lblAlgn val="ctr"/>
        <c:lblOffset val="100"/>
        <c:noMultiLvlLbl val="0"/>
      </c:catAx>
      <c:valAx>
        <c:axId val="436706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704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Leaving</a:t>
            </a:r>
            <a:r>
              <a:rPr lang="en-GB" baseline="0"/>
              <a:t> School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Pupils chose A level subjects based on career choice</c:v>
                </c:pt>
                <c:pt idx="1">
                  <c:v>Pupils felt that school had adequately prepared them for work</c:v>
                </c:pt>
                <c:pt idx="2">
                  <c:v>Pupils felt that the career advancement programme helped them prepare for work</c:v>
                </c:pt>
                <c:pt idx="3">
                  <c:v>Pupils felt that teamwork was an important attribute to leave school with</c:v>
                </c:pt>
                <c:pt idx="4">
                  <c:v>Pupils felt that a good work ethic was an important quality to have when leaving school</c:v>
                </c:pt>
              </c:strCache>
            </c:strRef>
          </c:cat>
          <c:val>
            <c:numRef>
              <c:f>Sheet1!$B$2:$B$6</c:f>
              <c:numCache>
                <c:formatCode>General</c:formatCode>
                <c:ptCount val="5"/>
                <c:pt idx="0">
                  <c:v>6</c:v>
                </c:pt>
                <c:pt idx="1">
                  <c:v>6</c:v>
                </c:pt>
                <c:pt idx="2">
                  <c:v>4</c:v>
                </c:pt>
                <c:pt idx="3">
                  <c:v>3</c:v>
                </c:pt>
                <c:pt idx="4">
                  <c:v>3</c:v>
                </c:pt>
              </c:numCache>
            </c:numRef>
          </c:val>
          <c:extLst xmlns:c16r2="http://schemas.microsoft.com/office/drawing/2015/06/chart">
            <c:ext xmlns:c16="http://schemas.microsoft.com/office/drawing/2014/chart" uri="{C3380CC4-5D6E-409C-BE32-E72D297353CC}">
              <c16:uniqueId val="{00000000-1318-4D4A-AA3E-6F898405071B}"/>
            </c:ext>
          </c:extLst>
        </c:ser>
        <c:ser>
          <c:idx val="1"/>
          <c:order val="1"/>
          <c:tx>
            <c:strRef>
              <c:f>Sheet1!$C$1</c:f>
              <c:strCache>
                <c:ptCount val="1"/>
                <c:pt idx="0">
                  <c:v>Column1</c:v>
                </c:pt>
              </c:strCache>
            </c:strRef>
          </c:tx>
          <c:spPr>
            <a:solidFill>
              <a:schemeClr val="accent2"/>
            </a:solidFill>
            <a:ln>
              <a:noFill/>
            </a:ln>
            <a:effectLst/>
          </c:spPr>
          <c:invertIfNegative val="0"/>
          <c:cat>
            <c:strRef>
              <c:f>Sheet1!$A$2:$A$6</c:f>
              <c:strCache>
                <c:ptCount val="5"/>
                <c:pt idx="0">
                  <c:v>Pupils chose A level subjects based on career choice</c:v>
                </c:pt>
                <c:pt idx="1">
                  <c:v>Pupils felt that school had adequately prepared them for work</c:v>
                </c:pt>
                <c:pt idx="2">
                  <c:v>Pupils felt that the career advancement programme helped them prepare for work</c:v>
                </c:pt>
                <c:pt idx="3">
                  <c:v>Pupils felt that teamwork was an important attribute to leave school with</c:v>
                </c:pt>
                <c:pt idx="4">
                  <c:v>Pupils felt that a good work ethic was an important quality to have when leaving school</c:v>
                </c:pt>
              </c:strCache>
            </c:strRef>
          </c:cat>
          <c:val>
            <c:numRef>
              <c:f>Sheet1!$C$2:$C$6</c:f>
              <c:numCache>
                <c:formatCode>General</c:formatCode>
                <c:ptCount val="5"/>
              </c:numCache>
            </c:numRef>
          </c:val>
          <c:extLst xmlns:c16r2="http://schemas.microsoft.com/office/drawing/2015/06/chart">
            <c:ext xmlns:c16="http://schemas.microsoft.com/office/drawing/2014/chart" uri="{C3380CC4-5D6E-409C-BE32-E72D297353CC}">
              <c16:uniqueId val="{00000001-1318-4D4A-AA3E-6F898405071B}"/>
            </c:ext>
          </c:extLst>
        </c:ser>
        <c:ser>
          <c:idx val="2"/>
          <c:order val="2"/>
          <c:tx>
            <c:strRef>
              <c:f>Sheet1!$D$1</c:f>
              <c:strCache>
                <c:ptCount val="1"/>
                <c:pt idx="0">
                  <c:v>Column2</c:v>
                </c:pt>
              </c:strCache>
            </c:strRef>
          </c:tx>
          <c:spPr>
            <a:solidFill>
              <a:schemeClr val="accent3"/>
            </a:solidFill>
            <a:ln>
              <a:noFill/>
            </a:ln>
            <a:effectLst/>
          </c:spPr>
          <c:invertIfNegative val="0"/>
          <c:cat>
            <c:strRef>
              <c:f>Sheet1!$A$2:$A$6</c:f>
              <c:strCache>
                <c:ptCount val="5"/>
                <c:pt idx="0">
                  <c:v>Pupils chose A level subjects based on career choice</c:v>
                </c:pt>
                <c:pt idx="1">
                  <c:v>Pupils felt that school had adequately prepared them for work</c:v>
                </c:pt>
                <c:pt idx="2">
                  <c:v>Pupils felt that the career advancement programme helped them prepare for work</c:v>
                </c:pt>
                <c:pt idx="3">
                  <c:v>Pupils felt that teamwork was an important attribute to leave school with</c:v>
                </c:pt>
                <c:pt idx="4">
                  <c:v>Pupils felt that a good work ethic was an important quality to have when leaving school</c:v>
                </c:pt>
              </c:strCache>
            </c:strRef>
          </c:cat>
          <c:val>
            <c:numRef>
              <c:f>Sheet1!$D$2:$D$6</c:f>
              <c:numCache>
                <c:formatCode>General</c:formatCode>
                <c:ptCount val="5"/>
              </c:numCache>
            </c:numRef>
          </c:val>
          <c:extLst xmlns:c16r2="http://schemas.microsoft.com/office/drawing/2015/06/chart">
            <c:ext xmlns:c16="http://schemas.microsoft.com/office/drawing/2014/chart" uri="{C3380CC4-5D6E-409C-BE32-E72D297353CC}">
              <c16:uniqueId val="{00000002-1318-4D4A-AA3E-6F898405071B}"/>
            </c:ext>
          </c:extLst>
        </c:ser>
        <c:dLbls>
          <c:showLegendKey val="0"/>
          <c:showVal val="0"/>
          <c:showCatName val="0"/>
          <c:showSerName val="0"/>
          <c:showPercent val="0"/>
          <c:showBubbleSize val="0"/>
        </c:dLbls>
        <c:gapWidth val="219"/>
        <c:overlap val="-27"/>
        <c:axId val="645433168"/>
        <c:axId val="645435128"/>
      </c:barChart>
      <c:catAx>
        <c:axId val="645433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5435128"/>
        <c:crosses val="autoZero"/>
        <c:auto val="1"/>
        <c:lblAlgn val="ctr"/>
        <c:lblOffset val="100"/>
        <c:noMultiLvlLbl val="0"/>
      </c:catAx>
      <c:valAx>
        <c:axId val="645435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5433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24FDCDE-78D1-40C2-9830-F748ED49F555}"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10809027-C3B9-43C7-A9AF-DADFD16DECD0}">
      <dgm:prSet/>
      <dgm:spPr/>
      <dgm:t>
        <a:bodyPr/>
        <a:lstStyle/>
        <a:p>
          <a:r>
            <a:rPr lang="en-GB"/>
            <a:t>Integrity – uprightness, honesty and decorous conduct, governed by the Holy Bible;</a:t>
          </a:r>
        </a:p>
      </dgm:t>
    </dgm:pt>
    <dgm:pt modelId="{46FC014E-9360-4CF4-A9E3-DA83112D9D0D}" type="parTrans" cxnId="{7656C775-BBC4-4D36-9FA3-CD4977613DAE}">
      <dgm:prSet/>
      <dgm:spPr/>
      <dgm:t>
        <a:bodyPr/>
        <a:lstStyle/>
        <a:p>
          <a:endParaRPr lang="en-GB"/>
        </a:p>
      </dgm:t>
    </dgm:pt>
    <dgm:pt modelId="{734A1B50-51D7-4A08-BD47-A94F78342137}" type="sibTrans" cxnId="{7656C775-BBC4-4D36-9FA3-CD4977613DAE}">
      <dgm:prSet/>
      <dgm:spPr/>
      <dgm:t>
        <a:bodyPr/>
        <a:lstStyle/>
        <a:p>
          <a:endParaRPr lang="en-GB"/>
        </a:p>
      </dgm:t>
    </dgm:pt>
    <dgm:pt modelId="{688C2375-4A5B-406D-BAF7-AAF3C7C9661B}">
      <dgm:prSet/>
      <dgm:spPr/>
      <dgm:t>
        <a:bodyPr/>
        <a:lstStyle/>
        <a:p>
          <a:r>
            <a:rPr lang="en-GB"/>
            <a:t>Care &amp; Compassion – Kindness, consideration and generosity to all;</a:t>
          </a:r>
        </a:p>
      </dgm:t>
    </dgm:pt>
    <dgm:pt modelId="{3094BBCC-ED90-4DA4-B17D-F4192EDA6064}" type="parTrans" cxnId="{7FCCEB86-13D5-459D-9761-00AC7696C46B}">
      <dgm:prSet/>
      <dgm:spPr/>
      <dgm:t>
        <a:bodyPr/>
        <a:lstStyle/>
        <a:p>
          <a:endParaRPr lang="en-GB"/>
        </a:p>
      </dgm:t>
    </dgm:pt>
    <dgm:pt modelId="{3B172266-CF8D-4266-8D1E-42973B9F21E9}" type="sibTrans" cxnId="{7FCCEB86-13D5-459D-9761-00AC7696C46B}">
      <dgm:prSet/>
      <dgm:spPr/>
      <dgm:t>
        <a:bodyPr/>
        <a:lstStyle/>
        <a:p>
          <a:endParaRPr lang="en-GB"/>
        </a:p>
      </dgm:t>
    </dgm:pt>
    <dgm:pt modelId="{665A8ACB-0D53-4ADC-9A2F-1DEE7BFBBBE0}">
      <dgm:prSet/>
      <dgm:spPr/>
      <dgm:t>
        <a:bodyPr/>
        <a:lstStyle/>
        <a:p>
          <a:r>
            <a:rPr lang="en-GB"/>
            <a:t>Respect – for all people, property, opinions and authority;</a:t>
          </a:r>
        </a:p>
      </dgm:t>
    </dgm:pt>
    <dgm:pt modelId="{6E58D80B-D620-4C0A-8829-20C2E52C5180}" type="parTrans" cxnId="{1DDF5792-2EAF-4FD5-B850-DEED39AC7E81}">
      <dgm:prSet/>
      <dgm:spPr/>
      <dgm:t>
        <a:bodyPr/>
        <a:lstStyle/>
        <a:p>
          <a:endParaRPr lang="en-GB"/>
        </a:p>
      </dgm:t>
    </dgm:pt>
    <dgm:pt modelId="{3B4763EB-D9B5-4FE9-8B93-C09C32E3CE2C}" type="sibTrans" cxnId="{1DDF5792-2EAF-4FD5-B850-DEED39AC7E81}">
      <dgm:prSet/>
      <dgm:spPr/>
      <dgm:t>
        <a:bodyPr/>
        <a:lstStyle/>
        <a:p>
          <a:endParaRPr lang="en-GB"/>
        </a:p>
      </dgm:t>
    </dgm:pt>
    <dgm:pt modelId="{C5B04C46-4558-4BF6-B20D-79A286BC8EC2}">
      <dgm:prSet/>
      <dgm:spPr/>
      <dgm:t>
        <a:bodyPr/>
        <a:lstStyle/>
        <a:p>
          <a:r>
            <a:rPr lang="en-GB"/>
            <a:t>Responsibility – for our actions, progress and environment, and;</a:t>
          </a:r>
        </a:p>
      </dgm:t>
    </dgm:pt>
    <dgm:pt modelId="{DF7654AD-17C1-4BB0-A078-B516B4EDA7B8}" type="parTrans" cxnId="{CB533D73-0E17-464B-8574-FB64EABA338C}">
      <dgm:prSet/>
      <dgm:spPr/>
      <dgm:t>
        <a:bodyPr/>
        <a:lstStyle/>
        <a:p>
          <a:endParaRPr lang="en-GB"/>
        </a:p>
      </dgm:t>
    </dgm:pt>
    <dgm:pt modelId="{1720CF28-9101-4A4F-9B73-D97440D43BF9}" type="sibTrans" cxnId="{CB533D73-0E17-464B-8574-FB64EABA338C}">
      <dgm:prSet/>
      <dgm:spPr/>
      <dgm:t>
        <a:bodyPr/>
        <a:lstStyle/>
        <a:p>
          <a:endParaRPr lang="en-GB"/>
        </a:p>
      </dgm:t>
    </dgm:pt>
    <dgm:pt modelId="{6435E3AF-815E-42A7-84FD-5E6209888E09}">
      <dgm:prSet/>
      <dgm:spPr/>
      <dgm:t>
        <a:bodyPr/>
        <a:lstStyle/>
        <a:p>
          <a:r>
            <a:rPr lang="en-GB"/>
            <a:t>Commitment – to self-discipline and the pursuit of excellence.</a:t>
          </a:r>
        </a:p>
      </dgm:t>
    </dgm:pt>
    <dgm:pt modelId="{18231CAE-FCF9-470C-B683-C4104C127DEA}" type="parTrans" cxnId="{BC97B60F-E5B4-4042-9D18-15E114774118}">
      <dgm:prSet/>
      <dgm:spPr/>
      <dgm:t>
        <a:bodyPr/>
        <a:lstStyle/>
        <a:p>
          <a:endParaRPr lang="en-GB"/>
        </a:p>
      </dgm:t>
    </dgm:pt>
    <dgm:pt modelId="{49A1D6DE-CC60-46B1-A823-3E4AB596CADA}" type="sibTrans" cxnId="{BC97B60F-E5B4-4042-9D18-15E114774118}">
      <dgm:prSet/>
      <dgm:spPr/>
      <dgm:t>
        <a:bodyPr/>
        <a:lstStyle/>
        <a:p>
          <a:endParaRPr lang="en-GB"/>
        </a:p>
      </dgm:t>
    </dgm:pt>
    <dgm:pt modelId="{542E6117-2D13-4DE0-B561-336BFD8A7575}">
      <dgm:prSet/>
      <dgm:spPr/>
      <dgm:t>
        <a:bodyPr/>
        <a:lstStyle/>
        <a:p>
          <a:r>
            <a:rPr lang="en-GB"/>
            <a:t>students will uphold the School values of:-</a:t>
          </a:r>
        </a:p>
      </dgm:t>
    </dgm:pt>
    <dgm:pt modelId="{FB91D208-779D-4613-B6ED-A8B9A3AFECDC}" type="parTrans" cxnId="{2020D621-973A-466E-B970-8C38A660CEE2}">
      <dgm:prSet/>
      <dgm:spPr/>
      <dgm:t>
        <a:bodyPr/>
        <a:lstStyle/>
        <a:p>
          <a:endParaRPr lang="en-GB"/>
        </a:p>
      </dgm:t>
    </dgm:pt>
    <dgm:pt modelId="{FE1CD434-C11C-4FDB-9C3F-A7BEA9C5D5AB}" type="sibTrans" cxnId="{2020D621-973A-466E-B970-8C38A660CEE2}">
      <dgm:prSet/>
      <dgm:spPr/>
      <dgm:t>
        <a:bodyPr/>
        <a:lstStyle/>
        <a:p>
          <a:endParaRPr lang="en-GB"/>
        </a:p>
      </dgm:t>
    </dgm:pt>
    <dgm:pt modelId="{4BFBA768-9340-4622-B5A5-210E9A07329C}" type="pres">
      <dgm:prSet presAssocID="{024FDCDE-78D1-40C2-9830-F748ED49F555}" presName="cycle" presStyleCnt="0">
        <dgm:presLayoutVars>
          <dgm:dir/>
          <dgm:resizeHandles val="exact"/>
        </dgm:presLayoutVars>
      </dgm:prSet>
      <dgm:spPr/>
      <dgm:t>
        <a:bodyPr/>
        <a:lstStyle/>
        <a:p>
          <a:endParaRPr lang="en-GB"/>
        </a:p>
      </dgm:t>
    </dgm:pt>
    <dgm:pt modelId="{6D7F73AF-624C-4CD5-BBFF-0B0613A57845}" type="pres">
      <dgm:prSet presAssocID="{542E6117-2D13-4DE0-B561-336BFD8A7575}" presName="node" presStyleLbl="node1" presStyleIdx="0" presStyleCnt="6" custRadScaleRad="458" custRadScaleInc="-642692">
        <dgm:presLayoutVars>
          <dgm:bulletEnabled val="1"/>
        </dgm:presLayoutVars>
      </dgm:prSet>
      <dgm:spPr/>
      <dgm:t>
        <a:bodyPr/>
        <a:lstStyle/>
        <a:p>
          <a:endParaRPr lang="en-GB"/>
        </a:p>
      </dgm:t>
    </dgm:pt>
    <dgm:pt modelId="{0182566F-C3CD-4D5A-B58E-5DBBBD6BEA6B}" type="pres">
      <dgm:prSet presAssocID="{542E6117-2D13-4DE0-B561-336BFD8A7575}" presName="spNode" presStyleCnt="0"/>
      <dgm:spPr/>
    </dgm:pt>
    <dgm:pt modelId="{C523E710-87BD-468B-84DE-1C4D64BC5C96}" type="pres">
      <dgm:prSet presAssocID="{FE1CD434-C11C-4FDB-9C3F-A7BEA9C5D5AB}" presName="sibTrans" presStyleLbl="sibTrans1D1" presStyleIdx="0" presStyleCnt="6"/>
      <dgm:spPr/>
      <dgm:t>
        <a:bodyPr/>
        <a:lstStyle/>
        <a:p>
          <a:endParaRPr lang="en-GB"/>
        </a:p>
      </dgm:t>
    </dgm:pt>
    <dgm:pt modelId="{6DEDB0AE-1489-4F72-9E1A-43E6E66A16B9}" type="pres">
      <dgm:prSet presAssocID="{10809027-C3B9-43C7-A9AF-DADFD16DECD0}" presName="node" presStyleLbl="node1" presStyleIdx="1" presStyleCnt="6">
        <dgm:presLayoutVars>
          <dgm:bulletEnabled val="1"/>
        </dgm:presLayoutVars>
      </dgm:prSet>
      <dgm:spPr/>
      <dgm:t>
        <a:bodyPr/>
        <a:lstStyle/>
        <a:p>
          <a:endParaRPr lang="en-GB"/>
        </a:p>
      </dgm:t>
    </dgm:pt>
    <dgm:pt modelId="{371217BB-D2E5-430F-833F-413EEAE69FA6}" type="pres">
      <dgm:prSet presAssocID="{10809027-C3B9-43C7-A9AF-DADFD16DECD0}" presName="spNode" presStyleCnt="0"/>
      <dgm:spPr/>
    </dgm:pt>
    <dgm:pt modelId="{B2BC6C87-A4F5-40D5-B2B1-13EC3D38C8BD}" type="pres">
      <dgm:prSet presAssocID="{734A1B50-51D7-4A08-BD47-A94F78342137}" presName="sibTrans" presStyleLbl="sibTrans1D1" presStyleIdx="1" presStyleCnt="6"/>
      <dgm:spPr/>
      <dgm:t>
        <a:bodyPr/>
        <a:lstStyle/>
        <a:p>
          <a:endParaRPr lang="en-GB"/>
        </a:p>
      </dgm:t>
    </dgm:pt>
    <dgm:pt modelId="{97D78D93-74E5-4E49-8B22-442124B94A0C}" type="pres">
      <dgm:prSet presAssocID="{688C2375-4A5B-406D-BAF7-AAF3C7C9661B}" presName="node" presStyleLbl="node1" presStyleIdx="2" presStyleCnt="6">
        <dgm:presLayoutVars>
          <dgm:bulletEnabled val="1"/>
        </dgm:presLayoutVars>
      </dgm:prSet>
      <dgm:spPr/>
      <dgm:t>
        <a:bodyPr/>
        <a:lstStyle/>
        <a:p>
          <a:endParaRPr lang="en-GB"/>
        </a:p>
      </dgm:t>
    </dgm:pt>
    <dgm:pt modelId="{F4B47004-DE7F-4B69-BF76-76B423796B39}" type="pres">
      <dgm:prSet presAssocID="{688C2375-4A5B-406D-BAF7-AAF3C7C9661B}" presName="spNode" presStyleCnt="0"/>
      <dgm:spPr/>
    </dgm:pt>
    <dgm:pt modelId="{B002B7A9-8263-4A4B-BC88-83A9B9FF280C}" type="pres">
      <dgm:prSet presAssocID="{3B172266-CF8D-4266-8D1E-42973B9F21E9}" presName="sibTrans" presStyleLbl="sibTrans1D1" presStyleIdx="2" presStyleCnt="6"/>
      <dgm:spPr/>
      <dgm:t>
        <a:bodyPr/>
        <a:lstStyle/>
        <a:p>
          <a:endParaRPr lang="en-GB"/>
        </a:p>
      </dgm:t>
    </dgm:pt>
    <dgm:pt modelId="{A14F51ED-80B2-4122-9313-B3798E9B5E6E}" type="pres">
      <dgm:prSet presAssocID="{665A8ACB-0D53-4ADC-9A2F-1DEE7BFBBBE0}" presName="node" presStyleLbl="node1" presStyleIdx="3" presStyleCnt="6">
        <dgm:presLayoutVars>
          <dgm:bulletEnabled val="1"/>
        </dgm:presLayoutVars>
      </dgm:prSet>
      <dgm:spPr/>
      <dgm:t>
        <a:bodyPr/>
        <a:lstStyle/>
        <a:p>
          <a:endParaRPr lang="en-GB"/>
        </a:p>
      </dgm:t>
    </dgm:pt>
    <dgm:pt modelId="{7AEFA968-1263-4451-97A4-9FF3ACB72B7E}" type="pres">
      <dgm:prSet presAssocID="{665A8ACB-0D53-4ADC-9A2F-1DEE7BFBBBE0}" presName="spNode" presStyleCnt="0"/>
      <dgm:spPr/>
    </dgm:pt>
    <dgm:pt modelId="{69D7EA82-B1AF-43FC-917F-C7815F2691D5}" type="pres">
      <dgm:prSet presAssocID="{3B4763EB-D9B5-4FE9-8B93-C09C32E3CE2C}" presName="sibTrans" presStyleLbl="sibTrans1D1" presStyleIdx="3" presStyleCnt="6"/>
      <dgm:spPr/>
      <dgm:t>
        <a:bodyPr/>
        <a:lstStyle/>
        <a:p>
          <a:endParaRPr lang="en-GB"/>
        </a:p>
      </dgm:t>
    </dgm:pt>
    <dgm:pt modelId="{7D044931-75ED-4E5C-BEB3-A4485E981D56}" type="pres">
      <dgm:prSet presAssocID="{C5B04C46-4558-4BF6-B20D-79A286BC8EC2}" presName="node" presStyleLbl="node1" presStyleIdx="4" presStyleCnt="6">
        <dgm:presLayoutVars>
          <dgm:bulletEnabled val="1"/>
        </dgm:presLayoutVars>
      </dgm:prSet>
      <dgm:spPr/>
      <dgm:t>
        <a:bodyPr/>
        <a:lstStyle/>
        <a:p>
          <a:endParaRPr lang="en-GB"/>
        </a:p>
      </dgm:t>
    </dgm:pt>
    <dgm:pt modelId="{CF5DB76E-BBEC-4C9E-A14F-C374A4B16F6A}" type="pres">
      <dgm:prSet presAssocID="{C5B04C46-4558-4BF6-B20D-79A286BC8EC2}" presName="spNode" presStyleCnt="0"/>
      <dgm:spPr/>
    </dgm:pt>
    <dgm:pt modelId="{C2A0FF3F-F36F-4082-9D8C-93FBDF3D636F}" type="pres">
      <dgm:prSet presAssocID="{1720CF28-9101-4A4F-9B73-D97440D43BF9}" presName="sibTrans" presStyleLbl="sibTrans1D1" presStyleIdx="4" presStyleCnt="6"/>
      <dgm:spPr/>
      <dgm:t>
        <a:bodyPr/>
        <a:lstStyle/>
        <a:p>
          <a:endParaRPr lang="en-GB"/>
        </a:p>
      </dgm:t>
    </dgm:pt>
    <dgm:pt modelId="{BB2FCA43-2E51-4CD5-8C45-5BB8ABAE502F}" type="pres">
      <dgm:prSet presAssocID="{6435E3AF-815E-42A7-84FD-5E6209888E09}" presName="node" presStyleLbl="node1" presStyleIdx="5" presStyleCnt="6" custRadScaleRad="100971" custRadScaleInc="-6287">
        <dgm:presLayoutVars>
          <dgm:bulletEnabled val="1"/>
        </dgm:presLayoutVars>
      </dgm:prSet>
      <dgm:spPr/>
      <dgm:t>
        <a:bodyPr/>
        <a:lstStyle/>
        <a:p>
          <a:endParaRPr lang="en-GB"/>
        </a:p>
      </dgm:t>
    </dgm:pt>
    <dgm:pt modelId="{EC07D1C6-B842-4ADD-B063-778406482C2E}" type="pres">
      <dgm:prSet presAssocID="{6435E3AF-815E-42A7-84FD-5E6209888E09}" presName="spNode" presStyleCnt="0"/>
      <dgm:spPr/>
    </dgm:pt>
    <dgm:pt modelId="{36AF3CAC-B5BB-462E-8EF3-EF372CF40337}" type="pres">
      <dgm:prSet presAssocID="{49A1D6DE-CC60-46B1-A823-3E4AB596CADA}" presName="sibTrans" presStyleLbl="sibTrans1D1" presStyleIdx="5" presStyleCnt="6"/>
      <dgm:spPr/>
      <dgm:t>
        <a:bodyPr/>
        <a:lstStyle/>
        <a:p>
          <a:endParaRPr lang="en-GB"/>
        </a:p>
      </dgm:t>
    </dgm:pt>
  </dgm:ptLst>
  <dgm:cxnLst>
    <dgm:cxn modelId="{502EF888-348B-4C20-9074-E94C2D37083E}" type="presOf" srcId="{49A1D6DE-CC60-46B1-A823-3E4AB596CADA}" destId="{36AF3CAC-B5BB-462E-8EF3-EF372CF40337}" srcOrd="0" destOrd="0" presId="urn:microsoft.com/office/officeart/2005/8/layout/cycle5"/>
    <dgm:cxn modelId="{EDEE1F14-1C22-436C-B71E-1927F48F6502}" type="presOf" srcId="{1720CF28-9101-4A4F-9B73-D97440D43BF9}" destId="{C2A0FF3F-F36F-4082-9D8C-93FBDF3D636F}" srcOrd="0" destOrd="0" presId="urn:microsoft.com/office/officeart/2005/8/layout/cycle5"/>
    <dgm:cxn modelId="{180E30EC-F717-4D19-8F5D-F78AA7D95131}" type="presOf" srcId="{10809027-C3B9-43C7-A9AF-DADFD16DECD0}" destId="{6DEDB0AE-1489-4F72-9E1A-43E6E66A16B9}" srcOrd="0" destOrd="0" presId="urn:microsoft.com/office/officeart/2005/8/layout/cycle5"/>
    <dgm:cxn modelId="{BED795BE-681B-4335-B29E-4A48F7B82BCC}" type="presOf" srcId="{688C2375-4A5B-406D-BAF7-AAF3C7C9661B}" destId="{97D78D93-74E5-4E49-8B22-442124B94A0C}" srcOrd="0" destOrd="0" presId="urn:microsoft.com/office/officeart/2005/8/layout/cycle5"/>
    <dgm:cxn modelId="{56E3BD52-B240-4CD2-8AFF-CC66CAC9AEB8}" type="presOf" srcId="{6435E3AF-815E-42A7-84FD-5E6209888E09}" destId="{BB2FCA43-2E51-4CD5-8C45-5BB8ABAE502F}" srcOrd="0" destOrd="0" presId="urn:microsoft.com/office/officeart/2005/8/layout/cycle5"/>
    <dgm:cxn modelId="{512EFE27-C3B3-4AD5-9378-C031696F462D}" type="presOf" srcId="{024FDCDE-78D1-40C2-9830-F748ED49F555}" destId="{4BFBA768-9340-4622-B5A5-210E9A07329C}" srcOrd="0" destOrd="0" presId="urn:microsoft.com/office/officeart/2005/8/layout/cycle5"/>
    <dgm:cxn modelId="{29D5A29F-0834-488C-9B04-087965B87839}" type="presOf" srcId="{FE1CD434-C11C-4FDB-9C3F-A7BEA9C5D5AB}" destId="{C523E710-87BD-468B-84DE-1C4D64BC5C96}" srcOrd="0" destOrd="0" presId="urn:microsoft.com/office/officeart/2005/8/layout/cycle5"/>
    <dgm:cxn modelId="{57FB8E4D-64F6-4D2A-B546-EAAEACF2B73F}" type="presOf" srcId="{542E6117-2D13-4DE0-B561-336BFD8A7575}" destId="{6D7F73AF-624C-4CD5-BBFF-0B0613A57845}" srcOrd="0" destOrd="0" presId="urn:microsoft.com/office/officeart/2005/8/layout/cycle5"/>
    <dgm:cxn modelId="{B1270680-D878-4323-859C-A14BC5590385}" type="presOf" srcId="{3B172266-CF8D-4266-8D1E-42973B9F21E9}" destId="{B002B7A9-8263-4A4B-BC88-83A9B9FF280C}" srcOrd="0" destOrd="0" presId="urn:microsoft.com/office/officeart/2005/8/layout/cycle5"/>
    <dgm:cxn modelId="{16D8A9E3-2B0F-4594-B42B-B13439B51E3A}" type="presOf" srcId="{665A8ACB-0D53-4ADC-9A2F-1DEE7BFBBBE0}" destId="{A14F51ED-80B2-4122-9313-B3798E9B5E6E}" srcOrd="0" destOrd="0" presId="urn:microsoft.com/office/officeart/2005/8/layout/cycle5"/>
    <dgm:cxn modelId="{492D6AA3-7BB5-4A7B-B3ED-99A9EFC7FED5}" type="presOf" srcId="{734A1B50-51D7-4A08-BD47-A94F78342137}" destId="{B2BC6C87-A4F5-40D5-B2B1-13EC3D38C8BD}" srcOrd="0" destOrd="0" presId="urn:microsoft.com/office/officeart/2005/8/layout/cycle5"/>
    <dgm:cxn modelId="{7656C775-BBC4-4D36-9FA3-CD4977613DAE}" srcId="{024FDCDE-78D1-40C2-9830-F748ED49F555}" destId="{10809027-C3B9-43C7-A9AF-DADFD16DECD0}" srcOrd="1" destOrd="0" parTransId="{46FC014E-9360-4CF4-A9E3-DA83112D9D0D}" sibTransId="{734A1B50-51D7-4A08-BD47-A94F78342137}"/>
    <dgm:cxn modelId="{7FCCEB86-13D5-459D-9761-00AC7696C46B}" srcId="{024FDCDE-78D1-40C2-9830-F748ED49F555}" destId="{688C2375-4A5B-406D-BAF7-AAF3C7C9661B}" srcOrd="2" destOrd="0" parTransId="{3094BBCC-ED90-4DA4-B17D-F4192EDA6064}" sibTransId="{3B172266-CF8D-4266-8D1E-42973B9F21E9}"/>
    <dgm:cxn modelId="{4429B854-237B-49C3-87F6-89967E865845}" type="presOf" srcId="{C5B04C46-4558-4BF6-B20D-79A286BC8EC2}" destId="{7D044931-75ED-4E5C-BEB3-A4485E981D56}" srcOrd="0" destOrd="0" presId="urn:microsoft.com/office/officeart/2005/8/layout/cycle5"/>
    <dgm:cxn modelId="{1DDF5792-2EAF-4FD5-B850-DEED39AC7E81}" srcId="{024FDCDE-78D1-40C2-9830-F748ED49F555}" destId="{665A8ACB-0D53-4ADC-9A2F-1DEE7BFBBBE0}" srcOrd="3" destOrd="0" parTransId="{6E58D80B-D620-4C0A-8829-20C2E52C5180}" sibTransId="{3B4763EB-D9B5-4FE9-8B93-C09C32E3CE2C}"/>
    <dgm:cxn modelId="{CB533D73-0E17-464B-8574-FB64EABA338C}" srcId="{024FDCDE-78D1-40C2-9830-F748ED49F555}" destId="{C5B04C46-4558-4BF6-B20D-79A286BC8EC2}" srcOrd="4" destOrd="0" parTransId="{DF7654AD-17C1-4BB0-A078-B516B4EDA7B8}" sibTransId="{1720CF28-9101-4A4F-9B73-D97440D43BF9}"/>
    <dgm:cxn modelId="{2020D621-973A-466E-B970-8C38A660CEE2}" srcId="{024FDCDE-78D1-40C2-9830-F748ED49F555}" destId="{542E6117-2D13-4DE0-B561-336BFD8A7575}" srcOrd="0" destOrd="0" parTransId="{FB91D208-779D-4613-B6ED-A8B9A3AFECDC}" sibTransId="{FE1CD434-C11C-4FDB-9C3F-A7BEA9C5D5AB}"/>
    <dgm:cxn modelId="{730A2A0D-B67F-4FB9-BD6B-FCF288F9E909}" type="presOf" srcId="{3B4763EB-D9B5-4FE9-8B93-C09C32E3CE2C}" destId="{69D7EA82-B1AF-43FC-917F-C7815F2691D5}" srcOrd="0" destOrd="0" presId="urn:microsoft.com/office/officeart/2005/8/layout/cycle5"/>
    <dgm:cxn modelId="{BC97B60F-E5B4-4042-9D18-15E114774118}" srcId="{024FDCDE-78D1-40C2-9830-F748ED49F555}" destId="{6435E3AF-815E-42A7-84FD-5E6209888E09}" srcOrd="5" destOrd="0" parTransId="{18231CAE-FCF9-470C-B683-C4104C127DEA}" sibTransId="{49A1D6DE-CC60-46B1-A823-3E4AB596CADA}"/>
    <dgm:cxn modelId="{B5E9D14F-B20A-44C4-A0FF-E788C699F662}" type="presParOf" srcId="{4BFBA768-9340-4622-B5A5-210E9A07329C}" destId="{6D7F73AF-624C-4CD5-BBFF-0B0613A57845}" srcOrd="0" destOrd="0" presId="urn:microsoft.com/office/officeart/2005/8/layout/cycle5"/>
    <dgm:cxn modelId="{635F2252-888D-4A06-A385-6A94510DA3D4}" type="presParOf" srcId="{4BFBA768-9340-4622-B5A5-210E9A07329C}" destId="{0182566F-C3CD-4D5A-B58E-5DBBBD6BEA6B}" srcOrd="1" destOrd="0" presId="urn:microsoft.com/office/officeart/2005/8/layout/cycle5"/>
    <dgm:cxn modelId="{8F2F81FA-AACC-417C-9C40-0BD4D616653F}" type="presParOf" srcId="{4BFBA768-9340-4622-B5A5-210E9A07329C}" destId="{C523E710-87BD-468B-84DE-1C4D64BC5C96}" srcOrd="2" destOrd="0" presId="urn:microsoft.com/office/officeart/2005/8/layout/cycle5"/>
    <dgm:cxn modelId="{9C0422F3-3B76-4465-9B7A-D8A3E8FD6B8E}" type="presParOf" srcId="{4BFBA768-9340-4622-B5A5-210E9A07329C}" destId="{6DEDB0AE-1489-4F72-9E1A-43E6E66A16B9}" srcOrd="3" destOrd="0" presId="urn:microsoft.com/office/officeart/2005/8/layout/cycle5"/>
    <dgm:cxn modelId="{A607FE00-FFF3-4DB6-B446-2317A005BF36}" type="presParOf" srcId="{4BFBA768-9340-4622-B5A5-210E9A07329C}" destId="{371217BB-D2E5-430F-833F-413EEAE69FA6}" srcOrd="4" destOrd="0" presId="urn:microsoft.com/office/officeart/2005/8/layout/cycle5"/>
    <dgm:cxn modelId="{762D799D-4F44-4CAF-AEC1-238500C420AC}" type="presParOf" srcId="{4BFBA768-9340-4622-B5A5-210E9A07329C}" destId="{B2BC6C87-A4F5-40D5-B2B1-13EC3D38C8BD}" srcOrd="5" destOrd="0" presId="urn:microsoft.com/office/officeart/2005/8/layout/cycle5"/>
    <dgm:cxn modelId="{75DC1B59-BB52-4BD6-A1BC-F3A24CE18C9D}" type="presParOf" srcId="{4BFBA768-9340-4622-B5A5-210E9A07329C}" destId="{97D78D93-74E5-4E49-8B22-442124B94A0C}" srcOrd="6" destOrd="0" presId="urn:microsoft.com/office/officeart/2005/8/layout/cycle5"/>
    <dgm:cxn modelId="{EC6D831B-B6ED-4D8F-B935-3DF39F1EA17A}" type="presParOf" srcId="{4BFBA768-9340-4622-B5A5-210E9A07329C}" destId="{F4B47004-DE7F-4B69-BF76-76B423796B39}" srcOrd="7" destOrd="0" presId="urn:microsoft.com/office/officeart/2005/8/layout/cycle5"/>
    <dgm:cxn modelId="{4CC7849E-2E40-484B-877B-74D49BAC81DA}" type="presParOf" srcId="{4BFBA768-9340-4622-B5A5-210E9A07329C}" destId="{B002B7A9-8263-4A4B-BC88-83A9B9FF280C}" srcOrd="8" destOrd="0" presId="urn:microsoft.com/office/officeart/2005/8/layout/cycle5"/>
    <dgm:cxn modelId="{69F31295-54C2-4AF3-BCCB-B9E840724B4B}" type="presParOf" srcId="{4BFBA768-9340-4622-B5A5-210E9A07329C}" destId="{A14F51ED-80B2-4122-9313-B3798E9B5E6E}" srcOrd="9" destOrd="0" presId="urn:microsoft.com/office/officeart/2005/8/layout/cycle5"/>
    <dgm:cxn modelId="{103C8CD9-CA19-4B19-AE61-42A9366BC304}" type="presParOf" srcId="{4BFBA768-9340-4622-B5A5-210E9A07329C}" destId="{7AEFA968-1263-4451-97A4-9FF3ACB72B7E}" srcOrd="10" destOrd="0" presId="urn:microsoft.com/office/officeart/2005/8/layout/cycle5"/>
    <dgm:cxn modelId="{9D8DA09A-8019-4CCD-B083-EC5D9A442CEF}" type="presParOf" srcId="{4BFBA768-9340-4622-B5A5-210E9A07329C}" destId="{69D7EA82-B1AF-43FC-917F-C7815F2691D5}" srcOrd="11" destOrd="0" presId="urn:microsoft.com/office/officeart/2005/8/layout/cycle5"/>
    <dgm:cxn modelId="{D16DC3A8-165E-4566-9677-3B83D5AC40A9}" type="presParOf" srcId="{4BFBA768-9340-4622-B5A5-210E9A07329C}" destId="{7D044931-75ED-4E5C-BEB3-A4485E981D56}" srcOrd="12" destOrd="0" presId="urn:microsoft.com/office/officeart/2005/8/layout/cycle5"/>
    <dgm:cxn modelId="{5F58AE91-CD28-4FCB-BF25-8B16B0ABEAB7}" type="presParOf" srcId="{4BFBA768-9340-4622-B5A5-210E9A07329C}" destId="{CF5DB76E-BBEC-4C9E-A14F-C374A4B16F6A}" srcOrd="13" destOrd="0" presId="urn:microsoft.com/office/officeart/2005/8/layout/cycle5"/>
    <dgm:cxn modelId="{0E2C60E5-190F-46D0-9FA7-D54342CD07CB}" type="presParOf" srcId="{4BFBA768-9340-4622-B5A5-210E9A07329C}" destId="{C2A0FF3F-F36F-4082-9D8C-93FBDF3D636F}" srcOrd="14" destOrd="0" presId="urn:microsoft.com/office/officeart/2005/8/layout/cycle5"/>
    <dgm:cxn modelId="{1371B1E5-8D72-4919-B83F-0A0F72F34E83}" type="presParOf" srcId="{4BFBA768-9340-4622-B5A5-210E9A07329C}" destId="{BB2FCA43-2E51-4CD5-8C45-5BB8ABAE502F}" srcOrd="15" destOrd="0" presId="urn:microsoft.com/office/officeart/2005/8/layout/cycle5"/>
    <dgm:cxn modelId="{88DDEC4F-06F5-4202-8A63-F2D866F350EF}" type="presParOf" srcId="{4BFBA768-9340-4622-B5A5-210E9A07329C}" destId="{EC07D1C6-B842-4ADD-B063-778406482C2E}" srcOrd="16" destOrd="0" presId="urn:microsoft.com/office/officeart/2005/8/layout/cycle5"/>
    <dgm:cxn modelId="{810CF073-F017-471D-9A62-69B9C2B773CC}" type="presParOf" srcId="{4BFBA768-9340-4622-B5A5-210E9A07329C}" destId="{36AF3CAC-B5BB-462E-8EF3-EF372CF40337}" srcOrd="17" destOrd="0" presId="urn:microsoft.com/office/officeart/2005/8/layout/cycle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AF4AAE7-E265-477D-967B-F69DAC81BA55}"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E1E740E5-FE04-44B7-A803-8902615D954A}">
      <dgm:prSet phldrT="[Text]"/>
      <dgm:spPr/>
      <dgm:t>
        <a:bodyPr/>
        <a:lstStyle/>
        <a:p>
          <a:r>
            <a:rPr lang="en-GB"/>
            <a:t>Independent schools standards for inspection detailed in their September 2010 guidance document</a:t>
          </a:r>
        </a:p>
      </dgm:t>
    </dgm:pt>
    <dgm:pt modelId="{5E8B13D7-372D-4BE5-9AC7-B6C689089E46}" type="parTrans" cxnId="{EB498AF0-BC8D-4CD0-ABFA-4762C81F30D1}">
      <dgm:prSet/>
      <dgm:spPr/>
      <dgm:t>
        <a:bodyPr/>
        <a:lstStyle/>
        <a:p>
          <a:endParaRPr lang="en-GB"/>
        </a:p>
      </dgm:t>
    </dgm:pt>
    <dgm:pt modelId="{7B12DAAE-595D-4C2A-99C6-E10474B85A54}" type="sibTrans" cxnId="{EB498AF0-BC8D-4CD0-ABFA-4762C81F30D1}">
      <dgm:prSet/>
      <dgm:spPr/>
      <dgm:t>
        <a:bodyPr/>
        <a:lstStyle/>
        <a:p>
          <a:endParaRPr lang="en-GB"/>
        </a:p>
      </dgm:t>
    </dgm:pt>
    <dgm:pt modelId="{6F6413AC-08D1-4DFA-B36D-CDAB39BADE83}">
      <dgm:prSet phldrT="[Text]"/>
      <dgm:spPr/>
      <dgm:t>
        <a:bodyPr/>
        <a:lstStyle/>
        <a:p>
          <a:r>
            <a:rPr lang="en-GB"/>
            <a:t>The quality of education provided</a:t>
          </a:r>
        </a:p>
      </dgm:t>
    </dgm:pt>
    <dgm:pt modelId="{095D5D49-C017-48FA-9446-189DFCFED208}" type="parTrans" cxnId="{7611000D-ED7E-4B50-ADF8-B965A2FE5D9D}">
      <dgm:prSet/>
      <dgm:spPr/>
      <dgm:t>
        <a:bodyPr/>
        <a:lstStyle/>
        <a:p>
          <a:endParaRPr lang="en-GB"/>
        </a:p>
      </dgm:t>
    </dgm:pt>
    <dgm:pt modelId="{78528B34-7203-4F8C-9A03-ED5E073C8275}" type="sibTrans" cxnId="{7611000D-ED7E-4B50-ADF8-B965A2FE5D9D}">
      <dgm:prSet/>
      <dgm:spPr/>
      <dgm:t>
        <a:bodyPr/>
        <a:lstStyle/>
        <a:p>
          <a:endParaRPr lang="en-GB"/>
        </a:p>
      </dgm:t>
    </dgm:pt>
    <dgm:pt modelId="{BCA7DEC1-99CE-4400-AB34-68B1EE6C888C}">
      <dgm:prSet phldrT="[Text]"/>
      <dgm:spPr/>
      <dgm:t>
        <a:bodyPr/>
        <a:lstStyle/>
        <a:p>
          <a:r>
            <a:rPr lang="en-GB"/>
            <a:t>The spiritual, moral, social and cultural development of the pupils</a:t>
          </a:r>
        </a:p>
      </dgm:t>
    </dgm:pt>
    <dgm:pt modelId="{FC273F9C-C876-4EA1-9DBF-7E0C37CF69F1}" type="parTrans" cxnId="{85A4CAD3-D3DD-44EA-90B3-5775A0811691}">
      <dgm:prSet/>
      <dgm:spPr/>
      <dgm:t>
        <a:bodyPr/>
        <a:lstStyle/>
        <a:p>
          <a:endParaRPr lang="en-GB"/>
        </a:p>
      </dgm:t>
    </dgm:pt>
    <dgm:pt modelId="{2D92E700-B6D0-41D6-8ACF-A6E9E36C6D68}" type="sibTrans" cxnId="{85A4CAD3-D3DD-44EA-90B3-5775A0811691}">
      <dgm:prSet/>
      <dgm:spPr/>
      <dgm:t>
        <a:bodyPr/>
        <a:lstStyle/>
        <a:p>
          <a:endParaRPr lang="en-GB"/>
        </a:p>
      </dgm:t>
    </dgm:pt>
    <dgm:pt modelId="{FE4C8012-D2CE-418A-8658-986BDC64B9D1}">
      <dgm:prSet phldrT="[Text]"/>
      <dgm:spPr/>
      <dgm:t>
        <a:bodyPr/>
        <a:lstStyle/>
        <a:p>
          <a:r>
            <a:rPr lang="en-GB"/>
            <a:t>The welfare, health ad safety of the pupils</a:t>
          </a:r>
        </a:p>
      </dgm:t>
    </dgm:pt>
    <dgm:pt modelId="{B794761E-7625-4868-A0F0-362E61E96D1E}" type="parTrans" cxnId="{28F052A4-C0B9-4A66-9201-25614CA7FC18}">
      <dgm:prSet/>
      <dgm:spPr/>
      <dgm:t>
        <a:bodyPr/>
        <a:lstStyle/>
        <a:p>
          <a:endParaRPr lang="en-GB"/>
        </a:p>
      </dgm:t>
    </dgm:pt>
    <dgm:pt modelId="{1CB85F21-5FB2-4104-8346-5A3EA1BE1F66}" type="sibTrans" cxnId="{28F052A4-C0B9-4A66-9201-25614CA7FC18}">
      <dgm:prSet/>
      <dgm:spPr/>
      <dgm:t>
        <a:bodyPr/>
        <a:lstStyle/>
        <a:p>
          <a:endParaRPr lang="en-GB"/>
        </a:p>
      </dgm:t>
    </dgm:pt>
    <dgm:pt modelId="{01D4A49D-7F09-4D33-9DF8-EDD6EFF5432F}">
      <dgm:prSet phldrT="[Text]"/>
      <dgm:spPr/>
      <dgm:t>
        <a:bodyPr/>
        <a:lstStyle/>
        <a:p>
          <a:r>
            <a:rPr lang="en-GB"/>
            <a:t>The suitability of the proprietors and staff</a:t>
          </a:r>
        </a:p>
      </dgm:t>
    </dgm:pt>
    <dgm:pt modelId="{231AD7E9-3C92-4351-B912-78335F5E2343}" type="parTrans" cxnId="{8BF378CD-37EA-470E-BA1A-C8714CD08AF1}">
      <dgm:prSet/>
      <dgm:spPr/>
      <dgm:t>
        <a:bodyPr/>
        <a:lstStyle/>
        <a:p>
          <a:endParaRPr lang="en-GB"/>
        </a:p>
      </dgm:t>
    </dgm:pt>
    <dgm:pt modelId="{763925B8-0772-47DD-8365-A0027DB1BC45}" type="sibTrans" cxnId="{8BF378CD-37EA-470E-BA1A-C8714CD08AF1}">
      <dgm:prSet/>
      <dgm:spPr/>
      <dgm:t>
        <a:bodyPr/>
        <a:lstStyle/>
        <a:p>
          <a:endParaRPr lang="en-GB"/>
        </a:p>
      </dgm:t>
    </dgm:pt>
    <dgm:pt modelId="{7E7935E7-9A3E-463D-A6E4-3F28E4803963}" type="pres">
      <dgm:prSet presAssocID="{6AF4AAE7-E265-477D-967B-F69DAC81BA55}" presName="diagram" presStyleCnt="0">
        <dgm:presLayoutVars>
          <dgm:chMax val="1"/>
          <dgm:dir/>
          <dgm:animLvl val="ctr"/>
          <dgm:resizeHandles val="exact"/>
        </dgm:presLayoutVars>
      </dgm:prSet>
      <dgm:spPr/>
      <dgm:t>
        <a:bodyPr/>
        <a:lstStyle/>
        <a:p>
          <a:endParaRPr lang="en-GB"/>
        </a:p>
      </dgm:t>
    </dgm:pt>
    <dgm:pt modelId="{FC20BBAB-3946-482C-83AC-6C590E80D17B}" type="pres">
      <dgm:prSet presAssocID="{6AF4AAE7-E265-477D-967B-F69DAC81BA55}" presName="matrix" presStyleCnt="0"/>
      <dgm:spPr/>
    </dgm:pt>
    <dgm:pt modelId="{841E1FC5-A518-4DBD-980C-1FD5F7FFFAAB}" type="pres">
      <dgm:prSet presAssocID="{6AF4AAE7-E265-477D-967B-F69DAC81BA55}" presName="tile1" presStyleLbl="node1" presStyleIdx="0" presStyleCnt="4"/>
      <dgm:spPr/>
      <dgm:t>
        <a:bodyPr/>
        <a:lstStyle/>
        <a:p>
          <a:endParaRPr lang="en-GB"/>
        </a:p>
      </dgm:t>
    </dgm:pt>
    <dgm:pt modelId="{A110FDC5-E0DC-47D5-86A1-4B24BBF75279}" type="pres">
      <dgm:prSet presAssocID="{6AF4AAE7-E265-477D-967B-F69DAC81BA55}" presName="tile1text" presStyleLbl="node1" presStyleIdx="0" presStyleCnt="4">
        <dgm:presLayoutVars>
          <dgm:chMax val="0"/>
          <dgm:chPref val="0"/>
          <dgm:bulletEnabled val="1"/>
        </dgm:presLayoutVars>
      </dgm:prSet>
      <dgm:spPr/>
      <dgm:t>
        <a:bodyPr/>
        <a:lstStyle/>
        <a:p>
          <a:endParaRPr lang="en-GB"/>
        </a:p>
      </dgm:t>
    </dgm:pt>
    <dgm:pt modelId="{11F6FBF0-6231-4C4D-876D-661565F713DB}" type="pres">
      <dgm:prSet presAssocID="{6AF4AAE7-E265-477D-967B-F69DAC81BA55}" presName="tile2" presStyleLbl="node1" presStyleIdx="1" presStyleCnt="4" custLinFactNeighborX="0" custLinFactNeighborY="397"/>
      <dgm:spPr/>
      <dgm:t>
        <a:bodyPr/>
        <a:lstStyle/>
        <a:p>
          <a:endParaRPr lang="en-GB"/>
        </a:p>
      </dgm:t>
    </dgm:pt>
    <dgm:pt modelId="{72E681EE-CFFB-46DD-88D7-A833AEC3C7FB}" type="pres">
      <dgm:prSet presAssocID="{6AF4AAE7-E265-477D-967B-F69DAC81BA55}" presName="tile2text" presStyleLbl="node1" presStyleIdx="1" presStyleCnt="4">
        <dgm:presLayoutVars>
          <dgm:chMax val="0"/>
          <dgm:chPref val="0"/>
          <dgm:bulletEnabled val="1"/>
        </dgm:presLayoutVars>
      </dgm:prSet>
      <dgm:spPr/>
      <dgm:t>
        <a:bodyPr/>
        <a:lstStyle/>
        <a:p>
          <a:endParaRPr lang="en-GB"/>
        </a:p>
      </dgm:t>
    </dgm:pt>
    <dgm:pt modelId="{9B0D9D1F-AC98-4B19-BA83-91AF31C65801}" type="pres">
      <dgm:prSet presAssocID="{6AF4AAE7-E265-477D-967B-F69DAC81BA55}" presName="tile3" presStyleLbl="node1" presStyleIdx="2" presStyleCnt="4"/>
      <dgm:spPr/>
      <dgm:t>
        <a:bodyPr/>
        <a:lstStyle/>
        <a:p>
          <a:endParaRPr lang="en-GB"/>
        </a:p>
      </dgm:t>
    </dgm:pt>
    <dgm:pt modelId="{761145F5-6969-4739-8B3F-FAC40C9F2FD6}" type="pres">
      <dgm:prSet presAssocID="{6AF4AAE7-E265-477D-967B-F69DAC81BA55}" presName="tile3text" presStyleLbl="node1" presStyleIdx="2" presStyleCnt="4">
        <dgm:presLayoutVars>
          <dgm:chMax val="0"/>
          <dgm:chPref val="0"/>
          <dgm:bulletEnabled val="1"/>
        </dgm:presLayoutVars>
      </dgm:prSet>
      <dgm:spPr/>
      <dgm:t>
        <a:bodyPr/>
        <a:lstStyle/>
        <a:p>
          <a:endParaRPr lang="en-GB"/>
        </a:p>
      </dgm:t>
    </dgm:pt>
    <dgm:pt modelId="{39C35939-5743-4796-9BED-0900011F6C1F}" type="pres">
      <dgm:prSet presAssocID="{6AF4AAE7-E265-477D-967B-F69DAC81BA55}" presName="tile4" presStyleLbl="node1" presStyleIdx="3" presStyleCnt="4"/>
      <dgm:spPr/>
      <dgm:t>
        <a:bodyPr/>
        <a:lstStyle/>
        <a:p>
          <a:endParaRPr lang="en-GB"/>
        </a:p>
      </dgm:t>
    </dgm:pt>
    <dgm:pt modelId="{C6CB87C0-B0E2-4CD0-8BC7-6258898C2050}" type="pres">
      <dgm:prSet presAssocID="{6AF4AAE7-E265-477D-967B-F69DAC81BA55}" presName="tile4text" presStyleLbl="node1" presStyleIdx="3" presStyleCnt="4">
        <dgm:presLayoutVars>
          <dgm:chMax val="0"/>
          <dgm:chPref val="0"/>
          <dgm:bulletEnabled val="1"/>
        </dgm:presLayoutVars>
      </dgm:prSet>
      <dgm:spPr/>
      <dgm:t>
        <a:bodyPr/>
        <a:lstStyle/>
        <a:p>
          <a:endParaRPr lang="en-GB"/>
        </a:p>
      </dgm:t>
    </dgm:pt>
    <dgm:pt modelId="{CAB5D785-C865-48E9-BC95-A5DFD2B796CE}" type="pres">
      <dgm:prSet presAssocID="{6AF4AAE7-E265-477D-967B-F69DAC81BA55}" presName="centerTile" presStyleLbl="fgShp" presStyleIdx="0" presStyleCnt="1">
        <dgm:presLayoutVars>
          <dgm:chMax val="0"/>
          <dgm:chPref val="0"/>
        </dgm:presLayoutVars>
      </dgm:prSet>
      <dgm:spPr/>
      <dgm:t>
        <a:bodyPr/>
        <a:lstStyle/>
        <a:p>
          <a:endParaRPr lang="en-GB"/>
        </a:p>
      </dgm:t>
    </dgm:pt>
  </dgm:ptLst>
  <dgm:cxnLst>
    <dgm:cxn modelId="{85A4CAD3-D3DD-44EA-90B3-5775A0811691}" srcId="{E1E740E5-FE04-44B7-A803-8902615D954A}" destId="{BCA7DEC1-99CE-4400-AB34-68B1EE6C888C}" srcOrd="1" destOrd="0" parTransId="{FC273F9C-C876-4EA1-9DBF-7E0C37CF69F1}" sibTransId="{2D92E700-B6D0-41D6-8ACF-A6E9E36C6D68}"/>
    <dgm:cxn modelId="{FEAEE29B-BAD2-4EC1-85A5-E124C09FADBC}" type="presOf" srcId="{6AF4AAE7-E265-477D-967B-F69DAC81BA55}" destId="{7E7935E7-9A3E-463D-A6E4-3F28E4803963}" srcOrd="0" destOrd="0" presId="urn:microsoft.com/office/officeart/2005/8/layout/matrix1"/>
    <dgm:cxn modelId="{88A6807F-EFBC-450E-B3F5-725347C4A1A9}" type="presOf" srcId="{01D4A49D-7F09-4D33-9DF8-EDD6EFF5432F}" destId="{C6CB87C0-B0E2-4CD0-8BC7-6258898C2050}" srcOrd="1" destOrd="0" presId="urn:microsoft.com/office/officeart/2005/8/layout/matrix1"/>
    <dgm:cxn modelId="{525F0EB6-B512-4895-8B22-9772CF966334}" type="presOf" srcId="{BCA7DEC1-99CE-4400-AB34-68B1EE6C888C}" destId="{11F6FBF0-6231-4C4D-876D-661565F713DB}" srcOrd="0" destOrd="0" presId="urn:microsoft.com/office/officeart/2005/8/layout/matrix1"/>
    <dgm:cxn modelId="{EB498AF0-BC8D-4CD0-ABFA-4762C81F30D1}" srcId="{6AF4AAE7-E265-477D-967B-F69DAC81BA55}" destId="{E1E740E5-FE04-44B7-A803-8902615D954A}" srcOrd="0" destOrd="0" parTransId="{5E8B13D7-372D-4BE5-9AC7-B6C689089E46}" sibTransId="{7B12DAAE-595D-4C2A-99C6-E10474B85A54}"/>
    <dgm:cxn modelId="{CA2383A5-D80B-4A1F-A357-DAA8EA687E13}" type="presOf" srcId="{BCA7DEC1-99CE-4400-AB34-68B1EE6C888C}" destId="{72E681EE-CFFB-46DD-88D7-A833AEC3C7FB}" srcOrd="1" destOrd="0" presId="urn:microsoft.com/office/officeart/2005/8/layout/matrix1"/>
    <dgm:cxn modelId="{39D850F4-C53E-4479-9798-9EDB7BBA032A}" type="presOf" srcId="{01D4A49D-7F09-4D33-9DF8-EDD6EFF5432F}" destId="{39C35939-5743-4796-9BED-0900011F6C1F}" srcOrd="0" destOrd="0" presId="urn:microsoft.com/office/officeart/2005/8/layout/matrix1"/>
    <dgm:cxn modelId="{D79B486A-1F30-45FD-B60E-9EC59AB3882A}" type="presOf" srcId="{6F6413AC-08D1-4DFA-B36D-CDAB39BADE83}" destId="{841E1FC5-A518-4DBD-980C-1FD5F7FFFAAB}" srcOrd="0" destOrd="0" presId="urn:microsoft.com/office/officeart/2005/8/layout/matrix1"/>
    <dgm:cxn modelId="{E581392A-16E7-4DD0-8A01-E975225F009B}" type="presOf" srcId="{FE4C8012-D2CE-418A-8658-986BDC64B9D1}" destId="{761145F5-6969-4739-8B3F-FAC40C9F2FD6}" srcOrd="1" destOrd="0" presId="urn:microsoft.com/office/officeart/2005/8/layout/matrix1"/>
    <dgm:cxn modelId="{46785C7E-D2E0-455D-95EE-5A19CB831746}" type="presOf" srcId="{6F6413AC-08D1-4DFA-B36D-CDAB39BADE83}" destId="{A110FDC5-E0DC-47D5-86A1-4B24BBF75279}" srcOrd="1" destOrd="0" presId="urn:microsoft.com/office/officeart/2005/8/layout/matrix1"/>
    <dgm:cxn modelId="{28F052A4-C0B9-4A66-9201-25614CA7FC18}" srcId="{E1E740E5-FE04-44B7-A803-8902615D954A}" destId="{FE4C8012-D2CE-418A-8658-986BDC64B9D1}" srcOrd="2" destOrd="0" parTransId="{B794761E-7625-4868-A0F0-362E61E96D1E}" sibTransId="{1CB85F21-5FB2-4104-8346-5A3EA1BE1F66}"/>
    <dgm:cxn modelId="{A8F0D2F0-D88B-4E40-A94A-781103448B19}" type="presOf" srcId="{FE4C8012-D2CE-418A-8658-986BDC64B9D1}" destId="{9B0D9D1F-AC98-4B19-BA83-91AF31C65801}" srcOrd="0" destOrd="0" presId="urn:microsoft.com/office/officeart/2005/8/layout/matrix1"/>
    <dgm:cxn modelId="{CA7ACCC7-CE6D-4C43-BC0E-BD85D29B6C33}" type="presOf" srcId="{E1E740E5-FE04-44B7-A803-8902615D954A}" destId="{CAB5D785-C865-48E9-BC95-A5DFD2B796CE}" srcOrd="0" destOrd="0" presId="urn:microsoft.com/office/officeart/2005/8/layout/matrix1"/>
    <dgm:cxn modelId="{7611000D-ED7E-4B50-ADF8-B965A2FE5D9D}" srcId="{E1E740E5-FE04-44B7-A803-8902615D954A}" destId="{6F6413AC-08D1-4DFA-B36D-CDAB39BADE83}" srcOrd="0" destOrd="0" parTransId="{095D5D49-C017-48FA-9446-189DFCFED208}" sibTransId="{78528B34-7203-4F8C-9A03-ED5E073C8275}"/>
    <dgm:cxn modelId="{8BF378CD-37EA-470E-BA1A-C8714CD08AF1}" srcId="{E1E740E5-FE04-44B7-A803-8902615D954A}" destId="{01D4A49D-7F09-4D33-9DF8-EDD6EFF5432F}" srcOrd="3" destOrd="0" parTransId="{231AD7E9-3C92-4351-B912-78335F5E2343}" sibTransId="{763925B8-0772-47DD-8365-A0027DB1BC45}"/>
    <dgm:cxn modelId="{AC48A6E1-1F8C-46B0-8E8D-42215CD03F6D}" type="presParOf" srcId="{7E7935E7-9A3E-463D-A6E4-3F28E4803963}" destId="{FC20BBAB-3946-482C-83AC-6C590E80D17B}" srcOrd="0" destOrd="0" presId="urn:microsoft.com/office/officeart/2005/8/layout/matrix1"/>
    <dgm:cxn modelId="{C5C3C0CB-327A-46E7-B747-B9FB2A7422FD}" type="presParOf" srcId="{FC20BBAB-3946-482C-83AC-6C590E80D17B}" destId="{841E1FC5-A518-4DBD-980C-1FD5F7FFFAAB}" srcOrd="0" destOrd="0" presId="urn:microsoft.com/office/officeart/2005/8/layout/matrix1"/>
    <dgm:cxn modelId="{C91BC248-9F3B-4378-98A0-A9BD3C4603AC}" type="presParOf" srcId="{FC20BBAB-3946-482C-83AC-6C590E80D17B}" destId="{A110FDC5-E0DC-47D5-86A1-4B24BBF75279}" srcOrd="1" destOrd="0" presId="urn:microsoft.com/office/officeart/2005/8/layout/matrix1"/>
    <dgm:cxn modelId="{13521610-BC81-4172-9835-F55CB35709B4}" type="presParOf" srcId="{FC20BBAB-3946-482C-83AC-6C590E80D17B}" destId="{11F6FBF0-6231-4C4D-876D-661565F713DB}" srcOrd="2" destOrd="0" presId="urn:microsoft.com/office/officeart/2005/8/layout/matrix1"/>
    <dgm:cxn modelId="{A6C3B88C-E8E8-4191-B8C8-B0788CE95AB8}" type="presParOf" srcId="{FC20BBAB-3946-482C-83AC-6C590E80D17B}" destId="{72E681EE-CFFB-46DD-88D7-A833AEC3C7FB}" srcOrd="3" destOrd="0" presId="urn:microsoft.com/office/officeart/2005/8/layout/matrix1"/>
    <dgm:cxn modelId="{B0ECC242-58E1-43B9-B5F3-AA1C0BAC0D01}" type="presParOf" srcId="{FC20BBAB-3946-482C-83AC-6C590E80D17B}" destId="{9B0D9D1F-AC98-4B19-BA83-91AF31C65801}" srcOrd="4" destOrd="0" presId="urn:microsoft.com/office/officeart/2005/8/layout/matrix1"/>
    <dgm:cxn modelId="{CBE11E46-9C3D-4C99-B7E3-942F56487FE1}" type="presParOf" srcId="{FC20BBAB-3946-482C-83AC-6C590E80D17B}" destId="{761145F5-6969-4739-8B3F-FAC40C9F2FD6}" srcOrd="5" destOrd="0" presId="urn:microsoft.com/office/officeart/2005/8/layout/matrix1"/>
    <dgm:cxn modelId="{75E85505-06E2-4244-A0FC-0FAA7971F84D}" type="presParOf" srcId="{FC20BBAB-3946-482C-83AC-6C590E80D17B}" destId="{39C35939-5743-4796-9BED-0900011F6C1F}" srcOrd="6" destOrd="0" presId="urn:microsoft.com/office/officeart/2005/8/layout/matrix1"/>
    <dgm:cxn modelId="{3225A964-05C4-46DD-B03F-8745A829F671}" type="presParOf" srcId="{FC20BBAB-3946-482C-83AC-6C590E80D17B}" destId="{C6CB87C0-B0E2-4CD0-8BC7-6258898C2050}" srcOrd="7" destOrd="0" presId="urn:microsoft.com/office/officeart/2005/8/layout/matrix1"/>
    <dgm:cxn modelId="{C267097D-793C-4ED8-B0F9-584E3912EC40}" type="presParOf" srcId="{7E7935E7-9A3E-463D-A6E4-3F28E4803963}" destId="{CAB5D785-C865-48E9-BC95-A5DFD2B796CE}" srcOrd="1" destOrd="0" presId="urn:microsoft.com/office/officeart/2005/8/layout/matrix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50A5AA7-E347-4C3B-8EA1-9200C9AD6B67}" type="doc">
      <dgm:prSet loTypeId="urn:microsoft.com/office/officeart/2005/8/layout/equation1" loCatId="relationship" qsTypeId="urn:microsoft.com/office/officeart/2005/8/quickstyle/simple1" qsCatId="simple" csTypeId="urn:microsoft.com/office/officeart/2005/8/colors/accent1_2" csCatId="accent1" phldr="1"/>
      <dgm:spPr/>
    </dgm:pt>
    <dgm:pt modelId="{E3FA6570-65D1-4462-8B24-28E6D8E628C4}">
      <dgm:prSet phldrT="[Text]"/>
      <dgm:spPr/>
      <dgm:t>
        <a:bodyPr/>
        <a:lstStyle/>
        <a:p>
          <a:r>
            <a:rPr lang="en-GB"/>
            <a:t>Successful pedogogical strategies</a:t>
          </a:r>
        </a:p>
      </dgm:t>
    </dgm:pt>
    <dgm:pt modelId="{DF4722C6-D487-4EA0-9B4D-AE4C6458F795}" type="parTrans" cxnId="{880D04B5-FAE4-4222-AF07-9ECC436CC1A2}">
      <dgm:prSet/>
      <dgm:spPr/>
      <dgm:t>
        <a:bodyPr/>
        <a:lstStyle/>
        <a:p>
          <a:endParaRPr lang="en-GB"/>
        </a:p>
      </dgm:t>
    </dgm:pt>
    <dgm:pt modelId="{89073F2D-94BB-465C-B9E8-7383BEC9879E}" type="sibTrans" cxnId="{880D04B5-FAE4-4222-AF07-9ECC436CC1A2}">
      <dgm:prSet/>
      <dgm:spPr/>
      <dgm:t>
        <a:bodyPr/>
        <a:lstStyle/>
        <a:p>
          <a:endParaRPr lang="en-GB"/>
        </a:p>
      </dgm:t>
    </dgm:pt>
    <dgm:pt modelId="{97D83612-C687-49E1-9D4D-266CBCA1812C}">
      <dgm:prSet phldrT="[Text]"/>
      <dgm:spPr/>
      <dgm:t>
        <a:bodyPr/>
        <a:lstStyle/>
        <a:p>
          <a:r>
            <a:rPr lang="en-GB"/>
            <a:t>Personalisation of learning</a:t>
          </a:r>
        </a:p>
      </dgm:t>
    </dgm:pt>
    <dgm:pt modelId="{C56BC865-4957-4DC0-B98C-B09FAEEA2CBB}" type="parTrans" cxnId="{E0659872-FC87-4A05-B028-057B76C2FC53}">
      <dgm:prSet/>
      <dgm:spPr/>
      <dgm:t>
        <a:bodyPr/>
        <a:lstStyle/>
        <a:p>
          <a:endParaRPr lang="en-GB"/>
        </a:p>
      </dgm:t>
    </dgm:pt>
    <dgm:pt modelId="{4BCD806D-2EA3-454A-BDA0-EBB46524DBD9}" type="sibTrans" cxnId="{E0659872-FC87-4A05-B028-057B76C2FC53}">
      <dgm:prSet/>
      <dgm:spPr/>
      <dgm:t>
        <a:bodyPr/>
        <a:lstStyle/>
        <a:p>
          <a:endParaRPr lang="en-GB"/>
        </a:p>
      </dgm:t>
    </dgm:pt>
    <dgm:pt modelId="{03937202-531F-43D6-A5BF-3C5A12BC30DB}">
      <dgm:prSet phldrT="[Text]"/>
      <dgm:spPr/>
      <dgm:t>
        <a:bodyPr/>
        <a:lstStyle/>
        <a:p>
          <a:r>
            <a:rPr lang="en-GB"/>
            <a:t>Greater motivation to learn</a:t>
          </a:r>
        </a:p>
      </dgm:t>
    </dgm:pt>
    <dgm:pt modelId="{AF467ADA-E188-470A-9EE5-50134DD9AB3B}" type="parTrans" cxnId="{872F946D-9E9A-4224-898F-5D625527EDA2}">
      <dgm:prSet/>
      <dgm:spPr/>
      <dgm:t>
        <a:bodyPr/>
        <a:lstStyle/>
        <a:p>
          <a:endParaRPr lang="en-GB"/>
        </a:p>
      </dgm:t>
    </dgm:pt>
    <dgm:pt modelId="{B81A8EC6-D39B-47A8-BD53-52B017D5C9D6}" type="sibTrans" cxnId="{872F946D-9E9A-4224-898F-5D625527EDA2}">
      <dgm:prSet/>
      <dgm:spPr/>
      <dgm:t>
        <a:bodyPr/>
        <a:lstStyle/>
        <a:p>
          <a:endParaRPr lang="en-GB"/>
        </a:p>
      </dgm:t>
    </dgm:pt>
    <dgm:pt modelId="{2074FE13-AFFE-4D81-966A-210C28D26480}" type="pres">
      <dgm:prSet presAssocID="{E50A5AA7-E347-4C3B-8EA1-9200C9AD6B67}" presName="linearFlow" presStyleCnt="0">
        <dgm:presLayoutVars>
          <dgm:dir/>
          <dgm:resizeHandles val="exact"/>
        </dgm:presLayoutVars>
      </dgm:prSet>
      <dgm:spPr/>
    </dgm:pt>
    <dgm:pt modelId="{8CB80A5C-49B1-47CD-9352-B571A03F172B}" type="pres">
      <dgm:prSet presAssocID="{E3FA6570-65D1-4462-8B24-28E6D8E628C4}" presName="node" presStyleLbl="node1" presStyleIdx="0" presStyleCnt="3">
        <dgm:presLayoutVars>
          <dgm:bulletEnabled val="1"/>
        </dgm:presLayoutVars>
      </dgm:prSet>
      <dgm:spPr/>
      <dgm:t>
        <a:bodyPr/>
        <a:lstStyle/>
        <a:p>
          <a:endParaRPr lang="en-GB"/>
        </a:p>
      </dgm:t>
    </dgm:pt>
    <dgm:pt modelId="{D8078A3B-AB03-4B57-A1C5-31AD2A55A17B}" type="pres">
      <dgm:prSet presAssocID="{89073F2D-94BB-465C-B9E8-7383BEC9879E}" presName="spacerL" presStyleCnt="0"/>
      <dgm:spPr/>
    </dgm:pt>
    <dgm:pt modelId="{DEFF9521-D057-4784-8AC5-4467222F3A4F}" type="pres">
      <dgm:prSet presAssocID="{89073F2D-94BB-465C-B9E8-7383BEC9879E}" presName="sibTrans" presStyleLbl="sibTrans2D1" presStyleIdx="0" presStyleCnt="2"/>
      <dgm:spPr/>
      <dgm:t>
        <a:bodyPr/>
        <a:lstStyle/>
        <a:p>
          <a:endParaRPr lang="en-GB"/>
        </a:p>
      </dgm:t>
    </dgm:pt>
    <dgm:pt modelId="{4CFBC6D1-5958-4A25-9F28-DD95FBE93F86}" type="pres">
      <dgm:prSet presAssocID="{89073F2D-94BB-465C-B9E8-7383BEC9879E}" presName="spacerR" presStyleCnt="0"/>
      <dgm:spPr/>
    </dgm:pt>
    <dgm:pt modelId="{1F3F1BBB-5730-41C6-BB22-A842456F1E4A}" type="pres">
      <dgm:prSet presAssocID="{97D83612-C687-49E1-9D4D-266CBCA1812C}" presName="node" presStyleLbl="node1" presStyleIdx="1" presStyleCnt="3">
        <dgm:presLayoutVars>
          <dgm:bulletEnabled val="1"/>
        </dgm:presLayoutVars>
      </dgm:prSet>
      <dgm:spPr/>
      <dgm:t>
        <a:bodyPr/>
        <a:lstStyle/>
        <a:p>
          <a:endParaRPr lang="en-GB"/>
        </a:p>
      </dgm:t>
    </dgm:pt>
    <dgm:pt modelId="{32896516-A134-4767-A28C-8927055337CD}" type="pres">
      <dgm:prSet presAssocID="{4BCD806D-2EA3-454A-BDA0-EBB46524DBD9}" presName="spacerL" presStyleCnt="0"/>
      <dgm:spPr/>
    </dgm:pt>
    <dgm:pt modelId="{0A82E7AC-E2A5-4DAB-8F99-7BCD13386C0F}" type="pres">
      <dgm:prSet presAssocID="{4BCD806D-2EA3-454A-BDA0-EBB46524DBD9}" presName="sibTrans" presStyleLbl="sibTrans2D1" presStyleIdx="1" presStyleCnt="2"/>
      <dgm:spPr/>
      <dgm:t>
        <a:bodyPr/>
        <a:lstStyle/>
        <a:p>
          <a:endParaRPr lang="en-GB"/>
        </a:p>
      </dgm:t>
    </dgm:pt>
    <dgm:pt modelId="{38036FBF-B34A-421F-AB0E-82FC83B1832C}" type="pres">
      <dgm:prSet presAssocID="{4BCD806D-2EA3-454A-BDA0-EBB46524DBD9}" presName="spacerR" presStyleCnt="0"/>
      <dgm:spPr/>
    </dgm:pt>
    <dgm:pt modelId="{6E20F80F-6E98-4B50-8454-6A8CD2DA9A48}" type="pres">
      <dgm:prSet presAssocID="{03937202-531F-43D6-A5BF-3C5A12BC30DB}" presName="node" presStyleLbl="node1" presStyleIdx="2" presStyleCnt="3">
        <dgm:presLayoutVars>
          <dgm:bulletEnabled val="1"/>
        </dgm:presLayoutVars>
      </dgm:prSet>
      <dgm:spPr/>
      <dgm:t>
        <a:bodyPr/>
        <a:lstStyle/>
        <a:p>
          <a:endParaRPr lang="en-GB"/>
        </a:p>
      </dgm:t>
    </dgm:pt>
  </dgm:ptLst>
  <dgm:cxnLst>
    <dgm:cxn modelId="{1BD92724-1F7D-4FD6-A3BC-7F309BDCCDCF}" type="presOf" srcId="{4BCD806D-2EA3-454A-BDA0-EBB46524DBD9}" destId="{0A82E7AC-E2A5-4DAB-8F99-7BCD13386C0F}" srcOrd="0" destOrd="0" presId="urn:microsoft.com/office/officeart/2005/8/layout/equation1"/>
    <dgm:cxn modelId="{52447EC5-1763-4AE0-BF96-D3D771808A49}" type="presOf" srcId="{E3FA6570-65D1-4462-8B24-28E6D8E628C4}" destId="{8CB80A5C-49B1-47CD-9352-B571A03F172B}" srcOrd="0" destOrd="0" presId="urn:microsoft.com/office/officeart/2005/8/layout/equation1"/>
    <dgm:cxn modelId="{E0659872-FC87-4A05-B028-057B76C2FC53}" srcId="{E50A5AA7-E347-4C3B-8EA1-9200C9AD6B67}" destId="{97D83612-C687-49E1-9D4D-266CBCA1812C}" srcOrd="1" destOrd="0" parTransId="{C56BC865-4957-4DC0-B98C-B09FAEEA2CBB}" sibTransId="{4BCD806D-2EA3-454A-BDA0-EBB46524DBD9}"/>
    <dgm:cxn modelId="{57DDE232-A2A4-4C02-98B1-27369F97069B}" type="presOf" srcId="{03937202-531F-43D6-A5BF-3C5A12BC30DB}" destId="{6E20F80F-6E98-4B50-8454-6A8CD2DA9A48}" srcOrd="0" destOrd="0" presId="urn:microsoft.com/office/officeart/2005/8/layout/equation1"/>
    <dgm:cxn modelId="{C08D8B0D-FF63-42BA-87EB-072FDE81B16F}" type="presOf" srcId="{E50A5AA7-E347-4C3B-8EA1-9200C9AD6B67}" destId="{2074FE13-AFFE-4D81-966A-210C28D26480}" srcOrd="0" destOrd="0" presId="urn:microsoft.com/office/officeart/2005/8/layout/equation1"/>
    <dgm:cxn modelId="{880D04B5-FAE4-4222-AF07-9ECC436CC1A2}" srcId="{E50A5AA7-E347-4C3B-8EA1-9200C9AD6B67}" destId="{E3FA6570-65D1-4462-8B24-28E6D8E628C4}" srcOrd="0" destOrd="0" parTransId="{DF4722C6-D487-4EA0-9B4D-AE4C6458F795}" sibTransId="{89073F2D-94BB-465C-B9E8-7383BEC9879E}"/>
    <dgm:cxn modelId="{872F946D-9E9A-4224-898F-5D625527EDA2}" srcId="{E50A5AA7-E347-4C3B-8EA1-9200C9AD6B67}" destId="{03937202-531F-43D6-A5BF-3C5A12BC30DB}" srcOrd="2" destOrd="0" parTransId="{AF467ADA-E188-470A-9EE5-50134DD9AB3B}" sibTransId="{B81A8EC6-D39B-47A8-BD53-52B017D5C9D6}"/>
    <dgm:cxn modelId="{E3C9D365-DF54-47A2-BEA9-21CFE609EC11}" type="presOf" srcId="{97D83612-C687-49E1-9D4D-266CBCA1812C}" destId="{1F3F1BBB-5730-41C6-BB22-A842456F1E4A}" srcOrd="0" destOrd="0" presId="urn:microsoft.com/office/officeart/2005/8/layout/equation1"/>
    <dgm:cxn modelId="{D2D3D108-4945-48CA-A4C5-03B0B979E71F}" type="presOf" srcId="{89073F2D-94BB-465C-B9E8-7383BEC9879E}" destId="{DEFF9521-D057-4784-8AC5-4467222F3A4F}" srcOrd="0" destOrd="0" presId="urn:microsoft.com/office/officeart/2005/8/layout/equation1"/>
    <dgm:cxn modelId="{DCC36278-C295-46D7-A7E2-94F52A9C8575}" type="presParOf" srcId="{2074FE13-AFFE-4D81-966A-210C28D26480}" destId="{8CB80A5C-49B1-47CD-9352-B571A03F172B}" srcOrd="0" destOrd="0" presId="urn:microsoft.com/office/officeart/2005/8/layout/equation1"/>
    <dgm:cxn modelId="{54449F6D-036C-4552-BD54-1A151A1EFF51}" type="presParOf" srcId="{2074FE13-AFFE-4D81-966A-210C28D26480}" destId="{D8078A3B-AB03-4B57-A1C5-31AD2A55A17B}" srcOrd="1" destOrd="0" presId="urn:microsoft.com/office/officeart/2005/8/layout/equation1"/>
    <dgm:cxn modelId="{1578580D-BE2D-4050-8B12-C9A6B0C436EE}" type="presParOf" srcId="{2074FE13-AFFE-4D81-966A-210C28D26480}" destId="{DEFF9521-D057-4784-8AC5-4467222F3A4F}" srcOrd="2" destOrd="0" presId="urn:microsoft.com/office/officeart/2005/8/layout/equation1"/>
    <dgm:cxn modelId="{8A21D5EA-1285-4E74-8966-A43771CD1FF0}" type="presParOf" srcId="{2074FE13-AFFE-4D81-966A-210C28D26480}" destId="{4CFBC6D1-5958-4A25-9F28-DD95FBE93F86}" srcOrd="3" destOrd="0" presId="urn:microsoft.com/office/officeart/2005/8/layout/equation1"/>
    <dgm:cxn modelId="{5FE75B15-F307-443F-AFA8-213017D04F12}" type="presParOf" srcId="{2074FE13-AFFE-4D81-966A-210C28D26480}" destId="{1F3F1BBB-5730-41C6-BB22-A842456F1E4A}" srcOrd="4" destOrd="0" presId="urn:microsoft.com/office/officeart/2005/8/layout/equation1"/>
    <dgm:cxn modelId="{72B6CDBE-BD0D-497A-BCFB-9884103E0D3D}" type="presParOf" srcId="{2074FE13-AFFE-4D81-966A-210C28D26480}" destId="{32896516-A134-4767-A28C-8927055337CD}" srcOrd="5" destOrd="0" presId="urn:microsoft.com/office/officeart/2005/8/layout/equation1"/>
    <dgm:cxn modelId="{ED7D8A7A-FD6D-4842-9752-C6524C9E0364}" type="presParOf" srcId="{2074FE13-AFFE-4D81-966A-210C28D26480}" destId="{0A82E7AC-E2A5-4DAB-8F99-7BCD13386C0F}" srcOrd="6" destOrd="0" presId="urn:microsoft.com/office/officeart/2005/8/layout/equation1"/>
    <dgm:cxn modelId="{749CDE4B-4FD7-43E6-A134-87D6282DFB14}" type="presParOf" srcId="{2074FE13-AFFE-4D81-966A-210C28D26480}" destId="{38036FBF-B34A-421F-AB0E-82FC83B1832C}" srcOrd="7" destOrd="0" presId="urn:microsoft.com/office/officeart/2005/8/layout/equation1"/>
    <dgm:cxn modelId="{2B9BC01D-B934-4798-9297-96675B2CD1C9}" type="presParOf" srcId="{2074FE13-AFFE-4D81-966A-210C28D26480}" destId="{6E20F80F-6E98-4B50-8454-6A8CD2DA9A48}" srcOrd="8" destOrd="0" presId="urn:microsoft.com/office/officeart/2005/8/layout/equation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50A5AA7-E347-4C3B-8EA1-9200C9AD6B67}" type="doc">
      <dgm:prSet loTypeId="urn:microsoft.com/office/officeart/2005/8/layout/equation1" loCatId="relationship" qsTypeId="urn:microsoft.com/office/officeart/2005/8/quickstyle/simple1" qsCatId="simple" csTypeId="urn:microsoft.com/office/officeart/2005/8/colors/accent1_2" csCatId="accent1" phldr="1"/>
      <dgm:spPr/>
    </dgm:pt>
    <dgm:pt modelId="{97D83612-C687-49E1-9D4D-266CBCA1812C}">
      <dgm:prSet phldrT="[Text]"/>
      <dgm:spPr/>
      <dgm:t>
        <a:bodyPr/>
        <a:lstStyle/>
        <a:p>
          <a:r>
            <a:rPr lang="en-GB"/>
            <a:t>Increased pupil support</a:t>
          </a:r>
        </a:p>
      </dgm:t>
    </dgm:pt>
    <dgm:pt modelId="{C56BC865-4957-4DC0-B98C-B09FAEEA2CBB}" type="parTrans" cxnId="{E0659872-FC87-4A05-B028-057B76C2FC53}">
      <dgm:prSet/>
      <dgm:spPr/>
      <dgm:t>
        <a:bodyPr/>
        <a:lstStyle/>
        <a:p>
          <a:endParaRPr lang="en-GB"/>
        </a:p>
      </dgm:t>
    </dgm:pt>
    <dgm:pt modelId="{4BCD806D-2EA3-454A-BDA0-EBB46524DBD9}" type="sibTrans" cxnId="{E0659872-FC87-4A05-B028-057B76C2FC53}">
      <dgm:prSet/>
      <dgm:spPr/>
      <dgm:t>
        <a:bodyPr/>
        <a:lstStyle/>
        <a:p>
          <a:endParaRPr lang="en-GB"/>
        </a:p>
      </dgm:t>
    </dgm:pt>
    <dgm:pt modelId="{03937202-531F-43D6-A5BF-3C5A12BC30DB}">
      <dgm:prSet phldrT="[Text]"/>
      <dgm:spPr/>
      <dgm:t>
        <a:bodyPr/>
        <a:lstStyle/>
        <a:p>
          <a:r>
            <a:rPr lang="en-GB"/>
            <a:t>Higher academic achievement</a:t>
          </a:r>
        </a:p>
      </dgm:t>
    </dgm:pt>
    <dgm:pt modelId="{AF467ADA-E188-470A-9EE5-50134DD9AB3B}" type="parTrans" cxnId="{872F946D-9E9A-4224-898F-5D625527EDA2}">
      <dgm:prSet/>
      <dgm:spPr/>
      <dgm:t>
        <a:bodyPr/>
        <a:lstStyle/>
        <a:p>
          <a:endParaRPr lang="en-GB"/>
        </a:p>
      </dgm:t>
    </dgm:pt>
    <dgm:pt modelId="{B81A8EC6-D39B-47A8-BD53-52B017D5C9D6}" type="sibTrans" cxnId="{872F946D-9E9A-4224-898F-5D625527EDA2}">
      <dgm:prSet/>
      <dgm:spPr/>
      <dgm:t>
        <a:bodyPr/>
        <a:lstStyle/>
        <a:p>
          <a:endParaRPr lang="en-GB"/>
        </a:p>
      </dgm:t>
    </dgm:pt>
    <dgm:pt modelId="{E3FA6570-65D1-4462-8B24-28E6D8E628C4}">
      <dgm:prSet phldrT="[Text]"/>
      <dgm:spPr/>
      <dgm:t>
        <a:bodyPr/>
        <a:lstStyle/>
        <a:p>
          <a:r>
            <a:rPr lang="en-GB"/>
            <a:t>Smaller class sizes</a:t>
          </a:r>
        </a:p>
      </dgm:t>
    </dgm:pt>
    <dgm:pt modelId="{89073F2D-94BB-465C-B9E8-7383BEC9879E}" type="sibTrans" cxnId="{880D04B5-FAE4-4222-AF07-9ECC436CC1A2}">
      <dgm:prSet/>
      <dgm:spPr/>
      <dgm:t>
        <a:bodyPr/>
        <a:lstStyle/>
        <a:p>
          <a:endParaRPr lang="en-GB"/>
        </a:p>
      </dgm:t>
    </dgm:pt>
    <dgm:pt modelId="{DF4722C6-D487-4EA0-9B4D-AE4C6458F795}" type="parTrans" cxnId="{880D04B5-FAE4-4222-AF07-9ECC436CC1A2}">
      <dgm:prSet/>
      <dgm:spPr/>
      <dgm:t>
        <a:bodyPr/>
        <a:lstStyle/>
        <a:p>
          <a:endParaRPr lang="en-GB"/>
        </a:p>
      </dgm:t>
    </dgm:pt>
    <dgm:pt modelId="{2074FE13-AFFE-4D81-966A-210C28D26480}" type="pres">
      <dgm:prSet presAssocID="{E50A5AA7-E347-4C3B-8EA1-9200C9AD6B67}" presName="linearFlow" presStyleCnt="0">
        <dgm:presLayoutVars>
          <dgm:dir/>
          <dgm:resizeHandles val="exact"/>
        </dgm:presLayoutVars>
      </dgm:prSet>
      <dgm:spPr/>
    </dgm:pt>
    <dgm:pt modelId="{8CB80A5C-49B1-47CD-9352-B571A03F172B}" type="pres">
      <dgm:prSet presAssocID="{E3FA6570-65D1-4462-8B24-28E6D8E628C4}" presName="node" presStyleLbl="node1" presStyleIdx="0" presStyleCnt="3">
        <dgm:presLayoutVars>
          <dgm:bulletEnabled val="1"/>
        </dgm:presLayoutVars>
      </dgm:prSet>
      <dgm:spPr/>
      <dgm:t>
        <a:bodyPr/>
        <a:lstStyle/>
        <a:p>
          <a:endParaRPr lang="en-GB"/>
        </a:p>
      </dgm:t>
    </dgm:pt>
    <dgm:pt modelId="{D8078A3B-AB03-4B57-A1C5-31AD2A55A17B}" type="pres">
      <dgm:prSet presAssocID="{89073F2D-94BB-465C-B9E8-7383BEC9879E}" presName="spacerL" presStyleCnt="0"/>
      <dgm:spPr/>
    </dgm:pt>
    <dgm:pt modelId="{DEFF9521-D057-4784-8AC5-4467222F3A4F}" type="pres">
      <dgm:prSet presAssocID="{89073F2D-94BB-465C-B9E8-7383BEC9879E}" presName="sibTrans" presStyleLbl="sibTrans2D1" presStyleIdx="0" presStyleCnt="2"/>
      <dgm:spPr/>
      <dgm:t>
        <a:bodyPr/>
        <a:lstStyle/>
        <a:p>
          <a:endParaRPr lang="en-GB"/>
        </a:p>
      </dgm:t>
    </dgm:pt>
    <dgm:pt modelId="{4CFBC6D1-5958-4A25-9F28-DD95FBE93F86}" type="pres">
      <dgm:prSet presAssocID="{89073F2D-94BB-465C-B9E8-7383BEC9879E}" presName="spacerR" presStyleCnt="0"/>
      <dgm:spPr/>
    </dgm:pt>
    <dgm:pt modelId="{1F3F1BBB-5730-41C6-BB22-A842456F1E4A}" type="pres">
      <dgm:prSet presAssocID="{97D83612-C687-49E1-9D4D-266CBCA1812C}" presName="node" presStyleLbl="node1" presStyleIdx="1" presStyleCnt="3">
        <dgm:presLayoutVars>
          <dgm:bulletEnabled val="1"/>
        </dgm:presLayoutVars>
      </dgm:prSet>
      <dgm:spPr/>
      <dgm:t>
        <a:bodyPr/>
        <a:lstStyle/>
        <a:p>
          <a:endParaRPr lang="en-GB"/>
        </a:p>
      </dgm:t>
    </dgm:pt>
    <dgm:pt modelId="{32896516-A134-4767-A28C-8927055337CD}" type="pres">
      <dgm:prSet presAssocID="{4BCD806D-2EA3-454A-BDA0-EBB46524DBD9}" presName="spacerL" presStyleCnt="0"/>
      <dgm:spPr/>
    </dgm:pt>
    <dgm:pt modelId="{0A82E7AC-E2A5-4DAB-8F99-7BCD13386C0F}" type="pres">
      <dgm:prSet presAssocID="{4BCD806D-2EA3-454A-BDA0-EBB46524DBD9}" presName="sibTrans" presStyleLbl="sibTrans2D1" presStyleIdx="1" presStyleCnt="2"/>
      <dgm:spPr/>
      <dgm:t>
        <a:bodyPr/>
        <a:lstStyle/>
        <a:p>
          <a:endParaRPr lang="en-GB"/>
        </a:p>
      </dgm:t>
    </dgm:pt>
    <dgm:pt modelId="{38036FBF-B34A-421F-AB0E-82FC83B1832C}" type="pres">
      <dgm:prSet presAssocID="{4BCD806D-2EA3-454A-BDA0-EBB46524DBD9}" presName="spacerR" presStyleCnt="0"/>
      <dgm:spPr/>
    </dgm:pt>
    <dgm:pt modelId="{6E20F80F-6E98-4B50-8454-6A8CD2DA9A48}" type="pres">
      <dgm:prSet presAssocID="{03937202-531F-43D6-A5BF-3C5A12BC30DB}" presName="node" presStyleLbl="node1" presStyleIdx="2" presStyleCnt="3">
        <dgm:presLayoutVars>
          <dgm:bulletEnabled val="1"/>
        </dgm:presLayoutVars>
      </dgm:prSet>
      <dgm:spPr/>
      <dgm:t>
        <a:bodyPr/>
        <a:lstStyle/>
        <a:p>
          <a:endParaRPr lang="en-GB"/>
        </a:p>
      </dgm:t>
    </dgm:pt>
  </dgm:ptLst>
  <dgm:cxnLst>
    <dgm:cxn modelId="{78B37A73-405C-4D1B-B356-DD1B0DFFE3E5}" type="presOf" srcId="{E3FA6570-65D1-4462-8B24-28E6D8E628C4}" destId="{8CB80A5C-49B1-47CD-9352-B571A03F172B}" srcOrd="0" destOrd="0" presId="urn:microsoft.com/office/officeart/2005/8/layout/equation1"/>
    <dgm:cxn modelId="{F9EF5020-2674-4034-80C9-74BFBD297DC9}" type="presOf" srcId="{97D83612-C687-49E1-9D4D-266CBCA1812C}" destId="{1F3F1BBB-5730-41C6-BB22-A842456F1E4A}" srcOrd="0" destOrd="0" presId="urn:microsoft.com/office/officeart/2005/8/layout/equation1"/>
    <dgm:cxn modelId="{645C0121-3EA4-48C7-8B66-70B43266D281}" type="presOf" srcId="{4BCD806D-2EA3-454A-BDA0-EBB46524DBD9}" destId="{0A82E7AC-E2A5-4DAB-8F99-7BCD13386C0F}" srcOrd="0" destOrd="0" presId="urn:microsoft.com/office/officeart/2005/8/layout/equation1"/>
    <dgm:cxn modelId="{E0659872-FC87-4A05-B028-057B76C2FC53}" srcId="{E50A5AA7-E347-4C3B-8EA1-9200C9AD6B67}" destId="{97D83612-C687-49E1-9D4D-266CBCA1812C}" srcOrd="1" destOrd="0" parTransId="{C56BC865-4957-4DC0-B98C-B09FAEEA2CBB}" sibTransId="{4BCD806D-2EA3-454A-BDA0-EBB46524DBD9}"/>
    <dgm:cxn modelId="{70618DAE-5224-452C-8EDA-54B5A02EE2A2}" type="presOf" srcId="{89073F2D-94BB-465C-B9E8-7383BEC9879E}" destId="{DEFF9521-D057-4784-8AC5-4467222F3A4F}" srcOrd="0" destOrd="0" presId="urn:microsoft.com/office/officeart/2005/8/layout/equation1"/>
    <dgm:cxn modelId="{880D04B5-FAE4-4222-AF07-9ECC436CC1A2}" srcId="{E50A5AA7-E347-4C3B-8EA1-9200C9AD6B67}" destId="{E3FA6570-65D1-4462-8B24-28E6D8E628C4}" srcOrd="0" destOrd="0" parTransId="{DF4722C6-D487-4EA0-9B4D-AE4C6458F795}" sibTransId="{89073F2D-94BB-465C-B9E8-7383BEC9879E}"/>
    <dgm:cxn modelId="{806EAAE3-9908-44BF-9B11-A0260C33A88F}" type="presOf" srcId="{E50A5AA7-E347-4C3B-8EA1-9200C9AD6B67}" destId="{2074FE13-AFFE-4D81-966A-210C28D26480}" srcOrd="0" destOrd="0" presId="urn:microsoft.com/office/officeart/2005/8/layout/equation1"/>
    <dgm:cxn modelId="{2A78BC14-37FA-4B13-AFB9-D41854D89BAD}" type="presOf" srcId="{03937202-531F-43D6-A5BF-3C5A12BC30DB}" destId="{6E20F80F-6E98-4B50-8454-6A8CD2DA9A48}" srcOrd="0" destOrd="0" presId="urn:microsoft.com/office/officeart/2005/8/layout/equation1"/>
    <dgm:cxn modelId="{872F946D-9E9A-4224-898F-5D625527EDA2}" srcId="{E50A5AA7-E347-4C3B-8EA1-9200C9AD6B67}" destId="{03937202-531F-43D6-A5BF-3C5A12BC30DB}" srcOrd="2" destOrd="0" parTransId="{AF467ADA-E188-470A-9EE5-50134DD9AB3B}" sibTransId="{B81A8EC6-D39B-47A8-BD53-52B017D5C9D6}"/>
    <dgm:cxn modelId="{8BACF129-A3E2-439E-81B6-75C04A2A78B3}" type="presParOf" srcId="{2074FE13-AFFE-4D81-966A-210C28D26480}" destId="{8CB80A5C-49B1-47CD-9352-B571A03F172B}" srcOrd="0" destOrd="0" presId="urn:microsoft.com/office/officeart/2005/8/layout/equation1"/>
    <dgm:cxn modelId="{4CAD4FBB-B80C-45A0-A445-6D713F03AE66}" type="presParOf" srcId="{2074FE13-AFFE-4D81-966A-210C28D26480}" destId="{D8078A3B-AB03-4B57-A1C5-31AD2A55A17B}" srcOrd="1" destOrd="0" presId="urn:microsoft.com/office/officeart/2005/8/layout/equation1"/>
    <dgm:cxn modelId="{A7216827-F839-4AA9-8CC3-D0F4BEBF748E}" type="presParOf" srcId="{2074FE13-AFFE-4D81-966A-210C28D26480}" destId="{DEFF9521-D057-4784-8AC5-4467222F3A4F}" srcOrd="2" destOrd="0" presId="urn:microsoft.com/office/officeart/2005/8/layout/equation1"/>
    <dgm:cxn modelId="{E449C7D0-0F47-42FD-B310-A9241C354A86}" type="presParOf" srcId="{2074FE13-AFFE-4D81-966A-210C28D26480}" destId="{4CFBC6D1-5958-4A25-9F28-DD95FBE93F86}" srcOrd="3" destOrd="0" presId="urn:microsoft.com/office/officeart/2005/8/layout/equation1"/>
    <dgm:cxn modelId="{028E9C6C-62B2-424C-8018-80DEE28CDD14}" type="presParOf" srcId="{2074FE13-AFFE-4D81-966A-210C28D26480}" destId="{1F3F1BBB-5730-41C6-BB22-A842456F1E4A}" srcOrd="4" destOrd="0" presId="urn:microsoft.com/office/officeart/2005/8/layout/equation1"/>
    <dgm:cxn modelId="{958B959E-30AF-42AE-93EA-77928D2E79E2}" type="presParOf" srcId="{2074FE13-AFFE-4D81-966A-210C28D26480}" destId="{32896516-A134-4767-A28C-8927055337CD}" srcOrd="5" destOrd="0" presId="urn:microsoft.com/office/officeart/2005/8/layout/equation1"/>
    <dgm:cxn modelId="{5653558B-8E16-42BF-B355-5E9629EEBD09}" type="presParOf" srcId="{2074FE13-AFFE-4D81-966A-210C28D26480}" destId="{0A82E7AC-E2A5-4DAB-8F99-7BCD13386C0F}" srcOrd="6" destOrd="0" presId="urn:microsoft.com/office/officeart/2005/8/layout/equation1"/>
    <dgm:cxn modelId="{2A238EE3-8CA1-4F1D-BEB9-897BE6774D6F}" type="presParOf" srcId="{2074FE13-AFFE-4D81-966A-210C28D26480}" destId="{38036FBF-B34A-421F-AB0E-82FC83B1832C}" srcOrd="7" destOrd="0" presId="urn:microsoft.com/office/officeart/2005/8/layout/equation1"/>
    <dgm:cxn modelId="{3485BF2A-A4A4-41E6-9485-135978133BCE}" type="presParOf" srcId="{2074FE13-AFFE-4D81-966A-210C28D26480}" destId="{6E20F80F-6E98-4B50-8454-6A8CD2DA9A48}" srcOrd="8" destOrd="0" presId="urn:microsoft.com/office/officeart/2005/8/layout/equation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E50A5AA7-E347-4C3B-8EA1-9200C9AD6B67}" type="doc">
      <dgm:prSet loTypeId="urn:microsoft.com/office/officeart/2005/8/layout/equation1" loCatId="relationship" qsTypeId="urn:microsoft.com/office/officeart/2005/8/quickstyle/simple1" qsCatId="simple" csTypeId="urn:microsoft.com/office/officeart/2005/8/colors/accent1_2" csCatId="accent1" phldr="1"/>
      <dgm:spPr/>
    </dgm:pt>
    <dgm:pt modelId="{E3FA6570-65D1-4462-8B24-28E6D8E628C4}">
      <dgm:prSet phldrT="[Text]"/>
      <dgm:spPr/>
      <dgm:t>
        <a:bodyPr/>
        <a:lstStyle/>
        <a:p>
          <a:pPr algn="ctr"/>
          <a:r>
            <a:rPr lang="en-GB"/>
            <a:t>1:1 Time spent with teacher</a:t>
          </a:r>
        </a:p>
      </dgm:t>
    </dgm:pt>
    <dgm:pt modelId="{DF4722C6-D487-4EA0-9B4D-AE4C6458F795}" type="parTrans" cxnId="{880D04B5-FAE4-4222-AF07-9ECC436CC1A2}">
      <dgm:prSet/>
      <dgm:spPr/>
      <dgm:t>
        <a:bodyPr/>
        <a:lstStyle/>
        <a:p>
          <a:pPr algn="ctr"/>
          <a:endParaRPr lang="en-GB"/>
        </a:p>
      </dgm:t>
    </dgm:pt>
    <dgm:pt modelId="{89073F2D-94BB-465C-B9E8-7383BEC9879E}" type="sibTrans" cxnId="{880D04B5-FAE4-4222-AF07-9ECC436CC1A2}">
      <dgm:prSet/>
      <dgm:spPr/>
      <dgm:t>
        <a:bodyPr/>
        <a:lstStyle/>
        <a:p>
          <a:pPr algn="ctr"/>
          <a:endParaRPr lang="en-GB"/>
        </a:p>
      </dgm:t>
    </dgm:pt>
    <dgm:pt modelId="{97D83612-C687-49E1-9D4D-266CBCA1812C}">
      <dgm:prSet phldrT="[Text]"/>
      <dgm:spPr/>
      <dgm:t>
        <a:bodyPr/>
        <a:lstStyle/>
        <a:p>
          <a:pPr algn="ctr"/>
          <a:r>
            <a:rPr lang="en-GB"/>
            <a:t>Fewer classroom disruptions</a:t>
          </a:r>
        </a:p>
      </dgm:t>
    </dgm:pt>
    <dgm:pt modelId="{C56BC865-4957-4DC0-B98C-B09FAEEA2CBB}" type="parTrans" cxnId="{E0659872-FC87-4A05-B028-057B76C2FC53}">
      <dgm:prSet/>
      <dgm:spPr/>
      <dgm:t>
        <a:bodyPr/>
        <a:lstStyle/>
        <a:p>
          <a:pPr algn="ctr"/>
          <a:endParaRPr lang="en-GB"/>
        </a:p>
      </dgm:t>
    </dgm:pt>
    <dgm:pt modelId="{4BCD806D-2EA3-454A-BDA0-EBB46524DBD9}" type="sibTrans" cxnId="{E0659872-FC87-4A05-B028-057B76C2FC53}">
      <dgm:prSet/>
      <dgm:spPr/>
      <dgm:t>
        <a:bodyPr/>
        <a:lstStyle/>
        <a:p>
          <a:pPr algn="ctr"/>
          <a:endParaRPr lang="en-GB"/>
        </a:p>
      </dgm:t>
    </dgm:pt>
    <dgm:pt modelId="{03937202-531F-43D6-A5BF-3C5A12BC30DB}">
      <dgm:prSet phldrT="[Text]"/>
      <dgm:spPr/>
      <dgm:t>
        <a:bodyPr/>
        <a:lstStyle/>
        <a:p>
          <a:pPr algn="ctr"/>
          <a:r>
            <a:rPr lang="en-GB"/>
            <a:t>Better understanding of pupil needs</a:t>
          </a:r>
        </a:p>
      </dgm:t>
    </dgm:pt>
    <dgm:pt modelId="{AF467ADA-E188-470A-9EE5-50134DD9AB3B}" type="parTrans" cxnId="{872F946D-9E9A-4224-898F-5D625527EDA2}">
      <dgm:prSet/>
      <dgm:spPr/>
      <dgm:t>
        <a:bodyPr/>
        <a:lstStyle/>
        <a:p>
          <a:pPr algn="ctr"/>
          <a:endParaRPr lang="en-GB"/>
        </a:p>
      </dgm:t>
    </dgm:pt>
    <dgm:pt modelId="{B81A8EC6-D39B-47A8-BD53-52B017D5C9D6}" type="sibTrans" cxnId="{872F946D-9E9A-4224-898F-5D625527EDA2}">
      <dgm:prSet/>
      <dgm:spPr/>
      <dgm:t>
        <a:bodyPr/>
        <a:lstStyle/>
        <a:p>
          <a:pPr algn="ctr"/>
          <a:endParaRPr lang="en-GB"/>
        </a:p>
      </dgm:t>
    </dgm:pt>
    <dgm:pt modelId="{2074FE13-AFFE-4D81-966A-210C28D26480}" type="pres">
      <dgm:prSet presAssocID="{E50A5AA7-E347-4C3B-8EA1-9200C9AD6B67}" presName="linearFlow" presStyleCnt="0">
        <dgm:presLayoutVars>
          <dgm:dir/>
          <dgm:resizeHandles val="exact"/>
        </dgm:presLayoutVars>
      </dgm:prSet>
      <dgm:spPr/>
    </dgm:pt>
    <dgm:pt modelId="{8CB80A5C-49B1-47CD-9352-B571A03F172B}" type="pres">
      <dgm:prSet presAssocID="{E3FA6570-65D1-4462-8B24-28E6D8E628C4}" presName="node" presStyleLbl="node1" presStyleIdx="0" presStyleCnt="3">
        <dgm:presLayoutVars>
          <dgm:bulletEnabled val="1"/>
        </dgm:presLayoutVars>
      </dgm:prSet>
      <dgm:spPr/>
      <dgm:t>
        <a:bodyPr/>
        <a:lstStyle/>
        <a:p>
          <a:endParaRPr lang="en-GB"/>
        </a:p>
      </dgm:t>
    </dgm:pt>
    <dgm:pt modelId="{D8078A3B-AB03-4B57-A1C5-31AD2A55A17B}" type="pres">
      <dgm:prSet presAssocID="{89073F2D-94BB-465C-B9E8-7383BEC9879E}" presName="spacerL" presStyleCnt="0"/>
      <dgm:spPr/>
    </dgm:pt>
    <dgm:pt modelId="{DEFF9521-D057-4784-8AC5-4467222F3A4F}" type="pres">
      <dgm:prSet presAssocID="{89073F2D-94BB-465C-B9E8-7383BEC9879E}" presName="sibTrans" presStyleLbl="sibTrans2D1" presStyleIdx="0" presStyleCnt="2"/>
      <dgm:spPr/>
      <dgm:t>
        <a:bodyPr/>
        <a:lstStyle/>
        <a:p>
          <a:endParaRPr lang="en-GB"/>
        </a:p>
      </dgm:t>
    </dgm:pt>
    <dgm:pt modelId="{4CFBC6D1-5958-4A25-9F28-DD95FBE93F86}" type="pres">
      <dgm:prSet presAssocID="{89073F2D-94BB-465C-B9E8-7383BEC9879E}" presName="spacerR" presStyleCnt="0"/>
      <dgm:spPr/>
    </dgm:pt>
    <dgm:pt modelId="{1F3F1BBB-5730-41C6-BB22-A842456F1E4A}" type="pres">
      <dgm:prSet presAssocID="{97D83612-C687-49E1-9D4D-266CBCA1812C}" presName="node" presStyleLbl="node1" presStyleIdx="1" presStyleCnt="3" custLinFactNeighborX="-57854" custLinFactNeighborY="-5481">
        <dgm:presLayoutVars>
          <dgm:bulletEnabled val="1"/>
        </dgm:presLayoutVars>
      </dgm:prSet>
      <dgm:spPr/>
      <dgm:t>
        <a:bodyPr/>
        <a:lstStyle/>
        <a:p>
          <a:endParaRPr lang="en-GB"/>
        </a:p>
      </dgm:t>
    </dgm:pt>
    <dgm:pt modelId="{32896516-A134-4767-A28C-8927055337CD}" type="pres">
      <dgm:prSet presAssocID="{4BCD806D-2EA3-454A-BDA0-EBB46524DBD9}" presName="spacerL" presStyleCnt="0"/>
      <dgm:spPr/>
    </dgm:pt>
    <dgm:pt modelId="{0A82E7AC-E2A5-4DAB-8F99-7BCD13386C0F}" type="pres">
      <dgm:prSet presAssocID="{4BCD806D-2EA3-454A-BDA0-EBB46524DBD9}" presName="sibTrans" presStyleLbl="sibTrans2D1" presStyleIdx="1" presStyleCnt="2"/>
      <dgm:spPr/>
      <dgm:t>
        <a:bodyPr/>
        <a:lstStyle/>
        <a:p>
          <a:endParaRPr lang="en-GB"/>
        </a:p>
      </dgm:t>
    </dgm:pt>
    <dgm:pt modelId="{38036FBF-B34A-421F-AB0E-82FC83B1832C}" type="pres">
      <dgm:prSet presAssocID="{4BCD806D-2EA3-454A-BDA0-EBB46524DBD9}" presName="spacerR" presStyleCnt="0"/>
      <dgm:spPr/>
    </dgm:pt>
    <dgm:pt modelId="{6E20F80F-6E98-4B50-8454-6A8CD2DA9A48}" type="pres">
      <dgm:prSet presAssocID="{03937202-531F-43D6-A5BF-3C5A12BC30DB}" presName="node" presStyleLbl="node1" presStyleIdx="2" presStyleCnt="3">
        <dgm:presLayoutVars>
          <dgm:bulletEnabled val="1"/>
        </dgm:presLayoutVars>
      </dgm:prSet>
      <dgm:spPr/>
      <dgm:t>
        <a:bodyPr/>
        <a:lstStyle/>
        <a:p>
          <a:endParaRPr lang="en-GB"/>
        </a:p>
      </dgm:t>
    </dgm:pt>
  </dgm:ptLst>
  <dgm:cxnLst>
    <dgm:cxn modelId="{FE5B1E2F-5132-4E99-B5C8-FB61D1EF12C7}" type="presOf" srcId="{4BCD806D-2EA3-454A-BDA0-EBB46524DBD9}" destId="{0A82E7AC-E2A5-4DAB-8F99-7BCD13386C0F}" srcOrd="0" destOrd="0" presId="urn:microsoft.com/office/officeart/2005/8/layout/equation1"/>
    <dgm:cxn modelId="{431E7F57-30D0-460F-A517-C3235A67D563}" type="presOf" srcId="{E50A5AA7-E347-4C3B-8EA1-9200C9AD6B67}" destId="{2074FE13-AFFE-4D81-966A-210C28D26480}" srcOrd="0" destOrd="0" presId="urn:microsoft.com/office/officeart/2005/8/layout/equation1"/>
    <dgm:cxn modelId="{E0659872-FC87-4A05-B028-057B76C2FC53}" srcId="{E50A5AA7-E347-4C3B-8EA1-9200C9AD6B67}" destId="{97D83612-C687-49E1-9D4D-266CBCA1812C}" srcOrd="1" destOrd="0" parTransId="{C56BC865-4957-4DC0-B98C-B09FAEEA2CBB}" sibTransId="{4BCD806D-2EA3-454A-BDA0-EBB46524DBD9}"/>
    <dgm:cxn modelId="{F99D5142-D81F-4F7B-9309-C32C30BB6C45}" type="presOf" srcId="{03937202-531F-43D6-A5BF-3C5A12BC30DB}" destId="{6E20F80F-6E98-4B50-8454-6A8CD2DA9A48}" srcOrd="0" destOrd="0" presId="urn:microsoft.com/office/officeart/2005/8/layout/equation1"/>
    <dgm:cxn modelId="{BAB4539B-380E-4752-8CC0-5CC9108A1B7C}" type="presOf" srcId="{E3FA6570-65D1-4462-8B24-28E6D8E628C4}" destId="{8CB80A5C-49B1-47CD-9352-B571A03F172B}" srcOrd="0" destOrd="0" presId="urn:microsoft.com/office/officeart/2005/8/layout/equation1"/>
    <dgm:cxn modelId="{880D04B5-FAE4-4222-AF07-9ECC436CC1A2}" srcId="{E50A5AA7-E347-4C3B-8EA1-9200C9AD6B67}" destId="{E3FA6570-65D1-4462-8B24-28E6D8E628C4}" srcOrd="0" destOrd="0" parTransId="{DF4722C6-D487-4EA0-9B4D-AE4C6458F795}" sibTransId="{89073F2D-94BB-465C-B9E8-7383BEC9879E}"/>
    <dgm:cxn modelId="{D77F80CD-F6AD-472F-9A80-C1220C1F0CEA}" type="presOf" srcId="{89073F2D-94BB-465C-B9E8-7383BEC9879E}" destId="{DEFF9521-D057-4784-8AC5-4467222F3A4F}" srcOrd="0" destOrd="0" presId="urn:microsoft.com/office/officeart/2005/8/layout/equation1"/>
    <dgm:cxn modelId="{872F946D-9E9A-4224-898F-5D625527EDA2}" srcId="{E50A5AA7-E347-4C3B-8EA1-9200C9AD6B67}" destId="{03937202-531F-43D6-A5BF-3C5A12BC30DB}" srcOrd="2" destOrd="0" parTransId="{AF467ADA-E188-470A-9EE5-50134DD9AB3B}" sibTransId="{B81A8EC6-D39B-47A8-BD53-52B017D5C9D6}"/>
    <dgm:cxn modelId="{10FDD5D9-FC05-4DF6-ABE4-7E3B766E86A8}" type="presOf" srcId="{97D83612-C687-49E1-9D4D-266CBCA1812C}" destId="{1F3F1BBB-5730-41C6-BB22-A842456F1E4A}" srcOrd="0" destOrd="0" presId="urn:microsoft.com/office/officeart/2005/8/layout/equation1"/>
    <dgm:cxn modelId="{51DC38D6-FACA-423D-BEE6-56A9EB7F50E4}" type="presParOf" srcId="{2074FE13-AFFE-4D81-966A-210C28D26480}" destId="{8CB80A5C-49B1-47CD-9352-B571A03F172B}" srcOrd="0" destOrd="0" presId="urn:microsoft.com/office/officeart/2005/8/layout/equation1"/>
    <dgm:cxn modelId="{4FF80C37-CDEF-44BA-A7CE-779FEA343A8D}" type="presParOf" srcId="{2074FE13-AFFE-4D81-966A-210C28D26480}" destId="{D8078A3B-AB03-4B57-A1C5-31AD2A55A17B}" srcOrd="1" destOrd="0" presId="urn:microsoft.com/office/officeart/2005/8/layout/equation1"/>
    <dgm:cxn modelId="{4AF29944-A0DB-4825-B632-B5EA41256E5E}" type="presParOf" srcId="{2074FE13-AFFE-4D81-966A-210C28D26480}" destId="{DEFF9521-D057-4784-8AC5-4467222F3A4F}" srcOrd="2" destOrd="0" presId="urn:microsoft.com/office/officeart/2005/8/layout/equation1"/>
    <dgm:cxn modelId="{AC2E48D9-0C73-43C8-B98A-3D6BFFE59D71}" type="presParOf" srcId="{2074FE13-AFFE-4D81-966A-210C28D26480}" destId="{4CFBC6D1-5958-4A25-9F28-DD95FBE93F86}" srcOrd="3" destOrd="0" presId="urn:microsoft.com/office/officeart/2005/8/layout/equation1"/>
    <dgm:cxn modelId="{76C6BB15-B9B5-45B4-9B23-92F17B50B8EC}" type="presParOf" srcId="{2074FE13-AFFE-4D81-966A-210C28D26480}" destId="{1F3F1BBB-5730-41C6-BB22-A842456F1E4A}" srcOrd="4" destOrd="0" presId="urn:microsoft.com/office/officeart/2005/8/layout/equation1"/>
    <dgm:cxn modelId="{4C42129D-1025-45B4-B6EC-32A281F07528}" type="presParOf" srcId="{2074FE13-AFFE-4D81-966A-210C28D26480}" destId="{32896516-A134-4767-A28C-8927055337CD}" srcOrd="5" destOrd="0" presId="urn:microsoft.com/office/officeart/2005/8/layout/equation1"/>
    <dgm:cxn modelId="{E35A375F-A29B-435B-BE92-07B5EB29DF66}" type="presParOf" srcId="{2074FE13-AFFE-4D81-966A-210C28D26480}" destId="{0A82E7AC-E2A5-4DAB-8F99-7BCD13386C0F}" srcOrd="6" destOrd="0" presId="urn:microsoft.com/office/officeart/2005/8/layout/equation1"/>
    <dgm:cxn modelId="{E33453AC-5918-4A2F-A715-8AE955AE34C7}" type="presParOf" srcId="{2074FE13-AFFE-4D81-966A-210C28D26480}" destId="{38036FBF-B34A-421F-AB0E-82FC83B1832C}" srcOrd="7" destOrd="0" presId="urn:microsoft.com/office/officeart/2005/8/layout/equation1"/>
    <dgm:cxn modelId="{B3F282D1-2B78-45F1-8C86-3298D3319689}" type="presParOf" srcId="{2074FE13-AFFE-4D81-966A-210C28D26480}" destId="{6E20F80F-6E98-4B50-8454-6A8CD2DA9A48}" srcOrd="8" destOrd="0" presId="urn:microsoft.com/office/officeart/2005/8/layout/equation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D1451CA-81D5-4446-A03F-4C0A18117C9C}"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79E39B91-2310-499A-9043-B97F640E959C}">
      <dgm:prSet phldrT="[Text]"/>
      <dgm:spPr/>
      <dgm:t>
        <a:bodyPr/>
        <a:lstStyle/>
        <a:p>
          <a:r>
            <a:rPr lang="en-GB"/>
            <a:t>Importance of education</a:t>
          </a:r>
        </a:p>
      </dgm:t>
    </dgm:pt>
    <dgm:pt modelId="{EF445DAC-3747-4DBD-BFBA-B2A0BD7EFF38}" type="parTrans" cxnId="{0F5262E3-9B39-451A-AA12-CFB846ACDAAC}">
      <dgm:prSet/>
      <dgm:spPr/>
      <dgm:t>
        <a:bodyPr/>
        <a:lstStyle/>
        <a:p>
          <a:endParaRPr lang="en-GB"/>
        </a:p>
      </dgm:t>
    </dgm:pt>
    <dgm:pt modelId="{66C567AD-2922-4BB5-9EA2-D0C2B4BB0D48}" type="sibTrans" cxnId="{0F5262E3-9B39-451A-AA12-CFB846ACDAAC}">
      <dgm:prSet/>
      <dgm:spPr/>
      <dgm:t>
        <a:bodyPr/>
        <a:lstStyle/>
        <a:p>
          <a:endParaRPr lang="en-GB"/>
        </a:p>
      </dgm:t>
    </dgm:pt>
    <dgm:pt modelId="{B436BD69-85E0-4B7C-BF8D-2D1FFF55A920}">
      <dgm:prSet phldrT="[Text]"/>
      <dgm:spPr/>
      <dgm:t>
        <a:bodyPr/>
        <a:lstStyle/>
        <a:p>
          <a:r>
            <a:rPr lang="en-GB"/>
            <a:t>positive mindset</a:t>
          </a:r>
        </a:p>
      </dgm:t>
    </dgm:pt>
    <dgm:pt modelId="{9F0096BA-776C-47A9-90F6-92F4648B6B94}" type="parTrans" cxnId="{3E5ADB18-03B5-41C6-9889-AD82460152BB}">
      <dgm:prSet/>
      <dgm:spPr/>
      <dgm:t>
        <a:bodyPr/>
        <a:lstStyle/>
        <a:p>
          <a:endParaRPr lang="en-GB"/>
        </a:p>
      </dgm:t>
    </dgm:pt>
    <dgm:pt modelId="{69CE59A1-D46A-4B51-A71B-B844C9A852B7}" type="sibTrans" cxnId="{3E5ADB18-03B5-41C6-9889-AD82460152BB}">
      <dgm:prSet/>
      <dgm:spPr/>
      <dgm:t>
        <a:bodyPr/>
        <a:lstStyle/>
        <a:p>
          <a:endParaRPr lang="en-GB"/>
        </a:p>
      </dgm:t>
    </dgm:pt>
    <dgm:pt modelId="{86EBA51C-45DB-462D-BD80-19081F9AEE08}">
      <dgm:prSet phldrT="[Text]"/>
      <dgm:spPr/>
      <dgm:t>
        <a:bodyPr/>
        <a:lstStyle/>
        <a:p>
          <a:r>
            <a:rPr lang="en-GB"/>
            <a:t>inclusive teachers</a:t>
          </a:r>
        </a:p>
      </dgm:t>
    </dgm:pt>
    <dgm:pt modelId="{D1F897BE-7190-47AE-8EBB-FB18A5BB31D5}" type="parTrans" cxnId="{00D89AA1-43B3-4E32-9FE7-AE13110569B4}">
      <dgm:prSet/>
      <dgm:spPr/>
      <dgm:t>
        <a:bodyPr/>
        <a:lstStyle/>
        <a:p>
          <a:endParaRPr lang="en-GB"/>
        </a:p>
      </dgm:t>
    </dgm:pt>
    <dgm:pt modelId="{F3906CF1-7DAC-4579-820A-8264B365D38F}" type="sibTrans" cxnId="{00D89AA1-43B3-4E32-9FE7-AE13110569B4}">
      <dgm:prSet/>
      <dgm:spPr/>
      <dgm:t>
        <a:bodyPr/>
        <a:lstStyle/>
        <a:p>
          <a:endParaRPr lang="en-GB"/>
        </a:p>
      </dgm:t>
    </dgm:pt>
    <dgm:pt modelId="{7851102C-68B5-4D2C-92B5-1B7EF0B6CC47}">
      <dgm:prSet phldrT="[Text]"/>
      <dgm:spPr/>
      <dgm:t>
        <a:bodyPr/>
        <a:lstStyle/>
        <a:p>
          <a:r>
            <a:rPr lang="en-GB"/>
            <a:t>learning has no age boundaries</a:t>
          </a:r>
        </a:p>
      </dgm:t>
    </dgm:pt>
    <dgm:pt modelId="{A8CE815D-5A1E-4049-A702-40C8BE6513E2}" type="parTrans" cxnId="{F87F3FFF-7D4E-4FCC-BC11-7AB386B540E6}">
      <dgm:prSet/>
      <dgm:spPr/>
      <dgm:t>
        <a:bodyPr/>
        <a:lstStyle/>
        <a:p>
          <a:endParaRPr lang="en-GB"/>
        </a:p>
      </dgm:t>
    </dgm:pt>
    <dgm:pt modelId="{5460BC7A-5150-472F-B7C9-DB7628984015}" type="sibTrans" cxnId="{F87F3FFF-7D4E-4FCC-BC11-7AB386B540E6}">
      <dgm:prSet/>
      <dgm:spPr/>
      <dgm:t>
        <a:bodyPr/>
        <a:lstStyle/>
        <a:p>
          <a:endParaRPr lang="en-GB"/>
        </a:p>
      </dgm:t>
    </dgm:pt>
    <dgm:pt modelId="{0A088DE1-F9B3-4E8B-A9D2-C65B7BBF2E78}">
      <dgm:prSet phldrT="[Text]"/>
      <dgm:spPr/>
      <dgm:t>
        <a:bodyPr/>
        <a:lstStyle/>
        <a:p>
          <a:r>
            <a:rPr lang="en-GB"/>
            <a:t>sharing same learning beliefs</a:t>
          </a:r>
        </a:p>
      </dgm:t>
    </dgm:pt>
    <dgm:pt modelId="{18EFF717-BAD3-4683-A12E-83B4D15A6217}" type="parTrans" cxnId="{D7F881CE-71F5-45AF-A9E1-0DB07461A5B1}">
      <dgm:prSet/>
      <dgm:spPr/>
      <dgm:t>
        <a:bodyPr/>
        <a:lstStyle/>
        <a:p>
          <a:endParaRPr lang="en-GB"/>
        </a:p>
      </dgm:t>
    </dgm:pt>
    <dgm:pt modelId="{282779EA-0AE1-47A4-A570-7E5ABD014E68}" type="sibTrans" cxnId="{D7F881CE-71F5-45AF-A9E1-0DB07461A5B1}">
      <dgm:prSet/>
      <dgm:spPr/>
      <dgm:t>
        <a:bodyPr/>
        <a:lstStyle/>
        <a:p>
          <a:endParaRPr lang="en-GB"/>
        </a:p>
      </dgm:t>
    </dgm:pt>
    <dgm:pt modelId="{E7B600CB-0C4F-466D-8B77-1A04C9008509}" type="pres">
      <dgm:prSet presAssocID="{3D1451CA-81D5-4446-A03F-4C0A18117C9C}" presName="Name0" presStyleCnt="0">
        <dgm:presLayoutVars>
          <dgm:chMax val="1"/>
          <dgm:dir/>
          <dgm:animLvl val="ctr"/>
          <dgm:resizeHandles val="exact"/>
        </dgm:presLayoutVars>
      </dgm:prSet>
      <dgm:spPr/>
      <dgm:t>
        <a:bodyPr/>
        <a:lstStyle/>
        <a:p>
          <a:endParaRPr lang="en-GB"/>
        </a:p>
      </dgm:t>
    </dgm:pt>
    <dgm:pt modelId="{AF6C0866-30D9-4D38-99E5-6FEB878C015B}" type="pres">
      <dgm:prSet presAssocID="{79E39B91-2310-499A-9043-B97F640E959C}" presName="centerShape" presStyleLbl="node0" presStyleIdx="0" presStyleCnt="1"/>
      <dgm:spPr/>
      <dgm:t>
        <a:bodyPr/>
        <a:lstStyle/>
        <a:p>
          <a:endParaRPr lang="en-GB"/>
        </a:p>
      </dgm:t>
    </dgm:pt>
    <dgm:pt modelId="{30413029-E3F0-456B-91E8-417DA319C5FE}" type="pres">
      <dgm:prSet presAssocID="{B436BD69-85E0-4B7C-BF8D-2D1FFF55A920}" presName="node" presStyleLbl="node1" presStyleIdx="0" presStyleCnt="4">
        <dgm:presLayoutVars>
          <dgm:bulletEnabled val="1"/>
        </dgm:presLayoutVars>
      </dgm:prSet>
      <dgm:spPr/>
      <dgm:t>
        <a:bodyPr/>
        <a:lstStyle/>
        <a:p>
          <a:endParaRPr lang="en-GB"/>
        </a:p>
      </dgm:t>
    </dgm:pt>
    <dgm:pt modelId="{4D05DAB3-ED84-40AA-9161-D2DA7F45E6AE}" type="pres">
      <dgm:prSet presAssocID="{B436BD69-85E0-4B7C-BF8D-2D1FFF55A920}" presName="dummy" presStyleCnt="0"/>
      <dgm:spPr/>
    </dgm:pt>
    <dgm:pt modelId="{70684176-D86F-428C-88B4-2E87F5F2061A}" type="pres">
      <dgm:prSet presAssocID="{69CE59A1-D46A-4B51-A71B-B844C9A852B7}" presName="sibTrans" presStyleLbl="sibTrans2D1" presStyleIdx="0" presStyleCnt="4"/>
      <dgm:spPr/>
      <dgm:t>
        <a:bodyPr/>
        <a:lstStyle/>
        <a:p>
          <a:endParaRPr lang="en-GB"/>
        </a:p>
      </dgm:t>
    </dgm:pt>
    <dgm:pt modelId="{51C69064-223A-4906-9CF9-38000250E6C3}" type="pres">
      <dgm:prSet presAssocID="{86EBA51C-45DB-462D-BD80-19081F9AEE08}" presName="node" presStyleLbl="node1" presStyleIdx="1" presStyleCnt="4">
        <dgm:presLayoutVars>
          <dgm:bulletEnabled val="1"/>
        </dgm:presLayoutVars>
      </dgm:prSet>
      <dgm:spPr/>
      <dgm:t>
        <a:bodyPr/>
        <a:lstStyle/>
        <a:p>
          <a:endParaRPr lang="en-GB"/>
        </a:p>
      </dgm:t>
    </dgm:pt>
    <dgm:pt modelId="{275B15E7-2A4A-4270-9DDB-3CF85F83319D}" type="pres">
      <dgm:prSet presAssocID="{86EBA51C-45DB-462D-BD80-19081F9AEE08}" presName="dummy" presStyleCnt="0"/>
      <dgm:spPr/>
    </dgm:pt>
    <dgm:pt modelId="{5C297123-7851-4EEE-94A4-27EB7812F42A}" type="pres">
      <dgm:prSet presAssocID="{F3906CF1-7DAC-4579-820A-8264B365D38F}" presName="sibTrans" presStyleLbl="sibTrans2D1" presStyleIdx="1" presStyleCnt="4"/>
      <dgm:spPr/>
      <dgm:t>
        <a:bodyPr/>
        <a:lstStyle/>
        <a:p>
          <a:endParaRPr lang="en-GB"/>
        </a:p>
      </dgm:t>
    </dgm:pt>
    <dgm:pt modelId="{C716D51F-DF60-443B-83A0-A5375F5A9B14}" type="pres">
      <dgm:prSet presAssocID="{7851102C-68B5-4D2C-92B5-1B7EF0B6CC47}" presName="node" presStyleLbl="node1" presStyleIdx="2" presStyleCnt="4">
        <dgm:presLayoutVars>
          <dgm:bulletEnabled val="1"/>
        </dgm:presLayoutVars>
      </dgm:prSet>
      <dgm:spPr/>
      <dgm:t>
        <a:bodyPr/>
        <a:lstStyle/>
        <a:p>
          <a:endParaRPr lang="en-GB"/>
        </a:p>
      </dgm:t>
    </dgm:pt>
    <dgm:pt modelId="{076487BB-06FF-4369-BB2F-9621CCEBBDE8}" type="pres">
      <dgm:prSet presAssocID="{7851102C-68B5-4D2C-92B5-1B7EF0B6CC47}" presName="dummy" presStyleCnt="0"/>
      <dgm:spPr/>
    </dgm:pt>
    <dgm:pt modelId="{F65DB194-64C8-4885-9C3C-B4D9AFC11737}" type="pres">
      <dgm:prSet presAssocID="{5460BC7A-5150-472F-B7C9-DB7628984015}" presName="sibTrans" presStyleLbl="sibTrans2D1" presStyleIdx="2" presStyleCnt="4"/>
      <dgm:spPr/>
      <dgm:t>
        <a:bodyPr/>
        <a:lstStyle/>
        <a:p>
          <a:endParaRPr lang="en-GB"/>
        </a:p>
      </dgm:t>
    </dgm:pt>
    <dgm:pt modelId="{2E6E16D8-D72C-487C-AB0F-9B9BE7A48E3C}" type="pres">
      <dgm:prSet presAssocID="{0A088DE1-F9B3-4E8B-A9D2-C65B7BBF2E78}" presName="node" presStyleLbl="node1" presStyleIdx="3" presStyleCnt="4">
        <dgm:presLayoutVars>
          <dgm:bulletEnabled val="1"/>
        </dgm:presLayoutVars>
      </dgm:prSet>
      <dgm:spPr/>
      <dgm:t>
        <a:bodyPr/>
        <a:lstStyle/>
        <a:p>
          <a:endParaRPr lang="en-GB"/>
        </a:p>
      </dgm:t>
    </dgm:pt>
    <dgm:pt modelId="{D6CBC9FD-52EA-435B-95F9-82E9FA4AB824}" type="pres">
      <dgm:prSet presAssocID="{0A088DE1-F9B3-4E8B-A9D2-C65B7BBF2E78}" presName="dummy" presStyleCnt="0"/>
      <dgm:spPr/>
    </dgm:pt>
    <dgm:pt modelId="{9EE9ECA9-3E22-4A44-BC9E-6CF05BD5D6CD}" type="pres">
      <dgm:prSet presAssocID="{282779EA-0AE1-47A4-A570-7E5ABD014E68}" presName="sibTrans" presStyleLbl="sibTrans2D1" presStyleIdx="3" presStyleCnt="4"/>
      <dgm:spPr/>
      <dgm:t>
        <a:bodyPr/>
        <a:lstStyle/>
        <a:p>
          <a:endParaRPr lang="en-GB"/>
        </a:p>
      </dgm:t>
    </dgm:pt>
  </dgm:ptLst>
  <dgm:cxnLst>
    <dgm:cxn modelId="{283B1E12-8B12-4CBD-ABB4-8D0ADE9B62E7}" type="presOf" srcId="{69CE59A1-D46A-4B51-A71B-B844C9A852B7}" destId="{70684176-D86F-428C-88B4-2E87F5F2061A}" srcOrd="0" destOrd="0" presId="urn:microsoft.com/office/officeart/2005/8/layout/radial6"/>
    <dgm:cxn modelId="{37626EB9-2122-4CA8-8F3A-7BA045816B4F}" type="presOf" srcId="{7851102C-68B5-4D2C-92B5-1B7EF0B6CC47}" destId="{C716D51F-DF60-443B-83A0-A5375F5A9B14}" srcOrd="0" destOrd="0" presId="urn:microsoft.com/office/officeart/2005/8/layout/radial6"/>
    <dgm:cxn modelId="{167A49B6-6B46-4A6A-BFC2-F23F961F11C7}" type="presOf" srcId="{79E39B91-2310-499A-9043-B97F640E959C}" destId="{AF6C0866-30D9-4D38-99E5-6FEB878C015B}" srcOrd="0" destOrd="0" presId="urn:microsoft.com/office/officeart/2005/8/layout/radial6"/>
    <dgm:cxn modelId="{3E5ADB18-03B5-41C6-9889-AD82460152BB}" srcId="{79E39B91-2310-499A-9043-B97F640E959C}" destId="{B436BD69-85E0-4B7C-BF8D-2D1FFF55A920}" srcOrd="0" destOrd="0" parTransId="{9F0096BA-776C-47A9-90F6-92F4648B6B94}" sibTransId="{69CE59A1-D46A-4B51-A71B-B844C9A852B7}"/>
    <dgm:cxn modelId="{59870871-6F37-435B-9DE8-FA78AAE837B1}" type="presOf" srcId="{282779EA-0AE1-47A4-A570-7E5ABD014E68}" destId="{9EE9ECA9-3E22-4A44-BC9E-6CF05BD5D6CD}" srcOrd="0" destOrd="0" presId="urn:microsoft.com/office/officeart/2005/8/layout/radial6"/>
    <dgm:cxn modelId="{28D27196-C494-41C6-A463-8CF801F547B5}" type="presOf" srcId="{5460BC7A-5150-472F-B7C9-DB7628984015}" destId="{F65DB194-64C8-4885-9C3C-B4D9AFC11737}" srcOrd="0" destOrd="0" presId="urn:microsoft.com/office/officeart/2005/8/layout/radial6"/>
    <dgm:cxn modelId="{90BDE000-8B11-4F04-AAA4-D864ABF21596}" type="presOf" srcId="{3D1451CA-81D5-4446-A03F-4C0A18117C9C}" destId="{E7B600CB-0C4F-466D-8B77-1A04C9008509}" srcOrd="0" destOrd="0" presId="urn:microsoft.com/office/officeart/2005/8/layout/radial6"/>
    <dgm:cxn modelId="{29954D22-E52D-4958-8FBE-4639A170075B}" type="presOf" srcId="{F3906CF1-7DAC-4579-820A-8264B365D38F}" destId="{5C297123-7851-4EEE-94A4-27EB7812F42A}" srcOrd="0" destOrd="0" presId="urn:microsoft.com/office/officeart/2005/8/layout/radial6"/>
    <dgm:cxn modelId="{D4A2F562-266E-4F52-A03A-1987F4E532B5}" type="presOf" srcId="{0A088DE1-F9B3-4E8B-A9D2-C65B7BBF2E78}" destId="{2E6E16D8-D72C-487C-AB0F-9B9BE7A48E3C}" srcOrd="0" destOrd="0" presId="urn:microsoft.com/office/officeart/2005/8/layout/radial6"/>
    <dgm:cxn modelId="{2329965F-DDF3-4592-A540-BE704E03794B}" type="presOf" srcId="{86EBA51C-45DB-462D-BD80-19081F9AEE08}" destId="{51C69064-223A-4906-9CF9-38000250E6C3}" srcOrd="0" destOrd="0" presId="urn:microsoft.com/office/officeart/2005/8/layout/radial6"/>
    <dgm:cxn modelId="{0F5262E3-9B39-451A-AA12-CFB846ACDAAC}" srcId="{3D1451CA-81D5-4446-A03F-4C0A18117C9C}" destId="{79E39B91-2310-499A-9043-B97F640E959C}" srcOrd="0" destOrd="0" parTransId="{EF445DAC-3747-4DBD-BFBA-B2A0BD7EFF38}" sibTransId="{66C567AD-2922-4BB5-9EA2-D0C2B4BB0D48}"/>
    <dgm:cxn modelId="{32B38742-5149-48FD-A372-201420BF5D59}" type="presOf" srcId="{B436BD69-85E0-4B7C-BF8D-2D1FFF55A920}" destId="{30413029-E3F0-456B-91E8-417DA319C5FE}" srcOrd="0" destOrd="0" presId="urn:microsoft.com/office/officeart/2005/8/layout/radial6"/>
    <dgm:cxn modelId="{00D89AA1-43B3-4E32-9FE7-AE13110569B4}" srcId="{79E39B91-2310-499A-9043-B97F640E959C}" destId="{86EBA51C-45DB-462D-BD80-19081F9AEE08}" srcOrd="1" destOrd="0" parTransId="{D1F897BE-7190-47AE-8EBB-FB18A5BB31D5}" sibTransId="{F3906CF1-7DAC-4579-820A-8264B365D38F}"/>
    <dgm:cxn modelId="{F87F3FFF-7D4E-4FCC-BC11-7AB386B540E6}" srcId="{79E39B91-2310-499A-9043-B97F640E959C}" destId="{7851102C-68B5-4D2C-92B5-1B7EF0B6CC47}" srcOrd="2" destOrd="0" parTransId="{A8CE815D-5A1E-4049-A702-40C8BE6513E2}" sibTransId="{5460BC7A-5150-472F-B7C9-DB7628984015}"/>
    <dgm:cxn modelId="{D7F881CE-71F5-45AF-A9E1-0DB07461A5B1}" srcId="{79E39B91-2310-499A-9043-B97F640E959C}" destId="{0A088DE1-F9B3-4E8B-A9D2-C65B7BBF2E78}" srcOrd="3" destOrd="0" parTransId="{18EFF717-BAD3-4683-A12E-83B4D15A6217}" sibTransId="{282779EA-0AE1-47A4-A570-7E5ABD014E68}"/>
    <dgm:cxn modelId="{17E98449-C774-46E4-8EA1-C8C83ED6D482}" type="presParOf" srcId="{E7B600CB-0C4F-466D-8B77-1A04C9008509}" destId="{AF6C0866-30D9-4D38-99E5-6FEB878C015B}" srcOrd="0" destOrd="0" presId="urn:microsoft.com/office/officeart/2005/8/layout/radial6"/>
    <dgm:cxn modelId="{8B4D3D61-DF9E-43B3-81CD-8903369ACD7D}" type="presParOf" srcId="{E7B600CB-0C4F-466D-8B77-1A04C9008509}" destId="{30413029-E3F0-456B-91E8-417DA319C5FE}" srcOrd="1" destOrd="0" presId="urn:microsoft.com/office/officeart/2005/8/layout/radial6"/>
    <dgm:cxn modelId="{34F3A752-6567-455A-B995-A56F6537B213}" type="presParOf" srcId="{E7B600CB-0C4F-466D-8B77-1A04C9008509}" destId="{4D05DAB3-ED84-40AA-9161-D2DA7F45E6AE}" srcOrd="2" destOrd="0" presId="urn:microsoft.com/office/officeart/2005/8/layout/radial6"/>
    <dgm:cxn modelId="{D2811A95-B4EA-45DF-9E5F-587AE01B7C0D}" type="presParOf" srcId="{E7B600CB-0C4F-466D-8B77-1A04C9008509}" destId="{70684176-D86F-428C-88B4-2E87F5F2061A}" srcOrd="3" destOrd="0" presId="urn:microsoft.com/office/officeart/2005/8/layout/radial6"/>
    <dgm:cxn modelId="{44ECCCCF-BA5F-4828-B628-A55C424DCD03}" type="presParOf" srcId="{E7B600CB-0C4F-466D-8B77-1A04C9008509}" destId="{51C69064-223A-4906-9CF9-38000250E6C3}" srcOrd="4" destOrd="0" presId="urn:microsoft.com/office/officeart/2005/8/layout/radial6"/>
    <dgm:cxn modelId="{FEB5FB79-A109-4167-9F1C-2C29FE661C3D}" type="presParOf" srcId="{E7B600CB-0C4F-466D-8B77-1A04C9008509}" destId="{275B15E7-2A4A-4270-9DDB-3CF85F83319D}" srcOrd="5" destOrd="0" presId="urn:microsoft.com/office/officeart/2005/8/layout/radial6"/>
    <dgm:cxn modelId="{EA2733B8-957C-4D47-BB6F-FAB20F27D076}" type="presParOf" srcId="{E7B600CB-0C4F-466D-8B77-1A04C9008509}" destId="{5C297123-7851-4EEE-94A4-27EB7812F42A}" srcOrd="6" destOrd="0" presId="urn:microsoft.com/office/officeart/2005/8/layout/radial6"/>
    <dgm:cxn modelId="{53FB5CB9-6254-4955-9D1A-55C5E93F365A}" type="presParOf" srcId="{E7B600CB-0C4F-466D-8B77-1A04C9008509}" destId="{C716D51F-DF60-443B-83A0-A5375F5A9B14}" srcOrd="7" destOrd="0" presId="urn:microsoft.com/office/officeart/2005/8/layout/radial6"/>
    <dgm:cxn modelId="{29EE7A26-FD54-400C-9272-07ECDA7920F7}" type="presParOf" srcId="{E7B600CB-0C4F-466D-8B77-1A04C9008509}" destId="{076487BB-06FF-4369-BB2F-9621CCEBBDE8}" srcOrd="8" destOrd="0" presId="urn:microsoft.com/office/officeart/2005/8/layout/radial6"/>
    <dgm:cxn modelId="{F5509147-F94F-45B0-8C1E-C4BC5B741BBA}" type="presParOf" srcId="{E7B600CB-0C4F-466D-8B77-1A04C9008509}" destId="{F65DB194-64C8-4885-9C3C-B4D9AFC11737}" srcOrd="9" destOrd="0" presId="urn:microsoft.com/office/officeart/2005/8/layout/radial6"/>
    <dgm:cxn modelId="{DCB5A7AD-DF89-43B7-9A15-5D7EE0626D9E}" type="presParOf" srcId="{E7B600CB-0C4F-466D-8B77-1A04C9008509}" destId="{2E6E16D8-D72C-487C-AB0F-9B9BE7A48E3C}" srcOrd="10" destOrd="0" presId="urn:microsoft.com/office/officeart/2005/8/layout/radial6"/>
    <dgm:cxn modelId="{C9D77FF6-F925-4547-BB55-12E057DB6D58}" type="presParOf" srcId="{E7B600CB-0C4F-466D-8B77-1A04C9008509}" destId="{D6CBC9FD-52EA-435B-95F9-82E9FA4AB824}" srcOrd="11" destOrd="0" presId="urn:microsoft.com/office/officeart/2005/8/layout/radial6"/>
    <dgm:cxn modelId="{BCC9AD25-37BC-484A-9462-DDB0288273F3}" type="presParOf" srcId="{E7B600CB-0C4F-466D-8B77-1A04C9008509}" destId="{9EE9ECA9-3E22-4A44-BC9E-6CF05BD5D6CD}" srcOrd="12" destOrd="0" presId="urn:microsoft.com/office/officeart/2005/8/layout/radial6"/>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E461587B-DFDD-4100-A346-17FA636F2841}"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5C492F6E-6C28-4B76-AD0E-27637C9E3FCC}">
      <dgm:prSet phldrT="[Text]"/>
      <dgm:spPr/>
      <dgm:t>
        <a:bodyPr/>
        <a:lstStyle/>
        <a:p>
          <a:r>
            <a:rPr lang="en-GB"/>
            <a:t>Important attributes </a:t>
          </a:r>
        </a:p>
      </dgm:t>
    </dgm:pt>
    <dgm:pt modelId="{E535B700-1E23-4A85-9834-2A2E6EF7177C}" type="parTrans" cxnId="{F1A581EC-B912-46A3-9088-CC9326F60D14}">
      <dgm:prSet/>
      <dgm:spPr/>
      <dgm:t>
        <a:bodyPr/>
        <a:lstStyle/>
        <a:p>
          <a:endParaRPr lang="en-GB"/>
        </a:p>
      </dgm:t>
    </dgm:pt>
    <dgm:pt modelId="{3FE0DD35-929E-4DB2-B96C-D5AA469F93CF}" type="sibTrans" cxnId="{F1A581EC-B912-46A3-9088-CC9326F60D14}">
      <dgm:prSet/>
      <dgm:spPr/>
      <dgm:t>
        <a:bodyPr/>
        <a:lstStyle/>
        <a:p>
          <a:endParaRPr lang="en-GB"/>
        </a:p>
      </dgm:t>
    </dgm:pt>
    <dgm:pt modelId="{712C2D03-5FFC-4F90-9747-87BE5993BCD0}">
      <dgm:prSet phldrT="[Text]"/>
      <dgm:spPr/>
      <dgm:t>
        <a:bodyPr/>
        <a:lstStyle/>
        <a:p>
          <a:r>
            <a:rPr lang="en-GB"/>
            <a:t>Positive attitude</a:t>
          </a:r>
        </a:p>
      </dgm:t>
    </dgm:pt>
    <dgm:pt modelId="{950E0AEC-51F7-4F54-A389-AE583B8CF613}" type="parTrans" cxnId="{E2181222-70AC-48EA-9537-BFF564227344}">
      <dgm:prSet/>
      <dgm:spPr/>
      <dgm:t>
        <a:bodyPr/>
        <a:lstStyle/>
        <a:p>
          <a:endParaRPr lang="en-GB"/>
        </a:p>
      </dgm:t>
    </dgm:pt>
    <dgm:pt modelId="{99616E98-DEC3-4A86-883F-1FB1556B4B57}" type="sibTrans" cxnId="{E2181222-70AC-48EA-9537-BFF564227344}">
      <dgm:prSet/>
      <dgm:spPr/>
      <dgm:t>
        <a:bodyPr/>
        <a:lstStyle/>
        <a:p>
          <a:endParaRPr lang="en-GB"/>
        </a:p>
      </dgm:t>
    </dgm:pt>
    <dgm:pt modelId="{5BFE66F3-F539-44F3-BA5E-9F757D9588A0}">
      <dgm:prSet phldrT="[Text]"/>
      <dgm:spPr/>
      <dgm:t>
        <a:bodyPr/>
        <a:lstStyle/>
        <a:p>
          <a:r>
            <a:rPr lang="en-GB"/>
            <a:t>Team player</a:t>
          </a:r>
        </a:p>
      </dgm:t>
    </dgm:pt>
    <dgm:pt modelId="{63D25FC5-9FF8-445B-827D-B8F90145182A}" type="parTrans" cxnId="{D054B716-75B1-486C-8245-5B5AB41A5E84}">
      <dgm:prSet/>
      <dgm:spPr/>
      <dgm:t>
        <a:bodyPr/>
        <a:lstStyle/>
        <a:p>
          <a:endParaRPr lang="en-GB"/>
        </a:p>
      </dgm:t>
    </dgm:pt>
    <dgm:pt modelId="{C4F2C189-AB19-4B97-A532-A8E25BF65FEC}" type="sibTrans" cxnId="{D054B716-75B1-486C-8245-5B5AB41A5E84}">
      <dgm:prSet/>
      <dgm:spPr/>
      <dgm:t>
        <a:bodyPr/>
        <a:lstStyle/>
        <a:p>
          <a:endParaRPr lang="en-GB"/>
        </a:p>
      </dgm:t>
    </dgm:pt>
    <dgm:pt modelId="{54E8DC90-30B8-48EC-BF27-AF0FF320B25D}">
      <dgm:prSet phldrT="[Text]"/>
      <dgm:spPr/>
      <dgm:t>
        <a:bodyPr/>
        <a:lstStyle/>
        <a:p>
          <a:r>
            <a:rPr lang="en-GB"/>
            <a:t>To be a good leader</a:t>
          </a:r>
        </a:p>
      </dgm:t>
    </dgm:pt>
    <dgm:pt modelId="{D0587B47-E243-4AD6-81CD-3522DE6FE042}" type="parTrans" cxnId="{93FE5316-C003-4DC7-B13E-9C31BE7FDB3C}">
      <dgm:prSet/>
      <dgm:spPr/>
      <dgm:t>
        <a:bodyPr/>
        <a:lstStyle/>
        <a:p>
          <a:endParaRPr lang="en-GB"/>
        </a:p>
      </dgm:t>
    </dgm:pt>
    <dgm:pt modelId="{A30FB251-68F3-49EC-A6A6-C9C3C3688B66}" type="sibTrans" cxnId="{93FE5316-C003-4DC7-B13E-9C31BE7FDB3C}">
      <dgm:prSet/>
      <dgm:spPr/>
      <dgm:t>
        <a:bodyPr/>
        <a:lstStyle/>
        <a:p>
          <a:endParaRPr lang="en-GB"/>
        </a:p>
      </dgm:t>
    </dgm:pt>
    <dgm:pt modelId="{21974161-9B03-4494-B58F-CC0131F5EC5D}">
      <dgm:prSet phldrT="[Text]"/>
      <dgm:spPr/>
      <dgm:t>
        <a:bodyPr/>
        <a:lstStyle/>
        <a:p>
          <a:r>
            <a:rPr lang="en-GB"/>
            <a:t>To show initiative</a:t>
          </a:r>
        </a:p>
      </dgm:t>
    </dgm:pt>
    <dgm:pt modelId="{C8727A1F-946F-4FC7-84E7-F648868E2B41}" type="parTrans" cxnId="{7A1A0C74-33C8-4D59-BB8C-CECB4334D368}">
      <dgm:prSet/>
      <dgm:spPr/>
      <dgm:t>
        <a:bodyPr/>
        <a:lstStyle/>
        <a:p>
          <a:endParaRPr lang="en-GB"/>
        </a:p>
      </dgm:t>
    </dgm:pt>
    <dgm:pt modelId="{CDBED8D3-BF9C-49DD-998E-CD5B28EF14C8}" type="sibTrans" cxnId="{7A1A0C74-33C8-4D59-BB8C-CECB4334D368}">
      <dgm:prSet/>
      <dgm:spPr/>
      <dgm:t>
        <a:bodyPr/>
        <a:lstStyle/>
        <a:p>
          <a:endParaRPr lang="en-GB"/>
        </a:p>
      </dgm:t>
    </dgm:pt>
    <dgm:pt modelId="{CBE7BA17-CAC0-40EF-A1B3-D32C8A31AFBD}" type="pres">
      <dgm:prSet presAssocID="{E461587B-DFDD-4100-A346-17FA636F2841}" presName="diagram" presStyleCnt="0">
        <dgm:presLayoutVars>
          <dgm:chMax val="1"/>
          <dgm:dir/>
          <dgm:animLvl val="ctr"/>
          <dgm:resizeHandles val="exact"/>
        </dgm:presLayoutVars>
      </dgm:prSet>
      <dgm:spPr/>
      <dgm:t>
        <a:bodyPr/>
        <a:lstStyle/>
        <a:p>
          <a:endParaRPr lang="en-GB"/>
        </a:p>
      </dgm:t>
    </dgm:pt>
    <dgm:pt modelId="{937898EA-8E35-42F3-954A-803D26352690}" type="pres">
      <dgm:prSet presAssocID="{E461587B-DFDD-4100-A346-17FA636F2841}" presName="matrix" presStyleCnt="0"/>
      <dgm:spPr/>
    </dgm:pt>
    <dgm:pt modelId="{1BEA0ED2-AD06-4C38-9B19-794554D1328B}" type="pres">
      <dgm:prSet presAssocID="{E461587B-DFDD-4100-A346-17FA636F2841}" presName="tile1" presStyleLbl="node1" presStyleIdx="0" presStyleCnt="4" custLinFactNeighborX="-303" custLinFactNeighborY="-601"/>
      <dgm:spPr/>
      <dgm:t>
        <a:bodyPr/>
        <a:lstStyle/>
        <a:p>
          <a:endParaRPr lang="en-GB"/>
        </a:p>
      </dgm:t>
    </dgm:pt>
    <dgm:pt modelId="{245810B4-8CFA-434D-8C12-5A94C77D4857}" type="pres">
      <dgm:prSet presAssocID="{E461587B-DFDD-4100-A346-17FA636F2841}" presName="tile1text" presStyleLbl="node1" presStyleIdx="0" presStyleCnt="4">
        <dgm:presLayoutVars>
          <dgm:chMax val="0"/>
          <dgm:chPref val="0"/>
          <dgm:bulletEnabled val="1"/>
        </dgm:presLayoutVars>
      </dgm:prSet>
      <dgm:spPr/>
      <dgm:t>
        <a:bodyPr/>
        <a:lstStyle/>
        <a:p>
          <a:endParaRPr lang="en-GB"/>
        </a:p>
      </dgm:t>
    </dgm:pt>
    <dgm:pt modelId="{BDCA6ED4-76C7-4A8B-AB34-3BC4B22DDB81}" type="pres">
      <dgm:prSet presAssocID="{E461587B-DFDD-4100-A346-17FA636F2841}" presName="tile2" presStyleLbl="node1" presStyleIdx="1" presStyleCnt="4" custLinFactNeighborY="-1201"/>
      <dgm:spPr/>
      <dgm:t>
        <a:bodyPr/>
        <a:lstStyle/>
        <a:p>
          <a:endParaRPr lang="en-GB"/>
        </a:p>
      </dgm:t>
    </dgm:pt>
    <dgm:pt modelId="{98DDFA0A-C29D-4150-98B0-1DBCFCFB9B1F}" type="pres">
      <dgm:prSet presAssocID="{E461587B-DFDD-4100-A346-17FA636F2841}" presName="tile2text" presStyleLbl="node1" presStyleIdx="1" presStyleCnt="4">
        <dgm:presLayoutVars>
          <dgm:chMax val="0"/>
          <dgm:chPref val="0"/>
          <dgm:bulletEnabled val="1"/>
        </dgm:presLayoutVars>
      </dgm:prSet>
      <dgm:spPr/>
      <dgm:t>
        <a:bodyPr/>
        <a:lstStyle/>
        <a:p>
          <a:endParaRPr lang="en-GB"/>
        </a:p>
      </dgm:t>
    </dgm:pt>
    <dgm:pt modelId="{9F78F2F2-E1FB-45B7-A8B0-5669BE68BBE9}" type="pres">
      <dgm:prSet presAssocID="{E461587B-DFDD-4100-A346-17FA636F2841}" presName="tile3" presStyleLbl="node1" presStyleIdx="2" presStyleCnt="4"/>
      <dgm:spPr/>
      <dgm:t>
        <a:bodyPr/>
        <a:lstStyle/>
        <a:p>
          <a:endParaRPr lang="en-GB"/>
        </a:p>
      </dgm:t>
    </dgm:pt>
    <dgm:pt modelId="{89C130D7-7010-4978-88C3-30A1D94FC770}" type="pres">
      <dgm:prSet presAssocID="{E461587B-DFDD-4100-A346-17FA636F2841}" presName="tile3text" presStyleLbl="node1" presStyleIdx="2" presStyleCnt="4">
        <dgm:presLayoutVars>
          <dgm:chMax val="0"/>
          <dgm:chPref val="0"/>
          <dgm:bulletEnabled val="1"/>
        </dgm:presLayoutVars>
      </dgm:prSet>
      <dgm:spPr/>
      <dgm:t>
        <a:bodyPr/>
        <a:lstStyle/>
        <a:p>
          <a:endParaRPr lang="en-GB"/>
        </a:p>
      </dgm:t>
    </dgm:pt>
    <dgm:pt modelId="{ABE988D2-3E7B-454A-919C-1F9F05C99719}" type="pres">
      <dgm:prSet presAssocID="{E461587B-DFDD-4100-A346-17FA636F2841}" presName="tile4" presStyleLbl="node1" presStyleIdx="3" presStyleCnt="4" custLinFactNeighborX="0" custLinFactNeighborY="1802"/>
      <dgm:spPr/>
      <dgm:t>
        <a:bodyPr/>
        <a:lstStyle/>
        <a:p>
          <a:endParaRPr lang="en-GB"/>
        </a:p>
      </dgm:t>
    </dgm:pt>
    <dgm:pt modelId="{FDE63E3A-1FD2-42DF-AC82-FA562D443EA8}" type="pres">
      <dgm:prSet presAssocID="{E461587B-DFDD-4100-A346-17FA636F2841}" presName="tile4text" presStyleLbl="node1" presStyleIdx="3" presStyleCnt="4">
        <dgm:presLayoutVars>
          <dgm:chMax val="0"/>
          <dgm:chPref val="0"/>
          <dgm:bulletEnabled val="1"/>
        </dgm:presLayoutVars>
      </dgm:prSet>
      <dgm:spPr/>
      <dgm:t>
        <a:bodyPr/>
        <a:lstStyle/>
        <a:p>
          <a:endParaRPr lang="en-GB"/>
        </a:p>
      </dgm:t>
    </dgm:pt>
    <dgm:pt modelId="{1B9F9FC8-8470-4445-A318-D8D3E895A52A}" type="pres">
      <dgm:prSet presAssocID="{E461587B-DFDD-4100-A346-17FA636F2841}" presName="centerTile" presStyleLbl="fgShp" presStyleIdx="0" presStyleCnt="1">
        <dgm:presLayoutVars>
          <dgm:chMax val="0"/>
          <dgm:chPref val="0"/>
        </dgm:presLayoutVars>
      </dgm:prSet>
      <dgm:spPr/>
      <dgm:t>
        <a:bodyPr/>
        <a:lstStyle/>
        <a:p>
          <a:endParaRPr lang="en-GB"/>
        </a:p>
      </dgm:t>
    </dgm:pt>
  </dgm:ptLst>
  <dgm:cxnLst>
    <dgm:cxn modelId="{F1A581EC-B912-46A3-9088-CC9326F60D14}" srcId="{E461587B-DFDD-4100-A346-17FA636F2841}" destId="{5C492F6E-6C28-4B76-AD0E-27637C9E3FCC}" srcOrd="0" destOrd="0" parTransId="{E535B700-1E23-4A85-9834-2A2E6EF7177C}" sibTransId="{3FE0DD35-929E-4DB2-B96C-D5AA469F93CF}"/>
    <dgm:cxn modelId="{265C1B79-FC9E-466B-8A51-CE8F890835FF}" type="presOf" srcId="{21974161-9B03-4494-B58F-CC0131F5EC5D}" destId="{FDE63E3A-1FD2-42DF-AC82-FA562D443EA8}" srcOrd="1" destOrd="0" presId="urn:microsoft.com/office/officeart/2005/8/layout/matrix1"/>
    <dgm:cxn modelId="{D054B716-75B1-486C-8245-5B5AB41A5E84}" srcId="{5C492F6E-6C28-4B76-AD0E-27637C9E3FCC}" destId="{5BFE66F3-F539-44F3-BA5E-9F757D9588A0}" srcOrd="1" destOrd="0" parTransId="{63D25FC5-9FF8-445B-827D-B8F90145182A}" sibTransId="{C4F2C189-AB19-4B97-A532-A8E25BF65FEC}"/>
    <dgm:cxn modelId="{E2181222-70AC-48EA-9537-BFF564227344}" srcId="{5C492F6E-6C28-4B76-AD0E-27637C9E3FCC}" destId="{712C2D03-5FFC-4F90-9747-87BE5993BCD0}" srcOrd="0" destOrd="0" parTransId="{950E0AEC-51F7-4F54-A389-AE583B8CF613}" sibTransId="{99616E98-DEC3-4A86-883F-1FB1556B4B57}"/>
    <dgm:cxn modelId="{230B9D00-5DD4-444B-B734-1E19DD538476}" type="presOf" srcId="{54E8DC90-30B8-48EC-BF27-AF0FF320B25D}" destId="{9F78F2F2-E1FB-45B7-A8B0-5669BE68BBE9}" srcOrd="0" destOrd="0" presId="urn:microsoft.com/office/officeart/2005/8/layout/matrix1"/>
    <dgm:cxn modelId="{A97CD3D6-853A-4A63-9861-F53411FA515B}" type="presOf" srcId="{712C2D03-5FFC-4F90-9747-87BE5993BCD0}" destId="{1BEA0ED2-AD06-4C38-9B19-794554D1328B}" srcOrd="0" destOrd="0" presId="urn:microsoft.com/office/officeart/2005/8/layout/matrix1"/>
    <dgm:cxn modelId="{BEB70074-E3BE-4E84-A07D-FD5F2F562863}" type="presOf" srcId="{5BFE66F3-F539-44F3-BA5E-9F757D9588A0}" destId="{BDCA6ED4-76C7-4A8B-AB34-3BC4B22DDB81}" srcOrd="0" destOrd="0" presId="urn:microsoft.com/office/officeart/2005/8/layout/matrix1"/>
    <dgm:cxn modelId="{DD2E590F-5D91-423F-A893-77197C60F8D0}" type="presOf" srcId="{5BFE66F3-F539-44F3-BA5E-9F757D9588A0}" destId="{98DDFA0A-C29D-4150-98B0-1DBCFCFB9B1F}" srcOrd="1" destOrd="0" presId="urn:microsoft.com/office/officeart/2005/8/layout/matrix1"/>
    <dgm:cxn modelId="{B0B37B0C-0B06-4D76-AE00-AED6AD056C1F}" type="presOf" srcId="{E461587B-DFDD-4100-A346-17FA636F2841}" destId="{CBE7BA17-CAC0-40EF-A1B3-D32C8A31AFBD}" srcOrd="0" destOrd="0" presId="urn:microsoft.com/office/officeart/2005/8/layout/matrix1"/>
    <dgm:cxn modelId="{982AF1DB-EE65-4F57-93CA-6DC8AFBB42DE}" type="presOf" srcId="{712C2D03-5FFC-4F90-9747-87BE5993BCD0}" destId="{245810B4-8CFA-434D-8C12-5A94C77D4857}" srcOrd="1" destOrd="0" presId="urn:microsoft.com/office/officeart/2005/8/layout/matrix1"/>
    <dgm:cxn modelId="{F393CF79-070C-4450-A088-4C64F6C6DFA5}" type="presOf" srcId="{54E8DC90-30B8-48EC-BF27-AF0FF320B25D}" destId="{89C130D7-7010-4978-88C3-30A1D94FC770}" srcOrd="1" destOrd="0" presId="urn:microsoft.com/office/officeart/2005/8/layout/matrix1"/>
    <dgm:cxn modelId="{4F9258D5-FDDE-44D5-B9E5-A09330F548F3}" type="presOf" srcId="{21974161-9B03-4494-B58F-CC0131F5EC5D}" destId="{ABE988D2-3E7B-454A-919C-1F9F05C99719}" srcOrd="0" destOrd="0" presId="urn:microsoft.com/office/officeart/2005/8/layout/matrix1"/>
    <dgm:cxn modelId="{7A1A0C74-33C8-4D59-BB8C-CECB4334D368}" srcId="{5C492F6E-6C28-4B76-AD0E-27637C9E3FCC}" destId="{21974161-9B03-4494-B58F-CC0131F5EC5D}" srcOrd="3" destOrd="0" parTransId="{C8727A1F-946F-4FC7-84E7-F648868E2B41}" sibTransId="{CDBED8D3-BF9C-49DD-998E-CD5B28EF14C8}"/>
    <dgm:cxn modelId="{93FE5316-C003-4DC7-B13E-9C31BE7FDB3C}" srcId="{5C492F6E-6C28-4B76-AD0E-27637C9E3FCC}" destId="{54E8DC90-30B8-48EC-BF27-AF0FF320B25D}" srcOrd="2" destOrd="0" parTransId="{D0587B47-E243-4AD6-81CD-3522DE6FE042}" sibTransId="{A30FB251-68F3-49EC-A6A6-C9C3C3688B66}"/>
    <dgm:cxn modelId="{489A8CEF-BFDE-4183-9DAC-BA2812C34B2D}" type="presOf" srcId="{5C492F6E-6C28-4B76-AD0E-27637C9E3FCC}" destId="{1B9F9FC8-8470-4445-A318-D8D3E895A52A}" srcOrd="0" destOrd="0" presId="urn:microsoft.com/office/officeart/2005/8/layout/matrix1"/>
    <dgm:cxn modelId="{6564386B-9013-4815-ADC3-E04ED3D4B4EF}" type="presParOf" srcId="{CBE7BA17-CAC0-40EF-A1B3-D32C8A31AFBD}" destId="{937898EA-8E35-42F3-954A-803D26352690}" srcOrd="0" destOrd="0" presId="urn:microsoft.com/office/officeart/2005/8/layout/matrix1"/>
    <dgm:cxn modelId="{970732F4-815A-435F-AEF9-31764F9C6A6A}" type="presParOf" srcId="{937898EA-8E35-42F3-954A-803D26352690}" destId="{1BEA0ED2-AD06-4C38-9B19-794554D1328B}" srcOrd="0" destOrd="0" presId="urn:microsoft.com/office/officeart/2005/8/layout/matrix1"/>
    <dgm:cxn modelId="{1E08780D-B918-4CF2-A531-5723AE554BA8}" type="presParOf" srcId="{937898EA-8E35-42F3-954A-803D26352690}" destId="{245810B4-8CFA-434D-8C12-5A94C77D4857}" srcOrd="1" destOrd="0" presId="urn:microsoft.com/office/officeart/2005/8/layout/matrix1"/>
    <dgm:cxn modelId="{11D2B0F8-9A7B-4A3A-80A3-F065B3F14529}" type="presParOf" srcId="{937898EA-8E35-42F3-954A-803D26352690}" destId="{BDCA6ED4-76C7-4A8B-AB34-3BC4B22DDB81}" srcOrd="2" destOrd="0" presId="urn:microsoft.com/office/officeart/2005/8/layout/matrix1"/>
    <dgm:cxn modelId="{3306E0FD-EC3C-4F69-A4B5-B06A2EB08219}" type="presParOf" srcId="{937898EA-8E35-42F3-954A-803D26352690}" destId="{98DDFA0A-C29D-4150-98B0-1DBCFCFB9B1F}" srcOrd="3" destOrd="0" presId="urn:microsoft.com/office/officeart/2005/8/layout/matrix1"/>
    <dgm:cxn modelId="{6AB6C76B-6E6F-43B5-8C4A-22692C59578F}" type="presParOf" srcId="{937898EA-8E35-42F3-954A-803D26352690}" destId="{9F78F2F2-E1FB-45B7-A8B0-5669BE68BBE9}" srcOrd="4" destOrd="0" presId="urn:microsoft.com/office/officeart/2005/8/layout/matrix1"/>
    <dgm:cxn modelId="{00FE5A22-5BD5-4EA0-9EA4-DBD2B7A9B64C}" type="presParOf" srcId="{937898EA-8E35-42F3-954A-803D26352690}" destId="{89C130D7-7010-4978-88C3-30A1D94FC770}" srcOrd="5" destOrd="0" presId="urn:microsoft.com/office/officeart/2005/8/layout/matrix1"/>
    <dgm:cxn modelId="{B01DF1FB-F528-4710-88A9-FD8B28396F01}" type="presParOf" srcId="{937898EA-8E35-42F3-954A-803D26352690}" destId="{ABE988D2-3E7B-454A-919C-1F9F05C99719}" srcOrd="6" destOrd="0" presId="urn:microsoft.com/office/officeart/2005/8/layout/matrix1"/>
    <dgm:cxn modelId="{DEF7B2D1-6D8A-42BB-B8BD-8F9945CEBE69}" type="presParOf" srcId="{937898EA-8E35-42F3-954A-803D26352690}" destId="{FDE63E3A-1FD2-42DF-AC82-FA562D443EA8}" srcOrd="7" destOrd="0" presId="urn:microsoft.com/office/officeart/2005/8/layout/matrix1"/>
    <dgm:cxn modelId="{F7534C9D-D27B-43EE-8661-A82E5D3177DF}" type="presParOf" srcId="{CBE7BA17-CAC0-40EF-A1B3-D32C8A31AFBD}" destId="{1B9F9FC8-8470-4445-A318-D8D3E895A52A}" srcOrd="1" destOrd="0" presId="urn:microsoft.com/office/officeart/2005/8/layout/matrix1"/>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7F73AF-624C-4CD5-BBFF-0B0613A57845}">
      <dsp:nvSpPr>
        <dsp:cNvPr id="0" name=""/>
        <dsp:cNvSpPr/>
      </dsp:nvSpPr>
      <dsp:spPr>
        <a:xfrm>
          <a:off x="2307845" y="1324047"/>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GB" sz="600" kern="1200"/>
            <a:t>students will uphold the School values of:-</a:t>
          </a:r>
        </a:p>
      </dsp:txBody>
      <dsp:txXfrm>
        <a:off x="2335173" y="1351375"/>
        <a:ext cx="806612" cy="505168"/>
      </dsp:txXfrm>
    </dsp:sp>
    <dsp:sp modelId="{C523E710-87BD-468B-84DE-1C4D64BC5C96}">
      <dsp:nvSpPr>
        <dsp:cNvPr id="0" name=""/>
        <dsp:cNvSpPr/>
      </dsp:nvSpPr>
      <dsp:spPr>
        <a:xfrm>
          <a:off x="2648190" y="1086763"/>
          <a:ext cx="2635379" cy="2635379"/>
        </a:xfrm>
        <a:custGeom>
          <a:avLst/>
          <a:gdLst/>
          <a:ahLst/>
          <a:cxnLst/>
          <a:rect l="0" t="0" r="0" b="0"/>
          <a:pathLst>
            <a:path>
              <a:moveTo>
                <a:pt x="574263" y="229745"/>
              </a:moveTo>
              <a:arcTo wR="1317689" hR="1317689" stAng="14139239" swAng="516869"/>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DEDB0AE-1489-4F72-9E1A-43E6E66A16B9}">
      <dsp:nvSpPr>
        <dsp:cNvPr id="0" name=""/>
        <dsp:cNvSpPr/>
      </dsp:nvSpPr>
      <dsp:spPr>
        <a:xfrm>
          <a:off x="3453718" y="661443"/>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GB" sz="600" kern="1200"/>
            <a:t>Integrity – uprightness, honesty and decorous conduct, governed by the Holy Bible;</a:t>
          </a:r>
        </a:p>
      </dsp:txBody>
      <dsp:txXfrm>
        <a:off x="3481046" y="688771"/>
        <a:ext cx="806612" cy="505168"/>
      </dsp:txXfrm>
    </dsp:sp>
    <dsp:sp modelId="{B2BC6C87-A4F5-40D5-B2B1-13EC3D38C8BD}">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7D78D93-74E5-4E49-8B22-442124B94A0C}">
      <dsp:nvSpPr>
        <dsp:cNvPr id="0" name=""/>
        <dsp:cNvSpPr/>
      </dsp:nvSpPr>
      <dsp:spPr>
        <a:xfrm>
          <a:off x="3453718" y="1979132"/>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GB" sz="600" kern="1200"/>
            <a:t>Care &amp; Compassion – Kindness, consideration and generosity to all;</a:t>
          </a:r>
        </a:p>
      </dsp:txBody>
      <dsp:txXfrm>
        <a:off x="3481046" y="2006460"/>
        <a:ext cx="806612" cy="505168"/>
      </dsp:txXfrm>
    </dsp:sp>
    <dsp:sp modelId="{B002B7A9-8263-4A4B-BC88-83A9B9FF280C}">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14F51ED-80B2-4122-9313-B3798E9B5E6E}">
      <dsp:nvSpPr>
        <dsp:cNvPr id="0" name=""/>
        <dsp:cNvSpPr/>
      </dsp:nvSpPr>
      <dsp:spPr>
        <a:xfrm>
          <a:off x="2312565" y="2637977"/>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GB" sz="600" kern="1200"/>
            <a:t>Respect – for all people, property, opinions and authority;</a:t>
          </a:r>
        </a:p>
      </dsp:txBody>
      <dsp:txXfrm>
        <a:off x="2339893" y="2665305"/>
        <a:ext cx="806612" cy="505168"/>
      </dsp:txXfrm>
    </dsp:sp>
    <dsp:sp modelId="{69D7EA82-B1AF-43FC-917F-C7815F2691D5}">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D044931-75ED-4E5C-BEB3-A4485E981D56}">
      <dsp:nvSpPr>
        <dsp:cNvPr id="0" name=""/>
        <dsp:cNvSpPr/>
      </dsp:nvSpPr>
      <dsp:spPr>
        <a:xfrm>
          <a:off x="1171413" y="1979132"/>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GB" sz="600" kern="1200"/>
            <a:t>Responsibility – for our actions, progress and environment, and;</a:t>
          </a:r>
        </a:p>
      </dsp:txBody>
      <dsp:txXfrm>
        <a:off x="1198741" y="2006460"/>
        <a:ext cx="806612" cy="505168"/>
      </dsp:txXfrm>
    </dsp:sp>
    <dsp:sp modelId="{C2A0FF3F-F36F-4082-9D8C-93FBDF3D636F}">
      <dsp:nvSpPr>
        <dsp:cNvPr id="0" name=""/>
        <dsp:cNvSpPr/>
      </dsp:nvSpPr>
      <dsp:spPr>
        <a:xfrm>
          <a:off x="1418454" y="259760"/>
          <a:ext cx="2635379" cy="2635379"/>
        </a:xfrm>
        <a:custGeom>
          <a:avLst/>
          <a:gdLst/>
          <a:ahLst/>
          <a:cxnLst/>
          <a:rect l="0" t="0" r="0" b="0"/>
          <a:pathLst>
            <a:path>
              <a:moveTo>
                <a:pt x="25640" y="1576366"/>
              </a:moveTo>
              <a:arcTo wR="1317689" hR="1317689" stAng="10120721" swAng="118309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B2FCA43-2E51-4CD5-8C45-5BB8ABAE502F}">
      <dsp:nvSpPr>
        <dsp:cNvPr id="0" name=""/>
        <dsp:cNvSpPr/>
      </dsp:nvSpPr>
      <dsp:spPr>
        <a:xfrm>
          <a:off x="1146011" y="680490"/>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GB" sz="600" kern="1200"/>
            <a:t>Commitment – to self-discipline and the pursuit of excellence.</a:t>
          </a:r>
        </a:p>
      </dsp:txBody>
      <dsp:txXfrm>
        <a:off x="1173339" y="707818"/>
        <a:ext cx="806612" cy="505168"/>
      </dsp:txXfrm>
    </dsp:sp>
    <dsp:sp modelId="{36AF3CAC-B5BB-462E-8EF3-EF372CF40337}">
      <dsp:nvSpPr>
        <dsp:cNvPr id="0" name=""/>
        <dsp:cNvSpPr/>
      </dsp:nvSpPr>
      <dsp:spPr>
        <a:xfrm>
          <a:off x="206841" y="1107322"/>
          <a:ext cx="2635379" cy="2635379"/>
        </a:xfrm>
        <a:custGeom>
          <a:avLst/>
          <a:gdLst/>
          <a:ahLst/>
          <a:cxnLst/>
          <a:rect l="0" t="0" r="0" b="0"/>
          <a:pathLst>
            <a:path>
              <a:moveTo>
                <a:pt x="1863694" y="118446"/>
              </a:moveTo>
              <a:arcTo wR="1317689" hR="1317689" stAng="17668762" swAng="54040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1E1FC5-A518-4DBD-980C-1FD5F7FFFAAB}">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The quality of education provided</a:t>
          </a:r>
        </a:p>
      </dsp:txBody>
      <dsp:txXfrm rot="5400000">
        <a:off x="-1" y="1"/>
        <a:ext cx="2743200" cy="1200150"/>
      </dsp:txXfrm>
    </dsp:sp>
    <dsp:sp modelId="{11F6FBF0-6231-4C4D-876D-661565F713DB}">
      <dsp:nvSpPr>
        <dsp:cNvPr id="0" name=""/>
        <dsp:cNvSpPr/>
      </dsp:nvSpPr>
      <dsp:spPr>
        <a:xfrm>
          <a:off x="2743200" y="6352"/>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The spiritual, moral, social and cultural development of the pupils</a:t>
          </a:r>
        </a:p>
      </dsp:txBody>
      <dsp:txXfrm>
        <a:off x="2743200" y="6352"/>
        <a:ext cx="2743200" cy="1200150"/>
      </dsp:txXfrm>
    </dsp:sp>
    <dsp:sp modelId="{9B0D9D1F-AC98-4B19-BA83-91AF31C65801}">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The welfare, health ad safety of the pupils</a:t>
          </a:r>
        </a:p>
      </dsp:txBody>
      <dsp:txXfrm rot="10800000">
        <a:off x="0" y="2000250"/>
        <a:ext cx="2743200" cy="1200150"/>
      </dsp:txXfrm>
    </dsp:sp>
    <dsp:sp modelId="{39C35939-5743-4796-9BED-0900011F6C1F}">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The suitability of the proprietors and staff</a:t>
          </a:r>
        </a:p>
      </dsp:txBody>
      <dsp:txXfrm rot="-5400000">
        <a:off x="2743200" y="2000250"/>
        <a:ext cx="2743200" cy="1200150"/>
      </dsp:txXfrm>
    </dsp:sp>
    <dsp:sp modelId="{CAB5D785-C865-48E9-BC95-A5DFD2B796CE}">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Independent schools standards for inspection detailed in their September 2010 guidance document</a:t>
          </a:r>
        </a:p>
      </dsp:txBody>
      <dsp:txXfrm>
        <a:off x="1959298" y="1239208"/>
        <a:ext cx="1567804" cy="72198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B80A5C-49B1-47CD-9352-B571A03F172B}">
      <dsp:nvSpPr>
        <dsp:cNvPr id="0" name=""/>
        <dsp:cNvSpPr/>
      </dsp:nvSpPr>
      <dsp:spPr>
        <a:xfrm>
          <a:off x="611" y="346957"/>
          <a:ext cx="811034" cy="8110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Successful pedogogical strategies</a:t>
          </a:r>
        </a:p>
      </dsp:txBody>
      <dsp:txXfrm>
        <a:off x="119384" y="465730"/>
        <a:ext cx="573488" cy="573488"/>
      </dsp:txXfrm>
    </dsp:sp>
    <dsp:sp modelId="{DEFF9521-D057-4784-8AC5-4467222F3A4F}">
      <dsp:nvSpPr>
        <dsp:cNvPr id="0" name=""/>
        <dsp:cNvSpPr/>
      </dsp:nvSpPr>
      <dsp:spPr>
        <a:xfrm>
          <a:off x="877502" y="517275"/>
          <a:ext cx="470399" cy="470399"/>
        </a:xfrm>
        <a:prstGeom prst="mathPlus">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939853" y="697156"/>
        <a:ext cx="345697" cy="110637"/>
      </dsp:txXfrm>
    </dsp:sp>
    <dsp:sp modelId="{1F3F1BBB-5730-41C6-BB22-A842456F1E4A}">
      <dsp:nvSpPr>
        <dsp:cNvPr id="0" name=""/>
        <dsp:cNvSpPr/>
      </dsp:nvSpPr>
      <dsp:spPr>
        <a:xfrm>
          <a:off x="1413757" y="346957"/>
          <a:ext cx="811034" cy="8110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Personalisation of learning</a:t>
          </a:r>
        </a:p>
      </dsp:txBody>
      <dsp:txXfrm>
        <a:off x="1532530" y="465730"/>
        <a:ext cx="573488" cy="573488"/>
      </dsp:txXfrm>
    </dsp:sp>
    <dsp:sp modelId="{0A82E7AC-E2A5-4DAB-8F99-7BCD13386C0F}">
      <dsp:nvSpPr>
        <dsp:cNvPr id="0" name=""/>
        <dsp:cNvSpPr/>
      </dsp:nvSpPr>
      <dsp:spPr>
        <a:xfrm>
          <a:off x="2290648" y="517275"/>
          <a:ext cx="470399" cy="470399"/>
        </a:xfrm>
        <a:prstGeom prst="mathEqual">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2352999" y="614177"/>
        <a:ext cx="345697" cy="276595"/>
      </dsp:txXfrm>
    </dsp:sp>
    <dsp:sp modelId="{6E20F80F-6E98-4B50-8454-6A8CD2DA9A48}">
      <dsp:nvSpPr>
        <dsp:cNvPr id="0" name=""/>
        <dsp:cNvSpPr/>
      </dsp:nvSpPr>
      <dsp:spPr>
        <a:xfrm>
          <a:off x="2826903" y="346957"/>
          <a:ext cx="811034" cy="8110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Greater motivation to learn</a:t>
          </a:r>
        </a:p>
      </dsp:txBody>
      <dsp:txXfrm>
        <a:off x="2945676" y="465730"/>
        <a:ext cx="573488" cy="57348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B80A5C-49B1-47CD-9352-B571A03F172B}">
      <dsp:nvSpPr>
        <dsp:cNvPr id="0" name=""/>
        <dsp:cNvSpPr/>
      </dsp:nvSpPr>
      <dsp:spPr>
        <a:xfrm>
          <a:off x="611" y="346957"/>
          <a:ext cx="811034" cy="8110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t>Smaller class sizes</a:t>
          </a:r>
        </a:p>
      </dsp:txBody>
      <dsp:txXfrm>
        <a:off x="119384" y="465730"/>
        <a:ext cx="573488" cy="573488"/>
      </dsp:txXfrm>
    </dsp:sp>
    <dsp:sp modelId="{DEFF9521-D057-4784-8AC5-4467222F3A4F}">
      <dsp:nvSpPr>
        <dsp:cNvPr id="0" name=""/>
        <dsp:cNvSpPr/>
      </dsp:nvSpPr>
      <dsp:spPr>
        <a:xfrm>
          <a:off x="877502" y="517275"/>
          <a:ext cx="470399" cy="470399"/>
        </a:xfrm>
        <a:prstGeom prst="mathPlus">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a:off x="939853" y="697156"/>
        <a:ext cx="345697" cy="110637"/>
      </dsp:txXfrm>
    </dsp:sp>
    <dsp:sp modelId="{1F3F1BBB-5730-41C6-BB22-A842456F1E4A}">
      <dsp:nvSpPr>
        <dsp:cNvPr id="0" name=""/>
        <dsp:cNvSpPr/>
      </dsp:nvSpPr>
      <dsp:spPr>
        <a:xfrm>
          <a:off x="1413757" y="346957"/>
          <a:ext cx="811034" cy="8110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t>Increased pupil support</a:t>
          </a:r>
        </a:p>
      </dsp:txBody>
      <dsp:txXfrm>
        <a:off x="1532530" y="465730"/>
        <a:ext cx="573488" cy="573488"/>
      </dsp:txXfrm>
    </dsp:sp>
    <dsp:sp modelId="{0A82E7AC-E2A5-4DAB-8F99-7BCD13386C0F}">
      <dsp:nvSpPr>
        <dsp:cNvPr id="0" name=""/>
        <dsp:cNvSpPr/>
      </dsp:nvSpPr>
      <dsp:spPr>
        <a:xfrm>
          <a:off x="2290648" y="517275"/>
          <a:ext cx="470399" cy="470399"/>
        </a:xfrm>
        <a:prstGeom prst="mathEqual">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a:off x="2352999" y="614177"/>
        <a:ext cx="345697" cy="276595"/>
      </dsp:txXfrm>
    </dsp:sp>
    <dsp:sp modelId="{6E20F80F-6E98-4B50-8454-6A8CD2DA9A48}">
      <dsp:nvSpPr>
        <dsp:cNvPr id="0" name=""/>
        <dsp:cNvSpPr/>
      </dsp:nvSpPr>
      <dsp:spPr>
        <a:xfrm>
          <a:off x="2826903" y="346957"/>
          <a:ext cx="811034" cy="8110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t>Higher academic achievement</a:t>
          </a:r>
        </a:p>
      </dsp:txBody>
      <dsp:txXfrm>
        <a:off x="2945676" y="465730"/>
        <a:ext cx="573488" cy="57348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B80A5C-49B1-47CD-9352-B571A03F172B}">
      <dsp:nvSpPr>
        <dsp:cNvPr id="0" name=""/>
        <dsp:cNvSpPr/>
      </dsp:nvSpPr>
      <dsp:spPr>
        <a:xfrm>
          <a:off x="611" y="346957"/>
          <a:ext cx="811034" cy="8110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1:1 Time spent with teacher</a:t>
          </a:r>
        </a:p>
      </dsp:txBody>
      <dsp:txXfrm>
        <a:off x="119384" y="465730"/>
        <a:ext cx="573488" cy="573488"/>
      </dsp:txXfrm>
    </dsp:sp>
    <dsp:sp modelId="{DEFF9521-D057-4784-8AC5-4467222F3A4F}">
      <dsp:nvSpPr>
        <dsp:cNvPr id="0" name=""/>
        <dsp:cNvSpPr/>
      </dsp:nvSpPr>
      <dsp:spPr>
        <a:xfrm>
          <a:off x="877502" y="517275"/>
          <a:ext cx="470399" cy="470399"/>
        </a:xfrm>
        <a:prstGeom prst="mathPlus">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939853" y="697156"/>
        <a:ext cx="345697" cy="110637"/>
      </dsp:txXfrm>
    </dsp:sp>
    <dsp:sp modelId="{1F3F1BBB-5730-41C6-BB22-A842456F1E4A}">
      <dsp:nvSpPr>
        <dsp:cNvPr id="0" name=""/>
        <dsp:cNvSpPr/>
      </dsp:nvSpPr>
      <dsp:spPr>
        <a:xfrm>
          <a:off x="1375657" y="302505"/>
          <a:ext cx="811034" cy="8110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Fewer classroom disruptions</a:t>
          </a:r>
        </a:p>
      </dsp:txBody>
      <dsp:txXfrm>
        <a:off x="1494430" y="421278"/>
        <a:ext cx="573488" cy="573488"/>
      </dsp:txXfrm>
    </dsp:sp>
    <dsp:sp modelId="{0A82E7AC-E2A5-4DAB-8F99-7BCD13386C0F}">
      <dsp:nvSpPr>
        <dsp:cNvPr id="0" name=""/>
        <dsp:cNvSpPr/>
      </dsp:nvSpPr>
      <dsp:spPr>
        <a:xfrm>
          <a:off x="2290648" y="517275"/>
          <a:ext cx="470399" cy="470399"/>
        </a:xfrm>
        <a:prstGeom prst="mathEqual">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2352999" y="614177"/>
        <a:ext cx="345697" cy="276595"/>
      </dsp:txXfrm>
    </dsp:sp>
    <dsp:sp modelId="{6E20F80F-6E98-4B50-8454-6A8CD2DA9A48}">
      <dsp:nvSpPr>
        <dsp:cNvPr id="0" name=""/>
        <dsp:cNvSpPr/>
      </dsp:nvSpPr>
      <dsp:spPr>
        <a:xfrm>
          <a:off x="2826903" y="346957"/>
          <a:ext cx="811034" cy="8110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Better understanding of pupil needs</a:t>
          </a:r>
        </a:p>
      </dsp:txBody>
      <dsp:txXfrm>
        <a:off x="2945676" y="465730"/>
        <a:ext cx="573488" cy="57348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E9ECA9-3E22-4A44-BC9E-6CF05BD5D6CD}">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65DB194-64C8-4885-9C3C-B4D9AFC11737}">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C297123-7851-4EEE-94A4-27EB7812F42A}">
      <dsp:nvSpPr>
        <dsp:cNvPr id="0" name=""/>
        <dsp:cNvSpPr/>
      </dsp:nvSpPr>
      <dsp:spPr>
        <a:xfrm>
          <a:off x="1511940" y="368940"/>
          <a:ext cx="2462518" cy="2462518"/>
        </a:xfrm>
        <a:prstGeom prst="blockArc">
          <a:avLst>
            <a:gd name="adj1" fmla="val 0"/>
            <a:gd name="adj2" fmla="val 54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0684176-D86F-428C-88B4-2E87F5F2061A}">
      <dsp:nvSpPr>
        <dsp:cNvPr id="0" name=""/>
        <dsp:cNvSpPr/>
      </dsp:nvSpPr>
      <dsp:spPr>
        <a:xfrm>
          <a:off x="1511940" y="368940"/>
          <a:ext cx="2462518" cy="2462518"/>
        </a:xfrm>
        <a:prstGeom prst="blockArc">
          <a:avLst>
            <a:gd name="adj1" fmla="val 16200000"/>
            <a:gd name="adj2" fmla="val 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F6C0866-30D9-4D38-99E5-6FEB878C015B}">
      <dsp:nvSpPr>
        <dsp:cNvPr id="0" name=""/>
        <dsp:cNvSpPr/>
      </dsp:nvSpPr>
      <dsp:spPr>
        <a:xfrm>
          <a:off x="2176611" y="1033611"/>
          <a:ext cx="1133177" cy="11331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kern="1200"/>
            <a:t>Importance of education</a:t>
          </a:r>
        </a:p>
      </dsp:txBody>
      <dsp:txXfrm>
        <a:off x="2342561" y="1199561"/>
        <a:ext cx="801277" cy="801277"/>
      </dsp:txXfrm>
    </dsp:sp>
    <dsp:sp modelId="{30413029-E3F0-456B-91E8-417DA319C5FE}">
      <dsp:nvSpPr>
        <dsp:cNvPr id="0" name=""/>
        <dsp:cNvSpPr/>
      </dsp:nvSpPr>
      <dsp:spPr>
        <a:xfrm>
          <a:off x="2346587" y="884"/>
          <a:ext cx="793224" cy="7932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positive mindset</a:t>
          </a:r>
        </a:p>
      </dsp:txBody>
      <dsp:txXfrm>
        <a:off x="2462752" y="117049"/>
        <a:ext cx="560894" cy="560894"/>
      </dsp:txXfrm>
    </dsp:sp>
    <dsp:sp modelId="{51C69064-223A-4906-9CF9-38000250E6C3}">
      <dsp:nvSpPr>
        <dsp:cNvPr id="0" name=""/>
        <dsp:cNvSpPr/>
      </dsp:nvSpPr>
      <dsp:spPr>
        <a:xfrm>
          <a:off x="3549290" y="1203587"/>
          <a:ext cx="793224" cy="7932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inclusive teachers</a:t>
          </a:r>
        </a:p>
      </dsp:txBody>
      <dsp:txXfrm>
        <a:off x="3665455" y="1319752"/>
        <a:ext cx="560894" cy="560894"/>
      </dsp:txXfrm>
    </dsp:sp>
    <dsp:sp modelId="{C716D51F-DF60-443B-83A0-A5375F5A9B14}">
      <dsp:nvSpPr>
        <dsp:cNvPr id="0" name=""/>
        <dsp:cNvSpPr/>
      </dsp:nvSpPr>
      <dsp:spPr>
        <a:xfrm>
          <a:off x="2346587" y="2406290"/>
          <a:ext cx="793224" cy="7932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learning has no age boundaries</a:t>
          </a:r>
        </a:p>
      </dsp:txBody>
      <dsp:txXfrm>
        <a:off x="2462752" y="2522455"/>
        <a:ext cx="560894" cy="560894"/>
      </dsp:txXfrm>
    </dsp:sp>
    <dsp:sp modelId="{2E6E16D8-D72C-487C-AB0F-9B9BE7A48E3C}">
      <dsp:nvSpPr>
        <dsp:cNvPr id="0" name=""/>
        <dsp:cNvSpPr/>
      </dsp:nvSpPr>
      <dsp:spPr>
        <a:xfrm>
          <a:off x="1143884" y="1203587"/>
          <a:ext cx="793224" cy="7932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sharing same learning beliefs</a:t>
          </a:r>
        </a:p>
      </dsp:txBody>
      <dsp:txXfrm>
        <a:off x="1260049" y="1319752"/>
        <a:ext cx="560894" cy="560894"/>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EA0ED2-AD06-4C38-9B19-794554D1328B}">
      <dsp:nvSpPr>
        <dsp:cNvPr id="0" name=""/>
        <dsp:cNvSpPr/>
      </dsp:nvSpPr>
      <dsp:spPr>
        <a:xfrm rot="16200000">
          <a:off x="520700" y="-520700"/>
          <a:ext cx="1057275" cy="209867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lvl="0" algn="ctr" defTabSz="577850">
            <a:lnSpc>
              <a:spcPct val="90000"/>
            </a:lnSpc>
            <a:spcBef>
              <a:spcPct val="0"/>
            </a:spcBef>
            <a:spcAft>
              <a:spcPct val="35000"/>
            </a:spcAft>
          </a:pPr>
          <a:r>
            <a:rPr lang="en-GB" sz="1300" kern="1200"/>
            <a:t>Positive attitude</a:t>
          </a:r>
        </a:p>
      </dsp:txBody>
      <dsp:txXfrm rot="5400000">
        <a:off x="0" y="0"/>
        <a:ext cx="2098675" cy="792956"/>
      </dsp:txXfrm>
    </dsp:sp>
    <dsp:sp modelId="{BDCA6ED4-76C7-4A8B-AB34-3BC4B22DDB81}">
      <dsp:nvSpPr>
        <dsp:cNvPr id="0" name=""/>
        <dsp:cNvSpPr/>
      </dsp:nvSpPr>
      <dsp:spPr>
        <a:xfrm>
          <a:off x="2098675" y="0"/>
          <a:ext cx="2098675" cy="105727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lvl="0" algn="ctr" defTabSz="577850">
            <a:lnSpc>
              <a:spcPct val="90000"/>
            </a:lnSpc>
            <a:spcBef>
              <a:spcPct val="0"/>
            </a:spcBef>
            <a:spcAft>
              <a:spcPct val="35000"/>
            </a:spcAft>
          </a:pPr>
          <a:r>
            <a:rPr lang="en-GB" sz="1300" kern="1200"/>
            <a:t>Team player</a:t>
          </a:r>
        </a:p>
      </dsp:txBody>
      <dsp:txXfrm>
        <a:off x="2098675" y="0"/>
        <a:ext cx="2098675" cy="792956"/>
      </dsp:txXfrm>
    </dsp:sp>
    <dsp:sp modelId="{9F78F2F2-E1FB-45B7-A8B0-5669BE68BBE9}">
      <dsp:nvSpPr>
        <dsp:cNvPr id="0" name=""/>
        <dsp:cNvSpPr/>
      </dsp:nvSpPr>
      <dsp:spPr>
        <a:xfrm rot="10800000">
          <a:off x="0" y="1057275"/>
          <a:ext cx="2098675" cy="105727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lvl="0" algn="ctr" defTabSz="577850">
            <a:lnSpc>
              <a:spcPct val="90000"/>
            </a:lnSpc>
            <a:spcBef>
              <a:spcPct val="0"/>
            </a:spcBef>
            <a:spcAft>
              <a:spcPct val="35000"/>
            </a:spcAft>
          </a:pPr>
          <a:r>
            <a:rPr lang="en-GB" sz="1300" kern="1200"/>
            <a:t>To be a good leader</a:t>
          </a:r>
        </a:p>
      </dsp:txBody>
      <dsp:txXfrm rot="10800000">
        <a:off x="0" y="1321593"/>
        <a:ext cx="2098675" cy="792956"/>
      </dsp:txXfrm>
    </dsp:sp>
    <dsp:sp modelId="{ABE988D2-3E7B-454A-919C-1F9F05C99719}">
      <dsp:nvSpPr>
        <dsp:cNvPr id="0" name=""/>
        <dsp:cNvSpPr/>
      </dsp:nvSpPr>
      <dsp:spPr>
        <a:xfrm rot="5400000">
          <a:off x="2619374" y="536575"/>
          <a:ext cx="1057275" cy="209867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lvl="0" algn="ctr" defTabSz="577850">
            <a:lnSpc>
              <a:spcPct val="90000"/>
            </a:lnSpc>
            <a:spcBef>
              <a:spcPct val="0"/>
            </a:spcBef>
            <a:spcAft>
              <a:spcPct val="35000"/>
            </a:spcAft>
          </a:pPr>
          <a:r>
            <a:rPr lang="en-GB" sz="1300" kern="1200"/>
            <a:t>To show initiative</a:t>
          </a:r>
        </a:p>
      </dsp:txBody>
      <dsp:txXfrm rot="-5400000">
        <a:off x="2098675" y="1321593"/>
        <a:ext cx="2098675" cy="792956"/>
      </dsp:txXfrm>
    </dsp:sp>
    <dsp:sp modelId="{1B9F9FC8-8470-4445-A318-D8D3E895A52A}">
      <dsp:nvSpPr>
        <dsp:cNvPr id="0" name=""/>
        <dsp:cNvSpPr/>
      </dsp:nvSpPr>
      <dsp:spPr>
        <a:xfrm>
          <a:off x="1469072" y="792956"/>
          <a:ext cx="1259205" cy="528637"/>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Important attributes </a:t>
          </a:r>
        </a:p>
      </dsp:txBody>
      <dsp:txXfrm>
        <a:off x="1494878" y="818762"/>
        <a:ext cx="1207593" cy="477025"/>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3.xml><?xml version="1.0" encoding="utf-8"?>
<dgm:layoutDef xmlns:dgm="http://schemas.openxmlformats.org/drawingml/2006/diagram" xmlns:a="http://schemas.openxmlformats.org/drawingml/2006/main" uniqueId="urn:microsoft.com/office/officeart/2005/8/layout/equation1">
  <dgm:title val=""/>
  <dgm:desc val=""/>
  <dgm:catLst>
    <dgm:cat type="relationship" pri="17000"/>
    <dgm:cat type="process"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choose name="Name0">
      <dgm:if name="Name1" func="var" arg="dir" op="equ" val="norm">
        <dgm:alg type="lin">
          <dgm:param type="fallback" val="2D"/>
        </dgm:alg>
      </dgm:if>
      <dgm:else name="Name2">
        <dgm:alg type="lin">
          <dgm:param type="linDir" val="fromR"/>
          <dgm:param type="fallback" val="2D"/>
        </dgm:alg>
      </dgm:else>
    </dgm:choose>
    <dgm:shape xmlns:r="http://schemas.openxmlformats.org/officeDocument/2006/relationships" r:blip="">
      <dgm:adjLst/>
    </dgm:shape>
    <dgm:presOf/>
    <dgm:constrLst>
      <dgm:constr type="w" for="ch" ptType="node" refType="w"/>
      <dgm:constr type="w" for="ch" ptType="sibTrans" refType="w" refFor="ch" refPtType="node" fact="0.58"/>
      <dgm:constr type="primFontSz" for="ch" ptType="node" op="equ" val="65"/>
      <dgm:constr type="primFontSz" for="ch" ptType="sibTrans" op="equ" val="55"/>
      <dgm:constr type="primFontSz" for="ch" ptType="sibTrans" refType="primFontSz" refFor="ch" refPtType="node" op="lte" fact="0.8"/>
      <dgm:constr type="w" for="ch" forName="spacerL" refType="w" refFor="ch" refPtType="sibTrans" fact="0.14"/>
      <dgm:constr type="w" for="ch" forName="spacerR" refType="w" refFor="ch" refPtType="sibTrans" fact="0.14"/>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sibTransForEach" axis="followSib" ptType="sibTrans" cnt="1">
        <dgm:layoutNode name="spacerL">
          <dgm:alg type="sp"/>
          <dgm:shape xmlns:r="http://schemas.openxmlformats.org/officeDocument/2006/relationships" r:blip="">
            <dgm:adjLst/>
          </dgm:shape>
          <dgm:presOf/>
          <dgm:constrLst/>
          <dgm:ruleLst/>
        </dgm:layoutNode>
        <dgm:layoutNode name="sibTrans">
          <dgm:alg type="tx"/>
          <dgm:choose name="Name3">
            <dgm:if name="Name4" axis="followSib" ptType="sibTrans" func="cnt" op="equ" val="0">
              <dgm:shape xmlns:r="http://schemas.openxmlformats.org/officeDocument/2006/relationships" type="mathEqual" r:blip="">
                <dgm:adjLst/>
              </dgm:shape>
            </dgm:if>
            <dgm:else name="Name5">
              <dgm:shape xmlns:r="http://schemas.openxmlformats.org/officeDocument/2006/relationships" type="mathPlus" r:blip="">
                <dgm:adjLst/>
              </dgm:shape>
            </dgm:else>
          </dgm:choose>
          <dgm:presOf axis="self"/>
          <dgm:constrLst>
            <dgm:constr type="h" refType="w"/>
            <dgm:constr type="lMarg"/>
            <dgm:constr type="rMarg"/>
            <dgm:constr type="tMarg"/>
            <dgm:constr type="bMarg"/>
          </dgm:constrLst>
          <dgm:ruleLst>
            <dgm:rule type="primFontSz" val="5" fact="NaN" max="NaN"/>
          </dgm:ruleLst>
        </dgm:layoutNode>
        <dgm:layoutNode name="spacerR">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equation1">
  <dgm:title val=""/>
  <dgm:desc val=""/>
  <dgm:catLst>
    <dgm:cat type="relationship" pri="17000"/>
    <dgm:cat type="process"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choose name="Name0">
      <dgm:if name="Name1" func="var" arg="dir" op="equ" val="norm">
        <dgm:alg type="lin">
          <dgm:param type="fallback" val="2D"/>
        </dgm:alg>
      </dgm:if>
      <dgm:else name="Name2">
        <dgm:alg type="lin">
          <dgm:param type="linDir" val="fromR"/>
          <dgm:param type="fallback" val="2D"/>
        </dgm:alg>
      </dgm:else>
    </dgm:choose>
    <dgm:shape xmlns:r="http://schemas.openxmlformats.org/officeDocument/2006/relationships" r:blip="">
      <dgm:adjLst/>
    </dgm:shape>
    <dgm:presOf/>
    <dgm:constrLst>
      <dgm:constr type="w" for="ch" ptType="node" refType="w"/>
      <dgm:constr type="w" for="ch" ptType="sibTrans" refType="w" refFor="ch" refPtType="node" fact="0.58"/>
      <dgm:constr type="primFontSz" for="ch" ptType="node" op="equ" val="65"/>
      <dgm:constr type="primFontSz" for="ch" ptType="sibTrans" op="equ" val="55"/>
      <dgm:constr type="primFontSz" for="ch" ptType="sibTrans" refType="primFontSz" refFor="ch" refPtType="node" op="lte" fact="0.8"/>
      <dgm:constr type="w" for="ch" forName="spacerL" refType="w" refFor="ch" refPtType="sibTrans" fact="0.14"/>
      <dgm:constr type="w" for="ch" forName="spacerR" refType="w" refFor="ch" refPtType="sibTrans" fact="0.14"/>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sibTransForEach" axis="followSib" ptType="sibTrans" cnt="1">
        <dgm:layoutNode name="spacerL">
          <dgm:alg type="sp"/>
          <dgm:shape xmlns:r="http://schemas.openxmlformats.org/officeDocument/2006/relationships" r:blip="">
            <dgm:adjLst/>
          </dgm:shape>
          <dgm:presOf/>
          <dgm:constrLst/>
          <dgm:ruleLst/>
        </dgm:layoutNode>
        <dgm:layoutNode name="sibTrans">
          <dgm:alg type="tx"/>
          <dgm:choose name="Name3">
            <dgm:if name="Name4" axis="followSib" ptType="sibTrans" func="cnt" op="equ" val="0">
              <dgm:shape xmlns:r="http://schemas.openxmlformats.org/officeDocument/2006/relationships" type="mathEqual" r:blip="">
                <dgm:adjLst/>
              </dgm:shape>
            </dgm:if>
            <dgm:else name="Name5">
              <dgm:shape xmlns:r="http://schemas.openxmlformats.org/officeDocument/2006/relationships" type="mathPlus" r:blip="">
                <dgm:adjLst/>
              </dgm:shape>
            </dgm:else>
          </dgm:choose>
          <dgm:presOf axis="self"/>
          <dgm:constrLst>
            <dgm:constr type="h" refType="w"/>
            <dgm:constr type="lMarg"/>
            <dgm:constr type="rMarg"/>
            <dgm:constr type="tMarg"/>
            <dgm:constr type="bMarg"/>
          </dgm:constrLst>
          <dgm:ruleLst>
            <dgm:rule type="primFontSz" val="5" fact="NaN" max="NaN"/>
          </dgm:ruleLst>
        </dgm:layoutNode>
        <dgm:layoutNode name="spacerR">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equation1">
  <dgm:title val=""/>
  <dgm:desc val=""/>
  <dgm:catLst>
    <dgm:cat type="relationship" pri="17000"/>
    <dgm:cat type="process"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choose name="Name0">
      <dgm:if name="Name1" func="var" arg="dir" op="equ" val="norm">
        <dgm:alg type="lin">
          <dgm:param type="fallback" val="2D"/>
        </dgm:alg>
      </dgm:if>
      <dgm:else name="Name2">
        <dgm:alg type="lin">
          <dgm:param type="linDir" val="fromR"/>
          <dgm:param type="fallback" val="2D"/>
        </dgm:alg>
      </dgm:else>
    </dgm:choose>
    <dgm:shape xmlns:r="http://schemas.openxmlformats.org/officeDocument/2006/relationships" r:blip="">
      <dgm:adjLst/>
    </dgm:shape>
    <dgm:presOf/>
    <dgm:constrLst>
      <dgm:constr type="w" for="ch" ptType="node" refType="w"/>
      <dgm:constr type="w" for="ch" ptType="sibTrans" refType="w" refFor="ch" refPtType="node" fact="0.58"/>
      <dgm:constr type="primFontSz" for="ch" ptType="node" op="equ" val="65"/>
      <dgm:constr type="primFontSz" for="ch" ptType="sibTrans" op="equ" val="55"/>
      <dgm:constr type="primFontSz" for="ch" ptType="sibTrans" refType="primFontSz" refFor="ch" refPtType="node" op="lte" fact="0.8"/>
      <dgm:constr type="w" for="ch" forName="spacerL" refType="w" refFor="ch" refPtType="sibTrans" fact="0.14"/>
      <dgm:constr type="w" for="ch" forName="spacerR" refType="w" refFor="ch" refPtType="sibTrans" fact="0.14"/>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sibTransForEach" axis="followSib" ptType="sibTrans" cnt="1">
        <dgm:layoutNode name="spacerL">
          <dgm:alg type="sp"/>
          <dgm:shape xmlns:r="http://schemas.openxmlformats.org/officeDocument/2006/relationships" r:blip="">
            <dgm:adjLst/>
          </dgm:shape>
          <dgm:presOf/>
          <dgm:constrLst/>
          <dgm:ruleLst/>
        </dgm:layoutNode>
        <dgm:layoutNode name="sibTrans">
          <dgm:alg type="tx"/>
          <dgm:choose name="Name3">
            <dgm:if name="Name4" axis="followSib" ptType="sibTrans" func="cnt" op="equ" val="0">
              <dgm:shape xmlns:r="http://schemas.openxmlformats.org/officeDocument/2006/relationships" type="mathEqual" r:blip="">
                <dgm:adjLst/>
              </dgm:shape>
            </dgm:if>
            <dgm:else name="Name5">
              <dgm:shape xmlns:r="http://schemas.openxmlformats.org/officeDocument/2006/relationships" type="mathPlus" r:blip="">
                <dgm:adjLst/>
              </dgm:shape>
            </dgm:else>
          </dgm:choose>
          <dgm:presOf axis="self"/>
          <dgm:constrLst>
            <dgm:constr type="h" refType="w"/>
            <dgm:constr type="lMarg"/>
            <dgm:constr type="rMarg"/>
            <dgm:constr type="tMarg"/>
            <dgm:constr type="bMarg"/>
          </dgm:constrLst>
          <dgm:ruleLst>
            <dgm:rule type="primFontSz" val="5" fact="NaN" max="NaN"/>
          </dgm:ruleLst>
        </dgm:layoutNode>
        <dgm:layoutNode name="spacerR">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43</Pages>
  <Words>15146</Words>
  <Characters>86338</Characters>
  <Application>Microsoft Office Word</Application>
  <DocSecurity>0</DocSecurity>
  <Lines>719</Lines>
  <Paragraphs>202</Paragraphs>
  <ScaleCrop>false</ScaleCrop>
  <HeadingPairs>
    <vt:vector size="2" baseType="variant">
      <vt:variant>
        <vt:lpstr>Title</vt:lpstr>
      </vt:variant>
      <vt:variant>
        <vt:i4>1</vt:i4>
      </vt:variant>
    </vt:vector>
  </HeadingPairs>
  <TitlesOfParts>
    <vt:vector size="1" baseType="lpstr">
      <vt:lpstr/>
    </vt:vector>
  </TitlesOfParts>
  <Company>Focus Learning Trust</Company>
  <LinksUpToDate>false</LinksUpToDate>
  <CharactersWithSpaces>101282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Snaddon - 614</dc:creator>
  <cp:keywords/>
  <dc:description/>
  <cp:lastModifiedBy>Sarah Snaddon - 614</cp:lastModifiedBy>
  <cp:revision>5</cp:revision>
  <dcterms:created xsi:type="dcterms:W3CDTF">2018-03-29T08:20:00Z</dcterms:created>
  <dcterms:modified xsi:type="dcterms:W3CDTF">2018-03-29T09:05:00Z</dcterms:modified>
</cp:coreProperties>
</file>