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C4FB2" w14:textId="77777777" w:rsidR="005553DC" w:rsidRDefault="005553DC" w:rsidP="00A64E61">
      <w:pPr>
        <w:jc w:val="both"/>
      </w:pPr>
    </w:p>
    <w:p w14:paraId="3F35D77B" w14:textId="4E23D95D" w:rsidR="005553DC" w:rsidRPr="005553DC" w:rsidRDefault="005553DC" w:rsidP="00A64E61">
      <w:pPr>
        <w:jc w:val="both"/>
        <w:rPr>
          <w:b/>
          <w:bCs/>
          <w:sz w:val="32"/>
          <w:szCs w:val="32"/>
        </w:rPr>
      </w:pPr>
      <w:r w:rsidRPr="005553DC">
        <w:rPr>
          <w:b/>
          <w:bCs/>
          <w:sz w:val="32"/>
          <w:szCs w:val="32"/>
        </w:rPr>
        <w:t>STUDENT NAME:  EWEMADE SYLVIA</w:t>
      </w:r>
    </w:p>
    <w:p w14:paraId="676F0404" w14:textId="38A911F8" w:rsidR="005553DC" w:rsidRPr="005553DC" w:rsidRDefault="005553DC" w:rsidP="00A64E61">
      <w:pPr>
        <w:jc w:val="both"/>
        <w:rPr>
          <w:b/>
          <w:bCs/>
          <w:sz w:val="32"/>
          <w:szCs w:val="32"/>
        </w:rPr>
      </w:pPr>
      <w:r w:rsidRPr="005553DC">
        <w:rPr>
          <w:b/>
          <w:bCs/>
          <w:sz w:val="32"/>
          <w:szCs w:val="32"/>
        </w:rPr>
        <w:t>STUDENT ID:          2437216</w:t>
      </w:r>
    </w:p>
    <w:p w14:paraId="6710475F" w14:textId="7609A559" w:rsidR="005553DC" w:rsidRPr="005553DC" w:rsidRDefault="005553DC" w:rsidP="00A64E61">
      <w:pPr>
        <w:jc w:val="both"/>
        <w:rPr>
          <w:b/>
          <w:bCs/>
          <w:sz w:val="32"/>
          <w:szCs w:val="32"/>
        </w:rPr>
      </w:pPr>
      <w:r w:rsidRPr="005553DC">
        <w:rPr>
          <w:b/>
          <w:bCs/>
          <w:sz w:val="32"/>
          <w:szCs w:val="32"/>
        </w:rPr>
        <w:t>LECTURE NAME:    SHEPHERD ZIKO</w:t>
      </w:r>
    </w:p>
    <w:p w14:paraId="61EF62D3" w14:textId="584559D5" w:rsidR="005553DC" w:rsidRPr="005553DC" w:rsidRDefault="005553DC" w:rsidP="00A64E61">
      <w:pPr>
        <w:jc w:val="both"/>
        <w:rPr>
          <w:b/>
          <w:bCs/>
          <w:sz w:val="32"/>
          <w:szCs w:val="32"/>
        </w:rPr>
      </w:pPr>
      <w:r w:rsidRPr="005553DC">
        <w:rPr>
          <w:b/>
          <w:bCs/>
          <w:sz w:val="32"/>
          <w:szCs w:val="32"/>
        </w:rPr>
        <w:t>MODULE:               PSYCHOLOGY IN HEALTH AND SOCIAL CARE</w:t>
      </w:r>
    </w:p>
    <w:p w14:paraId="43250C97" w14:textId="20307F35" w:rsidR="005553DC" w:rsidRPr="005553DC" w:rsidRDefault="005553DC" w:rsidP="00A64E61">
      <w:pPr>
        <w:jc w:val="both"/>
        <w:rPr>
          <w:b/>
          <w:bCs/>
          <w:sz w:val="32"/>
          <w:szCs w:val="32"/>
        </w:rPr>
      </w:pPr>
      <w:r w:rsidRPr="005553DC">
        <w:rPr>
          <w:b/>
          <w:bCs/>
          <w:sz w:val="32"/>
          <w:szCs w:val="32"/>
        </w:rPr>
        <w:t xml:space="preserve">CODE:                   </w:t>
      </w:r>
      <w:proofErr w:type="gramStart"/>
      <w:r w:rsidRPr="005553DC">
        <w:rPr>
          <w:b/>
          <w:bCs/>
          <w:sz w:val="32"/>
          <w:szCs w:val="32"/>
        </w:rPr>
        <w:t xml:space="preserve">   (</w:t>
      </w:r>
      <w:proofErr w:type="gramEnd"/>
      <w:r w:rsidRPr="005553DC">
        <w:rPr>
          <w:b/>
          <w:bCs/>
          <w:sz w:val="32"/>
          <w:szCs w:val="32"/>
        </w:rPr>
        <w:t xml:space="preserve"> LCHS4010_LON)</w:t>
      </w:r>
    </w:p>
    <w:p w14:paraId="638B04B9" w14:textId="77777777" w:rsidR="005553DC" w:rsidRPr="005553DC" w:rsidRDefault="005553DC" w:rsidP="00A64E61">
      <w:pPr>
        <w:jc w:val="both"/>
        <w:rPr>
          <w:sz w:val="32"/>
          <w:szCs w:val="32"/>
        </w:rPr>
      </w:pPr>
    </w:p>
    <w:p w14:paraId="455C01A9" w14:textId="77777777" w:rsidR="005553DC" w:rsidRDefault="005553DC" w:rsidP="00A64E61">
      <w:pPr>
        <w:jc w:val="both"/>
      </w:pPr>
    </w:p>
    <w:p w14:paraId="42D59A64" w14:textId="77777777" w:rsidR="005553DC" w:rsidRDefault="005553DC" w:rsidP="00A64E61">
      <w:pPr>
        <w:jc w:val="both"/>
      </w:pPr>
    </w:p>
    <w:p w14:paraId="2AAC10A7" w14:textId="77777777" w:rsidR="005553DC" w:rsidRDefault="005553DC" w:rsidP="00A64E61">
      <w:pPr>
        <w:jc w:val="both"/>
      </w:pPr>
    </w:p>
    <w:p w14:paraId="0F3C4637" w14:textId="77777777" w:rsidR="005553DC" w:rsidRDefault="005553DC" w:rsidP="00A64E61">
      <w:pPr>
        <w:jc w:val="both"/>
      </w:pPr>
    </w:p>
    <w:p w14:paraId="3BE8AF8A" w14:textId="77777777" w:rsidR="005553DC" w:rsidRDefault="005553DC" w:rsidP="00A64E61">
      <w:pPr>
        <w:jc w:val="both"/>
      </w:pPr>
    </w:p>
    <w:p w14:paraId="55B30417" w14:textId="77777777" w:rsidR="005553DC" w:rsidRDefault="005553DC" w:rsidP="00A64E61">
      <w:pPr>
        <w:jc w:val="both"/>
      </w:pPr>
    </w:p>
    <w:p w14:paraId="4EA1239B" w14:textId="77777777" w:rsidR="005553DC" w:rsidRDefault="005553DC" w:rsidP="00A64E61">
      <w:pPr>
        <w:jc w:val="both"/>
      </w:pPr>
    </w:p>
    <w:p w14:paraId="23F131ED" w14:textId="77777777" w:rsidR="005553DC" w:rsidRDefault="005553DC" w:rsidP="00A64E61">
      <w:pPr>
        <w:jc w:val="both"/>
      </w:pPr>
    </w:p>
    <w:p w14:paraId="7DBBFD4B" w14:textId="77777777" w:rsidR="005553DC" w:rsidRDefault="005553DC" w:rsidP="00A64E61">
      <w:pPr>
        <w:jc w:val="both"/>
      </w:pPr>
    </w:p>
    <w:p w14:paraId="50B06348" w14:textId="77777777" w:rsidR="005553DC" w:rsidRDefault="005553DC" w:rsidP="00A64E61">
      <w:pPr>
        <w:jc w:val="both"/>
      </w:pPr>
    </w:p>
    <w:p w14:paraId="69197192" w14:textId="77777777" w:rsidR="005553DC" w:rsidRDefault="005553DC" w:rsidP="00A64E61">
      <w:pPr>
        <w:jc w:val="both"/>
      </w:pPr>
    </w:p>
    <w:p w14:paraId="3BAC2A74" w14:textId="77777777" w:rsidR="005553DC" w:rsidRDefault="005553DC" w:rsidP="00A64E61">
      <w:pPr>
        <w:jc w:val="both"/>
      </w:pPr>
    </w:p>
    <w:p w14:paraId="3B7E0A9C" w14:textId="77777777" w:rsidR="005553DC" w:rsidRDefault="005553DC" w:rsidP="00A64E61">
      <w:pPr>
        <w:jc w:val="both"/>
      </w:pPr>
    </w:p>
    <w:p w14:paraId="0EBC5C1B" w14:textId="77777777" w:rsidR="005553DC" w:rsidRDefault="005553DC" w:rsidP="00A64E61">
      <w:pPr>
        <w:jc w:val="both"/>
      </w:pPr>
    </w:p>
    <w:p w14:paraId="3206E4D0" w14:textId="77777777" w:rsidR="005553DC" w:rsidRDefault="005553DC" w:rsidP="00A64E61">
      <w:pPr>
        <w:jc w:val="both"/>
      </w:pPr>
    </w:p>
    <w:p w14:paraId="7C8F5658" w14:textId="77777777" w:rsidR="005553DC" w:rsidRDefault="005553DC" w:rsidP="00A64E61">
      <w:pPr>
        <w:jc w:val="both"/>
      </w:pPr>
    </w:p>
    <w:p w14:paraId="20EA5249" w14:textId="77777777" w:rsidR="005553DC" w:rsidRDefault="005553DC" w:rsidP="00A64E61">
      <w:pPr>
        <w:jc w:val="both"/>
      </w:pPr>
    </w:p>
    <w:p w14:paraId="797CC16F" w14:textId="77777777" w:rsidR="005553DC" w:rsidRDefault="005553DC" w:rsidP="00A64E61">
      <w:pPr>
        <w:jc w:val="both"/>
      </w:pPr>
    </w:p>
    <w:p w14:paraId="57EE4960" w14:textId="77777777" w:rsidR="005553DC" w:rsidRDefault="005553DC" w:rsidP="00A64E61">
      <w:pPr>
        <w:jc w:val="both"/>
      </w:pPr>
    </w:p>
    <w:p w14:paraId="701BCB2B" w14:textId="77777777" w:rsidR="005553DC" w:rsidRDefault="005553DC" w:rsidP="00A64E61">
      <w:pPr>
        <w:jc w:val="both"/>
      </w:pPr>
    </w:p>
    <w:p w14:paraId="547D1758" w14:textId="77777777" w:rsidR="005553DC" w:rsidRDefault="005553DC" w:rsidP="00A64E61">
      <w:pPr>
        <w:jc w:val="both"/>
      </w:pPr>
    </w:p>
    <w:p w14:paraId="2DE93FAD" w14:textId="77777777" w:rsidR="005553DC" w:rsidRDefault="005553DC" w:rsidP="00A64E61">
      <w:pPr>
        <w:jc w:val="both"/>
      </w:pPr>
    </w:p>
    <w:p w14:paraId="7AE78F5D" w14:textId="77777777" w:rsidR="005553DC" w:rsidRDefault="005553DC" w:rsidP="00A64E61">
      <w:pPr>
        <w:jc w:val="both"/>
      </w:pPr>
    </w:p>
    <w:p w14:paraId="6CCA6279" w14:textId="683CADE1" w:rsidR="00A64E61" w:rsidRPr="005553DC" w:rsidRDefault="00A64E61" w:rsidP="00A64E61">
      <w:pPr>
        <w:jc w:val="both"/>
        <w:rPr>
          <w:b/>
          <w:bCs/>
        </w:rPr>
      </w:pPr>
      <w:r w:rsidRPr="005553DC">
        <w:rPr>
          <w:b/>
          <w:bCs/>
        </w:rPr>
        <w:t>Erikson’s Psychosocial Stages</w:t>
      </w:r>
    </w:p>
    <w:p w14:paraId="2B30B44B" w14:textId="77777777" w:rsidR="00A64E61" w:rsidRPr="005553DC" w:rsidRDefault="00A64E61" w:rsidP="00A64E61">
      <w:pPr>
        <w:jc w:val="both"/>
        <w:rPr>
          <w:b/>
          <w:bCs/>
        </w:rPr>
      </w:pPr>
      <w:r w:rsidRPr="005553DC">
        <w:rPr>
          <w:b/>
          <w:bCs/>
        </w:rPr>
        <w:t>Reference:</w:t>
      </w:r>
    </w:p>
    <w:p w14:paraId="3F12B5D5" w14:textId="04E22721" w:rsidR="00A64E61" w:rsidRPr="005553DC" w:rsidRDefault="00A64E61" w:rsidP="00A64E61">
      <w:pPr>
        <w:jc w:val="both"/>
        <w:rPr>
          <w:b/>
          <w:bCs/>
        </w:rPr>
      </w:pPr>
      <w:r w:rsidRPr="005553DC">
        <w:rPr>
          <w:b/>
          <w:bCs/>
        </w:rPr>
        <w:t>Maree, J. (2021). The psychosocial development theory of Erik Erikson: critical overview. Early Child Development and Care, 191(7-8), pp. 1100–1112. doi.org/10.1080/03004430.2020.1845163.</w:t>
      </w:r>
    </w:p>
    <w:p w14:paraId="621EC8E6" w14:textId="77777777" w:rsidR="00A64E61" w:rsidRPr="005553DC" w:rsidRDefault="00A64E61" w:rsidP="00A64E61">
      <w:pPr>
        <w:jc w:val="both"/>
        <w:rPr>
          <w:b/>
          <w:bCs/>
        </w:rPr>
      </w:pPr>
    </w:p>
    <w:p w14:paraId="4BD68086" w14:textId="77777777" w:rsidR="00A64E61" w:rsidRPr="005553DC" w:rsidRDefault="00A64E61" w:rsidP="00A64E61">
      <w:pPr>
        <w:jc w:val="both"/>
        <w:rPr>
          <w:b/>
          <w:bCs/>
        </w:rPr>
      </w:pPr>
      <w:r w:rsidRPr="005553DC">
        <w:rPr>
          <w:b/>
          <w:bCs/>
        </w:rPr>
        <w:t>Summary:</w:t>
      </w:r>
    </w:p>
    <w:p w14:paraId="7F0D6DD7" w14:textId="74B77305" w:rsidR="00A64E61" w:rsidRPr="005553DC" w:rsidRDefault="00A64E61" w:rsidP="00A64E61">
      <w:pPr>
        <w:jc w:val="both"/>
        <w:rPr>
          <w:b/>
          <w:bCs/>
        </w:rPr>
      </w:pPr>
      <w:r w:rsidRPr="005553DC">
        <w:rPr>
          <w:b/>
          <w:bCs/>
        </w:rPr>
        <w:t>According to Erikson, the psychosocial theory of development identifies eight stages of development that are defined by a psychosocial conflict at the center of each stage that impacts emotional and social wellbeing. Late adulthood is the time of integrity versus despair, and the person is looking back on their life experiences. The achievement of integrity successfully enables older adults to experience a sense of fulfillment and acceptance, and failure to accomplish this phase may lead to despair, regret, and psychological distress. Erikson highlights the importance of social relations, individual success, and life stories in ensuring good results in adulthood.</w:t>
      </w:r>
    </w:p>
    <w:p w14:paraId="413BD727" w14:textId="77777777" w:rsidR="00A64E61" w:rsidRPr="005553DC" w:rsidRDefault="00A64E61" w:rsidP="00A64E61">
      <w:pPr>
        <w:jc w:val="both"/>
        <w:rPr>
          <w:b/>
          <w:bCs/>
        </w:rPr>
      </w:pPr>
      <w:r w:rsidRPr="005553DC">
        <w:rPr>
          <w:b/>
          <w:bCs/>
        </w:rPr>
        <w:t>Critical Comment:</w:t>
      </w:r>
    </w:p>
    <w:p w14:paraId="2FB9CB5C" w14:textId="7B47500F" w:rsidR="00A64E61" w:rsidRPr="005553DC" w:rsidRDefault="00A64E61" w:rsidP="00A64E61">
      <w:pPr>
        <w:jc w:val="both"/>
        <w:rPr>
          <w:b/>
          <w:bCs/>
        </w:rPr>
      </w:pPr>
      <w:r w:rsidRPr="005553DC">
        <w:rPr>
          <w:b/>
          <w:bCs/>
        </w:rPr>
        <w:t>The theory is specifically applicable in residential care facilities since it emphasizes the notion of helping older adults to revisit their life experiences. Reminiscence therapy, life story work, and group discussions are some of the activities that can be facilitated by care professionals to enable residents to feel a sense of accomplishment and emotional wellbeing. The use of Erikson's model can help decrease isolation and depression and improve the quality of life.</w:t>
      </w:r>
    </w:p>
    <w:p w14:paraId="23AA1725" w14:textId="77777777" w:rsidR="00A64E61" w:rsidRPr="005553DC" w:rsidRDefault="00A64E61" w:rsidP="00A64E61">
      <w:pPr>
        <w:jc w:val="both"/>
        <w:rPr>
          <w:b/>
          <w:bCs/>
        </w:rPr>
      </w:pPr>
    </w:p>
    <w:p w14:paraId="7F81E3D9" w14:textId="0085C629" w:rsidR="00A64E61" w:rsidRPr="005553DC" w:rsidRDefault="00A64E61" w:rsidP="00A64E61">
      <w:pPr>
        <w:jc w:val="both"/>
        <w:rPr>
          <w:b/>
          <w:bCs/>
        </w:rPr>
      </w:pPr>
      <w:r w:rsidRPr="005553DC">
        <w:rPr>
          <w:b/>
          <w:bCs/>
        </w:rPr>
        <w:t>Havighurst’s Activity Theory</w:t>
      </w:r>
    </w:p>
    <w:p w14:paraId="350EE82E" w14:textId="77777777" w:rsidR="00A64E61" w:rsidRPr="005553DC" w:rsidRDefault="00A64E61" w:rsidP="00A64E61">
      <w:pPr>
        <w:jc w:val="both"/>
        <w:rPr>
          <w:b/>
          <w:bCs/>
        </w:rPr>
      </w:pPr>
      <w:r w:rsidRPr="005553DC">
        <w:rPr>
          <w:b/>
          <w:bCs/>
        </w:rPr>
        <w:t>Reference:</w:t>
      </w:r>
    </w:p>
    <w:p w14:paraId="2B7E706E" w14:textId="6C25A567" w:rsidR="00A64E61" w:rsidRPr="005553DC" w:rsidRDefault="00A64E61" w:rsidP="00A64E61">
      <w:pPr>
        <w:jc w:val="both"/>
        <w:rPr>
          <w:b/>
          <w:bCs/>
        </w:rPr>
      </w:pPr>
      <w:r w:rsidRPr="005553DC">
        <w:rPr>
          <w:b/>
          <w:bCs/>
        </w:rPr>
        <w:lastRenderedPageBreak/>
        <w:t>Teles, S. and Ribeiro, O. (2022). Activity Theory. Encyclopedia of Gerontology and Population Aging, Cham: Springer, pp. 36-44. doi.org/10.1007/978-3-030-22009-9_748.</w:t>
      </w:r>
    </w:p>
    <w:p w14:paraId="5C1455EA" w14:textId="77777777" w:rsidR="00A64E61" w:rsidRPr="005553DC" w:rsidRDefault="00A64E61" w:rsidP="00A64E61">
      <w:pPr>
        <w:jc w:val="both"/>
        <w:rPr>
          <w:b/>
          <w:bCs/>
        </w:rPr>
      </w:pPr>
    </w:p>
    <w:p w14:paraId="00B160AC" w14:textId="2CABF64B" w:rsidR="00A64E61" w:rsidRPr="005553DC" w:rsidRDefault="00A64E61" w:rsidP="00A64E61">
      <w:pPr>
        <w:jc w:val="both"/>
        <w:rPr>
          <w:b/>
          <w:bCs/>
        </w:rPr>
      </w:pPr>
      <w:r w:rsidRPr="005553DC">
        <w:rPr>
          <w:b/>
          <w:bCs/>
        </w:rPr>
        <w:t>Summary:</w:t>
      </w:r>
    </w:p>
    <w:p w14:paraId="0C612C56" w14:textId="03649F93" w:rsidR="00A64E61" w:rsidRPr="005553DC" w:rsidRDefault="00A64E61" w:rsidP="00A64E61">
      <w:pPr>
        <w:jc w:val="both"/>
        <w:rPr>
          <w:b/>
          <w:bCs/>
        </w:rPr>
      </w:pPr>
      <w:r w:rsidRPr="005553DC">
        <w:rPr>
          <w:b/>
          <w:bCs/>
        </w:rPr>
        <w:t>The Activity Theory proposed by Havighurst (1961), as interpreted by Teles and Ribeiro (2022), is that older adults participate in successful ageing by engaging socially and physically. It further assumes that older adults need to be active, engaged, and socially involved to ensure their wellbeing. This theory posits that those who are physically, socially, and mentally active are in a better position to find satisfaction and a feeling of purpose in their later years. This is contrary to the belief that ag</w:t>
      </w:r>
      <w:r w:rsidR="0041015B" w:rsidRPr="005553DC">
        <w:rPr>
          <w:b/>
          <w:bCs/>
        </w:rPr>
        <w:t>e</w:t>
      </w:r>
      <w:r w:rsidRPr="005553DC">
        <w:rPr>
          <w:b/>
          <w:bCs/>
        </w:rPr>
        <w:t>ing naturally means to withdraw from social roles; rather, further engagement in meaningful activities brings adaptation, self-esteem, and psychological resilience.</w:t>
      </w:r>
    </w:p>
    <w:p w14:paraId="06EE93B2" w14:textId="77777777" w:rsidR="00A64E61" w:rsidRPr="005553DC" w:rsidRDefault="00A64E61" w:rsidP="00A64E61">
      <w:pPr>
        <w:jc w:val="both"/>
        <w:rPr>
          <w:b/>
          <w:bCs/>
        </w:rPr>
      </w:pPr>
      <w:r w:rsidRPr="005553DC">
        <w:rPr>
          <w:b/>
          <w:bCs/>
        </w:rPr>
        <w:t>Critical Comment:</w:t>
      </w:r>
    </w:p>
    <w:p w14:paraId="09A4CCD7" w14:textId="77777777" w:rsidR="00A64E61" w:rsidRPr="005553DC" w:rsidRDefault="00A64E61" w:rsidP="00A64E61">
      <w:pPr>
        <w:jc w:val="both"/>
        <w:rPr>
          <w:b/>
          <w:bCs/>
        </w:rPr>
      </w:pPr>
      <w:r w:rsidRPr="005553DC">
        <w:rPr>
          <w:b/>
          <w:bCs/>
        </w:rPr>
        <w:t>Activity Theory is quite applicable to health and social care professionals, since it offers a model to develop care programs that are participatory. In the home, planned social events, hobby clubs, and volunteer projects can assist the aged group to be cognitively active, emotionally stable, and socially connected. The integration of the theory in care planning makes sure that the residents are active, engaged, and assisted in their personal development.</w:t>
      </w:r>
    </w:p>
    <w:p w14:paraId="1252F7ED" w14:textId="77777777" w:rsidR="00A64E61" w:rsidRPr="005553DC" w:rsidRDefault="00A64E61" w:rsidP="00A64E61">
      <w:pPr>
        <w:jc w:val="both"/>
        <w:rPr>
          <w:b/>
          <w:bCs/>
        </w:rPr>
      </w:pPr>
    </w:p>
    <w:p w14:paraId="13FDEBD5" w14:textId="754DB9E1" w:rsidR="00A64E61" w:rsidRPr="005553DC" w:rsidRDefault="00A64E61" w:rsidP="00A64E61">
      <w:pPr>
        <w:jc w:val="both"/>
        <w:rPr>
          <w:b/>
          <w:bCs/>
        </w:rPr>
      </w:pPr>
      <w:r w:rsidRPr="005553DC">
        <w:rPr>
          <w:b/>
          <w:bCs/>
        </w:rPr>
        <w:t>Positive Psychology Approaches to Ageing</w:t>
      </w:r>
    </w:p>
    <w:p w14:paraId="1A3A4F22" w14:textId="77777777" w:rsidR="00A64E61" w:rsidRPr="005553DC" w:rsidRDefault="00A64E61" w:rsidP="00A64E61">
      <w:pPr>
        <w:jc w:val="both"/>
        <w:rPr>
          <w:b/>
          <w:bCs/>
        </w:rPr>
      </w:pPr>
      <w:r w:rsidRPr="005553DC">
        <w:rPr>
          <w:b/>
          <w:bCs/>
        </w:rPr>
        <w:t>Reference:</w:t>
      </w:r>
    </w:p>
    <w:p w14:paraId="2E94C680" w14:textId="61DB3712" w:rsidR="00A64E61" w:rsidRPr="005553DC" w:rsidRDefault="00A64E61" w:rsidP="00A64E61">
      <w:pPr>
        <w:jc w:val="both"/>
        <w:rPr>
          <w:b/>
          <w:bCs/>
        </w:rPr>
      </w:pPr>
      <w:r w:rsidRPr="005553DC">
        <w:rPr>
          <w:b/>
          <w:bCs/>
        </w:rPr>
        <w:t>Marks, R. (2021). Positive Psychology of Aging. Journal of Aging Research and HealthCare,</w:t>
      </w:r>
    </w:p>
    <w:p w14:paraId="1C8FF584" w14:textId="77777777" w:rsidR="00A64E61" w:rsidRPr="005553DC" w:rsidRDefault="00A64E61" w:rsidP="00A64E61">
      <w:pPr>
        <w:jc w:val="both"/>
        <w:rPr>
          <w:b/>
          <w:bCs/>
        </w:rPr>
      </w:pPr>
      <w:r w:rsidRPr="005553DC">
        <w:rPr>
          <w:b/>
          <w:bCs/>
        </w:rPr>
        <w:t>4(1), pp. 1–8. doi.org/10.14302/issn.2474-7785.jarh-21-3979.</w:t>
      </w:r>
    </w:p>
    <w:p w14:paraId="59CA9AB3" w14:textId="77777777" w:rsidR="00A64E61" w:rsidRPr="005553DC" w:rsidRDefault="00A64E61" w:rsidP="00A64E61">
      <w:pPr>
        <w:jc w:val="both"/>
        <w:rPr>
          <w:b/>
          <w:bCs/>
        </w:rPr>
      </w:pPr>
    </w:p>
    <w:p w14:paraId="4C9DA562" w14:textId="22F1E1AC" w:rsidR="00A64E61" w:rsidRPr="005553DC" w:rsidRDefault="00A64E61" w:rsidP="00A64E61">
      <w:pPr>
        <w:jc w:val="both"/>
        <w:rPr>
          <w:b/>
          <w:bCs/>
        </w:rPr>
      </w:pPr>
      <w:r w:rsidRPr="005553DC">
        <w:rPr>
          <w:b/>
          <w:bCs/>
        </w:rPr>
        <w:t>Summary:</w:t>
      </w:r>
    </w:p>
    <w:p w14:paraId="56DE9111" w14:textId="464A7975" w:rsidR="00A64E61" w:rsidRPr="005553DC" w:rsidRDefault="00A64E61" w:rsidP="00A64E61">
      <w:pPr>
        <w:jc w:val="both"/>
        <w:rPr>
          <w:b/>
          <w:bCs/>
        </w:rPr>
      </w:pPr>
      <w:r w:rsidRPr="005553DC">
        <w:rPr>
          <w:b/>
          <w:bCs/>
        </w:rPr>
        <w:t>The emphasis of positive psychology is on enhancing wellbeing by using strengths, optimism, and resilience as opposed to only fixing problems or shortcomings. Within the ag</w:t>
      </w:r>
      <w:r w:rsidR="0041015B" w:rsidRPr="005553DC">
        <w:rPr>
          <w:b/>
          <w:bCs/>
        </w:rPr>
        <w:t>e</w:t>
      </w:r>
      <w:r w:rsidRPr="005553DC">
        <w:rPr>
          <w:b/>
          <w:bCs/>
        </w:rPr>
        <w:t>ing context, this strategy focuses on increasing positive feelings, cultivating a sense of gratitude, and recognizing strengths. Positive psychology interventions, including gratitude, mindfulness, and strengths-based interventions, have been demonstrated to enhance emotional wellbeing, social interactions, and life satisfaction in older adults.</w:t>
      </w:r>
    </w:p>
    <w:p w14:paraId="33702BAB" w14:textId="77777777" w:rsidR="00A64E61" w:rsidRPr="005553DC" w:rsidRDefault="00A64E61" w:rsidP="00A64E61">
      <w:pPr>
        <w:jc w:val="both"/>
        <w:rPr>
          <w:b/>
          <w:bCs/>
        </w:rPr>
      </w:pPr>
      <w:r w:rsidRPr="005553DC">
        <w:rPr>
          <w:b/>
          <w:bCs/>
        </w:rPr>
        <w:lastRenderedPageBreak/>
        <w:t>Critical Comment:</w:t>
      </w:r>
    </w:p>
    <w:p w14:paraId="71480793" w14:textId="66225198" w:rsidR="00A64E61" w:rsidRPr="005553DC" w:rsidRDefault="00A64E61" w:rsidP="00A64E61">
      <w:pPr>
        <w:jc w:val="both"/>
        <w:rPr>
          <w:b/>
          <w:bCs/>
        </w:rPr>
      </w:pPr>
      <w:r w:rsidRPr="005553DC">
        <w:rPr>
          <w:b/>
          <w:bCs/>
        </w:rPr>
        <w:t>Positive psychology offers effective measures that health and social care workers can use to improve the wellbeing of the elderly. Promoting residents to think about accomplishments, be thankful, and do meaningful things promotes a positive sense of identity and strength. In residential settings, this practice can be used to supplement the conventional care paradigms by emphasizing emotional and psychological wellbeing as well as physical health.</w:t>
      </w:r>
    </w:p>
    <w:p w14:paraId="7357850A" w14:textId="77777777" w:rsidR="00A64E61" w:rsidRPr="005553DC" w:rsidRDefault="00A64E61" w:rsidP="00A64E61">
      <w:pPr>
        <w:jc w:val="both"/>
        <w:rPr>
          <w:b/>
          <w:bCs/>
        </w:rPr>
      </w:pPr>
    </w:p>
    <w:p w14:paraId="7F97CD89" w14:textId="77777777" w:rsidR="00A64E61" w:rsidRPr="005553DC" w:rsidRDefault="00A64E61" w:rsidP="00A64E61">
      <w:pPr>
        <w:jc w:val="both"/>
        <w:rPr>
          <w:b/>
          <w:bCs/>
        </w:rPr>
      </w:pPr>
    </w:p>
    <w:p w14:paraId="3E13640E" w14:textId="77777777" w:rsidR="00A64E61" w:rsidRPr="005553DC" w:rsidRDefault="00A64E61" w:rsidP="00A64E61">
      <w:pPr>
        <w:jc w:val="both"/>
        <w:rPr>
          <w:b/>
          <w:bCs/>
        </w:rPr>
      </w:pPr>
    </w:p>
    <w:p w14:paraId="7DB4F92D" w14:textId="77777777" w:rsidR="00A64E61" w:rsidRPr="005553DC" w:rsidRDefault="00A64E61" w:rsidP="00A64E61">
      <w:pPr>
        <w:jc w:val="both"/>
        <w:rPr>
          <w:b/>
          <w:bCs/>
        </w:rPr>
      </w:pPr>
      <w:r w:rsidRPr="005553DC">
        <w:rPr>
          <w:b/>
          <w:bCs/>
        </w:rPr>
        <w:t>Bowlby’s Attachment Theory</w:t>
      </w:r>
    </w:p>
    <w:p w14:paraId="74D900B1" w14:textId="504772E6" w:rsidR="00A64E61" w:rsidRPr="005553DC" w:rsidRDefault="00A64E61" w:rsidP="00A64E61">
      <w:pPr>
        <w:jc w:val="both"/>
        <w:rPr>
          <w:b/>
          <w:bCs/>
        </w:rPr>
      </w:pPr>
      <w:r w:rsidRPr="005553DC">
        <w:rPr>
          <w:b/>
          <w:bCs/>
        </w:rPr>
        <w:t>Reference:</w:t>
      </w:r>
    </w:p>
    <w:p w14:paraId="43FC7D23" w14:textId="433B7868" w:rsidR="00A64E61" w:rsidRPr="005553DC" w:rsidRDefault="00A64E61" w:rsidP="00A64E61">
      <w:pPr>
        <w:jc w:val="both"/>
        <w:rPr>
          <w:b/>
          <w:bCs/>
        </w:rPr>
      </w:pPr>
      <w:r w:rsidRPr="005553DC">
        <w:rPr>
          <w:b/>
          <w:bCs/>
        </w:rPr>
        <w:t>Behrens, K., Jones-Mason, K., and Forslund, T. (2025). John Bowlby's theory of attachment and separation: what he had initially envisioned 50+ years ago, what we know now, and what to do next? Attachment and Human Development, 27(5).</w:t>
      </w:r>
    </w:p>
    <w:p w14:paraId="485984DA" w14:textId="77777777" w:rsidR="00A64E61" w:rsidRPr="005553DC" w:rsidRDefault="00A64E61" w:rsidP="00A64E61">
      <w:pPr>
        <w:jc w:val="both"/>
        <w:rPr>
          <w:b/>
          <w:bCs/>
        </w:rPr>
      </w:pPr>
      <w:r w:rsidRPr="005553DC">
        <w:rPr>
          <w:b/>
          <w:bCs/>
        </w:rPr>
        <w:t>doi.org/10.1080/14616734.2025.2550829.</w:t>
      </w:r>
    </w:p>
    <w:p w14:paraId="2D4A7092" w14:textId="77777777" w:rsidR="00A64E61" w:rsidRPr="005553DC" w:rsidRDefault="00A64E61" w:rsidP="00A64E61">
      <w:pPr>
        <w:jc w:val="both"/>
        <w:rPr>
          <w:b/>
          <w:bCs/>
        </w:rPr>
      </w:pPr>
    </w:p>
    <w:p w14:paraId="1BCD4E8F" w14:textId="77777777" w:rsidR="00A64E61" w:rsidRPr="005553DC" w:rsidRDefault="00A64E61" w:rsidP="00A64E61">
      <w:pPr>
        <w:jc w:val="both"/>
        <w:rPr>
          <w:b/>
          <w:bCs/>
        </w:rPr>
      </w:pPr>
      <w:r w:rsidRPr="005553DC">
        <w:rPr>
          <w:b/>
          <w:bCs/>
        </w:rPr>
        <w:t>Summary:</w:t>
      </w:r>
    </w:p>
    <w:p w14:paraId="2E4B7C4C" w14:textId="3E336EA7" w:rsidR="00A64E61" w:rsidRPr="005553DC" w:rsidRDefault="00A64E61" w:rsidP="00A64E61">
      <w:pPr>
        <w:jc w:val="both"/>
        <w:rPr>
          <w:b/>
          <w:bCs/>
        </w:rPr>
      </w:pPr>
      <w:r w:rsidRPr="005553DC">
        <w:rPr>
          <w:b/>
          <w:bCs/>
        </w:rPr>
        <w:t>The Attachment Theory introduced by Bowlby emphasizes the long-lasting effects of childhood attachment on emotional regulation, coping mechanisms, and lifelong relationships. Positive social relationships, adaptive coping strategies, and psychological resilience later in life are related to secure attachment patterns. On the other hand, insecure attachment can also help to create problems in developing relationships, dealing with loss, or addressing life transitions, which can lead to emotional wellbeing issues in older adults.</w:t>
      </w:r>
    </w:p>
    <w:p w14:paraId="20EC39DE" w14:textId="77777777" w:rsidR="00A64E61" w:rsidRPr="005553DC" w:rsidRDefault="00A64E61" w:rsidP="00A64E61">
      <w:pPr>
        <w:jc w:val="both"/>
        <w:rPr>
          <w:b/>
          <w:bCs/>
        </w:rPr>
      </w:pPr>
      <w:r w:rsidRPr="005553DC">
        <w:rPr>
          <w:b/>
          <w:bCs/>
        </w:rPr>
        <w:t>Critical Comment:</w:t>
      </w:r>
    </w:p>
    <w:p w14:paraId="2174AD5A" w14:textId="567848C8" w:rsidR="00A64E61" w:rsidRPr="005553DC" w:rsidRDefault="00A64E61" w:rsidP="00A64E61">
      <w:pPr>
        <w:jc w:val="both"/>
        <w:rPr>
          <w:b/>
          <w:bCs/>
        </w:rPr>
      </w:pPr>
      <w:r w:rsidRPr="005553DC">
        <w:rPr>
          <w:b/>
          <w:bCs/>
        </w:rPr>
        <w:t>Learning about attachment theory can be useful to care professionals dealing with older adults, especially in residential homes. Available relationships with residents can assist in reducing the impact of previous attachment disruptions and aid emotional stability by creating secure and supportive relationships with staff. Especially in the case of older adults who suffer loss, family separation, or anxiety, a safe setting in caregiving stimulates trust and comfort and mental health.</w:t>
      </w:r>
    </w:p>
    <w:p w14:paraId="142B15E9" w14:textId="77777777" w:rsidR="00A64E61" w:rsidRPr="005553DC" w:rsidRDefault="00A64E61" w:rsidP="00A64E61">
      <w:pPr>
        <w:jc w:val="both"/>
        <w:rPr>
          <w:b/>
          <w:bCs/>
        </w:rPr>
      </w:pPr>
    </w:p>
    <w:p w14:paraId="2A200BEE" w14:textId="77777777" w:rsidR="00A64E61" w:rsidRPr="005553DC" w:rsidRDefault="00A64E61" w:rsidP="00A64E61">
      <w:pPr>
        <w:jc w:val="both"/>
        <w:rPr>
          <w:b/>
          <w:bCs/>
        </w:rPr>
      </w:pPr>
      <w:r w:rsidRPr="005553DC">
        <w:rPr>
          <w:b/>
          <w:bCs/>
        </w:rPr>
        <w:lastRenderedPageBreak/>
        <w:t>Introduction</w:t>
      </w:r>
    </w:p>
    <w:p w14:paraId="2A76845A" w14:textId="77777777" w:rsidR="00A64E61" w:rsidRPr="005553DC" w:rsidRDefault="00A64E61" w:rsidP="00A64E61">
      <w:pPr>
        <w:jc w:val="both"/>
        <w:rPr>
          <w:b/>
          <w:bCs/>
        </w:rPr>
      </w:pPr>
    </w:p>
    <w:p w14:paraId="1FC030D6" w14:textId="5815115E" w:rsidR="00A64E61" w:rsidRPr="005553DC" w:rsidRDefault="00A64E61" w:rsidP="00A64E61">
      <w:pPr>
        <w:jc w:val="both"/>
        <w:rPr>
          <w:b/>
          <w:bCs/>
        </w:rPr>
      </w:pPr>
      <w:r w:rsidRPr="005553DC">
        <w:rPr>
          <w:b/>
          <w:bCs/>
        </w:rPr>
        <w:t xml:space="preserve">Having psychological wellbeing is an important feature of a holistic approach to older adults in residential facilities. The psychosocial theory by Erikson, specifically, the stage of integrity versus despair, which takes place in late adulthood, is one of the most influential theories to explain emotional and social development in later life </w:t>
      </w:r>
      <w:proofErr w:type="gramStart"/>
      <w:r w:rsidRPr="005553DC">
        <w:rPr>
          <w:b/>
          <w:bCs/>
        </w:rPr>
        <w:t>( Maree</w:t>
      </w:r>
      <w:proofErr w:type="gramEnd"/>
      <w:r w:rsidRPr="005553DC">
        <w:rPr>
          <w:b/>
          <w:bCs/>
        </w:rPr>
        <w:t>, 2021). The elderly at this age are looking back on their lives and want to attain some form of completeness and acceptance in their lives. Effective resolution of this phase will result in positive self-esteem, resilience, and life satisfaction, but failure can cause regret, hopelessness, or desperation.</w:t>
      </w:r>
    </w:p>
    <w:p w14:paraId="2B1E47CD" w14:textId="77777777" w:rsidR="00A64E61" w:rsidRPr="005553DC" w:rsidRDefault="00A64E61" w:rsidP="00A64E61">
      <w:pPr>
        <w:jc w:val="both"/>
        <w:rPr>
          <w:b/>
          <w:bCs/>
        </w:rPr>
      </w:pPr>
      <w:r w:rsidRPr="005553DC">
        <w:rPr>
          <w:b/>
          <w:bCs/>
        </w:rPr>
        <w:t>In the case of health and social care professionals, the use of the theory offered by Erikson will be a systematic way of assisting the residents with their emotional and psychological needs. With the support provided to older adults to reflect, validate, and engage in meaningful activities, staff can assist in creating a sense of integrity, dignity, and overall wellbeing.</w:t>
      </w:r>
    </w:p>
    <w:p w14:paraId="766DB7FA" w14:textId="71C12F9C" w:rsidR="00A64E61" w:rsidRPr="005553DC" w:rsidRDefault="00A64E61" w:rsidP="00A64E61">
      <w:pPr>
        <w:jc w:val="both"/>
        <w:rPr>
          <w:b/>
          <w:bCs/>
        </w:rPr>
      </w:pPr>
      <w:r w:rsidRPr="005553DC">
        <w:rPr>
          <w:b/>
          <w:bCs/>
        </w:rPr>
        <w:t xml:space="preserve"> </w:t>
      </w:r>
    </w:p>
    <w:p w14:paraId="7E892AB8" w14:textId="3E64358B" w:rsidR="00A64E61" w:rsidRPr="005553DC" w:rsidRDefault="00A64E61" w:rsidP="00A64E61">
      <w:pPr>
        <w:jc w:val="both"/>
        <w:rPr>
          <w:b/>
          <w:bCs/>
        </w:rPr>
      </w:pPr>
      <w:r w:rsidRPr="005553DC">
        <w:rPr>
          <w:b/>
          <w:bCs/>
        </w:rPr>
        <w:t>Theory of Erikson in Residential Care.</w:t>
      </w:r>
    </w:p>
    <w:p w14:paraId="6F38C0E3" w14:textId="16C3D3E5" w:rsidR="00A64E61" w:rsidRPr="005553DC" w:rsidRDefault="00A64E61" w:rsidP="00A64E61">
      <w:pPr>
        <w:jc w:val="both"/>
        <w:rPr>
          <w:b/>
          <w:bCs/>
        </w:rPr>
      </w:pPr>
      <w:r w:rsidRPr="005553DC">
        <w:rPr>
          <w:b/>
          <w:bCs/>
        </w:rPr>
        <w:t xml:space="preserve">The stage of integrity and despair by Erikson can be used in a residential care setting in </w:t>
      </w:r>
      <w:proofErr w:type="gramStart"/>
      <w:r w:rsidRPr="005553DC">
        <w:rPr>
          <w:b/>
          <w:bCs/>
        </w:rPr>
        <w:t>a number of</w:t>
      </w:r>
      <w:proofErr w:type="gramEnd"/>
      <w:r w:rsidRPr="005553DC">
        <w:rPr>
          <w:b/>
          <w:bCs/>
        </w:rPr>
        <w:t xml:space="preserve"> practical interventions. One of the main approaches includes reminiscence therapy, which is the systematic discussions or activities that help older adults to remember and retell about important life events, accomplishments, and personal narratives. The sessions might be held either in small groups or individually and might consist of photographs, personal mementos, or memory books. Through memories of the past, residents can celebrate their contributions and accomplishments, which promotes a sense of purpose and emotional satisfaction. The other usage is the life story work, which involves a staff assisting the residents in writing their life histories, including career accomplishments, family accomplishments, hobbies, and challenges faced. This not only strengthens the sense of self-identity but also enables the staff and peers to develop valuable relationships founded on common experiences. The sense of legacy, validation, and social inclusion can also be further promoted by intergenerational activities, e.g., storytelling with the younger generations. In addition, the application of Erikson's theory to the care planning process implies regular emotional check-ins, which will enable the staff to detect residents with issues of despair or unresolved conflicts from the previous stages of their lives. By listening empathically, encouraging, and prompting gently, professionals may help residents to relocate negative experiences and build acceptance.</w:t>
      </w:r>
    </w:p>
    <w:p w14:paraId="6F4CC1F8" w14:textId="77777777" w:rsidR="00A64E61" w:rsidRPr="005553DC" w:rsidRDefault="00A64E61" w:rsidP="00A64E61">
      <w:pPr>
        <w:jc w:val="both"/>
        <w:rPr>
          <w:b/>
          <w:bCs/>
        </w:rPr>
      </w:pPr>
    </w:p>
    <w:p w14:paraId="6EBA2A85" w14:textId="77777777" w:rsidR="00A64E61" w:rsidRDefault="00A64E61" w:rsidP="00A64E61">
      <w:pPr>
        <w:jc w:val="both"/>
      </w:pPr>
    </w:p>
    <w:p w14:paraId="10D1AD7B" w14:textId="4239FF8C" w:rsidR="00A64E61" w:rsidRPr="005553DC" w:rsidRDefault="00A64E61" w:rsidP="00A64E61">
      <w:pPr>
        <w:jc w:val="both"/>
        <w:rPr>
          <w:b/>
          <w:bCs/>
        </w:rPr>
      </w:pPr>
      <w:r w:rsidRPr="005553DC">
        <w:rPr>
          <w:b/>
          <w:bCs/>
        </w:rPr>
        <w:lastRenderedPageBreak/>
        <w:t>Case Scenario</w:t>
      </w:r>
    </w:p>
    <w:p w14:paraId="28EAA404" w14:textId="61835025" w:rsidR="00A64E61" w:rsidRPr="005553DC" w:rsidRDefault="00A64E61" w:rsidP="00A64E61">
      <w:pPr>
        <w:jc w:val="both"/>
        <w:rPr>
          <w:b/>
          <w:bCs/>
        </w:rPr>
      </w:pPr>
      <w:r w:rsidRPr="005553DC">
        <w:rPr>
          <w:b/>
          <w:bCs/>
        </w:rPr>
        <w:t xml:space="preserve">Mr. A is an 82-year-old patient who has lost his wife and is complaining of loneliness and depression. Using the theory proposed by Erikson, the care team uses a weekly reminiscence therapy session, in which Mr. A is prompted to </w:t>
      </w:r>
      <w:proofErr w:type="gramStart"/>
      <w:r w:rsidRPr="005553DC">
        <w:rPr>
          <w:b/>
          <w:bCs/>
        </w:rPr>
        <w:t>tell</w:t>
      </w:r>
      <w:proofErr w:type="gramEnd"/>
      <w:r w:rsidRPr="005553DC">
        <w:rPr>
          <w:b/>
          <w:bCs/>
        </w:rPr>
        <w:t xml:space="preserve"> about his career and family life stories. Photographs and personal objects are given by staff to arouse memories and facilitate dialogues. In </w:t>
      </w:r>
      <w:proofErr w:type="gramStart"/>
      <w:r w:rsidRPr="005553DC">
        <w:rPr>
          <w:b/>
          <w:bCs/>
        </w:rPr>
        <w:t>a number of</w:t>
      </w:r>
      <w:proofErr w:type="gramEnd"/>
      <w:r w:rsidRPr="005553DC">
        <w:rPr>
          <w:b/>
          <w:bCs/>
        </w:rPr>
        <w:t xml:space="preserve"> weeks, Mr. A </w:t>
      </w:r>
      <w:proofErr w:type="gramStart"/>
      <w:r w:rsidRPr="005553DC">
        <w:rPr>
          <w:b/>
          <w:bCs/>
        </w:rPr>
        <w:t>starts</w:t>
      </w:r>
      <w:proofErr w:type="gramEnd"/>
      <w:r w:rsidRPr="005553DC">
        <w:rPr>
          <w:b/>
          <w:bCs/>
        </w:rPr>
        <w:t xml:space="preserve"> feeling happy about his successes, sharing significant experiences, and interacting more with other residents in group activities. He is connected more with his peers and content with the life he has lived, which is a sign of overcoming the integrity vs. despair level. It is a systematic method that assists Mr. Be in being emotionally healthy, with dignity, and purpose despite personal loss.</w:t>
      </w:r>
    </w:p>
    <w:p w14:paraId="4CA2FBC1" w14:textId="77777777" w:rsidR="00A64E61" w:rsidRPr="005553DC" w:rsidRDefault="00A64E61" w:rsidP="00A64E61">
      <w:pPr>
        <w:jc w:val="both"/>
        <w:rPr>
          <w:b/>
          <w:bCs/>
        </w:rPr>
      </w:pPr>
      <w:r w:rsidRPr="005553DC">
        <w:rPr>
          <w:b/>
          <w:bCs/>
        </w:rPr>
        <w:t xml:space="preserve"> </w:t>
      </w:r>
    </w:p>
    <w:p w14:paraId="6FD0F299" w14:textId="1B4C5DFF" w:rsidR="00A64E61" w:rsidRPr="005553DC" w:rsidRDefault="00A64E61" w:rsidP="00A64E61">
      <w:pPr>
        <w:jc w:val="both"/>
        <w:rPr>
          <w:b/>
          <w:bCs/>
        </w:rPr>
      </w:pPr>
      <w:r w:rsidRPr="005553DC">
        <w:rPr>
          <w:b/>
          <w:bCs/>
        </w:rPr>
        <w:t>Difficulty in Using the Theory.</w:t>
      </w:r>
    </w:p>
    <w:p w14:paraId="3DF7B8D7" w14:textId="733273F1" w:rsidR="00A64E61" w:rsidRPr="005553DC" w:rsidRDefault="00A64E61" w:rsidP="00A64E61">
      <w:pPr>
        <w:jc w:val="both"/>
        <w:rPr>
          <w:b/>
          <w:bCs/>
        </w:rPr>
      </w:pPr>
      <w:r w:rsidRPr="005553DC">
        <w:rPr>
          <w:b/>
          <w:bCs/>
        </w:rPr>
        <w:t>One of the challenges in the implementation of Erikson's psychosocial theory is that not all residents will be willing or open to talk about past experiences, especially when such experiences may be traumatic, in the case of loss, or regret. This unwillingness has the potential to reduce the efficiency of reminiscence therapy or life story work and can lead to a deeper level of emotional distress should this not be approached with sensitivity.</w:t>
      </w:r>
    </w:p>
    <w:p w14:paraId="637AE140" w14:textId="77777777" w:rsidR="00A64E61" w:rsidRPr="005553DC" w:rsidRDefault="00A64E61" w:rsidP="00A64E61">
      <w:pPr>
        <w:jc w:val="both"/>
        <w:rPr>
          <w:b/>
          <w:bCs/>
        </w:rPr>
      </w:pPr>
      <w:r w:rsidRPr="005553DC">
        <w:rPr>
          <w:b/>
          <w:bCs/>
        </w:rPr>
        <w:t>Strategy to Overcome the Challenge:</w:t>
      </w:r>
    </w:p>
    <w:p w14:paraId="7DB3EA90" w14:textId="2FEE81E7" w:rsidR="00A64E61" w:rsidRPr="005553DC" w:rsidRDefault="00A64E61" w:rsidP="00A64E61">
      <w:pPr>
        <w:jc w:val="both"/>
        <w:rPr>
          <w:b/>
          <w:bCs/>
        </w:rPr>
      </w:pPr>
      <w:r w:rsidRPr="005553DC">
        <w:rPr>
          <w:b/>
          <w:bCs/>
        </w:rPr>
        <w:t>Health and social care professionals can overcome this obstacle by providing a safe, supportive, and flexible reflective environment. One of them is to provide one-to-one sessions during which the residents will be able to share at their own pace and not be pressured. Active listening, empathy, and positive reinforcement should be used by the staff, and it should be done with soft prompts and with open-ended questions, to motivate participation over time. Also, the use of other approaches, including creative arts, music, or guided journaling, would assist residents in sharing memories and emotions in a non-verbal way that would alleviate the level of anxiety and encourage their engagement.</w:t>
      </w:r>
    </w:p>
    <w:p w14:paraId="7A3A85E1" w14:textId="77777777" w:rsidR="00A64E61" w:rsidRPr="005553DC" w:rsidRDefault="00A64E61" w:rsidP="00A64E61">
      <w:pPr>
        <w:jc w:val="both"/>
        <w:rPr>
          <w:b/>
          <w:bCs/>
        </w:rPr>
      </w:pPr>
    </w:p>
    <w:p w14:paraId="18AF9778" w14:textId="77777777" w:rsidR="005553DC" w:rsidRDefault="005553DC" w:rsidP="00A64E61">
      <w:pPr>
        <w:jc w:val="both"/>
      </w:pPr>
    </w:p>
    <w:p w14:paraId="34675998" w14:textId="77777777" w:rsidR="005553DC" w:rsidRDefault="005553DC" w:rsidP="00A64E61">
      <w:pPr>
        <w:jc w:val="both"/>
      </w:pPr>
    </w:p>
    <w:p w14:paraId="195613E9" w14:textId="77777777" w:rsidR="005553DC" w:rsidRDefault="005553DC" w:rsidP="00A64E61">
      <w:pPr>
        <w:jc w:val="both"/>
      </w:pPr>
    </w:p>
    <w:p w14:paraId="2A3A0A43" w14:textId="77777777" w:rsidR="005553DC" w:rsidRDefault="005553DC" w:rsidP="00A64E61">
      <w:pPr>
        <w:jc w:val="both"/>
      </w:pPr>
    </w:p>
    <w:p w14:paraId="5EB85C41" w14:textId="77777777" w:rsidR="005553DC" w:rsidRDefault="005553DC" w:rsidP="00A64E61">
      <w:pPr>
        <w:jc w:val="both"/>
      </w:pPr>
    </w:p>
    <w:p w14:paraId="6D35361E" w14:textId="77777777" w:rsidR="005553DC" w:rsidRDefault="005553DC" w:rsidP="00A64E61">
      <w:pPr>
        <w:jc w:val="both"/>
      </w:pPr>
    </w:p>
    <w:p w14:paraId="4E633ABB" w14:textId="61B80F70" w:rsidR="00A64E61" w:rsidRPr="005553DC" w:rsidRDefault="00A64E61" w:rsidP="00A64E61">
      <w:pPr>
        <w:jc w:val="both"/>
        <w:rPr>
          <w:b/>
          <w:bCs/>
        </w:rPr>
      </w:pPr>
      <w:r w:rsidRPr="005553DC">
        <w:rPr>
          <w:b/>
          <w:bCs/>
        </w:rPr>
        <w:t>Conclusion</w:t>
      </w:r>
    </w:p>
    <w:p w14:paraId="270664F8" w14:textId="62CF82CB" w:rsidR="00A64E61" w:rsidRPr="005553DC" w:rsidRDefault="00A64E61" w:rsidP="00A64E61">
      <w:pPr>
        <w:jc w:val="both"/>
        <w:rPr>
          <w:b/>
          <w:bCs/>
        </w:rPr>
      </w:pPr>
      <w:r w:rsidRPr="005553DC">
        <w:rPr>
          <w:b/>
          <w:bCs/>
        </w:rPr>
        <w:t>The use of the psychosocial theory, as suggested by Erikson, in residential care offers a useful guideline to the enhancement of psychological wellbeing among the elderly. Care professionals can assist residents to gain a feeling of integrity, emotional fulfillment, and resilience by assisting them to reflect on their life experiences by using reminiscence therapy, life story work, and structured social activities. Although some difficulties, including unwillingness to tell personal stories, can be encountered, the development of a supportive, understanding, and comfortable atmosphere will make the intervention efficient and helpful. Finally, the application of the Erikson theory in daily care practices can improve the overall wellbeing, dignity, and emotional wellbeing of residents during later adulthood.</w:t>
      </w:r>
    </w:p>
    <w:p w14:paraId="48DF8363" w14:textId="77777777" w:rsidR="00A64E61" w:rsidRDefault="00A64E61" w:rsidP="00A64E61">
      <w:pPr>
        <w:jc w:val="both"/>
      </w:pPr>
    </w:p>
    <w:p w14:paraId="075DCA8A" w14:textId="77777777" w:rsidR="00A64E61" w:rsidRDefault="00A64E61" w:rsidP="00A64E61">
      <w:pPr>
        <w:jc w:val="both"/>
      </w:pPr>
    </w:p>
    <w:p w14:paraId="4E6A29AD" w14:textId="77777777" w:rsidR="00A64E61" w:rsidRDefault="00A64E61" w:rsidP="00A64E61">
      <w:pPr>
        <w:jc w:val="both"/>
      </w:pPr>
    </w:p>
    <w:p w14:paraId="45E3A6B5" w14:textId="77777777" w:rsidR="00A64E61" w:rsidRDefault="00A64E61" w:rsidP="00A64E61">
      <w:pPr>
        <w:jc w:val="both"/>
      </w:pPr>
    </w:p>
    <w:p w14:paraId="33F897BC" w14:textId="77777777" w:rsidR="00A64E61" w:rsidRDefault="00A64E61" w:rsidP="00A64E61">
      <w:pPr>
        <w:jc w:val="both"/>
      </w:pPr>
    </w:p>
    <w:p w14:paraId="0DE5D4A2" w14:textId="77777777" w:rsidR="00A64E61" w:rsidRDefault="00A64E61" w:rsidP="00A64E61">
      <w:pPr>
        <w:jc w:val="both"/>
      </w:pPr>
    </w:p>
    <w:p w14:paraId="37A16DEE" w14:textId="77777777" w:rsidR="00A64E61" w:rsidRDefault="00A64E61" w:rsidP="00A64E61">
      <w:pPr>
        <w:jc w:val="both"/>
      </w:pPr>
    </w:p>
    <w:p w14:paraId="5C3A73A5" w14:textId="77777777" w:rsidR="00A64E61" w:rsidRDefault="00A64E61" w:rsidP="00A64E61">
      <w:pPr>
        <w:jc w:val="both"/>
      </w:pPr>
    </w:p>
    <w:p w14:paraId="6C039E95" w14:textId="77777777" w:rsidR="00A64E61" w:rsidRDefault="00A64E61" w:rsidP="00A64E61">
      <w:pPr>
        <w:jc w:val="both"/>
      </w:pPr>
    </w:p>
    <w:p w14:paraId="0DC25039" w14:textId="77777777" w:rsidR="00A64E61" w:rsidRDefault="00A64E61" w:rsidP="00A64E61">
      <w:pPr>
        <w:jc w:val="both"/>
      </w:pPr>
    </w:p>
    <w:p w14:paraId="09E86689" w14:textId="77777777" w:rsidR="00A64E61" w:rsidRDefault="00A64E61" w:rsidP="00A64E61">
      <w:pPr>
        <w:jc w:val="both"/>
      </w:pPr>
    </w:p>
    <w:p w14:paraId="5C236B5D" w14:textId="77777777" w:rsidR="00A64E61" w:rsidRDefault="00A64E61" w:rsidP="00A64E61">
      <w:pPr>
        <w:jc w:val="both"/>
      </w:pPr>
    </w:p>
    <w:p w14:paraId="04DE3443" w14:textId="77777777" w:rsidR="00A64E61" w:rsidRDefault="00A64E61" w:rsidP="00A64E61">
      <w:pPr>
        <w:jc w:val="both"/>
      </w:pPr>
    </w:p>
    <w:p w14:paraId="7B46B864" w14:textId="77777777" w:rsidR="00A64E61" w:rsidRDefault="00A64E61" w:rsidP="00A64E61">
      <w:pPr>
        <w:jc w:val="both"/>
      </w:pPr>
    </w:p>
    <w:p w14:paraId="62A80772" w14:textId="77777777" w:rsidR="00A64E61" w:rsidRDefault="00A64E61" w:rsidP="00A64E61">
      <w:pPr>
        <w:jc w:val="both"/>
      </w:pPr>
    </w:p>
    <w:p w14:paraId="2696929A" w14:textId="77777777" w:rsidR="00A64E61" w:rsidRDefault="00A64E61" w:rsidP="00A64E61">
      <w:pPr>
        <w:jc w:val="both"/>
      </w:pPr>
    </w:p>
    <w:p w14:paraId="30338156" w14:textId="77777777" w:rsidR="005553DC" w:rsidRDefault="005553DC" w:rsidP="00A64E61">
      <w:pPr>
        <w:jc w:val="both"/>
      </w:pPr>
    </w:p>
    <w:p w14:paraId="424ECDD2" w14:textId="5A84B57E" w:rsidR="00A64E61" w:rsidRPr="005553DC" w:rsidRDefault="00A64E61" w:rsidP="00A64E61">
      <w:pPr>
        <w:jc w:val="both"/>
        <w:rPr>
          <w:b/>
          <w:bCs/>
        </w:rPr>
      </w:pPr>
      <w:r w:rsidRPr="005553DC">
        <w:rPr>
          <w:b/>
          <w:bCs/>
        </w:rPr>
        <w:lastRenderedPageBreak/>
        <w:t>REFERENCE:</w:t>
      </w:r>
    </w:p>
    <w:p w14:paraId="3F169C95" w14:textId="4891A809" w:rsidR="00A64E61" w:rsidRPr="005553DC" w:rsidRDefault="00A64E61" w:rsidP="00A64E61">
      <w:pPr>
        <w:jc w:val="both"/>
        <w:rPr>
          <w:b/>
          <w:bCs/>
        </w:rPr>
      </w:pPr>
      <w:r w:rsidRPr="005553DC">
        <w:rPr>
          <w:b/>
          <w:bCs/>
        </w:rPr>
        <w:t xml:space="preserve">Arani, Z., </w:t>
      </w:r>
      <w:proofErr w:type="spellStart"/>
      <w:r w:rsidRPr="005553DC">
        <w:rPr>
          <w:b/>
          <w:bCs/>
        </w:rPr>
        <w:t>Zanjari</w:t>
      </w:r>
      <w:proofErr w:type="spellEnd"/>
      <w:r w:rsidRPr="005553DC">
        <w:rPr>
          <w:b/>
          <w:bCs/>
        </w:rPr>
        <w:t xml:space="preserve">, N., </w:t>
      </w:r>
      <w:proofErr w:type="spellStart"/>
      <w:r w:rsidRPr="005553DC">
        <w:rPr>
          <w:b/>
          <w:bCs/>
        </w:rPr>
        <w:t>Delbari</w:t>
      </w:r>
      <w:proofErr w:type="spellEnd"/>
      <w:r w:rsidRPr="005553DC">
        <w:rPr>
          <w:b/>
          <w:bCs/>
        </w:rPr>
        <w:t xml:space="preserve">, A., and </w:t>
      </w:r>
      <w:proofErr w:type="spellStart"/>
      <w:r w:rsidRPr="005553DC">
        <w:rPr>
          <w:b/>
          <w:bCs/>
        </w:rPr>
        <w:t>Foroughan</w:t>
      </w:r>
      <w:proofErr w:type="spellEnd"/>
      <w:r w:rsidRPr="005553DC">
        <w:rPr>
          <w:b/>
          <w:bCs/>
        </w:rPr>
        <w:t xml:space="preserve">, M. (2021). Place attachment and aging: A scoping review. Journal of Human Behavior </w:t>
      </w:r>
      <w:proofErr w:type="gramStart"/>
      <w:r w:rsidRPr="005553DC">
        <w:rPr>
          <w:b/>
          <w:bCs/>
        </w:rPr>
        <w:t>In</w:t>
      </w:r>
      <w:proofErr w:type="gramEnd"/>
      <w:r w:rsidRPr="005553DC">
        <w:rPr>
          <w:b/>
          <w:bCs/>
        </w:rPr>
        <w:t xml:space="preserve"> </w:t>
      </w:r>
      <w:proofErr w:type="gramStart"/>
      <w:r w:rsidRPr="005553DC">
        <w:rPr>
          <w:b/>
          <w:bCs/>
        </w:rPr>
        <w:t>The</w:t>
      </w:r>
      <w:proofErr w:type="gramEnd"/>
      <w:r w:rsidRPr="005553DC">
        <w:rPr>
          <w:b/>
          <w:bCs/>
        </w:rPr>
        <w:t xml:space="preserve"> Social Environment, 32(13), pp.1-8. doi.org/10.1080/10911359.2020.1860852.</w:t>
      </w:r>
    </w:p>
    <w:p w14:paraId="112A8729" w14:textId="5923AC15" w:rsidR="00A64E61" w:rsidRPr="005553DC" w:rsidRDefault="00A64E61" w:rsidP="00A64E61">
      <w:pPr>
        <w:jc w:val="both"/>
        <w:rPr>
          <w:b/>
          <w:bCs/>
        </w:rPr>
      </w:pPr>
      <w:r w:rsidRPr="005553DC">
        <w:rPr>
          <w:b/>
          <w:bCs/>
        </w:rPr>
        <w:t>Behrens, K., Jones-Mason, K., and Forslund, T. (2025). John Bowlby’s theory of attachment and separation: revisiting his original visions after 50+ years, what we know today, and where to go from here? Attachment and Human Development, 27(5</w:t>
      </w:r>
      <w:proofErr w:type="gramStart"/>
      <w:r w:rsidRPr="005553DC">
        <w:rPr>
          <w:b/>
          <w:bCs/>
        </w:rPr>
        <w:t>) .</w:t>
      </w:r>
      <w:proofErr w:type="gramEnd"/>
      <w:r w:rsidRPr="005553DC">
        <w:rPr>
          <w:b/>
          <w:bCs/>
        </w:rPr>
        <w:t>doi.org/10.1080/14616734.2025.2550829.</w:t>
      </w:r>
    </w:p>
    <w:p w14:paraId="08F4A623" w14:textId="771F9841" w:rsidR="00A64E61" w:rsidRPr="005553DC" w:rsidRDefault="00A64E61" w:rsidP="00A64E61">
      <w:pPr>
        <w:jc w:val="both"/>
        <w:rPr>
          <w:b/>
          <w:bCs/>
        </w:rPr>
      </w:pPr>
      <w:r w:rsidRPr="005553DC">
        <w:rPr>
          <w:b/>
          <w:bCs/>
        </w:rPr>
        <w:t>Gonot-Schoupinsky, F., Garip, G. and Sheﬃeld, D (2021). The Engage-Disengage Model as an Inclusive Model for the Promotion of Healthy and Successful Aging in the Oldest-old. Activities, Adaptation and Ageing, 46(2). doi.org/10.1080/01924788.2021.1970892.</w:t>
      </w:r>
    </w:p>
    <w:p w14:paraId="3C68A35C" w14:textId="138C1B3C" w:rsidR="00A64E61" w:rsidRPr="005553DC" w:rsidRDefault="00A64E61" w:rsidP="00A64E61">
      <w:pPr>
        <w:jc w:val="both"/>
        <w:rPr>
          <w:b/>
          <w:bCs/>
        </w:rPr>
      </w:pPr>
      <w:proofErr w:type="spellStart"/>
      <w:r w:rsidRPr="005553DC">
        <w:rPr>
          <w:b/>
          <w:bCs/>
        </w:rPr>
        <w:t>kARANTZAS</w:t>
      </w:r>
      <w:proofErr w:type="spellEnd"/>
      <w:r w:rsidRPr="005553DC">
        <w:rPr>
          <w:b/>
          <w:bCs/>
        </w:rPr>
        <w:t>, G., Romano, D. and Lee, J. (2019). Attachment and aged care: a systematic review of current</w:t>
      </w:r>
      <w:r w:rsidRPr="005553DC">
        <w:rPr>
          <w:b/>
          <w:bCs/>
        </w:rPr>
        <w:tab/>
        <w:t>research.</w:t>
      </w:r>
      <w:r w:rsidRPr="005553DC">
        <w:rPr>
          <w:b/>
          <w:bCs/>
        </w:rPr>
        <w:tab/>
        <w:t>Current</w:t>
      </w:r>
      <w:r w:rsidRPr="005553DC">
        <w:rPr>
          <w:b/>
          <w:bCs/>
        </w:rPr>
        <w:tab/>
        <w:t>Opinion</w:t>
      </w:r>
      <w:r w:rsidRPr="005553DC">
        <w:rPr>
          <w:b/>
          <w:bCs/>
        </w:rPr>
        <w:tab/>
        <w:t>in</w:t>
      </w:r>
      <w:r w:rsidRPr="005553DC">
        <w:rPr>
          <w:b/>
          <w:bCs/>
        </w:rPr>
        <w:tab/>
        <w:t>Psychology,</w:t>
      </w:r>
      <w:r w:rsidRPr="005553DC">
        <w:rPr>
          <w:b/>
          <w:bCs/>
        </w:rPr>
        <w:tab/>
        <w:t>pp.37-46. doi.org/10.1016/j.copsyc.2018.02.016.</w:t>
      </w:r>
    </w:p>
    <w:p w14:paraId="390ADFD0" w14:textId="018B525F" w:rsidR="00A64E61" w:rsidRPr="005553DC" w:rsidRDefault="00A64E61" w:rsidP="00A64E61">
      <w:pPr>
        <w:jc w:val="both"/>
        <w:rPr>
          <w:b/>
          <w:bCs/>
        </w:rPr>
      </w:pPr>
      <w:r w:rsidRPr="005553DC">
        <w:rPr>
          <w:b/>
          <w:bCs/>
        </w:rPr>
        <w:t>Lai, H., Lau, S., Su, Y., and Sun, C (2025). Aging-in-Place Attachment Among Older Adults in Macau’s High-Density Community Spaces: A Multi-Dimensional Empirical Study. World, 6(3) doi.org/10.3390/world6030101.</w:t>
      </w:r>
    </w:p>
    <w:p w14:paraId="3321134F" w14:textId="58E3BACF" w:rsidR="00A64E61" w:rsidRPr="005553DC" w:rsidRDefault="00A64E61" w:rsidP="00A64E61">
      <w:pPr>
        <w:jc w:val="both"/>
        <w:rPr>
          <w:b/>
          <w:bCs/>
        </w:rPr>
      </w:pPr>
      <w:r w:rsidRPr="005553DC">
        <w:rPr>
          <w:b/>
          <w:bCs/>
        </w:rPr>
        <w:t>Maree, J. (2021). The psychosocial development theory of Erik Erikson: critical overview. Early Child Development and Care, 191(7-8), pp. 1100–1112. doi.org/10.1080/03004430.2020.1845163.</w:t>
      </w:r>
    </w:p>
    <w:p w14:paraId="5735FD77" w14:textId="4973C3FC" w:rsidR="00A64E61" w:rsidRPr="005553DC" w:rsidRDefault="00A64E61" w:rsidP="00A64E61">
      <w:pPr>
        <w:jc w:val="both"/>
        <w:rPr>
          <w:b/>
          <w:bCs/>
        </w:rPr>
      </w:pPr>
      <w:r w:rsidRPr="005553DC">
        <w:rPr>
          <w:b/>
          <w:bCs/>
        </w:rPr>
        <w:t>Marks, R. (2021). Aging and Positive Psychology. Journal of Ageing Research and HealthCare,</w:t>
      </w:r>
    </w:p>
    <w:p w14:paraId="4D498F87" w14:textId="77777777" w:rsidR="00A64E61" w:rsidRPr="005553DC" w:rsidRDefault="00A64E61" w:rsidP="00A64E61">
      <w:pPr>
        <w:jc w:val="both"/>
        <w:rPr>
          <w:b/>
          <w:bCs/>
        </w:rPr>
      </w:pPr>
      <w:r w:rsidRPr="005553DC">
        <w:rPr>
          <w:b/>
          <w:bCs/>
        </w:rPr>
        <w:t>4(1), pp. 1–8. doi.org/10.14302/issn.2474-7785.jarh-21-3979.</w:t>
      </w:r>
    </w:p>
    <w:p w14:paraId="26DD2A56" w14:textId="5DA3BB42" w:rsidR="00A64E61" w:rsidRPr="005553DC" w:rsidRDefault="00A64E61" w:rsidP="00A64E61">
      <w:pPr>
        <w:jc w:val="both"/>
        <w:rPr>
          <w:b/>
          <w:bCs/>
        </w:rPr>
      </w:pPr>
      <w:r w:rsidRPr="005553DC">
        <w:rPr>
          <w:b/>
          <w:bCs/>
        </w:rPr>
        <w:t xml:space="preserve">Rodway, C. and Spencer, R. (2025). Attachment in Old Age: A Fundamental Pillar for Public Health and Wellbeing. International Journal of Public Health. doi.org/10.3389/ijph.2025.1607770. </w:t>
      </w:r>
    </w:p>
    <w:p w14:paraId="548642CB" w14:textId="6D53ACBD" w:rsidR="00A64E61" w:rsidRPr="005553DC" w:rsidRDefault="00A64E61" w:rsidP="00A64E61">
      <w:pPr>
        <w:jc w:val="both"/>
        <w:rPr>
          <w:b/>
          <w:bCs/>
        </w:rPr>
      </w:pPr>
      <w:r w:rsidRPr="005553DC">
        <w:rPr>
          <w:b/>
          <w:bCs/>
        </w:rPr>
        <w:t>Teles, S. and Ribeiro, O. (2022). Activity Theory. Encyclopedia of Gerontology and Population Aging, Cham: Springer, pp. 36-44. doi.org/10.1007/978-3-030-22009-9_748.</w:t>
      </w:r>
    </w:p>
    <w:p w14:paraId="27506AC5" w14:textId="10CC735A" w:rsidR="00A64E61" w:rsidRPr="005553DC" w:rsidRDefault="00A64E61" w:rsidP="00A64E61">
      <w:pPr>
        <w:jc w:val="both"/>
        <w:rPr>
          <w:b/>
          <w:bCs/>
        </w:rPr>
      </w:pPr>
      <w:r w:rsidRPr="005553DC">
        <w:rPr>
          <w:b/>
          <w:bCs/>
        </w:rPr>
        <w:t xml:space="preserve">White, S., Walsh, S. </w:t>
      </w:r>
      <w:proofErr w:type="spellStart"/>
      <w:r w:rsidRPr="005553DC">
        <w:rPr>
          <w:b/>
          <w:bCs/>
        </w:rPr>
        <w:t>ShuttleWorth</w:t>
      </w:r>
      <w:proofErr w:type="spellEnd"/>
      <w:r w:rsidRPr="005553DC">
        <w:rPr>
          <w:b/>
          <w:bCs/>
        </w:rPr>
        <w:t>, S., and Dagnall, N. (2025). How identification with and attachment to place affects preference to move in later life: smallest space analysis. Frontiers in Psychology. https://doi.org/10.3389/fpsyg.2025.1704089</w:t>
      </w:r>
    </w:p>
    <w:sectPr w:rsidR="00A64E61" w:rsidRPr="005553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A2NjUztTQ0MTEyNzRU0lEKTi0uzszPAykwrAUAe0A3OCwAAAA="/>
  </w:docVars>
  <w:rsids>
    <w:rsidRoot w:val="00A64E61"/>
    <w:rsid w:val="001B3C4C"/>
    <w:rsid w:val="0041015B"/>
    <w:rsid w:val="005553DC"/>
    <w:rsid w:val="0089383B"/>
    <w:rsid w:val="0097646B"/>
    <w:rsid w:val="00983EA7"/>
    <w:rsid w:val="009C75A6"/>
    <w:rsid w:val="00A64E61"/>
    <w:rsid w:val="00E57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45493"/>
  <w15:chartTrackingRefBased/>
  <w15:docId w15:val="{AE3A822D-0842-4A0B-8529-5D3DA5130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E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4E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4E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4E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4E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4E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E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E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E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E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4E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4E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4E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4E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4E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E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E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E61"/>
    <w:rPr>
      <w:rFonts w:eastAsiaTheme="majorEastAsia" w:cstheme="majorBidi"/>
      <w:color w:val="272727" w:themeColor="text1" w:themeTint="D8"/>
    </w:rPr>
  </w:style>
  <w:style w:type="paragraph" w:styleId="Title">
    <w:name w:val="Title"/>
    <w:basedOn w:val="Normal"/>
    <w:next w:val="Normal"/>
    <w:link w:val="TitleChar"/>
    <w:uiPriority w:val="10"/>
    <w:qFormat/>
    <w:rsid w:val="00A64E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E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E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E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E61"/>
    <w:pPr>
      <w:spacing w:before="160"/>
      <w:jc w:val="center"/>
    </w:pPr>
    <w:rPr>
      <w:i/>
      <w:iCs/>
      <w:color w:val="404040" w:themeColor="text1" w:themeTint="BF"/>
    </w:rPr>
  </w:style>
  <w:style w:type="character" w:customStyle="1" w:styleId="QuoteChar">
    <w:name w:val="Quote Char"/>
    <w:basedOn w:val="DefaultParagraphFont"/>
    <w:link w:val="Quote"/>
    <w:uiPriority w:val="29"/>
    <w:rsid w:val="00A64E61"/>
    <w:rPr>
      <w:i/>
      <w:iCs/>
      <w:color w:val="404040" w:themeColor="text1" w:themeTint="BF"/>
    </w:rPr>
  </w:style>
  <w:style w:type="paragraph" w:styleId="ListParagraph">
    <w:name w:val="List Paragraph"/>
    <w:basedOn w:val="Normal"/>
    <w:uiPriority w:val="34"/>
    <w:qFormat/>
    <w:rsid w:val="00A64E61"/>
    <w:pPr>
      <w:ind w:left="720"/>
      <w:contextualSpacing/>
    </w:pPr>
  </w:style>
  <w:style w:type="character" w:styleId="IntenseEmphasis">
    <w:name w:val="Intense Emphasis"/>
    <w:basedOn w:val="DefaultParagraphFont"/>
    <w:uiPriority w:val="21"/>
    <w:qFormat/>
    <w:rsid w:val="00A64E61"/>
    <w:rPr>
      <w:i/>
      <w:iCs/>
      <w:color w:val="2F5496" w:themeColor="accent1" w:themeShade="BF"/>
    </w:rPr>
  </w:style>
  <w:style w:type="paragraph" w:styleId="IntenseQuote">
    <w:name w:val="Intense Quote"/>
    <w:basedOn w:val="Normal"/>
    <w:next w:val="Normal"/>
    <w:link w:val="IntenseQuoteChar"/>
    <w:uiPriority w:val="30"/>
    <w:qFormat/>
    <w:rsid w:val="00A64E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4E61"/>
    <w:rPr>
      <w:i/>
      <w:iCs/>
      <w:color w:val="2F5496" w:themeColor="accent1" w:themeShade="BF"/>
    </w:rPr>
  </w:style>
  <w:style w:type="character" w:styleId="IntenseReference">
    <w:name w:val="Intense Reference"/>
    <w:basedOn w:val="DefaultParagraphFont"/>
    <w:uiPriority w:val="32"/>
    <w:qFormat/>
    <w:rsid w:val="00A64E6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1974</Words>
  <Characters>11256</Characters>
  <Application>Microsoft Office Word</Application>
  <DocSecurity>0</DocSecurity>
  <Lines>93</Lines>
  <Paragraphs>26</Paragraphs>
  <ScaleCrop>false</ScaleCrop>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Ewemade Sylvia Enabulele (2437216)</cp:lastModifiedBy>
  <cp:revision>4</cp:revision>
  <dcterms:created xsi:type="dcterms:W3CDTF">2026-04-18T08:45:00Z</dcterms:created>
  <dcterms:modified xsi:type="dcterms:W3CDTF">2026-04-18T11:03:00Z</dcterms:modified>
</cp:coreProperties>
</file>