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92EAF" w14:textId="2EB9C184" w:rsidR="00B70F66" w:rsidRDefault="00B70F66" w:rsidP="00B70F66">
      <w:pPr>
        <w:rPr>
          <w:rFonts w:ascii="Arial" w:hAnsi="Arial" w:cs="Arial"/>
          <w:sz w:val="24"/>
          <w:szCs w:val="24"/>
        </w:rPr>
      </w:pPr>
      <w:r w:rsidRPr="00B70F66">
        <w:rPr>
          <w:rFonts w:ascii="Arial" w:hAnsi="Arial" w:cs="Arial"/>
          <w:sz w:val="24"/>
          <w:szCs w:val="24"/>
        </w:rPr>
        <w:t>Choose one of the following images. Consider how you might apply aspects of Bourdieu’s theory of practice to interpret it and critically evaluate what this might tell you about habitus and the organisation of the household in Chalcolithic or Bronze Age Cyprus.</w:t>
      </w:r>
    </w:p>
    <w:p w14:paraId="32B4C86F" w14:textId="77777777" w:rsidR="00B70F66" w:rsidRDefault="00B70F66" w:rsidP="00B70F66">
      <w:pPr>
        <w:rPr>
          <w:rFonts w:ascii="Arial" w:hAnsi="Arial" w:cs="Arial"/>
          <w:sz w:val="24"/>
          <w:szCs w:val="24"/>
        </w:rPr>
      </w:pPr>
    </w:p>
    <w:p w14:paraId="43B22E6F" w14:textId="77777777" w:rsidR="00423315" w:rsidRDefault="00B70F66" w:rsidP="00423315">
      <w:pPr>
        <w:keepNext/>
      </w:pPr>
      <w:r>
        <w:rPr>
          <w:noProof/>
        </w:rPr>
        <w:drawing>
          <wp:inline distT="0" distB="0" distL="0" distR="0" wp14:anchorId="7835D9D2" wp14:editId="44F23EF5">
            <wp:extent cx="3141824" cy="2073603"/>
            <wp:effectExtent l="0" t="0" r="1905" b="3175"/>
            <wp:docPr id="5" name="Content Placeholder 4">
              <a:extLst xmlns:a="http://schemas.openxmlformats.org/drawingml/2006/main">
                <a:ext uri="{FF2B5EF4-FFF2-40B4-BE49-F238E27FC236}">
                  <a16:creationId xmlns:a16="http://schemas.microsoft.com/office/drawing/2014/main" id="{A44AFBD1-F206-434B-B5F1-B2894D2C377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A44AFBD1-F206-434B-B5F1-B2894D2C377E}"/>
                        </a:ext>
                      </a:extLst>
                    </pic:cNvPr>
                    <pic:cNvPicPr>
                      <a:picLocks noGrp="1" noChangeAspect="1"/>
                    </pic:cNvPicPr>
                  </pic:nvPicPr>
                  <pic:blipFill>
                    <a:blip r:embed="rId11">
                      <a:extLst>
                        <a:ext uri="{BEBA8EAE-BF5A-486C-A8C5-ECC9F3942E4B}">
                          <a14:imgProps xmlns:a14="http://schemas.microsoft.com/office/drawing/2010/main">
                            <a14:imgLayer r:embed="rId12">
                              <a14:imgEffect>
                                <a14:brightnessContrast contrast="-40000"/>
                              </a14:imgEffect>
                            </a14:imgLayer>
                          </a14:imgProps>
                        </a:ext>
                      </a:extLst>
                    </a:blip>
                    <a:stretch>
                      <a:fillRect/>
                    </a:stretch>
                  </pic:blipFill>
                  <pic:spPr>
                    <a:xfrm>
                      <a:off x="0" y="0"/>
                      <a:ext cx="3155347" cy="2082528"/>
                    </a:xfrm>
                    <a:prstGeom prst="rect">
                      <a:avLst/>
                    </a:prstGeom>
                  </pic:spPr>
                </pic:pic>
              </a:graphicData>
            </a:graphic>
          </wp:inline>
        </w:drawing>
      </w:r>
    </w:p>
    <w:p w14:paraId="54FB0EBB" w14:textId="04C3B110" w:rsidR="00B70F66" w:rsidRPr="00B70F66" w:rsidRDefault="00423315" w:rsidP="00423315">
      <w:pPr>
        <w:pStyle w:val="Caption"/>
        <w:rPr>
          <w:rFonts w:ascii="Arial" w:hAnsi="Arial" w:cs="Arial"/>
          <w:sz w:val="24"/>
          <w:szCs w:val="24"/>
        </w:rPr>
      </w:pPr>
      <w:r>
        <w:t xml:space="preserve">Figure </w:t>
      </w:r>
      <w:r w:rsidR="00EF7AD9">
        <w:fldChar w:fldCharType="begin"/>
      </w:r>
      <w:r w:rsidR="00EF7AD9">
        <w:instrText xml:space="preserve"> SEQ Figure \* ARABIC </w:instrText>
      </w:r>
      <w:r w:rsidR="00EF7AD9">
        <w:fldChar w:fldCharType="separate"/>
      </w:r>
      <w:r w:rsidR="00956D3E">
        <w:rPr>
          <w:noProof/>
        </w:rPr>
        <w:t>1</w:t>
      </w:r>
      <w:r w:rsidR="00EF7AD9">
        <w:rPr>
          <w:noProof/>
        </w:rPr>
        <w:fldChar w:fldCharType="end"/>
      </w:r>
    </w:p>
    <w:p w14:paraId="6C7A30FC" w14:textId="77777777" w:rsidR="00B70F66" w:rsidRDefault="00B70F66" w:rsidP="00B70F66">
      <w:pPr>
        <w:spacing w:after="0" w:line="240" w:lineRule="auto"/>
        <w:rPr>
          <w:rFonts w:ascii="Arial" w:eastAsia="Times New Roman" w:hAnsi="Arial" w:cs="Arial"/>
          <w:color w:val="000000"/>
          <w:lang w:eastAsia="en-GB"/>
        </w:rPr>
      </w:pPr>
    </w:p>
    <w:p w14:paraId="353FD1D8" w14:textId="77777777" w:rsidR="00B70F66" w:rsidRDefault="00B70F66" w:rsidP="00B70F66">
      <w:pPr>
        <w:spacing w:after="0" w:line="240" w:lineRule="auto"/>
        <w:rPr>
          <w:rFonts w:ascii="Arial" w:eastAsia="Times New Roman" w:hAnsi="Arial" w:cs="Arial"/>
          <w:color w:val="000000"/>
          <w:lang w:eastAsia="en-GB"/>
        </w:rPr>
      </w:pPr>
    </w:p>
    <w:p w14:paraId="088C63EC" w14:textId="77777777" w:rsidR="00B70F66" w:rsidRDefault="00B70F66" w:rsidP="00B70F66">
      <w:pPr>
        <w:spacing w:after="0" w:line="240" w:lineRule="auto"/>
        <w:rPr>
          <w:rFonts w:ascii="Arial" w:eastAsia="Times New Roman" w:hAnsi="Arial" w:cs="Arial"/>
          <w:color w:val="000000"/>
          <w:lang w:eastAsia="en-GB"/>
        </w:rPr>
      </w:pPr>
    </w:p>
    <w:p w14:paraId="0A322368" w14:textId="280D6780"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 xml:space="preserve">The image supplied of Tomb 11 is a reconstructive drawing of the tomb itself which was discovered at </w:t>
      </w:r>
      <w:proofErr w:type="spellStart"/>
      <w:r w:rsidRPr="00B70F66">
        <w:rPr>
          <w:rFonts w:ascii="Arial" w:eastAsia="Times New Roman" w:hAnsi="Arial" w:cs="Arial"/>
          <w:color w:val="000000"/>
          <w:lang w:eastAsia="en-GB"/>
        </w:rPr>
        <w:t>Kalavasos</w:t>
      </w:r>
      <w:proofErr w:type="spellEnd"/>
      <w:r w:rsidRPr="00B70F66">
        <w:rPr>
          <w:rFonts w:ascii="Arial" w:eastAsia="Times New Roman" w:hAnsi="Arial" w:cs="Arial"/>
          <w:color w:val="000000"/>
          <w:lang w:eastAsia="en-GB"/>
        </w:rPr>
        <w:t xml:space="preserve"> in 1984</w:t>
      </w:r>
      <w:r w:rsidR="003648B3">
        <w:rPr>
          <w:rStyle w:val="FootnoteReference"/>
          <w:rFonts w:ascii="Arial" w:eastAsia="Times New Roman" w:hAnsi="Arial" w:cs="Arial"/>
          <w:color w:val="000000"/>
          <w:lang w:eastAsia="en-GB"/>
        </w:rPr>
        <w:footnoteReference w:id="1"/>
      </w:r>
      <w:r w:rsidR="006E12EF">
        <w:rPr>
          <w:rFonts w:ascii="Arial" w:eastAsia="Times New Roman" w:hAnsi="Arial" w:cs="Arial"/>
          <w:color w:val="000000"/>
          <w:lang w:eastAsia="en-GB"/>
        </w:rPr>
        <w:t>,</w:t>
      </w:r>
      <w:r w:rsidRPr="00B70F66">
        <w:rPr>
          <w:rFonts w:ascii="Arial" w:eastAsia="Times New Roman" w:hAnsi="Arial" w:cs="Arial"/>
          <w:color w:val="000000"/>
          <w:lang w:eastAsia="en-GB"/>
        </w:rPr>
        <w:t xml:space="preserve"> it shows the unplundered tomb as it was discovered, and seems almost entirely accurate, if difficult to distinguish, as the size is small and when enlarged the image distorts to making it largely unrecognisable.</w:t>
      </w:r>
      <w:r w:rsidR="006E12EF">
        <w:rPr>
          <w:rStyle w:val="FootnoteReference"/>
          <w:rFonts w:ascii="Arial" w:eastAsia="Times New Roman" w:hAnsi="Arial" w:cs="Arial"/>
          <w:color w:val="000000"/>
          <w:lang w:eastAsia="en-GB"/>
        </w:rPr>
        <w:footnoteReference w:id="2"/>
      </w:r>
      <w:r w:rsidRPr="00B70F66">
        <w:rPr>
          <w:rFonts w:ascii="Arial" w:eastAsia="Times New Roman" w:hAnsi="Arial" w:cs="Arial"/>
          <w:color w:val="000000"/>
          <w:lang w:eastAsia="en-GB"/>
        </w:rPr>
        <w:t xml:space="preserve"> The image shows what looks at first glance to be two bodies</w:t>
      </w:r>
      <w:r w:rsidR="00E53A3F">
        <w:rPr>
          <w:rFonts w:ascii="Arial" w:eastAsia="Times New Roman" w:hAnsi="Arial" w:cs="Arial"/>
          <w:color w:val="000000"/>
          <w:lang w:eastAsia="en-GB"/>
        </w:rPr>
        <w:t>; these are lain on</w:t>
      </w:r>
      <w:r w:rsidRPr="00B70F66">
        <w:rPr>
          <w:rFonts w:ascii="Arial" w:eastAsia="Times New Roman" w:hAnsi="Arial" w:cs="Arial"/>
          <w:color w:val="000000"/>
          <w:lang w:eastAsia="en-GB"/>
        </w:rPr>
        <w:t xml:space="preserve"> two stone cut benches on the east and west walls.</w:t>
      </w:r>
      <w:r w:rsidR="00DF1E5E">
        <w:rPr>
          <w:rStyle w:val="FootnoteReference"/>
          <w:rFonts w:ascii="Arial" w:eastAsia="Times New Roman" w:hAnsi="Arial" w:cs="Arial"/>
          <w:color w:val="000000"/>
          <w:lang w:eastAsia="en-GB"/>
        </w:rPr>
        <w:footnoteReference w:id="3"/>
      </w:r>
      <w:r w:rsidRPr="00B70F66">
        <w:rPr>
          <w:rFonts w:ascii="Arial" w:eastAsia="Times New Roman" w:hAnsi="Arial" w:cs="Arial"/>
          <w:color w:val="000000"/>
          <w:lang w:eastAsia="en-GB"/>
        </w:rPr>
        <w:t xml:space="preserve"> The body on the right side was fully articulated, and in an extended position</w:t>
      </w:r>
      <w:r w:rsidR="007320F8">
        <w:rPr>
          <w:rFonts w:ascii="Arial" w:eastAsia="Times New Roman" w:hAnsi="Arial" w:cs="Arial"/>
          <w:color w:val="000000"/>
          <w:lang w:eastAsia="en-GB"/>
        </w:rPr>
        <w:t>; of t</w:t>
      </w:r>
      <w:r w:rsidRPr="00B70F66">
        <w:rPr>
          <w:rFonts w:ascii="Arial" w:eastAsia="Times New Roman" w:hAnsi="Arial" w:cs="Arial"/>
          <w:color w:val="000000"/>
          <w:lang w:eastAsia="en-GB"/>
        </w:rPr>
        <w:t xml:space="preserve">he body on the left </w:t>
      </w:r>
      <w:r w:rsidR="007320F8">
        <w:rPr>
          <w:rFonts w:ascii="Arial" w:eastAsia="Times New Roman" w:hAnsi="Arial" w:cs="Arial"/>
          <w:color w:val="000000"/>
          <w:lang w:eastAsia="en-GB"/>
        </w:rPr>
        <w:t xml:space="preserve">there are only </w:t>
      </w:r>
      <w:r w:rsidRPr="00B70F66">
        <w:rPr>
          <w:rFonts w:ascii="Arial" w:eastAsia="Times New Roman" w:hAnsi="Arial" w:cs="Arial"/>
          <w:color w:val="000000"/>
          <w:lang w:eastAsia="en-GB"/>
        </w:rPr>
        <w:t>skeletal</w:t>
      </w:r>
      <w:r w:rsidR="007320F8">
        <w:rPr>
          <w:rFonts w:ascii="Arial" w:eastAsia="Times New Roman" w:hAnsi="Arial" w:cs="Arial"/>
          <w:color w:val="000000"/>
          <w:lang w:eastAsia="en-GB"/>
        </w:rPr>
        <w:t xml:space="preserve"> remains</w:t>
      </w:r>
      <w:r w:rsidRPr="00B70F66">
        <w:rPr>
          <w:rFonts w:ascii="Arial" w:eastAsia="Times New Roman" w:hAnsi="Arial" w:cs="Arial"/>
          <w:color w:val="000000"/>
          <w:lang w:eastAsia="en-GB"/>
        </w:rPr>
        <w:t>.</w:t>
      </w:r>
      <w:r w:rsidR="007320F8">
        <w:rPr>
          <w:rStyle w:val="FootnoteReference"/>
          <w:rFonts w:ascii="Arial" w:eastAsia="Times New Roman" w:hAnsi="Arial" w:cs="Arial"/>
          <w:color w:val="000000"/>
          <w:lang w:eastAsia="en-GB"/>
        </w:rPr>
        <w:footnoteReference w:id="4"/>
      </w:r>
      <w:r w:rsidRPr="00B70F66">
        <w:rPr>
          <w:rFonts w:ascii="Arial" w:eastAsia="Times New Roman" w:hAnsi="Arial" w:cs="Arial"/>
          <w:color w:val="000000"/>
          <w:lang w:eastAsia="en-GB"/>
        </w:rPr>
        <w:t xml:space="preserve"> Between them are several grave goods: pots, jugs, some other bones both animal and human.</w:t>
      </w:r>
      <w:r w:rsidR="00F6629E">
        <w:rPr>
          <w:rStyle w:val="FootnoteReference"/>
          <w:rFonts w:ascii="Arial" w:eastAsia="Times New Roman" w:hAnsi="Arial" w:cs="Arial"/>
          <w:color w:val="000000"/>
          <w:lang w:eastAsia="en-GB"/>
        </w:rPr>
        <w:footnoteReference w:id="5"/>
      </w:r>
    </w:p>
    <w:p w14:paraId="40850EDE"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4B983C6E" w14:textId="1265F4FA"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Applying theory to this image is incredibly difficult as the image provides very little information about itself, determined exactly what pots would represent and has very little province supplied with the source</w:t>
      </w:r>
      <w:r w:rsidR="006A50E2">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6A50E2">
        <w:rPr>
          <w:rFonts w:ascii="Arial" w:eastAsia="Times New Roman" w:hAnsi="Arial" w:cs="Arial"/>
          <w:color w:val="000000"/>
          <w:lang w:eastAsia="en-GB"/>
        </w:rPr>
        <w:t>T</w:t>
      </w:r>
      <w:r w:rsidRPr="00B70F66">
        <w:rPr>
          <w:rFonts w:ascii="Arial" w:eastAsia="Times New Roman" w:hAnsi="Arial" w:cs="Arial"/>
          <w:color w:val="000000"/>
          <w:lang w:eastAsia="en-GB"/>
        </w:rPr>
        <w:t xml:space="preserve">he image itself is not clearly labelled and the </w:t>
      </w:r>
      <w:r w:rsidR="006A50E2">
        <w:rPr>
          <w:rFonts w:ascii="Arial" w:eastAsia="Times New Roman" w:hAnsi="Arial" w:cs="Arial"/>
          <w:color w:val="000000"/>
          <w:lang w:eastAsia="en-GB"/>
        </w:rPr>
        <w:t>accompanying</w:t>
      </w:r>
      <w:r w:rsidRPr="00B70F66">
        <w:rPr>
          <w:rFonts w:ascii="Arial" w:eastAsia="Times New Roman" w:hAnsi="Arial" w:cs="Arial"/>
          <w:color w:val="000000"/>
          <w:lang w:eastAsia="en-GB"/>
        </w:rPr>
        <w:t xml:space="preserve"> caption of ‘</w:t>
      </w:r>
      <w:proofErr w:type="spellStart"/>
      <w:r w:rsidRPr="00B70F66">
        <w:rPr>
          <w:rFonts w:ascii="Arial" w:eastAsia="Times New Roman" w:hAnsi="Arial" w:cs="Arial"/>
          <w:color w:val="000000"/>
          <w:lang w:eastAsia="en-GB"/>
        </w:rPr>
        <w:t>Kalavasos</w:t>
      </w:r>
      <w:proofErr w:type="spellEnd"/>
      <w:r w:rsidRPr="00B70F66">
        <w:rPr>
          <w:rFonts w:ascii="Arial" w:eastAsia="Times New Roman" w:hAnsi="Arial" w:cs="Arial"/>
          <w:color w:val="000000"/>
          <w:lang w:eastAsia="en-GB"/>
        </w:rPr>
        <w:t>, Tomb 11’</w:t>
      </w:r>
      <w:r w:rsidR="006A50E2">
        <w:rPr>
          <w:rStyle w:val="FootnoteReference"/>
          <w:rFonts w:ascii="Arial" w:eastAsia="Times New Roman" w:hAnsi="Arial" w:cs="Arial"/>
          <w:color w:val="000000"/>
          <w:lang w:eastAsia="en-GB"/>
        </w:rPr>
        <w:footnoteReference w:id="6"/>
      </w:r>
      <w:r w:rsidRPr="00B70F66">
        <w:rPr>
          <w:rFonts w:ascii="Arial" w:eastAsia="Times New Roman" w:hAnsi="Arial" w:cs="Arial"/>
          <w:color w:val="000000"/>
          <w:lang w:eastAsia="en-GB"/>
        </w:rPr>
        <w:t xml:space="preserve"> was also not very helpful</w:t>
      </w:r>
      <w:r w:rsidR="006A50E2">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6A50E2">
        <w:rPr>
          <w:rFonts w:ascii="Arial" w:eastAsia="Times New Roman" w:hAnsi="Arial" w:cs="Arial"/>
          <w:color w:val="000000"/>
          <w:lang w:eastAsia="en-GB"/>
        </w:rPr>
        <w:t>D</w:t>
      </w:r>
      <w:r w:rsidRPr="00B70F66">
        <w:rPr>
          <w:rFonts w:ascii="Arial" w:eastAsia="Times New Roman" w:hAnsi="Arial" w:cs="Arial"/>
          <w:color w:val="000000"/>
          <w:lang w:eastAsia="en-GB"/>
        </w:rPr>
        <w:t>etermining the actual contents of the tomb requires outside review and sources, which were not supplied</w:t>
      </w:r>
      <w:r w:rsidR="00A76060">
        <w:rPr>
          <w:rFonts w:ascii="Arial" w:eastAsia="Times New Roman" w:hAnsi="Arial" w:cs="Arial"/>
          <w:color w:val="000000"/>
          <w:lang w:eastAsia="en-GB"/>
        </w:rPr>
        <w:t xml:space="preserve"> </w:t>
      </w:r>
      <w:r w:rsidRPr="00B70F66">
        <w:rPr>
          <w:rFonts w:ascii="Arial" w:eastAsia="Times New Roman" w:hAnsi="Arial" w:cs="Arial"/>
          <w:color w:val="000000"/>
          <w:lang w:eastAsia="en-GB"/>
        </w:rPr>
        <w:t xml:space="preserve">with the source. Searching the university library database, JSTOR and other academic websites did not yield any results on this </w:t>
      </w:r>
      <w:proofErr w:type="gramStart"/>
      <w:r w:rsidRPr="00B70F66">
        <w:rPr>
          <w:rFonts w:ascii="Arial" w:eastAsia="Times New Roman" w:hAnsi="Arial" w:cs="Arial"/>
          <w:color w:val="000000"/>
          <w:lang w:eastAsia="en-GB"/>
        </w:rPr>
        <w:t>tomb, but</w:t>
      </w:r>
      <w:proofErr w:type="gramEnd"/>
      <w:r w:rsidRPr="00B70F66">
        <w:rPr>
          <w:rFonts w:ascii="Arial" w:eastAsia="Times New Roman" w:hAnsi="Arial" w:cs="Arial"/>
          <w:color w:val="000000"/>
          <w:lang w:eastAsia="en-GB"/>
        </w:rPr>
        <w:t xml:space="preserve"> did give some background information about the area. </w:t>
      </w:r>
    </w:p>
    <w:p w14:paraId="2A532360"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5280E46E" w14:textId="06E30E50"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Reverse searching the image brings up a facebook post advertising a lecture from 2021, from the excavator of the site Alison South, and some information on why a lot cannot be found on this particular tomb</w:t>
      </w:r>
      <w:r w:rsidR="0058524D">
        <w:rPr>
          <w:rFonts w:ascii="Arial" w:eastAsia="Times New Roman" w:hAnsi="Arial" w:cs="Arial"/>
          <w:color w:val="000000"/>
          <w:lang w:eastAsia="en-GB"/>
        </w:rPr>
        <w:t>.</w:t>
      </w:r>
      <w:r w:rsidR="0058524D">
        <w:rPr>
          <w:rStyle w:val="FootnoteReference"/>
          <w:rFonts w:ascii="Arial" w:eastAsia="Times New Roman" w:hAnsi="Arial" w:cs="Arial"/>
          <w:color w:val="000000"/>
          <w:lang w:eastAsia="en-GB"/>
        </w:rPr>
        <w:footnoteReference w:id="7"/>
      </w:r>
      <w:r w:rsidRPr="00B70F66">
        <w:rPr>
          <w:rFonts w:ascii="Arial" w:eastAsia="Times New Roman" w:hAnsi="Arial" w:cs="Arial"/>
          <w:color w:val="000000"/>
          <w:lang w:eastAsia="en-GB"/>
        </w:rPr>
        <w:t xml:space="preserve"> </w:t>
      </w:r>
      <w:r w:rsidR="0058524D">
        <w:rPr>
          <w:rFonts w:ascii="Arial" w:eastAsia="Times New Roman" w:hAnsi="Arial" w:cs="Arial"/>
          <w:color w:val="000000"/>
          <w:lang w:eastAsia="en-GB"/>
        </w:rPr>
        <w:t>T</w:t>
      </w:r>
      <w:r w:rsidRPr="00B70F66">
        <w:rPr>
          <w:rFonts w:ascii="Arial" w:eastAsia="Times New Roman" w:hAnsi="Arial" w:cs="Arial"/>
          <w:color w:val="000000"/>
          <w:lang w:eastAsia="en-GB"/>
        </w:rPr>
        <w:t xml:space="preserve">he lecture notes that the research had yet to be published </w:t>
      </w:r>
      <w:r w:rsidRPr="00B70F66">
        <w:rPr>
          <w:rFonts w:ascii="Arial" w:eastAsia="Times New Roman" w:hAnsi="Arial" w:cs="Arial"/>
          <w:color w:val="000000"/>
          <w:lang w:eastAsia="en-GB"/>
        </w:rPr>
        <w:lastRenderedPageBreak/>
        <w:t>and was hoping it would be in the next few months</w:t>
      </w:r>
      <w:r w:rsidR="006A74D3">
        <w:rPr>
          <w:rFonts w:ascii="Arial" w:eastAsia="Times New Roman" w:hAnsi="Arial" w:cs="Arial"/>
          <w:color w:val="000000"/>
          <w:lang w:eastAsia="en-GB"/>
        </w:rPr>
        <w:t>.</w:t>
      </w:r>
      <w:r>
        <w:rPr>
          <w:rStyle w:val="FootnoteReference"/>
          <w:rFonts w:ascii="Arial" w:eastAsia="Times New Roman" w:hAnsi="Arial" w:cs="Arial"/>
          <w:color w:val="000000"/>
          <w:lang w:eastAsia="en-GB"/>
        </w:rPr>
        <w:footnoteReference w:id="8"/>
      </w:r>
      <w:r w:rsidRPr="00B70F66">
        <w:rPr>
          <w:rFonts w:ascii="Arial" w:eastAsia="Times New Roman" w:hAnsi="Arial" w:cs="Arial"/>
          <w:color w:val="000000"/>
          <w:lang w:eastAsia="en-GB"/>
        </w:rPr>
        <w:t xml:space="preserve"> </w:t>
      </w:r>
      <w:r w:rsidR="006A74D3">
        <w:rPr>
          <w:rFonts w:ascii="Arial" w:eastAsia="Times New Roman" w:hAnsi="Arial" w:cs="Arial"/>
          <w:color w:val="000000"/>
          <w:lang w:eastAsia="en-GB"/>
        </w:rPr>
        <w:t>A</w:t>
      </w:r>
      <w:r w:rsidRPr="00B70F66">
        <w:rPr>
          <w:rFonts w:ascii="Arial" w:eastAsia="Times New Roman" w:hAnsi="Arial" w:cs="Arial"/>
          <w:color w:val="000000"/>
          <w:lang w:eastAsia="en-GB"/>
        </w:rPr>
        <w:t>s far as I have found the research has not been published yet, however she does talk on some of the artefacts which were found helping me to identify and work with them. </w:t>
      </w:r>
      <w:r w:rsidR="006A74D3">
        <w:rPr>
          <w:rStyle w:val="FootnoteReference"/>
          <w:rFonts w:ascii="Arial" w:eastAsia="Times New Roman" w:hAnsi="Arial" w:cs="Arial"/>
          <w:color w:val="000000"/>
          <w:lang w:eastAsia="en-GB"/>
        </w:rPr>
        <w:footnoteReference w:id="9"/>
      </w:r>
    </w:p>
    <w:p w14:paraId="35C81F89"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596EA0DC" w14:textId="24F4C0CE"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Focusing in on what can be seen, there are several deposits of pottery in the tomb</w:t>
      </w:r>
      <w:r w:rsidR="006A74D3">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6A74D3">
        <w:rPr>
          <w:rFonts w:ascii="Arial" w:eastAsia="Times New Roman" w:hAnsi="Arial" w:cs="Arial"/>
          <w:color w:val="000000"/>
          <w:lang w:eastAsia="en-GB"/>
        </w:rPr>
        <w:t>F</w:t>
      </w:r>
      <w:r w:rsidRPr="00B70F66">
        <w:rPr>
          <w:rFonts w:ascii="Arial" w:eastAsia="Times New Roman" w:hAnsi="Arial" w:cs="Arial"/>
          <w:color w:val="000000"/>
          <w:lang w:eastAsia="en-GB"/>
        </w:rPr>
        <w:t>rom this we can determine pottery was significant to the daily life of the people in Ancient Cyprus</w:t>
      </w:r>
      <w:r w:rsidR="00A92F6E">
        <w:rPr>
          <w:rFonts w:ascii="Arial" w:eastAsia="Times New Roman" w:hAnsi="Arial" w:cs="Arial"/>
          <w:color w:val="000000"/>
          <w:lang w:eastAsia="en-GB"/>
        </w:rPr>
        <w:t xml:space="preserve"> -</w:t>
      </w:r>
      <w:r w:rsidRPr="00B70F66">
        <w:rPr>
          <w:rFonts w:ascii="Arial" w:eastAsia="Times New Roman" w:hAnsi="Arial" w:cs="Arial"/>
          <w:color w:val="000000"/>
          <w:lang w:eastAsia="en-GB"/>
        </w:rPr>
        <w:t xml:space="preserve"> </w:t>
      </w:r>
      <w:r w:rsidR="00A92F6E">
        <w:rPr>
          <w:rFonts w:ascii="Arial" w:eastAsia="Times New Roman" w:hAnsi="Arial" w:cs="Arial"/>
          <w:color w:val="000000"/>
          <w:lang w:eastAsia="en-GB"/>
        </w:rPr>
        <w:t>w</w:t>
      </w:r>
      <w:r w:rsidRPr="00B70F66">
        <w:rPr>
          <w:rFonts w:ascii="Arial" w:eastAsia="Times New Roman" w:hAnsi="Arial" w:cs="Arial"/>
          <w:color w:val="000000"/>
          <w:lang w:eastAsia="en-GB"/>
        </w:rPr>
        <w:t>hich with outside sources, we know to be true. Ancient Cypriot households had to go and gather water, the way they would differs from settlement to settlement, but it was a place of continued socialisation</w:t>
      </w:r>
      <w:r w:rsidR="009525C3">
        <w:rPr>
          <w:rFonts w:ascii="Arial" w:eastAsia="Times New Roman" w:hAnsi="Arial" w:cs="Arial"/>
          <w:color w:val="000000"/>
          <w:lang w:eastAsia="en-GB"/>
        </w:rPr>
        <w:t>.</w:t>
      </w:r>
      <w:r w:rsidR="009525C3">
        <w:rPr>
          <w:rStyle w:val="FootnoteReference"/>
          <w:rFonts w:ascii="Arial" w:eastAsia="Times New Roman" w:hAnsi="Arial" w:cs="Arial"/>
          <w:color w:val="000000"/>
          <w:lang w:eastAsia="en-GB"/>
        </w:rPr>
        <w:footnoteReference w:id="10"/>
      </w:r>
      <w:r w:rsidRPr="00B70F66">
        <w:rPr>
          <w:rFonts w:ascii="Arial" w:eastAsia="Times New Roman" w:hAnsi="Arial" w:cs="Arial"/>
          <w:color w:val="000000"/>
          <w:lang w:eastAsia="en-GB"/>
        </w:rPr>
        <w:t xml:space="preserve"> </w:t>
      </w:r>
      <w:r w:rsidR="009525C3">
        <w:rPr>
          <w:rFonts w:ascii="Arial" w:eastAsia="Times New Roman" w:hAnsi="Arial" w:cs="Arial"/>
          <w:color w:val="000000"/>
          <w:lang w:eastAsia="en-GB"/>
        </w:rPr>
        <w:t>This</w:t>
      </w:r>
      <w:r w:rsidRPr="00B70F66">
        <w:rPr>
          <w:rFonts w:ascii="Arial" w:eastAsia="Times New Roman" w:hAnsi="Arial" w:cs="Arial"/>
          <w:color w:val="000000"/>
          <w:lang w:eastAsia="en-GB"/>
        </w:rPr>
        <w:t xml:space="preserve"> means the jugs used to gather this water are a significant factor of habitus</w:t>
      </w:r>
      <w:r w:rsidR="009525C3">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9525C3">
        <w:rPr>
          <w:rFonts w:ascii="Arial" w:eastAsia="Times New Roman" w:hAnsi="Arial" w:cs="Arial"/>
          <w:color w:val="000000"/>
          <w:lang w:eastAsia="en-GB"/>
        </w:rPr>
        <w:t>W</w:t>
      </w:r>
      <w:r w:rsidRPr="00B70F66">
        <w:rPr>
          <w:rFonts w:ascii="Arial" w:eastAsia="Times New Roman" w:hAnsi="Arial" w:cs="Arial"/>
          <w:color w:val="000000"/>
          <w:lang w:eastAsia="en-GB"/>
        </w:rPr>
        <w:t>ater gathering in the modern world is performed by women 80</w:t>
      </w:r>
      <w:r w:rsidR="00CB2784">
        <w:rPr>
          <w:rFonts w:ascii="Arial" w:eastAsia="Times New Roman" w:hAnsi="Arial" w:cs="Arial"/>
          <w:color w:val="000000"/>
          <w:lang w:eastAsia="en-GB"/>
        </w:rPr>
        <w:t>%</w:t>
      </w:r>
      <w:r w:rsidRPr="00B70F66">
        <w:rPr>
          <w:rFonts w:ascii="Arial" w:eastAsia="Times New Roman" w:hAnsi="Arial" w:cs="Arial"/>
          <w:color w:val="000000"/>
          <w:lang w:eastAsia="en-GB"/>
        </w:rPr>
        <w:t xml:space="preserve"> of the time</w:t>
      </w:r>
      <w:r w:rsidR="005C5454">
        <w:rPr>
          <w:rFonts w:ascii="Arial" w:eastAsia="Times New Roman" w:hAnsi="Arial" w:cs="Arial"/>
          <w:color w:val="000000"/>
          <w:lang w:eastAsia="en-GB"/>
        </w:rPr>
        <w:t>.</w:t>
      </w:r>
      <w:r w:rsidR="00C133C9">
        <w:rPr>
          <w:rStyle w:val="FootnoteReference"/>
          <w:rFonts w:ascii="Arial" w:eastAsia="Times New Roman" w:hAnsi="Arial" w:cs="Arial"/>
          <w:color w:val="000000"/>
          <w:lang w:eastAsia="en-GB"/>
        </w:rPr>
        <w:footnoteReference w:id="11"/>
      </w:r>
      <w:r w:rsidR="005C5454">
        <w:rPr>
          <w:rFonts w:ascii="Arial" w:eastAsia="Times New Roman" w:hAnsi="Arial" w:cs="Arial"/>
          <w:color w:val="000000"/>
          <w:lang w:eastAsia="en-GB"/>
        </w:rPr>
        <w:t xml:space="preserve"> It i</w:t>
      </w:r>
      <w:r w:rsidRPr="00B70F66">
        <w:rPr>
          <w:rFonts w:ascii="Arial" w:eastAsia="Times New Roman" w:hAnsi="Arial" w:cs="Arial"/>
          <w:color w:val="000000"/>
          <w:lang w:eastAsia="en-GB"/>
        </w:rPr>
        <w:t>s a place that women get to speak to each other</w:t>
      </w:r>
      <w:r w:rsidR="005C5454">
        <w:rPr>
          <w:rFonts w:ascii="Arial" w:eastAsia="Times New Roman" w:hAnsi="Arial" w:cs="Arial"/>
          <w:color w:val="000000"/>
          <w:lang w:eastAsia="en-GB"/>
        </w:rPr>
        <w:t>,</w:t>
      </w:r>
      <w:r w:rsidRPr="00B70F66">
        <w:rPr>
          <w:rFonts w:ascii="Arial" w:eastAsia="Times New Roman" w:hAnsi="Arial" w:cs="Arial"/>
          <w:color w:val="000000"/>
          <w:lang w:eastAsia="en-GB"/>
        </w:rPr>
        <w:t xml:space="preserve"> Bourdieu expresses the importance of ‘a place to exchange news and carry on their gossip’</w:t>
      </w:r>
      <w:r>
        <w:rPr>
          <w:rStyle w:val="FootnoteReference"/>
          <w:rFonts w:ascii="Arial" w:eastAsia="Times New Roman" w:hAnsi="Arial" w:cs="Arial"/>
          <w:color w:val="000000"/>
          <w:lang w:eastAsia="en-GB"/>
        </w:rPr>
        <w:footnoteReference w:id="12"/>
      </w:r>
      <w:r w:rsidRPr="00B70F66">
        <w:rPr>
          <w:rFonts w:ascii="Arial" w:eastAsia="Times New Roman" w:hAnsi="Arial" w:cs="Arial"/>
          <w:color w:val="000000"/>
          <w:lang w:eastAsia="en-GB"/>
        </w:rPr>
        <w:t xml:space="preserve"> and in Bronze age Cyprus this</w:t>
      </w:r>
      <w:r w:rsidR="00A85A3C">
        <w:rPr>
          <w:rFonts w:ascii="Arial" w:eastAsia="Times New Roman" w:hAnsi="Arial" w:cs="Arial"/>
          <w:color w:val="000000"/>
          <w:lang w:eastAsia="en-GB"/>
        </w:rPr>
        <w:t xml:space="preserve"> could be</w:t>
      </w:r>
      <w:r w:rsidRPr="00B70F66">
        <w:rPr>
          <w:rFonts w:ascii="Arial" w:eastAsia="Times New Roman" w:hAnsi="Arial" w:cs="Arial"/>
          <w:color w:val="000000"/>
          <w:lang w:eastAsia="en-GB"/>
        </w:rPr>
        <w:t xml:space="preserve"> the nearest well or running water.</w:t>
      </w:r>
      <w:r w:rsidR="00A85A3C" w:rsidRPr="00B70F66">
        <w:rPr>
          <w:rFonts w:ascii="Arial" w:eastAsia="Times New Roman" w:hAnsi="Arial" w:cs="Arial"/>
          <w:color w:val="000000"/>
          <w:lang w:eastAsia="en-GB"/>
        </w:rPr>
        <w:t xml:space="preserve"> </w:t>
      </w:r>
      <w:r w:rsidRPr="00B70F66">
        <w:rPr>
          <w:rFonts w:ascii="Arial" w:eastAsia="Times New Roman" w:hAnsi="Arial" w:cs="Arial"/>
          <w:color w:val="000000"/>
          <w:lang w:eastAsia="en-GB"/>
        </w:rPr>
        <w:t>These items in a tomb show the significance these items have as social props and help to develop or continue social rules. </w:t>
      </w:r>
    </w:p>
    <w:p w14:paraId="041E0CD0"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0FDE48D4" w14:textId="608C11DF"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There are also some decorative pots, some bull shaped and some Mycenaean</w:t>
      </w:r>
      <w:r>
        <w:rPr>
          <w:rFonts w:ascii="Arial" w:eastAsia="Times New Roman" w:hAnsi="Arial" w:cs="Arial"/>
          <w:color w:val="000000"/>
          <w:lang w:eastAsia="en-GB"/>
        </w:rPr>
        <w:t>.</w:t>
      </w:r>
      <w:r w:rsidR="009D3AB0">
        <w:rPr>
          <w:rStyle w:val="FootnoteReference"/>
          <w:rFonts w:ascii="Arial" w:eastAsia="Times New Roman" w:hAnsi="Arial" w:cs="Arial"/>
          <w:color w:val="000000"/>
          <w:lang w:eastAsia="en-GB"/>
        </w:rPr>
        <w:footnoteReference w:id="13"/>
      </w:r>
      <w:r w:rsidRPr="00B70F66">
        <w:rPr>
          <w:rFonts w:ascii="Arial" w:eastAsia="Times New Roman" w:hAnsi="Arial" w:cs="Arial"/>
          <w:color w:val="000000"/>
          <w:lang w:eastAsia="en-GB"/>
        </w:rPr>
        <w:t xml:space="preserve"> Allison South implies these would have been used for hosting events</w:t>
      </w:r>
      <w:r>
        <w:rPr>
          <w:rStyle w:val="FootnoteReference"/>
          <w:rFonts w:ascii="Arial" w:eastAsia="Times New Roman" w:hAnsi="Arial" w:cs="Arial"/>
          <w:color w:val="000000"/>
          <w:lang w:eastAsia="en-GB"/>
        </w:rPr>
        <w:footnoteReference w:id="14"/>
      </w:r>
      <w:r w:rsidRPr="00B70F66">
        <w:rPr>
          <w:rFonts w:ascii="Arial" w:eastAsia="Times New Roman" w:hAnsi="Arial" w:cs="Arial"/>
          <w:color w:val="000000"/>
          <w:lang w:eastAsia="en-GB"/>
        </w:rPr>
        <w:t>, which suggests they were social props for the gaining of social capital</w:t>
      </w:r>
      <w:r w:rsidR="0065291E">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65291E">
        <w:rPr>
          <w:rFonts w:ascii="Arial" w:eastAsia="Times New Roman" w:hAnsi="Arial" w:cs="Arial"/>
          <w:color w:val="000000"/>
          <w:lang w:eastAsia="en-GB"/>
        </w:rPr>
        <w:t>I</w:t>
      </w:r>
      <w:r w:rsidRPr="00B70F66">
        <w:rPr>
          <w:rFonts w:ascii="Arial" w:eastAsia="Times New Roman" w:hAnsi="Arial" w:cs="Arial"/>
          <w:color w:val="000000"/>
          <w:lang w:eastAsia="en-GB"/>
        </w:rPr>
        <w:t xml:space="preserve">nteracting with other people of your social standing was evidently still significant and having the appropriate if a little impractical objects to show your economic capital was still linked as Bourdieu </w:t>
      </w:r>
      <w:r>
        <w:rPr>
          <w:rFonts w:ascii="Arial" w:eastAsia="Times New Roman" w:hAnsi="Arial" w:cs="Arial"/>
          <w:color w:val="000000"/>
          <w:lang w:eastAsia="en-GB"/>
        </w:rPr>
        <w:t>proposes in his theory</w:t>
      </w:r>
      <w:r w:rsidRPr="00B70F66">
        <w:rPr>
          <w:rFonts w:ascii="Arial" w:eastAsia="Times New Roman" w:hAnsi="Arial" w:cs="Arial"/>
          <w:color w:val="000000"/>
          <w:lang w:eastAsia="en-GB"/>
        </w:rPr>
        <w:t>.</w:t>
      </w:r>
    </w:p>
    <w:p w14:paraId="5D9CA882"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5DF9659B" w14:textId="7F3B8B39"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The most notable feature are the ‘two’ bodies, one of which is drawn fully articulated in white clothing,</w:t>
      </w:r>
      <w:r w:rsidR="003444E6">
        <w:rPr>
          <w:rStyle w:val="FootnoteReference"/>
          <w:rFonts w:ascii="Arial" w:eastAsia="Times New Roman" w:hAnsi="Arial" w:cs="Arial"/>
          <w:color w:val="000000"/>
          <w:lang w:eastAsia="en-GB"/>
        </w:rPr>
        <w:footnoteReference w:id="15"/>
      </w:r>
      <w:r w:rsidRPr="00B70F66">
        <w:rPr>
          <w:rFonts w:ascii="Arial" w:eastAsia="Times New Roman" w:hAnsi="Arial" w:cs="Arial"/>
          <w:color w:val="000000"/>
          <w:lang w:eastAsia="en-GB"/>
        </w:rPr>
        <w:t xml:space="preserve"> her outfit is one I would associate with feminine clothing in similar societies</w:t>
      </w:r>
      <w:r w:rsidR="003444E6">
        <w:rPr>
          <w:rFonts w:ascii="Arial" w:eastAsia="Times New Roman" w:hAnsi="Arial" w:cs="Arial"/>
          <w:color w:val="000000"/>
          <w:lang w:eastAsia="en-GB"/>
        </w:rPr>
        <w:t>.</w:t>
      </w:r>
      <w:r>
        <w:rPr>
          <w:rStyle w:val="FootnoteReference"/>
          <w:rFonts w:ascii="Arial" w:eastAsia="Times New Roman" w:hAnsi="Arial" w:cs="Arial"/>
          <w:color w:val="000000"/>
          <w:lang w:eastAsia="en-GB"/>
        </w:rPr>
        <w:footnoteReference w:id="16"/>
      </w:r>
      <w:r w:rsidRPr="00B70F66">
        <w:rPr>
          <w:rFonts w:ascii="Arial" w:eastAsia="Times New Roman" w:hAnsi="Arial" w:cs="Arial"/>
          <w:color w:val="000000"/>
          <w:lang w:eastAsia="en-GB"/>
        </w:rPr>
        <w:t xml:space="preserve"> </w:t>
      </w:r>
      <w:r w:rsidR="00265596">
        <w:rPr>
          <w:rFonts w:ascii="Arial" w:eastAsia="Times New Roman" w:hAnsi="Arial" w:cs="Arial"/>
          <w:color w:val="000000"/>
          <w:lang w:eastAsia="en-GB"/>
        </w:rPr>
        <w:t>T</w:t>
      </w:r>
      <w:r w:rsidRPr="00B70F66">
        <w:rPr>
          <w:rFonts w:ascii="Arial" w:eastAsia="Times New Roman" w:hAnsi="Arial" w:cs="Arial"/>
          <w:color w:val="000000"/>
          <w:lang w:eastAsia="en-GB"/>
        </w:rPr>
        <w:t>here are also some artefacts linked with cosmetics in the tomb</w:t>
      </w:r>
      <w:r>
        <w:rPr>
          <w:rStyle w:val="FootnoteReference"/>
          <w:rFonts w:ascii="Arial" w:eastAsia="Times New Roman" w:hAnsi="Arial" w:cs="Arial"/>
          <w:color w:val="000000"/>
          <w:lang w:eastAsia="en-GB"/>
        </w:rPr>
        <w:footnoteReference w:id="17"/>
      </w:r>
      <w:r w:rsidRPr="00B70F66">
        <w:rPr>
          <w:rFonts w:ascii="Arial" w:eastAsia="Times New Roman" w:hAnsi="Arial" w:cs="Arial"/>
          <w:color w:val="000000"/>
          <w:lang w:eastAsia="en-GB"/>
        </w:rPr>
        <w:t>, showing this society valued feminine beauty to a degree. The other bench has two bodies on it instead,</w:t>
      </w:r>
      <w:r w:rsidR="00265596">
        <w:rPr>
          <w:rStyle w:val="FootnoteReference"/>
          <w:rFonts w:ascii="Arial" w:eastAsia="Times New Roman" w:hAnsi="Arial" w:cs="Arial"/>
          <w:color w:val="000000"/>
          <w:lang w:eastAsia="en-GB"/>
        </w:rPr>
        <w:footnoteReference w:id="18"/>
      </w:r>
      <w:r w:rsidRPr="00B70F66">
        <w:rPr>
          <w:rFonts w:ascii="Arial" w:eastAsia="Times New Roman" w:hAnsi="Arial" w:cs="Arial"/>
          <w:color w:val="000000"/>
          <w:lang w:eastAsia="en-GB"/>
        </w:rPr>
        <w:t xml:space="preserve"> the bones of two women have been severely intermingled and combined</w:t>
      </w:r>
      <w:r>
        <w:rPr>
          <w:rFonts w:ascii="Arial" w:eastAsia="Times New Roman" w:hAnsi="Arial" w:cs="Arial"/>
          <w:color w:val="000000"/>
          <w:lang w:eastAsia="en-GB"/>
        </w:rPr>
        <w:t>, and reburied almost as one</w:t>
      </w:r>
      <w:r w:rsidRPr="00B70F66">
        <w:rPr>
          <w:rFonts w:ascii="Arial" w:eastAsia="Times New Roman" w:hAnsi="Arial" w:cs="Arial"/>
          <w:color w:val="000000"/>
          <w:lang w:eastAsia="en-GB"/>
        </w:rPr>
        <w:t>, Alision south suggests this is evidence of reburial</w:t>
      </w:r>
      <w:r>
        <w:rPr>
          <w:rStyle w:val="FootnoteReference"/>
          <w:rFonts w:ascii="Arial" w:eastAsia="Times New Roman" w:hAnsi="Arial" w:cs="Arial"/>
          <w:color w:val="000000"/>
          <w:lang w:eastAsia="en-GB"/>
        </w:rPr>
        <w:footnoteReference w:id="19"/>
      </w:r>
      <w:r w:rsidRPr="00B70F66">
        <w:rPr>
          <w:rFonts w:ascii="Arial" w:eastAsia="Times New Roman" w:hAnsi="Arial" w:cs="Arial"/>
          <w:color w:val="000000"/>
          <w:lang w:eastAsia="en-GB"/>
        </w:rPr>
        <w:t>, showing a possible change in ancestor worship during this period. </w:t>
      </w:r>
    </w:p>
    <w:p w14:paraId="43BBD81B"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185E53C3" w14:textId="392CAD87"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Here lies the final major problem of the tomb image we have been given, the exact wording of this question implies the use of this tomb and only this tomb, no outside or further sources, making it verifiably useless</w:t>
      </w:r>
      <w:r w:rsidR="005647E1">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5647E1">
        <w:rPr>
          <w:rFonts w:ascii="Arial" w:eastAsia="Times New Roman" w:hAnsi="Arial" w:cs="Arial"/>
          <w:color w:val="000000"/>
          <w:lang w:eastAsia="en-GB"/>
        </w:rPr>
        <w:t>U</w:t>
      </w:r>
      <w:r w:rsidRPr="00B70F66">
        <w:rPr>
          <w:rFonts w:ascii="Arial" w:eastAsia="Times New Roman" w:hAnsi="Arial" w:cs="Arial"/>
          <w:color w:val="000000"/>
          <w:lang w:eastAsia="en-GB"/>
        </w:rPr>
        <w:t xml:space="preserve">sing this source with other tombs or artefacts of a similar </w:t>
      </w:r>
      <w:proofErr w:type="gramStart"/>
      <w:r w:rsidRPr="00B70F66">
        <w:rPr>
          <w:rFonts w:ascii="Arial" w:eastAsia="Times New Roman" w:hAnsi="Arial" w:cs="Arial"/>
          <w:color w:val="000000"/>
          <w:lang w:eastAsia="en-GB"/>
        </w:rPr>
        <w:t>time period</w:t>
      </w:r>
      <w:proofErr w:type="gramEnd"/>
      <w:r w:rsidRPr="00B70F66">
        <w:rPr>
          <w:rFonts w:ascii="Arial" w:eastAsia="Times New Roman" w:hAnsi="Arial" w:cs="Arial"/>
          <w:color w:val="000000"/>
          <w:lang w:eastAsia="en-GB"/>
        </w:rPr>
        <w:t xml:space="preserve"> can put together a much higher sense of what habitus really looked like and what instead was a quirk of the owner of the tomb</w:t>
      </w:r>
      <w:r w:rsidR="00210DC4">
        <w:rPr>
          <w:rFonts w:ascii="Arial" w:eastAsia="Times New Roman" w:hAnsi="Arial" w:cs="Arial"/>
          <w:color w:val="000000"/>
          <w:lang w:eastAsia="en-GB"/>
        </w:rPr>
        <w:t>:</w:t>
      </w:r>
      <w:r w:rsidRPr="00B70F66">
        <w:rPr>
          <w:rFonts w:ascii="Arial" w:eastAsia="Times New Roman" w:hAnsi="Arial" w:cs="Arial"/>
          <w:color w:val="000000"/>
          <w:lang w:eastAsia="en-GB"/>
        </w:rPr>
        <w:t xml:space="preserve"> something they had requested perhaps</w:t>
      </w:r>
      <w:r w:rsidR="00210DC4">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F65A8A">
        <w:rPr>
          <w:rFonts w:ascii="Arial" w:eastAsia="Times New Roman" w:hAnsi="Arial" w:cs="Arial"/>
          <w:color w:val="000000"/>
          <w:lang w:eastAsia="en-GB"/>
        </w:rPr>
        <w:t>was</w:t>
      </w:r>
      <w:r w:rsidRPr="00B70F66">
        <w:rPr>
          <w:rFonts w:ascii="Arial" w:eastAsia="Times New Roman" w:hAnsi="Arial" w:cs="Arial"/>
          <w:color w:val="000000"/>
          <w:lang w:eastAsia="en-GB"/>
        </w:rPr>
        <w:t xml:space="preserve"> ordained by their specific religious beliefs</w:t>
      </w:r>
      <w:r>
        <w:rPr>
          <w:rFonts w:ascii="Arial" w:eastAsia="Times New Roman" w:hAnsi="Arial" w:cs="Arial"/>
          <w:color w:val="000000"/>
          <w:lang w:eastAsia="en-GB"/>
        </w:rPr>
        <w:t xml:space="preserve"> or used solely by the higher </w:t>
      </w:r>
      <w:r>
        <w:rPr>
          <w:rFonts w:ascii="Arial" w:eastAsia="Times New Roman" w:hAnsi="Arial" w:cs="Arial"/>
          <w:color w:val="000000"/>
          <w:lang w:eastAsia="en-GB"/>
        </w:rPr>
        <w:lastRenderedPageBreak/>
        <w:t>echelons of Cypriot society, who are not representative of the regular people</w:t>
      </w:r>
      <w:r w:rsidRPr="00B70F66">
        <w:rPr>
          <w:rFonts w:ascii="Arial" w:eastAsia="Times New Roman" w:hAnsi="Arial" w:cs="Arial"/>
          <w:color w:val="000000"/>
          <w:lang w:eastAsia="en-GB"/>
        </w:rPr>
        <w:t xml:space="preserve">. Using the image alone I could not determine the reason for this tomb's great importance to Cypriot archaeology; </w:t>
      </w:r>
      <w:r w:rsidR="00BA75CA">
        <w:rPr>
          <w:rFonts w:ascii="Arial" w:eastAsia="Times New Roman" w:hAnsi="Arial" w:cs="Arial"/>
          <w:color w:val="000000"/>
          <w:lang w:eastAsia="en-GB"/>
        </w:rPr>
        <w:t xml:space="preserve">aside from </w:t>
      </w:r>
      <w:r w:rsidRPr="00B70F66">
        <w:rPr>
          <w:rFonts w:ascii="Arial" w:eastAsia="Times New Roman" w:hAnsi="Arial" w:cs="Arial"/>
          <w:color w:val="000000"/>
          <w:lang w:eastAsia="en-GB"/>
        </w:rPr>
        <w:t>the jewellery the three women have around them. </w:t>
      </w:r>
    </w:p>
    <w:p w14:paraId="75C00C0B"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639B08A4" w14:textId="12BCEE79"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All the women are heavily decorated with jewellery</w:t>
      </w:r>
      <w:r w:rsidR="00604F80">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604F80">
        <w:rPr>
          <w:rFonts w:ascii="Arial" w:eastAsia="Times New Roman" w:hAnsi="Arial" w:cs="Arial"/>
          <w:color w:val="000000"/>
          <w:lang w:eastAsia="en-GB"/>
        </w:rPr>
        <w:t>T</w:t>
      </w:r>
      <w:r w:rsidRPr="00B70F66">
        <w:rPr>
          <w:rFonts w:ascii="Arial" w:eastAsia="Times New Roman" w:hAnsi="Arial" w:cs="Arial"/>
          <w:color w:val="000000"/>
          <w:lang w:eastAsia="en-GB"/>
        </w:rPr>
        <w:t>he woman on the west bench has six earrings and the two women on the east bench have several earrings and around them as well.</w:t>
      </w:r>
      <w:r w:rsidR="00604F80">
        <w:rPr>
          <w:rStyle w:val="FootnoteReference"/>
          <w:rFonts w:ascii="Arial" w:eastAsia="Times New Roman" w:hAnsi="Arial" w:cs="Arial"/>
          <w:color w:val="000000"/>
          <w:lang w:eastAsia="en-GB"/>
        </w:rPr>
        <w:footnoteReference w:id="20"/>
      </w:r>
      <w:r w:rsidRPr="00B70F66">
        <w:rPr>
          <w:rFonts w:ascii="Arial" w:eastAsia="Times New Roman" w:hAnsi="Arial" w:cs="Arial"/>
          <w:color w:val="000000"/>
          <w:lang w:eastAsia="en-GB"/>
        </w:rPr>
        <w:t xml:space="preserve"> Thus, we can argue that deliberate shows of wealth are important to the culture of the upper class at the time, or at least frivolous ornamentation</w:t>
      </w:r>
      <w:r w:rsidR="00604F80">
        <w:rPr>
          <w:rFonts w:ascii="Arial" w:eastAsia="Times New Roman" w:hAnsi="Arial" w:cs="Arial"/>
          <w:color w:val="000000"/>
          <w:lang w:eastAsia="en-GB"/>
        </w:rPr>
        <w:t>. T</w:t>
      </w:r>
      <w:r w:rsidRPr="00B70F66">
        <w:rPr>
          <w:rFonts w:ascii="Arial" w:eastAsia="Times New Roman" w:hAnsi="Arial" w:cs="Arial"/>
          <w:color w:val="000000"/>
          <w:lang w:eastAsia="en-GB"/>
        </w:rPr>
        <w:t>he earrings are noted to be like a few other sites on the island,</w:t>
      </w:r>
      <w:r w:rsidR="00604F80">
        <w:rPr>
          <w:rStyle w:val="FootnoteReference"/>
          <w:rFonts w:ascii="Arial" w:eastAsia="Times New Roman" w:hAnsi="Arial" w:cs="Arial"/>
          <w:color w:val="000000"/>
          <w:lang w:eastAsia="en-GB"/>
        </w:rPr>
        <w:footnoteReference w:id="21"/>
      </w:r>
      <w:r w:rsidRPr="00B70F66">
        <w:rPr>
          <w:rFonts w:ascii="Arial" w:eastAsia="Times New Roman" w:hAnsi="Arial" w:cs="Arial"/>
          <w:color w:val="000000"/>
          <w:lang w:eastAsia="en-GB"/>
        </w:rPr>
        <w:t xml:space="preserve"> perhaps an all-round cultural phenomenon for the time</w:t>
      </w:r>
      <w:r w:rsidR="00604F80">
        <w:rPr>
          <w:rFonts w:ascii="Arial" w:eastAsia="Times New Roman" w:hAnsi="Arial" w:cs="Arial"/>
          <w:color w:val="000000"/>
          <w:lang w:eastAsia="en-GB"/>
        </w:rPr>
        <w:t>. This</w:t>
      </w:r>
      <w:r w:rsidRPr="00B70F66">
        <w:rPr>
          <w:rFonts w:ascii="Arial" w:eastAsia="Times New Roman" w:hAnsi="Arial" w:cs="Arial"/>
          <w:color w:val="000000"/>
          <w:lang w:eastAsia="en-GB"/>
        </w:rPr>
        <w:t xml:space="preserve"> shows a level of Cypriot habitus</w:t>
      </w:r>
      <w:r w:rsidR="00644D67">
        <w:rPr>
          <w:rFonts w:ascii="Arial" w:eastAsia="Times New Roman" w:hAnsi="Arial" w:cs="Arial"/>
          <w:color w:val="000000"/>
          <w:lang w:eastAsia="en-GB"/>
        </w:rPr>
        <w:t>:</w:t>
      </w:r>
      <w:r w:rsidRPr="00B70F66">
        <w:rPr>
          <w:rFonts w:ascii="Arial" w:eastAsia="Times New Roman" w:hAnsi="Arial" w:cs="Arial"/>
          <w:color w:val="000000"/>
          <w:lang w:eastAsia="en-GB"/>
        </w:rPr>
        <w:t xml:space="preserve"> ear jewellery as a notation of social power and hierarchy.  </w:t>
      </w:r>
    </w:p>
    <w:p w14:paraId="4DA76527"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29E06063" w14:textId="3BFECC61"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The women on the east bench have a necklace buried with them which is imported from Mycenae</w:t>
      </w:r>
      <w:r>
        <w:rPr>
          <w:rStyle w:val="FootnoteReference"/>
          <w:rFonts w:ascii="Arial" w:eastAsia="Times New Roman" w:hAnsi="Arial" w:cs="Arial"/>
          <w:color w:val="000000"/>
          <w:lang w:eastAsia="en-GB"/>
        </w:rPr>
        <w:footnoteReference w:id="22"/>
      </w:r>
      <w:r w:rsidRPr="00B70F66">
        <w:rPr>
          <w:rFonts w:ascii="Arial" w:eastAsia="Times New Roman" w:hAnsi="Arial" w:cs="Arial"/>
          <w:color w:val="000000"/>
          <w:lang w:eastAsia="en-GB"/>
        </w:rPr>
        <w:t>, and is of golden relief beads</w:t>
      </w:r>
      <w:r w:rsidR="00644D67">
        <w:rPr>
          <w:rFonts w:ascii="Arial" w:eastAsia="Times New Roman" w:hAnsi="Arial" w:cs="Arial"/>
          <w:color w:val="000000"/>
          <w:lang w:eastAsia="en-GB"/>
        </w:rPr>
        <w:t>.</w:t>
      </w:r>
      <w:r w:rsidR="00644D67">
        <w:rPr>
          <w:rStyle w:val="FootnoteReference"/>
          <w:rFonts w:ascii="Arial" w:eastAsia="Times New Roman" w:hAnsi="Arial" w:cs="Arial"/>
          <w:color w:val="000000"/>
          <w:lang w:eastAsia="en-GB"/>
        </w:rPr>
        <w:footnoteReference w:id="23"/>
      </w:r>
      <w:r w:rsidRPr="00B70F66">
        <w:rPr>
          <w:rFonts w:ascii="Arial" w:eastAsia="Times New Roman" w:hAnsi="Arial" w:cs="Arial"/>
          <w:color w:val="000000"/>
          <w:lang w:eastAsia="en-GB"/>
        </w:rPr>
        <w:t xml:space="preserve"> </w:t>
      </w:r>
      <w:r w:rsidR="00644D67">
        <w:rPr>
          <w:rFonts w:ascii="Arial" w:eastAsia="Times New Roman" w:hAnsi="Arial" w:cs="Arial"/>
          <w:color w:val="000000"/>
          <w:lang w:eastAsia="en-GB"/>
        </w:rPr>
        <w:t>T</w:t>
      </w:r>
      <w:r w:rsidRPr="00B70F66">
        <w:rPr>
          <w:rFonts w:ascii="Arial" w:eastAsia="Times New Roman" w:hAnsi="Arial" w:cs="Arial"/>
          <w:color w:val="000000"/>
          <w:lang w:eastAsia="en-GB"/>
        </w:rPr>
        <w:t>his is listed as the first of its kind found in Cyprus, during the Bronze age</w:t>
      </w:r>
      <w:r w:rsidR="00644D67">
        <w:rPr>
          <w:rFonts w:ascii="Arial" w:eastAsia="Times New Roman" w:hAnsi="Arial" w:cs="Arial"/>
          <w:color w:val="000000"/>
          <w:lang w:eastAsia="en-GB"/>
        </w:rPr>
        <w:t>.</w:t>
      </w:r>
      <w:r w:rsidR="00644D67">
        <w:rPr>
          <w:rStyle w:val="FootnoteReference"/>
          <w:rFonts w:ascii="Arial" w:eastAsia="Times New Roman" w:hAnsi="Arial" w:cs="Arial"/>
          <w:color w:val="000000"/>
          <w:lang w:eastAsia="en-GB"/>
        </w:rPr>
        <w:footnoteReference w:id="24"/>
      </w:r>
      <w:r w:rsidR="00644D67">
        <w:rPr>
          <w:rFonts w:ascii="Arial" w:eastAsia="Times New Roman" w:hAnsi="Arial" w:cs="Arial"/>
          <w:color w:val="000000"/>
          <w:lang w:eastAsia="en-GB"/>
        </w:rPr>
        <w:t xml:space="preserve"> T</w:t>
      </w:r>
      <w:r w:rsidRPr="00B70F66">
        <w:rPr>
          <w:rFonts w:ascii="Arial" w:eastAsia="Times New Roman" w:hAnsi="Arial" w:cs="Arial"/>
          <w:color w:val="000000"/>
          <w:lang w:eastAsia="en-GB"/>
        </w:rPr>
        <w:t>hese show an immense amount of social and cultural capital</w:t>
      </w:r>
      <w:r w:rsidR="00BC03E6">
        <w:rPr>
          <w:rFonts w:ascii="Arial" w:eastAsia="Times New Roman" w:hAnsi="Arial" w:cs="Arial"/>
          <w:color w:val="000000"/>
          <w:lang w:eastAsia="en-GB"/>
        </w:rPr>
        <w:t>, as having</w:t>
      </w:r>
      <w:r w:rsidRPr="00B70F66">
        <w:rPr>
          <w:rFonts w:ascii="Arial" w:eastAsia="Times New Roman" w:hAnsi="Arial" w:cs="Arial"/>
          <w:color w:val="000000"/>
          <w:lang w:eastAsia="en-GB"/>
        </w:rPr>
        <w:t xml:space="preserve"> enough to get something as unnecessary as a necklace implies these people had a consistent source of </w:t>
      </w:r>
      <w:r>
        <w:rPr>
          <w:rFonts w:ascii="Arial" w:eastAsia="Times New Roman" w:hAnsi="Arial" w:cs="Arial"/>
          <w:color w:val="000000"/>
          <w:lang w:eastAsia="en-GB"/>
        </w:rPr>
        <w:t>gross income</w:t>
      </w:r>
      <w:r w:rsidR="00F21DFB">
        <w:rPr>
          <w:rFonts w:ascii="Arial" w:eastAsia="Times New Roman" w:hAnsi="Arial" w:cs="Arial"/>
          <w:color w:val="000000"/>
          <w:lang w:eastAsia="en-GB"/>
        </w:rPr>
        <w:t>. T</w:t>
      </w:r>
      <w:r w:rsidRPr="00B70F66">
        <w:rPr>
          <w:rFonts w:ascii="Arial" w:eastAsia="Times New Roman" w:hAnsi="Arial" w:cs="Arial"/>
          <w:color w:val="000000"/>
          <w:lang w:eastAsia="en-GB"/>
        </w:rPr>
        <w:t xml:space="preserve">he current site of </w:t>
      </w:r>
      <w:proofErr w:type="spellStart"/>
      <w:r w:rsidRPr="00B70F66">
        <w:rPr>
          <w:rFonts w:ascii="Arial" w:eastAsia="Times New Roman" w:hAnsi="Arial" w:cs="Arial"/>
          <w:color w:val="000000"/>
          <w:lang w:eastAsia="en-GB"/>
        </w:rPr>
        <w:t>Kalavasos</w:t>
      </w:r>
      <w:proofErr w:type="spellEnd"/>
      <w:r w:rsidRPr="00B70F66">
        <w:rPr>
          <w:rFonts w:ascii="Arial" w:eastAsia="Times New Roman" w:hAnsi="Arial" w:cs="Arial"/>
          <w:color w:val="000000"/>
          <w:lang w:eastAsia="en-GB"/>
        </w:rPr>
        <w:t xml:space="preserve"> is around six kilometres from the coast</w:t>
      </w:r>
      <w:r w:rsidR="00F21DFB">
        <w:rPr>
          <w:rFonts w:ascii="Arial" w:eastAsia="Times New Roman" w:hAnsi="Arial" w:cs="Arial"/>
          <w:color w:val="000000"/>
          <w:lang w:eastAsia="en-GB"/>
        </w:rPr>
        <w:t>.</w:t>
      </w:r>
      <w:r w:rsidR="00F21DFB">
        <w:rPr>
          <w:rStyle w:val="FootnoteReference"/>
          <w:rFonts w:ascii="Arial" w:eastAsia="Times New Roman" w:hAnsi="Arial" w:cs="Arial"/>
          <w:color w:val="000000"/>
          <w:lang w:eastAsia="en-GB"/>
        </w:rPr>
        <w:footnoteReference w:id="25"/>
      </w:r>
      <w:r w:rsidRPr="00B70F66">
        <w:rPr>
          <w:rFonts w:ascii="Arial" w:eastAsia="Times New Roman" w:hAnsi="Arial" w:cs="Arial"/>
          <w:color w:val="000000"/>
          <w:lang w:eastAsia="en-GB"/>
        </w:rPr>
        <w:t xml:space="preserve"> </w:t>
      </w:r>
      <w:r w:rsidR="00F21DFB">
        <w:rPr>
          <w:rFonts w:ascii="Arial" w:eastAsia="Times New Roman" w:hAnsi="Arial" w:cs="Arial"/>
          <w:color w:val="000000"/>
          <w:lang w:eastAsia="en-GB"/>
        </w:rPr>
        <w:t>T</w:t>
      </w:r>
      <w:r w:rsidRPr="00B70F66">
        <w:rPr>
          <w:rFonts w:ascii="Arial" w:eastAsia="Times New Roman" w:hAnsi="Arial" w:cs="Arial"/>
          <w:color w:val="000000"/>
          <w:lang w:eastAsia="en-GB"/>
        </w:rPr>
        <w:t xml:space="preserve">his furthermore this suggests there would have been a common travel between </w:t>
      </w:r>
      <w:proofErr w:type="spellStart"/>
      <w:r w:rsidRPr="00B70F66">
        <w:rPr>
          <w:rFonts w:ascii="Arial" w:eastAsia="Times New Roman" w:hAnsi="Arial" w:cs="Arial"/>
          <w:color w:val="000000"/>
          <w:lang w:eastAsia="en-GB"/>
        </w:rPr>
        <w:t>Kalavasos</w:t>
      </w:r>
      <w:proofErr w:type="spellEnd"/>
      <w:r w:rsidRPr="00B70F66">
        <w:rPr>
          <w:rFonts w:ascii="Arial" w:eastAsia="Times New Roman" w:hAnsi="Arial" w:cs="Arial"/>
          <w:color w:val="000000"/>
          <w:lang w:eastAsia="en-GB"/>
        </w:rPr>
        <w:t xml:space="preserve"> and the coast, where people could purchase luxury goods, </w:t>
      </w:r>
      <w:r>
        <w:rPr>
          <w:rFonts w:ascii="Arial" w:eastAsia="Times New Roman" w:hAnsi="Arial" w:cs="Arial"/>
          <w:color w:val="000000"/>
          <w:lang w:eastAsia="en-GB"/>
        </w:rPr>
        <w:t>with a reliable chance of getting them home. G</w:t>
      </w:r>
      <w:r w:rsidRPr="00B70F66">
        <w:rPr>
          <w:rFonts w:ascii="Arial" w:eastAsia="Times New Roman" w:hAnsi="Arial" w:cs="Arial"/>
          <w:color w:val="000000"/>
          <w:lang w:eastAsia="en-GB"/>
        </w:rPr>
        <w:t>etting this item to the current owner would have required a significant amount of effort, and an item that can be used to show the economic status of its current owner. </w:t>
      </w:r>
    </w:p>
    <w:p w14:paraId="1FDE79ED"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34F84946" w14:textId="5D6014A3"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There is</w:t>
      </w:r>
      <w:r w:rsidR="0088103E">
        <w:rPr>
          <w:rFonts w:ascii="Arial" w:eastAsia="Times New Roman" w:hAnsi="Arial" w:cs="Arial"/>
          <w:color w:val="000000"/>
          <w:lang w:eastAsia="en-GB"/>
        </w:rPr>
        <w:t xml:space="preserve"> also</w:t>
      </w:r>
      <w:r w:rsidRPr="00B70F66">
        <w:rPr>
          <w:rFonts w:ascii="Arial" w:eastAsia="Times New Roman" w:hAnsi="Arial" w:cs="Arial"/>
          <w:color w:val="000000"/>
          <w:lang w:eastAsia="en-GB"/>
        </w:rPr>
        <w:t xml:space="preserve"> a signet ring with decorated with the Egyptian god Sobek on the east bench</w:t>
      </w:r>
      <w:r w:rsidR="0088103E">
        <w:rPr>
          <w:rFonts w:ascii="Arial" w:eastAsia="Times New Roman" w:hAnsi="Arial" w:cs="Arial"/>
          <w:color w:val="000000"/>
          <w:lang w:eastAsia="en-GB"/>
        </w:rPr>
        <w:t>.</w:t>
      </w:r>
      <w:r>
        <w:rPr>
          <w:rStyle w:val="FootnoteReference"/>
          <w:rFonts w:ascii="Arial" w:eastAsia="Times New Roman" w:hAnsi="Arial" w:cs="Arial"/>
          <w:color w:val="000000"/>
          <w:lang w:eastAsia="en-GB"/>
        </w:rPr>
        <w:footnoteReference w:id="26"/>
      </w:r>
      <w:r w:rsidRPr="00B70F66">
        <w:rPr>
          <w:rFonts w:ascii="Arial" w:eastAsia="Times New Roman" w:hAnsi="Arial" w:cs="Arial"/>
          <w:color w:val="000000"/>
          <w:lang w:eastAsia="en-GB"/>
        </w:rPr>
        <w:t xml:space="preserve"> </w:t>
      </w:r>
      <w:r w:rsidR="0088103E">
        <w:rPr>
          <w:rFonts w:ascii="Arial" w:eastAsia="Times New Roman" w:hAnsi="Arial" w:cs="Arial"/>
          <w:color w:val="000000"/>
          <w:lang w:eastAsia="en-GB"/>
        </w:rPr>
        <w:t>From this it can be inferred</w:t>
      </w:r>
      <w:r w:rsidRPr="00B70F66">
        <w:rPr>
          <w:rFonts w:ascii="Arial" w:eastAsia="Times New Roman" w:hAnsi="Arial" w:cs="Arial"/>
          <w:color w:val="000000"/>
          <w:lang w:eastAsia="en-GB"/>
        </w:rPr>
        <w:t xml:space="preserve"> that these women were in some way linked to Egypt, and to apply Bourdieu’s theory, this ring must have had some cultural capital attached to it to wear it, implying to some degree that worship of gods, or acknowledgement of gods from other regions was significant to the cultural capital of a person.</w:t>
      </w:r>
    </w:p>
    <w:p w14:paraId="341FC38B"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419D7F6A" w14:textId="61AD3EB6" w:rsidR="00B70F66" w:rsidRPr="00B70F66" w:rsidRDefault="00E40596" w:rsidP="00B70F66">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As well as the bench burials, there are</w:t>
      </w:r>
      <w:r w:rsidR="00B70F66" w:rsidRPr="00B70F66">
        <w:rPr>
          <w:rFonts w:ascii="Arial" w:eastAsia="Times New Roman" w:hAnsi="Arial" w:cs="Arial"/>
          <w:color w:val="000000"/>
          <w:lang w:eastAsia="en-GB"/>
        </w:rPr>
        <w:t xml:space="preserve"> three combined skeletons of infants, who have been identified as reburials</w:t>
      </w:r>
      <w:r>
        <w:rPr>
          <w:rFonts w:ascii="Arial" w:eastAsia="Times New Roman" w:hAnsi="Arial" w:cs="Arial"/>
          <w:color w:val="000000"/>
          <w:lang w:eastAsia="en-GB"/>
        </w:rPr>
        <w:t>.</w:t>
      </w:r>
      <w:r>
        <w:rPr>
          <w:rStyle w:val="FootnoteReference"/>
          <w:rFonts w:ascii="Arial" w:eastAsia="Times New Roman" w:hAnsi="Arial" w:cs="Arial"/>
          <w:color w:val="000000"/>
          <w:lang w:eastAsia="en-GB"/>
        </w:rPr>
        <w:footnoteReference w:id="27"/>
      </w:r>
      <w:r w:rsidR="00B70F66" w:rsidRPr="00B70F66">
        <w:rPr>
          <w:rFonts w:ascii="Arial" w:eastAsia="Times New Roman" w:hAnsi="Arial" w:cs="Arial"/>
          <w:color w:val="000000"/>
          <w:lang w:eastAsia="en-GB"/>
        </w:rPr>
        <w:t xml:space="preserve"> </w:t>
      </w:r>
      <w:r>
        <w:rPr>
          <w:rFonts w:ascii="Arial" w:eastAsia="Times New Roman" w:hAnsi="Arial" w:cs="Arial"/>
          <w:color w:val="000000"/>
          <w:lang w:eastAsia="en-GB"/>
        </w:rPr>
        <w:t>T</w:t>
      </w:r>
      <w:r w:rsidR="00B70F66" w:rsidRPr="00B70F66">
        <w:rPr>
          <w:rFonts w:ascii="Arial" w:eastAsia="Times New Roman" w:hAnsi="Arial" w:cs="Arial"/>
          <w:color w:val="000000"/>
          <w:lang w:eastAsia="en-GB"/>
        </w:rPr>
        <w:t>h</w:t>
      </w:r>
      <w:r>
        <w:rPr>
          <w:rFonts w:ascii="Arial" w:eastAsia="Times New Roman" w:hAnsi="Arial" w:cs="Arial"/>
          <w:color w:val="000000"/>
          <w:lang w:eastAsia="en-GB"/>
        </w:rPr>
        <w:t>eir</w:t>
      </w:r>
      <w:r w:rsidR="00B70F66" w:rsidRPr="00B70F66">
        <w:rPr>
          <w:rFonts w:ascii="Arial" w:eastAsia="Times New Roman" w:hAnsi="Arial" w:cs="Arial"/>
          <w:color w:val="000000"/>
          <w:lang w:eastAsia="en-GB"/>
        </w:rPr>
        <w:t xml:space="preserve"> bones are not individual or laid out but in some form of a </w:t>
      </w:r>
      <w:r w:rsidR="00A475BD">
        <w:rPr>
          <w:rFonts w:ascii="Arial" w:eastAsia="Times New Roman" w:hAnsi="Arial" w:cs="Arial"/>
          <w:color w:val="000000"/>
          <w:lang w:eastAsia="en-GB"/>
        </w:rPr>
        <w:t xml:space="preserve">circle </w:t>
      </w:r>
      <w:r w:rsidR="00B70F66" w:rsidRPr="00B70F66">
        <w:rPr>
          <w:rFonts w:ascii="Arial" w:eastAsia="Times New Roman" w:hAnsi="Arial" w:cs="Arial"/>
          <w:color w:val="000000"/>
          <w:lang w:eastAsia="en-GB"/>
        </w:rPr>
        <w:t>on the floor</w:t>
      </w:r>
      <w:r w:rsidR="00B70F66">
        <w:rPr>
          <w:rStyle w:val="FootnoteReference"/>
          <w:rFonts w:ascii="Arial" w:eastAsia="Times New Roman" w:hAnsi="Arial" w:cs="Arial"/>
          <w:color w:val="000000"/>
          <w:lang w:eastAsia="en-GB"/>
        </w:rPr>
        <w:footnoteReference w:id="28"/>
      </w:r>
      <w:r w:rsidR="00B70F66" w:rsidRPr="00B70F66">
        <w:rPr>
          <w:rFonts w:ascii="Arial" w:eastAsia="Times New Roman" w:hAnsi="Arial" w:cs="Arial"/>
          <w:color w:val="000000"/>
          <w:lang w:eastAsia="en-GB"/>
        </w:rPr>
        <w:t>, this could signify that the physical body does not apply to any form of capital, the two women on the west bench would also lend into this</w:t>
      </w:r>
      <w:r w:rsidR="009772AC">
        <w:rPr>
          <w:rFonts w:ascii="Arial" w:eastAsia="Times New Roman" w:hAnsi="Arial" w:cs="Arial"/>
          <w:color w:val="000000"/>
          <w:lang w:eastAsia="en-GB"/>
        </w:rPr>
        <w:t xml:space="preserve"> as</w:t>
      </w:r>
      <w:r w:rsidR="00B70F66" w:rsidRPr="00B70F66">
        <w:rPr>
          <w:rFonts w:ascii="Arial" w:eastAsia="Times New Roman" w:hAnsi="Arial" w:cs="Arial"/>
          <w:color w:val="000000"/>
          <w:lang w:eastAsia="en-GB"/>
        </w:rPr>
        <w:t xml:space="preserve"> there is a factor of cultural capital in having the correct type of tomb but how your body is interred doesn’t affect this.</w:t>
      </w:r>
    </w:p>
    <w:p w14:paraId="522DF021"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17C14644" w14:textId="05FB1F0A"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 xml:space="preserve">The children's bones are near three identical bowls, which Allison </w:t>
      </w:r>
      <w:r w:rsidR="004C3E23">
        <w:rPr>
          <w:rFonts w:ascii="Arial" w:eastAsia="Times New Roman" w:hAnsi="Arial" w:cs="Arial"/>
          <w:color w:val="000000"/>
          <w:lang w:eastAsia="en-GB"/>
        </w:rPr>
        <w:t>S</w:t>
      </w:r>
      <w:r w:rsidRPr="00B70F66">
        <w:rPr>
          <w:rFonts w:ascii="Arial" w:eastAsia="Times New Roman" w:hAnsi="Arial" w:cs="Arial"/>
          <w:color w:val="000000"/>
          <w:lang w:eastAsia="en-GB"/>
        </w:rPr>
        <w:t>outh identifies as theirs</w:t>
      </w:r>
      <w:r w:rsidR="009772AC">
        <w:rPr>
          <w:rFonts w:ascii="Arial" w:eastAsia="Times New Roman" w:hAnsi="Arial" w:cs="Arial"/>
          <w:color w:val="000000"/>
          <w:lang w:eastAsia="en-GB"/>
        </w:rPr>
        <w:t>’</w:t>
      </w:r>
      <w:r w:rsidRPr="00B70F66">
        <w:rPr>
          <w:rFonts w:ascii="Arial" w:eastAsia="Times New Roman" w:hAnsi="Arial" w:cs="Arial"/>
          <w:color w:val="000000"/>
          <w:lang w:eastAsia="en-GB"/>
        </w:rPr>
        <w:t>,</w:t>
      </w:r>
      <w:r w:rsidR="00BB3111">
        <w:rPr>
          <w:rStyle w:val="FootnoteReference"/>
          <w:rFonts w:ascii="Arial" w:eastAsia="Times New Roman" w:hAnsi="Arial" w:cs="Arial"/>
          <w:color w:val="000000"/>
          <w:lang w:eastAsia="en-GB"/>
        </w:rPr>
        <w:footnoteReference w:id="29"/>
      </w:r>
      <w:r w:rsidRPr="00B70F66">
        <w:rPr>
          <w:rFonts w:ascii="Arial" w:eastAsia="Times New Roman" w:hAnsi="Arial" w:cs="Arial"/>
          <w:color w:val="000000"/>
          <w:lang w:eastAsia="en-GB"/>
        </w:rPr>
        <w:t xml:space="preserve"> this further links into the importance of habitus, </w:t>
      </w:r>
      <w:r w:rsidR="00374E88">
        <w:rPr>
          <w:rFonts w:ascii="Arial" w:eastAsia="Times New Roman" w:hAnsi="Arial" w:cs="Arial"/>
          <w:color w:val="000000"/>
          <w:lang w:eastAsia="en-GB"/>
        </w:rPr>
        <w:t xml:space="preserve">and how it </w:t>
      </w:r>
      <w:r w:rsidRPr="00B70F66">
        <w:rPr>
          <w:rFonts w:ascii="Arial" w:eastAsia="Times New Roman" w:hAnsi="Arial" w:cs="Arial"/>
          <w:color w:val="000000"/>
          <w:lang w:eastAsia="en-GB"/>
        </w:rPr>
        <w:t>shaped Bronze age Cyprus</w:t>
      </w:r>
      <w:r w:rsidR="00374E88">
        <w:rPr>
          <w:rFonts w:ascii="Arial" w:eastAsia="Times New Roman" w:hAnsi="Arial" w:cs="Arial"/>
          <w:color w:val="000000"/>
          <w:lang w:eastAsia="en-GB"/>
        </w:rPr>
        <w:t>.</w:t>
      </w:r>
      <w:r w:rsidR="004846C2">
        <w:rPr>
          <w:rFonts w:ascii="Arial" w:eastAsia="Times New Roman" w:hAnsi="Arial" w:cs="Arial"/>
          <w:color w:val="000000"/>
          <w:lang w:eastAsia="en-GB"/>
        </w:rPr>
        <w:t xml:space="preserve"> </w:t>
      </w:r>
      <w:r w:rsidR="00374E88">
        <w:rPr>
          <w:rFonts w:ascii="Arial" w:eastAsia="Times New Roman" w:hAnsi="Arial" w:cs="Arial"/>
          <w:color w:val="000000"/>
          <w:lang w:eastAsia="en-GB"/>
        </w:rPr>
        <w:t>T</w:t>
      </w:r>
      <w:r w:rsidRPr="00B70F66">
        <w:rPr>
          <w:rFonts w:ascii="Arial" w:eastAsia="Times New Roman" w:hAnsi="Arial" w:cs="Arial"/>
          <w:color w:val="000000"/>
          <w:lang w:eastAsia="en-GB"/>
        </w:rPr>
        <w:t>he children are either pre-natal or too young to hold the bowls themselves,</w:t>
      </w:r>
      <w:r w:rsidR="00E230DA">
        <w:rPr>
          <w:rStyle w:val="FootnoteReference"/>
          <w:rFonts w:ascii="Arial" w:eastAsia="Times New Roman" w:hAnsi="Arial" w:cs="Arial"/>
          <w:color w:val="000000"/>
          <w:lang w:eastAsia="en-GB"/>
        </w:rPr>
        <w:footnoteReference w:id="30"/>
      </w:r>
      <w:r w:rsidRPr="00B70F66">
        <w:rPr>
          <w:rFonts w:ascii="Arial" w:eastAsia="Times New Roman" w:hAnsi="Arial" w:cs="Arial"/>
          <w:color w:val="000000"/>
          <w:lang w:eastAsia="en-GB"/>
        </w:rPr>
        <w:t xml:space="preserve"> showing a cultural significance in water consumption, a shared aspect of habitus shaped by the difficulties of gathering water </w:t>
      </w:r>
      <w:proofErr w:type="gramStart"/>
      <w:r w:rsidRPr="00B70F66">
        <w:rPr>
          <w:rFonts w:ascii="Arial" w:eastAsia="Times New Roman" w:hAnsi="Arial" w:cs="Arial"/>
          <w:color w:val="000000"/>
          <w:lang w:eastAsia="en-GB"/>
        </w:rPr>
        <w:t>on</w:t>
      </w:r>
      <w:proofErr w:type="gramEnd"/>
      <w:r w:rsidRPr="00B70F66">
        <w:rPr>
          <w:rFonts w:ascii="Arial" w:eastAsia="Times New Roman" w:hAnsi="Arial" w:cs="Arial"/>
          <w:color w:val="000000"/>
          <w:lang w:eastAsia="en-GB"/>
        </w:rPr>
        <w:t xml:space="preserve"> Cyprus</w:t>
      </w:r>
      <w:r w:rsidR="00E230DA">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E230DA">
        <w:rPr>
          <w:rFonts w:ascii="Arial" w:eastAsia="Times New Roman" w:hAnsi="Arial" w:cs="Arial"/>
          <w:color w:val="000000"/>
          <w:lang w:eastAsia="en-GB"/>
        </w:rPr>
        <w:t>T</w:t>
      </w:r>
      <w:r w:rsidRPr="00B70F66">
        <w:rPr>
          <w:rFonts w:ascii="Arial" w:eastAsia="Times New Roman" w:hAnsi="Arial" w:cs="Arial"/>
          <w:color w:val="000000"/>
          <w:lang w:eastAsia="en-GB"/>
        </w:rPr>
        <w:t>here are also fish bones in the tomb,</w:t>
      </w:r>
      <w:r w:rsidR="00401BF6">
        <w:rPr>
          <w:rStyle w:val="FootnoteReference"/>
          <w:rFonts w:ascii="Arial" w:eastAsia="Times New Roman" w:hAnsi="Arial" w:cs="Arial"/>
          <w:color w:val="000000"/>
          <w:lang w:eastAsia="en-GB"/>
        </w:rPr>
        <w:footnoteReference w:id="31"/>
      </w:r>
      <w:r w:rsidRPr="00B70F66">
        <w:rPr>
          <w:rFonts w:ascii="Arial" w:eastAsia="Times New Roman" w:hAnsi="Arial" w:cs="Arial"/>
          <w:color w:val="000000"/>
          <w:lang w:eastAsia="en-GB"/>
        </w:rPr>
        <w:t xml:space="preserve"> </w:t>
      </w:r>
      <w:r w:rsidRPr="00B70F66">
        <w:rPr>
          <w:rFonts w:ascii="Arial" w:eastAsia="Times New Roman" w:hAnsi="Arial" w:cs="Arial"/>
          <w:color w:val="000000"/>
          <w:lang w:eastAsia="en-GB"/>
        </w:rPr>
        <w:lastRenderedPageBreak/>
        <w:t>perhaps linked in further to the importance of water in this bronze age society, a representation of the water that will last forever in the tomb. </w:t>
      </w:r>
    </w:p>
    <w:p w14:paraId="6CB14DC1" w14:textId="31A097F0"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These bones however could be showing the diet of these women being primarily fish and birds</w:t>
      </w:r>
      <w:r w:rsidR="00401BF6">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993074">
        <w:rPr>
          <w:rFonts w:ascii="Arial" w:eastAsia="Times New Roman" w:hAnsi="Arial" w:cs="Arial"/>
          <w:color w:val="000000"/>
          <w:lang w:eastAsia="en-GB"/>
        </w:rPr>
        <w:t>S</w:t>
      </w:r>
      <w:r w:rsidRPr="00B70F66">
        <w:rPr>
          <w:rFonts w:ascii="Arial" w:eastAsia="Times New Roman" w:hAnsi="Arial" w:cs="Arial"/>
          <w:color w:val="000000"/>
          <w:lang w:eastAsia="en-GB"/>
        </w:rPr>
        <w:t xml:space="preserve">ome of the imported pottery has motifs of fish on, </w:t>
      </w:r>
      <w:r w:rsidR="005848DE">
        <w:rPr>
          <w:rFonts w:ascii="Arial" w:eastAsia="Times New Roman" w:hAnsi="Arial" w:cs="Arial"/>
          <w:color w:val="000000"/>
          <w:lang w:eastAsia="en-GB"/>
        </w:rPr>
        <w:t>continuing to show</w:t>
      </w:r>
      <w:r w:rsidRPr="00B70F66">
        <w:rPr>
          <w:rFonts w:ascii="Arial" w:eastAsia="Times New Roman" w:hAnsi="Arial" w:cs="Arial"/>
          <w:color w:val="000000"/>
          <w:lang w:eastAsia="en-GB"/>
        </w:rPr>
        <w:t xml:space="preserve"> the significance of this animal to this household</w:t>
      </w:r>
      <w:r w:rsidR="004005A2">
        <w:rPr>
          <w:rFonts w:ascii="Arial" w:eastAsia="Times New Roman" w:hAnsi="Arial" w:cs="Arial"/>
          <w:color w:val="000000"/>
          <w:lang w:eastAsia="en-GB"/>
        </w:rPr>
        <w:t>.</w:t>
      </w:r>
      <w:r w:rsidR="004005A2">
        <w:rPr>
          <w:rStyle w:val="FootnoteReference"/>
          <w:rFonts w:ascii="Arial" w:eastAsia="Times New Roman" w:hAnsi="Arial" w:cs="Arial"/>
          <w:color w:val="000000"/>
          <w:lang w:eastAsia="en-GB"/>
        </w:rPr>
        <w:footnoteReference w:id="32"/>
      </w:r>
      <w:r w:rsidRPr="00B70F66">
        <w:rPr>
          <w:rFonts w:ascii="Arial" w:eastAsia="Times New Roman" w:hAnsi="Arial" w:cs="Arial"/>
          <w:color w:val="000000"/>
          <w:lang w:eastAsia="en-GB"/>
        </w:rPr>
        <w:t xml:space="preserve"> </w:t>
      </w:r>
      <w:r w:rsidR="00CA6D44">
        <w:rPr>
          <w:rFonts w:ascii="Arial" w:eastAsia="Times New Roman" w:hAnsi="Arial" w:cs="Arial"/>
          <w:color w:val="000000"/>
          <w:lang w:eastAsia="en-GB"/>
        </w:rPr>
        <w:t>This lends</w:t>
      </w:r>
      <w:r w:rsidRPr="00B70F66">
        <w:rPr>
          <w:rFonts w:ascii="Arial" w:eastAsia="Times New Roman" w:hAnsi="Arial" w:cs="Arial"/>
          <w:color w:val="000000"/>
          <w:lang w:eastAsia="en-GB"/>
        </w:rPr>
        <w:t xml:space="preserve"> credence to the idea that these women travelled to the coast on multiple occasions </w:t>
      </w:r>
      <w:r w:rsidR="00CA6D44">
        <w:rPr>
          <w:rFonts w:ascii="Arial" w:eastAsia="Times New Roman" w:hAnsi="Arial" w:cs="Arial"/>
          <w:color w:val="000000"/>
          <w:lang w:eastAsia="en-GB"/>
        </w:rPr>
        <w:t>(</w:t>
      </w:r>
      <w:r w:rsidRPr="00B70F66">
        <w:rPr>
          <w:rFonts w:ascii="Arial" w:eastAsia="Times New Roman" w:hAnsi="Arial" w:cs="Arial"/>
          <w:color w:val="000000"/>
          <w:lang w:eastAsia="en-GB"/>
        </w:rPr>
        <w:t>perhaps regularly</w:t>
      </w:r>
      <w:r w:rsidR="00CA6D44">
        <w:rPr>
          <w:rFonts w:ascii="Arial" w:eastAsia="Times New Roman" w:hAnsi="Arial" w:cs="Arial"/>
          <w:color w:val="000000"/>
          <w:lang w:eastAsia="en-GB"/>
        </w:rPr>
        <w:t>)</w:t>
      </w:r>
      <w:r w:rsidRPr="00B70F66">
        <w:rPr>
          <w:rFonts w:ascii="Arial" w:eastAsia="Times New Roman" w:hAnsi="Arial" w:cs="Arial"/>
          <w:color w:val="000000"/>
          <w:lang w:eastAsia="en-GB"/>
        </w:rPr>
        <w:t xml:space="preserve">, or lived on the coast and were moved further inland for </w:t>
      </w:r>
      <w:r w:rsidR="00CA6D44" w:rsidRPr="00B70F66">
        <w:rPr>
          <w:rFonts w:ascii="Arial" w:eastAsia="Times New Roman" w:hAnsi="Arial" w:cs="Arial"/>
          <w:color w:val="000000"/>
          <w:lang w:eastAsia="en-GB"/>
        </w:rPr>
        <w:t>their</w:t>
      </w:r>
      <w:r w:rsidRPr="00B70F66">
        <w:rPr>
          <w:rFonts w:ascii="Arial" w:eastAsia="Times New Roman" w:hAnsi="Arial" w:cs="Arial"/>
          <w:color w:val="000000"/>
          <w:lang w:eastAsia="en-GB"/>
        </w:rPr>
        <w:t xml:space="preserve"> burial</w:t>
      </w:r>
      <w:r w:rsidR="0048439E">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48439E">
        <w:rPr>
          <w:rFonts w:ascii="Arial" w:eastAsia="Times New Roman" w:hAnsi="Arial" w:cs="Arial"/>
          <w:color w:val="000000"/>
          <w:lang w:eastAsia="en-GB"/>
        </w:rPr>
        <w:t>E</w:t>
      </w:r>
      <w:r w:rsidRPr="00B70F66">
        <w:rPr>
          <w:rFonts w:ascii="Arial" w:eastAsia="Times New Roman" w:hAnsi="Arial" w:cs="Arial"/>
          <w:color w:val="000000"/>
          <w:lang w:eastAsia="en-GB"/>
        </w:rPr>
        <w:t>ither way fish bones were significant enough to be included alongside a great deal of expensive items, meaning they must have been a representation of something.</w:t>
      </w:r>
    </w:p>
    <w:p w14:paraId="6900E803"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62D1A184" w14:textId="6A879CCC"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Entirely unrelated to the tomb and its contents but important for understanding the tomb i</w:t>
      </w:r>
      <w:r w:rsidR="0048439E">
        <w:rPr>
          <w:rFonts w:ascii="Arial" w:eastAsia="Times New Roman" w:hAnsi="Arial" w:cs="Arial"/>
          <w:color w:val="000000"/>
          <w:lang w:eastAsia="en-GB"/>
        </w:rPr>
        <w:t>n</w:t>
      </w:r>
      <w:r w:rsidRPr="00B70F66">
        <w:rPr>
          <w:rFonts w:ascii="Arial" w:eastAsia="Times New Roman" w:hAnsi="Arial" w:cs="Arial"/>
          <w:color w:val="000000"/>
          <w:lang w:eastAsia="en-GB"/>
        </w:rPr>
        <w:t xml:space="preserve"> context</w:t>
      </w:r>
      <w:r w:rsidR="0048439E">
        <w:rPr>
          <w:rFonts w:ascii="Arial" w:eastAsia="Times New Roman" w:hAnsi="Arial" w:cs="Arial"/>
          <w:color w:val="000000"/>
          <w:lang w:eastAsia="en-GB"/>
        </w:rPr>
        <w:t>:</w:t>
      </w:r>
      <w:r w:rsidRPr="00B70F66">
        <w:rPr>
          <w:rFonts w:ascii="Arial" w:eastAsia="Times New Roman" w:hAnsi="Arial" w:cs="Arial"/>
          <w:color w:val="000000"/>
          <w:lang w:eastAsia="en-GB"/>
        </w:rPr>
        <w:t xml:space="preserve"> there was a building built next to the tomb which is seen as the administrative building for this area</w:t>
      </w:r>
      <w:r w:rsidR="0048439E">
        <w:rPr>
          <w:rFonts w:ascii="Arial" w:eastAsia="Times New Roman" w:hAnsi="Arial" w:cs="Arial"/>
          <w:color w:val="000000"/>
          <w:lang w:eastAsia="en-GB"/>
        </w:rPr>
        <w:t>.</w:t>
      </w:r>
      <w:r w:rsidR="0048439E">
        <w:rPr>
          <w:rStyle w:val="FootnoteReference"/>
          <w:rFonts w:ascii="Arial" w:eastAsia="Times New Roman" w:hAnsi="Arial" w:cs="Arial"/>
          <w:color w:val="000000"/>
          <w:lang w:eastAsia="en-GB"/>
        </w:rPr>
        <w:footnoteReference w:id="33"/>
      </w:r>
      <w:r w:rsidRPr="00B70F66">
        <w:rPr>
          <w:rFonts w:ascii="Arial" w:eastAsia="Times New Roman" w:hAnsi="Arial" w:cs="Arial"/>
          <w:color w:val="000000"/>
          <w:lang w:eastAsia="en-GB"/>
        </w:rPr>
        <w:t xml:space="preserve"> </w:t>
      </w:r>
      <w:r w:rsidR="0048439E">
        <w:rPr>
          <w:rFonts w:ascii="Arial" w:eastAsia="Times New Roman" w:hAnsi="Arial" w:cs="Arial"/>
          <w:color w:val="000000"/>
          <w:lang w:eastAsia="en-GB"/>
        </w:rPr>
        <w:t>T</w:t>
      </w:r>
      <w:r w:rsidRPr="00B70F66">
        <w:rPr>
          <w:rFonts w:ascii="Arial" w:eastAsia="Times New Roman" w:hAnsi="Arial" w:cs="Arial"/>
          <w:color w:val="000000"/>
          <w:lang w:eastAsia="en-GB"/>
        </w:rPr>
        <w:t>his is evidence that ancestors were significant to cultural capital in th</w:t>
      </w:r>
      <w:r w:rsidR="007C31AD">
        <w:rPr>
          <w:rFonts w:ascii="Arial" w:eastAsia="Times New Roman" w:hAnsi="Arial" w:cs="Arial"/>
          <w:color w:val="000000"/>
          <w:lang w:eastAsia="en-GB"/>
        </w:rPr>
        <w:t>e society</w:t>
      </w:r>
      <w:r w:rsidR="00567ABA">
        <w:rPr>
          <w:rFonts w:ascii="Arial" w:eastAsia="Times New Roman" w:hAnsi="Arial" w:cs="Arial"/>
          <w:color w:val="000000"/>
          <w:lang w:eastAsia="en-GB"/>
        </w:rPr>
        <w:t>.</w:t>
      </w:r>
      <w:r w:rsidR="007C31AD">
        <w:rPr>
          <w:rStyle w:val="FootnoteReference"/>
          <w:rFonts w:ascii="Arial" w:eastAsia="Times New Roman" w:hAnsi="Arial" w:cs="Arial"/>
          <w:color w:val="000000"/>
          <w:lang w:eastAsia="en-GB"/>
        </w:rPr>
        <w:footnoteReference w:id="34"/>
      </w:r>
      <w:r w:rsidRPr="00B70F66">
        <w:rPr>
          <w:rFonts w:ascii="Arial" w:eastAsia="Times New Roman" w:hAnsi="Arial" w:cs="Arial"/>
          <w:color w:val="000000"/>
          <w:lang w:eastAsia="en-GB"/>
        </w:rPr>
        <w:t xml:space="preserve"> </w:t>
      </w:r>
      <w:r w:rsidR="00567ABA">
        <w:rPr>
          <w:rFonts w:ascii="Arial" w:eastAsia="Times New Roman" w:hAnsi="Arial" w:cs="Arial"/>
          <w:color w:val="000000"/>
          <w:lang w:eastAsia="en-GB"/>
        </w:rPr>
        <w:t>I</w:t>
      </w:r>
      <w:r w:rsidRPr="00B70F66">
        <w:rPr>
          <w:rFonts w:ascii="Arial" w:eastAsia="Times New Roman" w:hAnsi="Arial" w:cs="Arial"/>
          <w:color w:val="000000"/>
          <w:lang w:eastAsia="en-GB"/>
        </w:rPr>
        <w:t>t is also notable that these ancestors in tomb 11 were women exclusively,</w:t>
      </w:r>
      <w:r w:rsidR="00CD55F0">
        <w:rPr>
          <w:rStyle w:val="FootnoteReference"/>
          <w:rFonts w:ascii="Arial" w:eastAsia="Times New Roman" w:hAnsi="Arial" w:cs="Arial"/>
          <w:color w:val="000000"/>
          <w:lang w:eastAsia="en-GB"/>
        </w:rPr>
        <w:footnoteReference w:id="35"/>
      </w:r>
      <w:r w:rsidRPr="00B70F66">
        <w:rPr>
          <w:rFonts w:ascii="Arial" w:eastAsia="Times New Roman" w:hAnsi="Arial" w:cs="Arial"/>
          <w:color w:val="000000"/>
          <w:lang w:eastAsia="en-GB"/>
        </w:rPr>
        <w:t xml:space="preserve"> indicating that they have a significant position in the household, and unmarried women were seen as significant as well</w:t>
      </w:r>
      <w:r w:rsidR="00CD55F0">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CD55F0">
        <w:rPr>
          <w:rFonts w:ascii="Arial" w:eastAsia="Times New Roman" w:hAnsi="Arial" w:cs="Arial"/>
          <w:color w:val="000000"/>
          <w:lang w:eastAsia="en-GB"/>
        </w:rPr>
        <w:t>T</w:t>
      </w:r>
      <w:r w:rsidRPr="00B70F66">
        <w:rPr>
          <w:rFonts w:ascii="Arial" w:eastAsia="Times New Roman" w:hAnsi="Arial" w:cs="Arial"/>
          <w:color w:val="000000"/>
          <w:lang w:eastAsia="en-GB"/>
        </w:rPr>
        <w:t>here is no adult man in the tomb,</w:t>
      </w:r>
      <w:r w:rsidR="00CD55F0">
        <w:rPr>
          <w:rStyle w:val="FootnoteReference"/>
          <w:rFonts w:ascii="Arial" w:eastAsia="Times New Roman" w:hAnsi="Arial" w:cs="Arial"/>
          <w:color w:val="000000"/>
          <w:lang w:eastAsia="en-GB"/>
        </w:rPr>
        <w:footnoteReference w:id="36"/>
      </w:r>
      <w:r w:rsidRPr="00B70F66">
        <w:rPr>
          <w:rFonts w:ascii="Arial" w:eastAsia="Times New Roman" w:hAnsi="Arial" w:cs="Arial"/>
          <w:color w:val="000000"/>
          <w:lang w:eastAsia="en-GB"/>
        </w:rPr>
        <w:t xml:space="preserve"> indicating that these women status may have been entirely their own. </w:t>
      </w:r>
    </w:p>
    <w:p w14:paraId="1F2E2A69"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491DAF5F" w14:textId="3806220E" w:rsidR="00B70F66" w:rsidRPr="00B70F66" w:rsidRDefault="007C31AD"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Bourdieu’s</w:t>
      </w:r>
      <w:r w:rsidR="00B70F66" w:rsidRPr="00B70F66">
        <w:rPr>
          <w:rFonts w:ascii="Arial" w:eastAsia="Times New Roman" w:hAnsi="Arial" w:cs="Arial"/>
          <w:color w:val="000000"/>
          <w:lang w:eastAsia="en-GB"/>
        </w:rPr>
        <w:t xml:space="preserve"> theory of practice is useful in most cases for evaluating living cases, but tombs are less about the daily lives and more about outside interpretations. Items linked to habitus are items used to show social, economic status</w:t>
      </w:r>
      <w:r w:rsidR="00FC6A86">
        <w:rPr>
          <w:rFonts w:ascii="Arial" w:eastAsia="Times New Roman" w:hAnsi="Arial" w:cs="Arial"/>
          <w:color w:val="000000"/>
          <w:lang w:eastAsia="en-GB"/>
        </w:rPr>
        <w:t>;</w:t>
      </w:r>
      <w:r w:rsidR="00B70F66" w:rsidRPr="00B70F66">
        <w:rPr>
          <w:rFonts w:ascii="Arial" w:eastAsia="Times New Roman" w:hAnsi="Arial" w:cs="Arial"/>
          <w:color w:val="000000"/>
          <w:lang w:eastAsia="en-GB"/>
        </w:rPr>
        <w:t xml:space="preserve"> they determine the role in society the person plays.</w:t>
      </w:r>
      <w:r w:rsidR="00833A97">
        <w:rPr>
          <w:rStyle w:val="FootnoteReference"/>
          <w:rFonts w:ascii="Arial" w:eastAsia="Times New Roman" w:hAnsi="Arial" w:cs="Arial"/>
          <w:color w:val="000000"/>
          <w:lang w:eastAsia="en-GB"/>
        </w:rPr>
        <w:footnoteReference w:id="37"/>
      </w:r>
      <w:r w:rsidR="00B70F66" w:rsidRPr="00B70F66">
        <w:rPr>
          <w:rFonts w:ascii="Arial" w:eastAsia="Times New Roman" w:hAnsi="Arial" w:cs="Arial"/>
          <w:color w:val="000000"/>
          <w:lang w:eastAsia="en-GB"/>
        </w:rPr>
        <w:t xml:space="preserve"> However, tombs do not show a realistic view of society</w:t>
      </w:r>
      <w:r w:rsidR="00833A97">
        <w:rPr>
          <w:rFonts w:ascii="Arial" w:eastAsia="Times New Roman" w:hAnsi="Arial" w:cs="Arial"/>
          <w:color w:val="000000"/>
          <w:lang w:eastAsia="en-GB"/>
        </w:rPr>
        <w:t>.</w:t>
      </w:r>
      <w:r w:rsidR="00B70F66" w:rsidRPr="00B70F66">
        <w:rPr>
          <w:rFonts w:ascii="Arial" w:eastAsia="Times New Roman" w:hAnsi="Arial" w:cs="Arial"/>
          <w:color w:val="000000"/>
          <w:lang w:eastAsia="en-GB"/>
        </w:rPr>
        <w:t xml:space="preserve"> Egyptian tombs have been decorated with images and objects of the tombs occupants doing activities they would not have done due to their economic status, but their funerary beliefs meant that this impression was important in death</w:t>
      </w:r>
      <w:r w:rsidR="00833A97">
        <w:rPr>
          <w:rFonts w:ascii="Arial" w:eastAsia="Times New Roman" w:hAnsi="Arial" w:cs="Arial"/>
          <w:color w:val="000000"/>
          <w:lang w:eastAsia="en-GB"/>
        </w:rPr>
        <w:t>.</w:t>
      </w:r>
      <w:r w:rsidR="006039BC">
        <w:rPr>
          <w:rStyle w:val="FootnoteReference"/>
          <w:rFonts w:ascii="Arial" w:eastAsia="Times New Roman" w:hAnsi="Arial" w:cs="Arial"/>
          <w:color w:val="000000"/>
          <w:lang w:eastAsia="en-GB"/>
        </w:rPr>
        <w:footnoteReference w:id="38"/>
      </w:r>
      <w:r w:rsidR="00B70F66" w:rsidRPr="00B70F66">
        <w:rPr>
          <w:rFonts w:ascii="Arial" w:eastAsia="Times New Roman" w:hAnsi="Arial" w:cs="Arial"/>
          <w:color w:val="000000"/>
          <w:lang w:eastAsia="en-GB"/>
        </w:rPr>
        <w:t xml:space="preserve"> </w:t>
      </w:r>
      <w:r w:rsidR="00833A97">
        <w:rPr>
          <w:rFonts w:ascii="Arial" w:eastAsia="Times New Roman" w:hAnsi="Arial" w:cs="Arial"/>
          <w:color w:val="000000"/>
          <w:lang w:eastAsia="en-GB"/>
        </w:rPr>
        <w:t>T</w:t>
      </w:r>
      <w:r w:rsidR="00B70F66" w:rsidRPr="00B70F66">
        <w:rPr>
          <w:rFonts w:ascii="Arial" w:eastAsia="Times New Roman" w:hAnsi="Arial" w:cs="Arial"/>
          <w:color w:val="000000"/>
          <w:lang w:eastAsia="en-GB"/>
        </w:rPr>
        <w:t>hey</w:t>
      </w:r>
      <w:r w:rsidR="00833A97">
        <w:rPr>
          <w:rFonts w:ascii="Arial" w:eastAsia="Times New Roman" w:hAnsi="Arial" w:cs="Arial"/>
          <w:color w:val="000000"/>
          <w:lang w:eastAsia="en-GB"/>
        </w:rPr>
        <w:t xml:space="preserve"> also</w:t>
      </w:r>
      <w:r w:rsidR="00B70F66" w:rsidRPr="00B70F66">
        <w:rPr>
          <w:rFonts w:ascii="Arial" w:eastAsia="Times New Roman" w:hAnsi="Arial" w:cs="Arial"/>
          <w:color w:val="000000"/>
          <w:lang w:eastAsia="en-GB"/>
        </w:rPr>
        <w:t xml:space="preserve"> had stylised objects as representations, as they believed these things would follow them into the afterlife.</w:t>
      </w:r>
      <w:r w:rsidR="006039BC">
        <w:rPr>
          <w:rStyle w:val="FootnoteReference"/>
          <w:rFonts w:ascii="Arial" w:eastAsia="Times New Roman" w:hAnsi="Arial" w:cs="Arial"/>
          <w:color w:val="000000"/>
          <w:lang w:eastAsia="en-GB"/>
        </w:rPr>
        <w:footnoteReference w:id="39"/>
      </w:r>
      <w:r w:rsidR="00B70F66" w:rsidRPr="00B70F66">
        <w:rPr>
          <w:rFonts w:ascii="Arial" w:eastAsia="Times New Roman" w:hAnsi="Arial" w:cs="Arial"/>
          <w:color w:val="000000"/>
          <w:lang w:eastAsia="en-GB"/>
        </w:rPr>
        <w:t xml:space="preserve"> The same could possibly be seen in Cyprus, were these women buried with these items because of Cypriot ideas about death or because they used them every day. As more information about the tomb comes out this sentiment may be</w:t>
      </w:r>
      <w:r w:rsidR="006422BB">
        <w:rPr>
          <w:rFonts w:ascii="Arial" w:eastAsia="Times New Roman" w:hAnsi="Arial" w:cs="Arial"/>
          <w:color w:val="000000"/>
          <w:lang w:eastAsia="en-GB"/>
        </w:rPr>
        <w:t>come</w:t>
      </w:r>
      <w:r w:rsidR="00B70F66" w:rsidRPr="00B70F66">
        <w:rPr>
          <w:rFonts w:ascii="Arial" w:eastAsia="Times New Roman" w:hAnsi="Arial" w:cs="Arial"/>
          <w:color w:val="000000"/>
          <w:lang w:eastAsia="en-GB"/>
        </w:rPr>
        <w:t xml:space="preserve"> obsolete</w:t>
      </w:r>
      <w:r w:rsidR="006422BB">
        <w:rPr>
          <w:rFonts w:ascii="Arial" w:eastAsia="Times New Roman" w:hAnsi="Arial" w:cs="Arial"/>
          <w:color w:val="000000"/>
          <w:lang w:eastAsia="en-GB"/>
        </w:rPr>
        <w:t>.</w:t>
      </w:r>
      <w:r w:rsidR="00B70F66" w:rsidRPr="00B70F66">
        <w:rPr>
          <w:rFonts w:ascii="Arial" w:eastAsia="Times New Roman" w:hAnsi="Arial" w:cs="Arial"/>
          <w:color w:val="000000"/>
          <w:lang w:eastAsia="en-GB"/>
        </w:rPr>
        <w:t xml:space="preserve"> </w:t>
      </w:r>
      <w:r w:rsidR="006422BB">
        <w:rPr>
          <w:rFonts w:ascii="Arial" w:eastAsia="Times New Roman" w:hAnsi="Arial" w:cs="Arial"/>
          <w:color w:val="000000"/>
          <w:lang w:eastAsia="en-GB"/>
        </w:rPr>
        <w:t>I</w:t>
      </w:r>
      <w:r w:rsidR="00B70F66" w:rsidRPr="00B70F66">
        <w:rPr>
          <w:rFonts w:ascii="Arial" w:eastAsia="Times New Roman" w:hAnsi="Arial" w:cs="Arial"/>
          <w:color w:val="000000"/>
          <w:lang w:eastAsia="en-GB"/>
        </w:rPr>
        <w:t xml:space="preserve">f their bodies show musculoskeletal damage, in a way that is consistent with women from cultures where they are water </w:t>
      </w:r>
      <w:proofErr w:type="gramStart"/>
      <w:r w:rsidR="00B70F66" w:rsidRPr="00B70F66">
        <w:rPr>
          <w:rFonts w:ascii="Arial" w:eastAsia="Times New Roman" w:hAnsi="Arial" w:cs="Arial"/>
          <w:color w:val="000000"/>
          <w:lang w:eastAsia="en-GB"/>
        </w:rPr>
        <w:t>carriers</w:t>
      </w:r>
      <w:proofErr w:type="gramEnd"/>
      <w:r w:rsidR="00B70F66" w:rsidRPr="00B70F66">
        <w:rPr>
          <w:rFonts w:ascii="Arial" w:eastAsia="Times New Roman" w:hAnsi="Arial" w:cs="Arial"/>
          <w:color w:val="000000"/>
          <w:lang w:eastAsia="en-GB"/>
        </w:rPr>
        <w:t xml:space="preserve"> we can know that they did partake in this activity, for example.</w:t>
      </w:r>
      <w:r w:rsidR="006422BB">
        <w:rPr>
          <w:rStyle w:val="FootnoteReference"/>
          <w:rFonts w:ascii="Arial" w:eastAsia="Times New Roman" w:hAnsi="Arial" w:cs="Arial"/>
          <w:color w:val="000000"/>
          <w:lang w:eastAsia="en-GB"/>
        </w:rPr>
        <w:footnoteReference w:id="40"/>
      </w:r>
      <w:r w:rsidR="00B70F66" w:rsidRPr="00B70F66">
        <w:rPr>
          <w:rFonts w:ascii="Arial" w:eastAsia="Times New Roman" w:hAnsi="Arial" w:cs="Arial"/>
          <w:color w:val="000000"/>
          <w:lang w:eastAsia="en-GB"/>
        </w:rPr>
        <w:t> </w:t>
      </w:r>
    </w:p>
    <w:p w14:paraId="12DDB651" w14:textId="77777777" w:rsidR="00B70F66" w:rsidRPr="00B70F66" w:rsidRDefault="00B70F66" w:rsidP="00B70F66">
      <w:pPr>
        <w:spacing w:after="0" w:line="240" w:lineRule="auto"/>
        <w:rPr>
          <w:rFonts w:ascii="Times New Roman" w:eastAsia="Times New Roman" w:hAnsi="Times New Roman" w:cs="Times New Roman"/>
          <w:sz w:val="24"/>
          <w:szCs w:val="24"/>
          <w:lang w:eastAsia="en-GB"/>
        </w:rPr>
      </w:pPr>
    </w:p>
    <w:p w14:paraId="5EA7FCFE" w14:textId="20131B45" w:rsidR="00B70F66" w:rsidRPr="00B70F66" w:rsidRDefault="00B70F66" w:rsidP="00B70F66">
      <w:pPr>
        <w:spacing w:after="0" w:line="240" w:lineRule="auto"/>
        <w:rPr>
          <w:rFonts w:ascii="Times New Roman" w:eastAsia="Times New Roman" w:hAnsi="Times New Roman" w:cs="Times New Roman"/>
          <w:sz w:val="24"/>
          <w:szCs w:val="24"/>
          <w:lang w:eastAsia="en-GB"/>
        </w:rPr>
      </w:pPr>
      <w:r w:rsidRPr="00B70F66">
        <w:rPr>
          <w:rFonts w:ascii="Arial" w:eastAsia="Times New Roman" w:hAnsi="Arial" w:cs="Arial"/>
          <w:color w:val="000000"/>
          <w:lang w:eastAsia="en-GB"/>
        </w:rPr>
        <w:t>Bourdieu’s theories are also shaped heavily by his life and understanding</w:t>
      </w:r>
      <w:r w:rsidR="00CF10A6">
        <w:rPr>
          <w:rFonts w:ascii="Arial" w:eastAsia="Times New Roman" w:hAnsi="Arial" w:cs="Arial"/>
          <w:color w:val="000000"/>
          <w:lang w:eastAsia="en-GB"/>
        </w:rPr>
        <w:t>.</w:t>
      </w:r>
      <w:r w:rsidRPr="00B70F66">
        <w:rPr>
          <w:rFonts w:ascii="Arial" w:eastAsia="Times New Roman" w:hAnsi="Arial" w:cs="Arial"/>
          <w:color w:val="000000"/>
          <w:lang w:eastAsia="en-GB"/>
        </w:rPr>
        <w:t xml:space="preserve"> Bourdieu’s theories are formed by marxist thinking, and are heavily focused on concepts of social class, </w:t>
      </w:r>
      <w:r w:rsidR="000B55B0">
        <w:rPr>
          <w:rFonts w:ascii="Arial" w:eastAsia="Times New Roman" w:hAnsi="Arial" w:cs="Arial"/>
          <w:color w:val="000000"/>
          <w:lang w:eastAsia="en-GB"/>
        </w:rPr>
        <w:t xml:space="preserve">assuming there is </w:t>
      </w:r>
      <w:r w:rsidRPr="00B70F66">
        <w:rPr>
          <w:rFonts w:ascii="Arial" w:eastAsia="Times New Roman" w:hAnsi="Arial" w:cs="Arial"/>
          <w:color w:val="000000"/>
          <w:lang w:eastAsia="en-GB"/>
        </w:rPr>
        <w:t>a middle, upper and lower class system.</w:t>
      </w:r>
      <w:r w:rsidR="00CF10A6">
        <w:rPr>
          <w:rStyle w:val="FootnoteReference"/>
          <w:rFonts w:ascii="Arial" w:eastAsia="Times New Roman" w:hAnsi="Arial" w:cs="Arial"/>
          <w:color w:val="000000"/>
          <w:lang w:eastAsia="en-GB"/>
        </w:rPr>
        <w:footnoteReference w:id="41"/>
      </w:r>
      <w:r w:rsidR="000B55B0">
        <w:rPr>
          <w:rFonts w:ascii="Arial" w:eastAsia="Times New Roman" w:hAnsi="Arial" w:cs="Arial"/>
          <w:color w:val="000000"/>
          <w:lang w:eastAsia="en-GB"/>
        </w:rPr>
        <w:t xml:space="preserve"> </w:t>
      </w:r>
      <w:r w:rsidRPr="00B70F66">
        <w:rPr>
          <w:rFonts w:ascii="Arial" w:eastAsia="Times New Roman" w:hAnsi="Arial" w:cs="Arial"/>
          <w:color w:val="000000"/>
          <w:lang w:eastAsia="en-GB"/>
        </w:rPr>
        <w:t>This is the idea being applied to Ancient Cyprus and that doesn’t work in the same way that it does for the 1900s</w:t>
      </w:r>
      <w:r w:rsidR="000B55B0">
        <w:rPr>
          <w:rFonts w:ascii="Arial" w:eastAsia="Times New Roman" w:hAnsi="Arial" w:cs="Arial"/>
          <w:color w:val="000000"/>
          <w:lang w:eastAsia="en-GB"/>
        </w:rPr>
        <w:t>;</w:t>
      </w:r>
      <w:r w:rsidRPr="00B70F66">
        <w:rPr>
          <w:rFonts w:ascii="Arial" w:eastAsia="Times New Roman" w:hAnsi="Arial" w:cs="Arial"/>
          <w:color w:val="000000"/>
          <w:lang w:eastAsia="en-GB"/>
        </w:rPr>
        <w:t xml:space="preserve"> the cultural consciousness is certainly a lot smaller, you cannot afford to have the large interconnectedness of a country when your focus has to be on your own food production</w:t>
      </w:r>
      <w:r w:rsidR="0072579F">
        <w:rPr>
          <w:rFonts w:ascii="Arial" w:eastAsia="Times New Roman" w:hAnsi="Arial" w:cs="Arial"/>
          <w:color w:val="000000"/>
          <w:lang w:eastAsia="en-GB"/>
        </w:rPr>
        <w:t>.</w:t>
      </w:r>
      <w:r w:rsidR="00943053">
        <w:rPr>
          <w:rFonts w:ascii="Arial" w:eastAsia="Times New Roman" w:hAnsi="Arial" w:cs="Arial"/>
          <w:color w:val="000000"/>
          <w:lang w:eastAsia="en-GB"/>
        </w:rPr>
        <w:t xml:space="preserve"> </w:t>
      </w:r>
      <w:r w:rsidR="0072579F">
        <w:rPr>
          <w:rFonts w:ascii="Arial" w:eastAsia="Times New Roman" w:hAnsi="Arial" w:cs="Arial"/>
          <w:color w:val="000000"/>
          <w:lang w:eastAsia="en-GB"/>
        </w:rPr>
        <w:t>D</w:t>
      </w:r>
      <w:r w:rsidRPr="00B70F66">
        <w:rPr>
          <w:rFonts w:ascii="Arial" w:eastAsia="Times New Roman" w:hAnsi="Arial" w:cs="Arial"/>
          <w:color w:val="000000"/>
          <w:lang w:eastAsia="en-GB"/>
        </w:rPr>
        <w:t>ifferent village</w:t>
      </w:r>
      <w:r w:rsidR="00943053">
        <w:rPr>
          <w:rFonts w:ascii="Arial" w:eastAsia="Times New Roman" w:hAnsi="Arial" w:cs="Arial"/>
          <w:color w:val="000000"/>
          <w:lang w:eastAsia="en-GB"/>
        </w:rPr>
        <w:t xml:space="preserve">s on the island had differing levels of development and focused on different </w:t>
      </w:r>
      <w:r w:rsidR="00943053">
        <w:rPr>
          <w:rFonts w:ascii="Arial" w:eastAsia="Times New Roman" w:hAnsi="Arial" w:cs="Arial"/>
          <w:color w:val="000000"/>
          <w:lang w:eastAsia="en-GB"/>
        </w:rPr>
        <w:lastRenderedPageBreak/>
        <w:t>parts of their society depending on what items they could reliably find and use</w:t>
      </w:r>
      <w:r w:rsidR="0072579F">
        <w:rPr>
          <w:rFonts w:ascii="Arial" w:eastAsia="Times New Roman" w:hAnsi="Arial" w:cs="Arial"/>
          <w:color w:val="000000"/>
          <w:lang w:eastAsia="en-GB"/>
        </w:rPr>
        <w:t>;</w:t>
      </w:r>
      <w:r w:rsidR="0072579F">
        <w:rPr>
          <w:rStyle w:val="FootnoteReference"/>
          <w:rFonts w:ascii="Arial" w:eastAsia="Times New Roman" w:hAnsi="Arial" w:cs="Arial"/>
          <w:color w:val="000000"/>
          <w:lang w:eastAsia="en-GB"/>
        </w:rPr>
        <w:footnoteReference w:id="42"/>
      </w:r>
      <w:r w:rsidR="0072579F">
        <w:rPr>
          <w:rFonts w:ascii="Arial" w:eastAsia="Times New Roman" w:hAnsi="Arial" w:cs="Arial"/>
          <w:color w:val="000000"/>
          <w:lang w:eastAsia="en-GB"/>
        </w:rPr>
        <w:t xml:space="preserve"> so</w:t>
      </w:r>
      <w:r w:rsidRPr="00B70F66">
        <w:rPr>
          <w:rFonts w:ascii="Arial" w:eastAsia="Times New Roman" w:hAnsi="Arial" w:cs="Arial"/>
          <w:color w:val="000000"/>
          <w:lang w:eastAsia="en-GB"/>
        </w:rPr>
        <w:t xml:space="preserve"> applying a theory designed to explain social identity in 1950/1960s France cannot be applied fully or effectively on village based social reproduction.  On a tomb such as this one which is inhabited by women, looking into feminist theories on women’s burials would be more useful</w:t>
      </w:r>
      <w:r w:rsidR="00015A07">
        <w:rPr>
          <w:rFonts w:ascii="Arial" w:eastAsia="Times New Roman" w:hAnsi="Arial" w:cs="Arial"/>
          <w:color w:val="000000"/>
          <w:lang w:eastAsia="en-GB"/>
        </w:rPr>
        <w:t>.</w:t>
      </w:r>
      <w:r w:rsidRPr="00B70F66">
        <w:rPr>
          <w:rFonts w:ascii="Arial" w:eastAsia="Times New Roman" w:hAnsi="Arial" w:cs="Arial"/>
          <w:color w:val="000000"/>
          <w:lang w:eastAsia="en-GB"/>
        </w:rPr>
        <w:t xml:space="preserve"> </w:t>
      </w:r>
      <w:r w:rsidR="00015A07">
        <w:rPr>
          <w:rFonts w:ascii="Arial" w:eastAsia="Times New Roman" w:hAnsi="Arial" w:cs="Arial"/>
          <w:color w:val="000000"/>
          <w:lang w:eastAsia="en-GB"/>
        </w:rPr>
        <w:t>For example:</w:t>
      </w:r>
      <w:r w:rsidRPr="00B70F66">
        <w:rPr>
          <w:rFonts w:ascii="Arial" w:eastAsia="Times New Roman" w:hAnsi="Arial" w:cs="Arial"/>
          <w:color w:val="000000"/>
          <w:lang w:eastAsia="en-GB"/>
        </w:rPr>
        <w:t xml:space="preserve"> Simone De Bouviour’s theoretical statements on what shapes womanhood,</w:t>
      </w:r>
      <w:r w:rsidR="00015A07">
        <w:rPr>
          <w:rStyle w:val="FootnoteReference"/>
          <w:rFonts w:ascii="Arial" w:eastAsia="Times New Roman" w:hAnsi="Arial" w:cs="Arial"/>
          <w:color w:val="000000"/>
          <w:lang w:eastAsia="en-GB"/>
        </w:rPr>
        <w:footnoteReference w:id="43"/>
      </w:r>
      <w:r w:rsidRPr="00B70F66">
        <w:rPr>
          <w:rFonts w:ascii="Arial" w:eastAsia="Times New Roman" w:hAnsi="Arial" w:cs="Arial"/>
          <w:color w:val="000000"/>
          <w:lang w:eastAsia="en-GB"/>
        </w:rPr>
        <w:t xml:space="preserve"> or looking into ideas of ancestor worship in the Cypriot world, which might explain why these women were possibly reburied in more elaborate tombs indicating a possible change in religious practices in the move to the late bronze age.</w:t>
      </w:r>
    </w:p>
    <w:p w14:paraId="17CDBD5E" w14:textId="10546933" w:rsidR="00956D3E" w:rsidRDefault="00B70F66" w:rsidP="00956D3E">
      <w:pPr>
        <w:keepNext/>
      </w:pPr>
      <w:r w:rsidRPr="00B70F66">
        <w:rPr>
          <w:rFonts w:ascii="Times New Roman" w:eastAsia="Times New Roman" w:hAnsi="Times New Roman" w:cs="Times New Roman"/>
          <w:sz w:val="24"/>
          <w:szCs w:val="24"/>
          <w:lang w:eastAsia="en-GB"/>
        </w:rPr>
        <w:br/>
      </w:r>
      <w:r w:rsidRPr="00B70F66">
        <w:rPr>
          <w:rFonts w:ascii="Times New Roman" w:eastAsia="Times New Roman" w:hAnsi="Times New Roman" w:cs="Times New Roman"/>
          <w:sz w:val="24"/>
          <w:szCs w:val="24"/>
          <w:lang w:eastAsia="en-GB"/>
        </w:rPr>
        <w:br/>
      </w:r>
      <w:r w:rsidRPr="00B70F66">
        <w:rPr>
          <w:rFonts w:ascii="Times New Roman" w:eastAsia="Times New Roman" w:hAnsi="Times New Roman" w:cs="Times New Roman"/>
          <w:sz w:val="24"/>
          <w:szCs w:val="24"/>
          <w:lang w:eastAsia="en-GB"/>
        </w:rPr>
        <w:br/>
      </w:r>
      <w:r w:rsidRPr="00B70F66">
        <w:rPr>
          <w:rFonts w:ascii="Times New Roman" w:eastAsia="Times New Roman" w:hAnsi="Times New Roman" w:cs="Times New Roman"/>
          <w:sz w:val="24"/>
          <w:szCs w:val="24"/>
          <w:lang w:eastAsia="en-GB"/>
        </w:rPr>
        <w:br/>
      </w:r>
      <w:r w:rsidR="00956D3E" w:rsidRPr="00956D3E">
        <w:t xml:space="preserve"> </w:t>
      </w:r>
      <w:r w:rsidR="00956D3E">
        <w:rPr>
          <w:noProof/>
        </w:rPr>
        <w:drawing>
          <wp:inline distT="0" distB="0" distL="0" distR="0" wp14:anchorId="1FC25A72" wp14:editId="3A69EC9B">
            <wp:extent cx="2436638" cy="1861088"/>
            <wp:effectExtent l="0" t="0" r="0" b="0"/>
            <wp:docPr id="45825733" name="Picture 2" descr="Garden Scene, Tomb of Ipuy, Norman de Garis Davies (1865–1941), Tempera on pap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twork__image" descr="Garden Scene, Tomb of Ipuy, Norman de Garis Davies (1865–1941), Tempera on paper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9236" cy="1863073"/>
                    </a:xfrm>
                    <a:prstGeom prst="rect">
                      <a:avLst/>
                    </a:prstGeom>
                    <a:noFill/>
                    <a:ln>
                      <a:noFill/>
                    </a:ln>
                  </pic:spPr>
                </pic:pic>
              </a:graphicData>
            </a:graphic>
          </wp:inline>
        </w:drawing>
      </w:r>
      <w:r w:rsidR="00956D3E" w:rsidRPr="00956D3E">
        <w:rPr>
          <w:noProof/>
        </w:rPr>
        <w:t xml:space="preserve"> </w:t>
      </w:r>
    </w:p>
    <w:p w14:paraId="4AE66C8E" w14:textId="639E1E83" w:rsidR="00956D3E" w:rsidRDefault="00956D3E" w:rsidP="00956D3E">
      <w:pPr>
        <w:pStyle w:val="Caption"/>
      </w:pPr>
      <w:r>
        <w:t xml:space="preserve">Figure </w:t>
      </w:r>
      <w:fldSimple w:instr=" SEQ Figure \* ARABIC ">
        <w:r>
          <w:rPr>
            <w:noProof/>
          </w:rPr>
          <w:t>2</w:t>
        </w:r>
      </w:fldSimple>
    </w:p>
    <w:p w14:paraId="6DA1859F" w14:textId="2C3BABDC" w:rsidR="00D0638E" w:rsidRDefault="00956D3E" w:rsidP="00B70F66">
      <w:r>
        <w:rPr>
          <w:noProof/>
        </w:rPr>
        <w:drawing>
          <wp:anchor distT="0" distB="0" distL="114300" distR="114300" simplePos="0" relativeHeight="251658240" behindDoc="1" locked="0" layoutInCell="1" allowOverlap="1" wp14:anchorId="7EB8809C" wp14:editId="7431ED4F">
            <wp:simplePos x="0" y="0"/>
            <wp:positionH relativeFrom="column">
              <wp:posOffset>-262255</wp:posOffset>
            </wp:positionH>
            <wp:positionV relativeFrom="paragraph">
              <wp:posOffset>415925</wp:posOffset>
            </wp:positionV>
            <wp:extent cx="1475105" cy="1866900"/>
            <wp:effectExtent l="0" t="0" r="0" b="0"/>
            <wp:wrapTight wrapText="bothSides">
              <wp:wrapPolygon edited="0">
                <wp:start x="0" y="0"/>
                <wp:lineTo x="0" y="21380"/>
                <wp:lineTo x="21200" y="21380"/>
                <wp:lineTo x="21200" y="0"/>
                <wp:lineTo x="0" y="0"/>
              </wp:wrapPolygon>
            </wp:wrapTight>
            <wp:docPr id="56658951" name="Picture 2" descr="A statue of a couple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8951" name="Picture 2" descr="A statue of a couple of peop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75105" cy="1866900"/>
                    </a:xfrm>
                    <a:prstGeom prst="rect">
                      <a:avLst/>
                    </a:prstGeom>
                    <a:noFill/>
                    <a:ln>
                      <a:noFill/>
                    </a:ln>
                  </pic:spPr>
                </pic:pic>
              </a:graphicData>
            </a:graphic>
            <wp14:sizeRelH relativeFrom="page">
              <wp14:pctWidth>0</wp14:pctWidth>
            </wp14:sizeRelH>
            <wp14:sizeRelV relativeFrom="page">
              <wp14:pctHeight>0</wp14:pctHeight>
            </wp14:sizeRelV>
          </wp:anchor>
        </w:drawing>
      </w:r>
      <w:r w:rsidR="00B70F66" w:rsidRPr="00B70F66">
        <w:rPr>
          <w:rFonts w:ascii="Times New Roman" w:eastAsia="Times New Roman" w:hAnsi="Times New Roman" w:cs="Times New Roman"/>
          <w:sz w:val="24"/>
          <w:szCs w:val="24"/>
          <w:lang w:eastAsia="en-GB"/>
        </w:rPr>
        <w:br/>
      </w:r>
      <w:r w:rsidR="00B70F66" w:rsidRPr="00B70F66">
        <w:rPr>
          <w:rFonts w:ascii="Times New Roman" w:eastAsia="Times New Roman" w:hAnsi="Times New Roman" w:cs="Times New Roman"/>
          <w:sz w:val="24"/>
          <w:szCs w:val="24"/>
          <w:lang w:eastAsia="en-GB"/>
        </w:rPr>
        <w:br/>
      </w:r>
    </w:p>
    <w:p w14:paraId="606C4EF1" w14:textId="7B15B570" w:rsidR="007C31AD" w:rsidRDefault="007C31AD" w:rsidP="00B70F66"/>
    <w:p w14:paraId="2214259E" w14:textId="32479901" w:rsidR="007C31AD" w:rsidRDefault="007C31AD" w:rsidP="00B70F66"/>
    <w:p w14:paraId="1F0B7365" w14:textId="226C3B7A" w:rsidR="007C31AD" w:rsidRDefault="007C31AD" w:rsidP="00B70F66"/>
    <w:p w14:paraId="3A5923F2" w14:textId="7F45C7D6" w:rsidR="007C31AD" w:rsidRDefault="007C31AD" w:rsidP="00B70F66"/>
    <w:p w14:paraId="7F1AA4B3" w14:textId="3A6C9D1F" w:rsidR="007C31AD" w:rsidRDefault="007C31AD" w:rsidP="00B70F66"/>
    <w:p w14:paraId="34D294B3" w14:textId="5044EA48" w:rsidR="007C31AD" w:rsidRDefault="00956D3E" w:rsidP="00B70F66">
      <w:r>
        <w:rPr>
          <w:noProof/>
        </w:rPr>
        <w:drawing>
          <wp:anchor distT="0" distB="0" distL="114300" distR="114300" simplePos="0" relativeHeight="251665408" behindDoc="1" locked="0" layoutInCell="1" allowOverlap="1" wp14:anchorId="65362830" wp14:editId="7520538B">
            <wp:simplePos x="0" y="0"/>
            <wp:positionH relativeFrom="column">
              <wp:posOffset>-1511246</wp:posOffset>
            </wp:positionH>
            <wp:positionV relativeFrom="paragraph">
              <wp:posOffset>439499</wp:posOffset>
            </wp:positionV>
            <wp:extent cx="1774190" cy="1182370"/>
            <wp:effectExtent l="0" t="0" r="0" b="0"/>
            <wp:wrapTight wrapText="bothSides">
              <wp:wrapPolygon edited="0">
                <wp:start x="0" y="0"/>
                <wp:lineTo x="0" y="21229"/>
                <wp:lineTo x="21337" y="21229"/>
                <wp:lineTo x="21337" y="0"/>
                <wp:lineTo x="0" y="0"/>
              </wp:wrapPolygon>
            </wp:wrapTight>
            <wp:docPr id="7" name="artwork__image" descr="Shabti of Yuya, Cedar, gold, p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rtwork__image" descr="Shabti of Yuya, Cedar, gold, paint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74190" cy="118237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pict w14:anchorId="54DFAD80">
          <v:shapetype id="_x0000_t202" coordsize="21600,21600" o:spt="202" path="m,l,21600r21600,l21600,xe">
            <v:stroke joinstyle="miter"/>
            <v:path gradientshapeok="t" o:connecttype="rect"/>
          </v:shapetype>
          <v:shape id="_x0000_s1026" type="#_x0000_t202" style="position:absolute;margin-left:-112.4pt;margin-top:10.15pt;width:138.85pt;height:21pt;z-index:251660288;mso-position-horizontal-relative:text;mso-position-vertical-relative:text" wrapcoords="-117 0 -117 20880 21600 20880 21600 0 -117 0" stroked="f">
            <v:textbox style="mso-fit-shape-to-text:t" inset="0,0,0,0">
              <w:txbxContent>
                <w:p w14:paraId="240FE41D" w14:textId="648DA3C3" w:rsidR="00956D3E" w:rsidRPr="00263A62" w:rsidRDefault="00956D3E" w:rsidP="00956D3E">
                  <w:pPr>
                    <w:pStyle w:val="Caption"/>
                    <w:rPr>
                      <w:noProof/>
                      <w:sz w:val="22"/>
                      <w:szCs w:val="22"/>
                    </w:rPr>
                  </w:pPr>
                  <w:r>
                    <w:t xml:space="preserve">Figure </w:t>
                  </w:r>
                  <w:fldSimple w:instr=" SEQ Figure \* ARABIC ">
                    <w:r>
                      <w:rPr>
                        <w:noProof/>
                      </w:rPr>
                      <w:t>3</w:t>
                    </w:r>
                  </w:fldSimple>
                </w:p>
              </w:txbxContent>
            </v:textbox>
            <w10:wrap type="tight"/>
          </v:shape>
        </w:pict>
      </w:r>
    </w:p>
    <w:p w14:paraId="366C80D5" w14:textId="1395B366" w:rsidR="007C31AD" w:rsidRDefault="007C31AD" w:rsidP="00B70F66"/>
    <w:p w14:paraId="7555A65E" w14:textId="77777777" w:rsidR="007C31AD" w:rsidRDefault="007C31AD" w:rsidP="00B70F66"/>
    <w:p w14:paraId="2BDDC6A8" w14:textId="5DC3C103" w:rsidR="007C31AD" w:rsidRDefault="007C31AD" w:rsidP="00B70F66"/>
    <w:p w14:paraId="170F13FB" w14:textId="77777777" w:rsidR="00943053" w:rsidRDefault="00956D3E" w:rsidP="00B70F66">
      <w:r>
        <w:rPr>
          <w:noProof/>
        </w:rPr>
        <w:pict w14:anchorId="54DFAD80">
          <v:shape id="_x0000_s1027" type="#_x0000_t202" style="position:absolute;margin-left:-147.1pt;margin-top:6.85pt;width:138.85pt;height:21pt;z-index:251662336;mso-position-horizontal-relative:text;mso-position-vertical-relative:text" wrapcoords="-117 0 -117 20880 21600 20880 21600 0 -117 0" stroked="f">
            <v:textbox style="mso-fit-shape-to-text:t" inset="0,0,0,0">
              <w:txbxContent>
                <w:p w14:paraId="69142C66" w14:textId="675FC1D5" w:rsidR="00956D3E" w:rsidRPr="00263A62" w:rsidRDefault="00956D3E" w:rsidP="00956D3E">
                  <w:pPr>
                    <w:pStyle w:val="Caption"/>
                    <w:rPr>
                      <w:noProof/>
                      <w:sz w:val="22"/>
                      <w:szCs w:val="22"/>
                    </w:rPr>
                  </w:pPr>
                  <w:r>
                    <w:t>Figure 4</w:t>
                  </w:r>
                </w:p>
              </w:txbxContent>
            </v:textbox>
            <w10:wrap type="tight"/>
          </v:shape>
        </w:pict>
      </w:r>
    </w:p>
    <w:p w14:paraId="4A6B0BAB" w14:textId="1EE42090" w:rsidR="00943053" w:rsidRPr="00DB3E51" w:rsidRDefault="007C31AD" w:rsidP="00DB3E51">
      <w:r>
        <w:lastRenderedPageBreak/>
        <w:t xml:space="preserve">References – </w:t>
      </w:r>
    </w:p>
    <w:p w14:paraId="59E194CE" w14:textId="7EDD888D" w:rsidR="00943053" w:rsidRPr="00DB3E51" w:rsidRDefault="00943053" w:rsidP="005D126E">
      <w:pPr>
        <w:pStyle w:val="FootnoteText"/>
        <w:numPr>
          <w:ilvl w:val="0"/>
          <w:numId w:val="1"/>
        </w:numPr>
      </w:pPr>
      <w:r w:rsidRPr="00DB3E51">
        <w:t xml:space="preserve">CAARI Cyprus, (2021) </w:t>
      </w:r>
      <w:r w:rsidRPr="00DB3E51">
        <w:rPr>
          <w:i/>
          <w:iCs/>
        </w:rPr>
        <w:t xml:space="preserve">Allison South CAARI lecture, </w:t>
      </w:r>
      <w:r w:rsidRPr="00DB3E51">
        <w:t xml:space="preserve">Available at: </w:t>
      </w:r>
      <w:hyperlink r:id="rId16" w:history="1">
        <w:r w:rsidRPr="00DB3E51">
          <w:rPr>
            <w:rStyle w:val="Hyperlink"/>
          </w:rPr>
          <w:t>https://www.youtube.com/watch?v=J_JW4qWwAMw</w:t>
        </w:r>
      </w:hyperlink>
      <w:r w:rsidRPr="00DB3E51">
        <w:t xml:space="preserve"> (Accessed 15/1/2024)</w:t>
      </w:r>
    </w:p>
    <w:p w14:paraId="3E16769B" w14:textId="1EEB570B" w:rsidR="00943053" w:rsidRPr="00DB3E51" w:rsidRDefault="00943053" w:rsidP="005D126E">
      <w:pPr>
        <w:pStyle w:val="FootnoteText"/>
        <w:numPr>
          <w:ilvl w:val="0"/>
          <w:numId w:val="1"/>
        </w:numPr>
      </w:pPr>
      <w:r w:rsidRPr="00DB3E51">
        <w:t xml:space="preserve">Calinescu </w:t>
      </w:r>
      <w:proofErr w:type="gramStart"/>
      <w:r w:rsidRPr="00DB3E51">
        <w:t>-  Ancient</w:t>
      </w:r>
      <w:proofErr w:type="gramEnd"/>
      <w:r w:rsidRPr="00DB3E51">
        <w:t xml:space="preserve"> jewellery and archaeology (Indiana University press, 1996) </w:t>
      </w:r>
    </w:p>
    <w:p w14:paraId="1C871EF3" w14:textId="06BB0C00" w:rsidR="00DB3E51" w:rsidRDefault="00DB3E51" w:rsidP="005D126E">
      <w:pPr>
        <w:pStyle w:val="FootnoteText"/>
        <w:numPr>
          <w:ilvl w:val="0"/>
          <w:numId w:val="1"/>
        </w:numPr>
      </w:pPr>
      <w:proofErr w:type="spellStart"/>
      <w:r w:rsidRPr="00DB3E51">
        <w:t>Beauvior</w:t>
      </w:r>
      <w:proofErr w:type="spellEnd"/>
      <w:r w:rsidRPr="00DB3E51">
        <w:t>,</w:t>
      </w:r>
      <w:r>
        <w:t xml:space="preserve"> </w:t>
      </w:r>
      <w:r w:rsidRPr="00DB3E51">
        <w:t>S.</w:t>
      </w:r>
      <w:r>
        <w:t>,</w:t>
      </w:r>
      <w:r w:rsidRPr="00DB3E51">
        <w:t xml:space="preserve"> </w:t>
      </w:r>
      <w:r w:rsidRPr="00DB3E51">
        <w:rPr>
          <w:i/>
          <w:iCs/>
        </w:rPr>
        <w:t xml:space="preserve">The Second Sex, </w:t>
      </w:r>
      <w:r w:rsidRPr="00DB3E51">
        <w:t xml:space="preserve">(Vintage, first published as </w:t>
      </w:r>
      <w:r w:rsidRPr="00DB3E51">
        <w:rPr>
          <w:i/>
          <w:iCs/>
        </w:rPr>
        <w:t xml:space="preserve">Le </w:t>
      </w:r>
      <w:proofErr w:type="spellStart"/>
      <w:r w:rsidRPr="00DB3E51">
        <w:rPr>
          <w:i/>
          <w:iCs/>
        </w:rPr>
        <w:t>Deuxi</w:t>
      </w:r>
      <w:r w:rsidRPr="00DB3E51">
        <w:rPr>
          <w:rFonts w:cstheme="minorHAnsi"/>
          <w:i/>
          <w:iCs/>
        </w:rPr>
        <w:t>éme</w:t>
      </w:r>
      <w:proofErr w:type="spellEnd"/>
      <w:r w:rsidRPr="00DB3E51">
        <w:rPr>
          <w:rFonts w:cstheme="minorHAnsi"/>
          <w:i/>
          <w:iCs/>
        </w:rPr>
        <w:t xml:space="preserve"> </w:t>
      </w:r>
      <w:proofErr w:type="spellStart"/>
      <w:r w:rsidRPr="00DB3E51">
        <w:rPr>
          <w:rFonts w:cstheme="minorHAnsi"/>
          <w:i/>
          <w:iCs/>
        </w:rPr>
        <w:t>sexe</w:t>
      </w:r>
      <w:proofErr w:type="spellEnd"/>
      <w:r w:rsidRPr="00DB3E51">
        <w:rPr>
          <w:rFonts w:cstheme="minorHAnsi"/>
          <w:i/>
          <w:iCs/>
        </w:rPr>
        <w:t xml:space="preserve">, </w:t>
      </w:r>
      <w:r w:rsidRPr="00DB3E51">
        <w:rPr>
          <w:rFonts w:cstheme="minorHAnsi"/>
        </w:rPr>
        <w:t>1949, this edition 2009)</w:t>
      </w:r>
    </w:p>
    <w:p w14:paraId="5EE515DB" w14:textId="0A488E48" w:rsidR="00943053" w:rsidRPr="00DB3E51" w:rsidRDefault="00943053" w:rsidP="005D126E">
      <w:pPr>
        <w:pStyle w:val="FootnoteText"/>
        <w:numPr>
          <w:ilvl w:val="0"/>
          <w:numId w:val="1"/>
        </w:numPr>
      </w:pPr>
      <w:r w:rsidRPr="00DB3E51">
        <w:t>Ramsey,</w:t>
      </w:r>
      <w:r w:rsidR="00DB3E51">
        <w:t xml:space="preserve"> </w:t>
      </w:r>
      <w:r w:rsidR="00DB3E51" w:rsidRPr="00DB3E51">
        <w:t>G.</w:t>
      </w:r>
      <w:r w:rsidR="00DB3E51">
        <w:t>,</w:t>
      </w:r>
      <w:r w:rsidRPr="00DB3E51">
        <w:t xml:space="preserve"> ‘Pierre Bourdieu &amp; Habitus (Sociology): Definition &amp; Examples,’ </w:t>
      </w:r>
      <w:hyperlink r:id="rId17" w:history="1">
        <w:r w:rsidRPr="00DB3E51">
          <w:rPr>
            <w:rStyle w:val="Hyperlink"/>
          </w:rPr>
          <w:t>https://simplysociology.com/pierre-bourdieu-habitus.html</w:t>
        </w:r>
      </w:hyperlink>
      <w:r w:rsidRPr="00DB3E51">
        <w:t xml:space="preserve"> (Accessed 15/1/2024)</w:t>
      </w:r>
    </w:p>
    <w:p w14:paraId="25ED54A3" w14:textId="151C19F7" w:rsidR="005D126E" w:rsidRPr="00DB3E51" w:rsidRDefault="00943053" w:rsidP="00DB3E51">
      <w:pPr>
        <w:pStyle w:val="FootnoteText"/>
        <w:numPr>
          <w:ilvl w:val="0"/>
          <w:numId w:val="1"/>
        </w:numPr>
      </w:pPr>
      <w:r w:rsidRPr="00DB3E51">
        <w:t>Bolger,</w:t>
      </w:r>
      <w:r w:rsidR="00DB3E51">
        <w:t xml:space="preserve"> </w:t>
      </w:r>
      <w:r w:rsidR="00DB3E51" w:rsidRPr="00DB3E51">
        <w:t>D.</w:t>
      </w:r>
      <w:r w:rsidR="00DB3E51">
        <w:t>,</w:t>
      </w:r>
      <w:r w:rsidRPr="00DB3E51">
        <w:t xml:space="preserve"> ‘Figurines, Fertility, and the Emergence of Complex Society in Prehistoric Cyprus,’ in </w:t>
      </w:r>
      <w:r w:rsidRPr="00DB3E51">
        <w:rPr>
          <w:i/>
          <w:iCs/>
        </w:rPr>
        <w:t>Current Anthropology</w:t>
      </w:r>
      <w:r w:rsidRPr="00DB3E51">
        <w:t xml:space="preserve"> (Chicago Press, 1996) pp. 65-373, </w:t>
      </w:r>
    </w:p>
    <w:p w14:paraId="298222E0" w14:textId="4D560BB9" w:rsidR="005D126E" w:rsidRPr="00DB3E51" w:rsidRDefault="005D126E" w:rsidP="005D126E">
      <w:pPr>
        <w:pStyle w:val="FootnoteText"/>
        <w:numPr>
          <w:ilvl w:val="0"/>
          <w:numId w:val="1"/>
        </w:numPr>
      </w:pPr>
      <w:r w:rsidRPr="00DB3E51">
        <w:t>Maton</w:t>
      </w:r>
      <w:r w:rsidRPr="00DB3E51">
        <w:t>,</w:t>
      </w:r>
      <w:r w:rsidR="00DB3E51">
        <w:t xml:space="preserve"> K.,</w:t>
      </w:r>
      <w:r w:rsidRPr="00DB3E51">
        <w:t xml:space="preserve"> (2008) “Habitus,” in Grenfell, M. (ed.) </w:t>
      </w:r>
      <w:r w:rsidRPr="00DB3E51">
        <w:rPr>
          <w:i/>
          <w:iCs/>
        </w:rPr>
        <w:t>Pierre Bourdieu: Key Concepts</w:t>
      </w:r>
      <w:r w:rsidRPr="00DB3E51">
        <w:t xml:space="preserve">. </w:t>
      </w:r>
      <w:r w:rsidRPr="00DB3E51">
        <w:t>(</w:t>
      </w:r>
      <w:r w:rsidRPr="00DB3E51">
        <w:t>Acumen Publishing (Key Concepts), pp. 49–66</w:t>
      </w:r>
    </w:p>
    <w:p w14:paraId="36CCAD83" w14:textId="75A615BB" w:rsidR="00DB3E51" w:rsidRDefault="00DB3E51" w:rsidP="00DB3E51">
      <w:pPr>
        <w:pStyle w:val="FootnoteText"/>
        <w:numPr>
          <w:ilvl w:val="0"/>
          <w:numId w:val="1"/>
        </w:numPr>
      </w:pPr>
      <w:r w:rsidRPr="00DB3E51">
        <w:t>Steel,</w:t>
      </w:r>
      <w:r>
        <w:t xml:space="preserve"> </w:t>
      </w:r>
      <w:proofErr w:type="gramStart"/>
      <w:r w:rsidRPr="00DB3E51">
        <w:t xml:space="preserve">L. </w:t>
      </w:r>
      <w:r>
        <w:t>,</w:t>
      </w:r>
      <w:proofErr w:type="gramEnd"/>
      <w:r w:rsidRPr="00DB3E51">
        <w:t xml:space="preserve"> ‘Hearth and home: The materiality of fire and water,’  </w:t>
      </w:r>
      <w:hyperlink r:id="rId18" w:history="1">
        <w:r w:rsidRPr="00DB3E51">
          <w:rPr>
            <w:rStyle w:val="Hyperlink"/>
          </w:rPr>
          <w:t>https://moodle.uwtsd.ac.uk/mod/resource/view.php?id=388963</w:t>
        </w:r>
      </w:hyperlink>
      <w:r w:rsidRPr="00DB3E51">
        <w:t xml:space="preserve"> (Accessed 15/1/2024)</w:t>
      </w:r>
    </w:p>
    <w:p w14:paraId="75C47F4E" w14:textId="4AEB0FDF" w:rsidR="005D126E" w:rsidRDefault="005D126E" w:rsidP="005D126E">
      <w:pPr>
        <w:pStyle w:val="FootnoteText"/>
        <w:numPr>
          <w:ilvl w:val="0"/>
          <w:numId w:val="1"/>
        </w:numPr>
      </w:pPr>
      <w:r w:rsidRPr="00DB3E51">
        <w:t xml:space="preserve">Steel L. </w:t>
      </w:r>
      <w:r w:rsidRPr="00DB3E51">
        <w:rPr>
          <w:i/>
          <w:iCs/>
        </w:rPr>
        <w:t>Watery Entanglements in the Cypriot Hinterland</w:t>
      </w:r>
      <w:r w:rsidRPr="00DB3E51">
        <w:t xml:space="preserve">. </w:t>
      </w:r>
      <w:r w:rsidRPr="00DB3E51">
        <w:t>(</w:t>
      </w:r>
      <w:r w:rsidRPr="00DB3E51">
        <w:rPr>
          <w:rStyle w:val="Emphasis"/>
        </w:rPr>
        <w:t>Land</w:t>
      </w:r>
      <w:r w:rsidRPr="00DB3E51">
        <w:t>. 2018</w:t>
      </w:r>
      <w:r w:rsidRPr="00DB3E51">
        <w:t>)</w:t>
      </w:r>
      <w:r w:rsidRPr="00DB3E51">
        <w:t xml:space="preserve"> </w:t>
      </w:r>
    </w:p>
    <w:p w14:paraId="5F9B8012" w14:textId="77777777" w:rsidR="00DB3E51" w:rsidRPr="00DB3E51" w:rsidRDefault="00DB3E51" w:rsidP="00DB3E51">
      <w:pPr>
        <w:pStyle w:val="FootnoteText"/>
        <w:numPr>
          <w:ilvl w:val="0"/>
          <w:numId w:val="1"/>
        </w:numPr>
      </w:pPr>
      <w:r w:rsidRPr="00DB3E51">
        <w:t>Savoy,</w:t>
      </w:r>
      <w:r>
        <w:t xml:space="preserve"> </w:t>
      </w:r>
      <w:r w:rsidRPr="00DB3E51">
        <w:t xml:space="preserve">C. </w:t>
      </w:r>
      <w:proofErr w:type="gramStart"/>
      <w:r w:rsidRPr="00DB3E51">
        <w:t xml:space="preserve">M. </w:t>
      </w:r>
      <w:r>
        <w:t>,</w:t>
      </w:r>
      <w:proofErr w:type="gramEnd"/>
      <w:r w:rsidRPr="00DB3E51">
        <w:t xml:space="preserve"> J </w:t>
      </w:r>
      <w:proofErr w:type="spellStart"/>
      <w:r w:rsidRPr="00DB3E51">
        <w:t>Staguhun</w:t>
      </w:r>
      <w:proofErr w:type="spellEnd"/>
      <w:r w:rsidRPr="00DB3E51">
        <w:t xml:space="preserve">, ‘The Role of Water in capitalizing gender equity,’ </w:t>
      </w:r>
      <w:hyperlink r:id="rId19" w:history="1">
        <w:r w:rsidRPr="00DB3E51">
          <w:rPr>
            <w:rStyle w:val="Hyperlink"/>
          </w:rPr>
          <w:t>https://www.csis.org/analysis/role-water-catalyzing-gender-equity</w:t>
        </w:r>
      </w:hyperlink>
      <w:r w:rsidRPr="00DB3E51">
        <w:t xml:space="preserve"> (Accessed 15/1/2024) </w:t>
      </w:r>
    </w:p>
    <w:p w14:paraId="195EEA64" w14:textId="6952C715" w:rsidR="00DB3E51" w:rsidRPr="00DB3E51" w:rsidRDefault="00DB3E51" w:rsidP="005D126E">
      <w:pPr>
        <w:pStyle w:val="FootnoteText"/>
        <w:numPr>
          <w:ilvl w:val="0"/>
          <w:numId w:val="1"/>
        </w:numPr>
      </w:pPr>
      <w:r w:rsidRPr="00DB3E51">
        <w:t>The university of British Columbia, ‘</w:t>
      </w:r>
      <w:proofErr w:type="spellStart"/>
      <w:r w:rsidRPr="00DB3E51">
        <w:t>Kalavasos-Ayios</w:t>
      </w:r>
      <w:proofErr w:type="spellEnd"/>
      <w:r w:rsidRPr="00DB3E51">
        <w:t xml:space="preserve"> Dhimitrios,’ </w:t>
      </w:r>
      <w:hyperlink r:id="rId20" w:history="1">
        <w:r w:rsidRPr="00DB3E51">
          <w:rPr>
            <w:rStyle w:val="Hyperlink"/>
          </w:rPr>
          <w:t>https://kambe.cnrs.ubc.ca/the-sites/kalavasos-ayios-dhimitrios/</w:t>
        </w:r>
      </w:hyperlink>
      <w:r w:rsidRPr="00DB3E51">
        <w:t xml:space="preserve"> (Accessed 15/1/2024)</w:t>
      </w:r>
    </w:p>
    <w:p w14:paraId="39B69ED4" w14:textId="0FBA1002" w:rsidR="007C31AD" w:rsidRDefault="007C31AD" w:rsidP="00943053"/>
    <w:p w14:paraId="0ED5A9C4" w14:textId="3B77A3C5" w:rsidR="005D126E" w:rsidRDefault="00DB3E51" w:rsidP="00943053">
      <w:r>
        <w:t xml:space="preserve">Images: </w:t>
      </w:r>
    </w:p>
    <w:p w14:paraId="62DB7CBB" w14:textId="0B9B9DBA" w:rsidR="00DB3E51" w:rsidRDefault="00DB3E51" w:rsidP="00943053">
      <w:r>
        <w:t>Figure 1 – Assessment brief</w:t>
      </w:r>
    </w:p>
    <w:p w14:paraId="35C13BEE" w14:textId="23F5EA5D" w:rsidR="005D126E" w:rsidRDefault="005D126E" w:rsidP="00943053">
      <w:r>
        <w:t xml:space="preserve">Figure 2 - </w:t>
      </w:r>
      <w:r w:rsidR="00DB3E51" w:rsidRPr="00DB3E51">
        <w:t xml:space="preserve">Garden Scene, Tomb of </w:t>
      </w:r>
      <w:proofErr w:type="spellStart"/>
      <w:r w:rsidR="00DB3E51" w:rsidRPr="00DB3E51">
        <w:t>Ipuy</w:t>
      </w:r>
      <w:proofErr w:type="spellEnd"/>
      <w:r w:rsidR="00DB3E51">
        <w:t xml:space="preserve">,  </w:t>
      </w:r>
      <w:hyperlink r:id="rId21" w:history="1">
        <w:r w:rsidR="00DB3E51" w:rsidRPr="00371A5E">
          <w:rPr>
            <w:rStyle w:val="Hyperlink"/>
          </w:rPr>
          <w:t>https://www.metmuseum.org/art/collection/search/557816</w:t>
        </w:r>
      </w:hyperlink>
      <w:r w:rsidR="00DB3E51">
        <w:t xml:space="preserve"> </w:t>
      </w:r>
    </w:p>
    <w:p w14:paraId="124E9A5F" w14:textId="2F9E73AE" w:rsidR="005D126E" w:rsidRDefault="005D126E" w:rsidP="00943053">
      <w:r>
        <w:t xml:space="preserve">Figure 3 – Trustees of the British Museum, </w:t>
      </w:r>
      <w:proofErr w:type="gramStart"/>
      <w:r>
        <w:t xml:space="preserve">Statue,  </w:t>
      </w:r>
      <w:r w:rsidRPr="005D126E">
        <w:t>EA</w:t>
      </w:r>
      <w:proofErr w:type="gramEnd"/>
      <w:r w:rsidRPr="005D126E">
        <w:t>1181</w:t>
      </w:r>
      <w:r>
        <w:t xml:space="preserve">, </w:t>
      </w:r>
      <w:hyperlink r:id="rId22" w:history="1">
        <w:r w:rsidRPr="00371A5E">
          <w:rPr>
            <w:rStyle w:val="Hyperlink"/>
          </w:rPr>
          <w:t>https://www.britishmuseum.org/collection/object/Y_EA1181</w:t>
        </w:r>
      </w:hyperlink>
      <w:r>
        <w:t xml:space="preserve"> </w:t>
      </w:r>
    </w:p>
    <w:p w14:paraId="6903DBA9" w14:textId="6E66CBDC" w:rsidR="005D126E" w:rsidRDefault="005D126E" w:rsidP="00943053">
      <w:r>
        <w:t xml:space="preserve">Figure 4 - </w:t>
      </w:r>
      <w:r w:rsidR="00DB3E51" w:rsidRPr="00DB3E51">
        <w:t>Shabti of Yuya</w:t>
      </w:r>
      <w:r w:rsidR="00DB3E51">
        <w:t xml:space="preserve">,  </w:t>
      </w:r>
      <w:hyperlink r:id="rId23" w:history="1">
        <w:r w:rsidR="00DB3E51" w:rsidRPr="00371A5E">
          <w:rPr>
            <w:rStyle w:val="Hyperlink"/>
          </w:rPr>
          <w:t>https://www.metmuseum.org/art/collection/search/544515</w:t>
        </w:r>
      </w:hyperlink>
      <w:r w:rsidR="00DB3E51">
        <w:t xml:space="preserve"> </w:t>
      </w:r>
    </w:p>
    <w:sectPr w:rsidR="005D12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4AC37" w14:textId="77777777" w:rsidR="008046FA" w:rsidRDefault="008046FA" w:rsidP="00B70F66">
      <w:pPr>
        <w:spacing w:after="0" w:line="240" w:lineRule="auto"/>
      </w:pPr>
      <w:r>
        <w:separator/>
      </w:r>
    </w:p>
  </w:endnote>
  <w:endnote w:type="continuationSeparator" w:id="0">
    <w:p w14:paraId="4D839B2D" w14:textId="77777777" w:rsidR="008046FA" w:rsidRDefault="008046FA" w:rsidP="00B70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A5A13" w14:textId="77777777" w:rsidR="008046FA" w:rsidRDefault="008046FA" w:rsidP="00B70F66">
      <w:pPr>
        <w:spacing w:after="0" w:line="240" w:lineRule="auto"/>
      </w:pPr>
      <w:r>
        <w:separator/>
      </w:r>
    </w:p>
  </w:footnote>
  <w:footnote w:type="continuationSeparator" w:id="0">
    <w:p w14:paraId="63870338" w14:textId="77777777" w:rsidR="008046FA" w:rsidRDefault="008046FA" w:rsidP="00B70F66">
      <w:pPr>
        <w:spacing w:after="0" w:line="240" w:lineRule="auto"/>
      </w:pPr>
      <w:r>
        <w:continuationSeparator/>
      </w:r>
    </w:p>
  </w:footnote>
  <w:footnote w:id="1">
    <w:p w14:paraId="25485CF0" w14:textId="07B13213" w:rsidR="003648B3" w:rsidRPr="00A475BD" w:rsidRDefault="003648B3">
      <w:pPr>
        <w:pStyle w:val="FootnoteText"/>
        <w:rPr>
          <w:sz w:val="18"/>
          <w:szCs w:val="18"/>
        </w:rPr>
      </w:pPr>
      <w:r w:rsidRPr="00A475BD">
        <w:rPr>
          <w:rStyle w:val="FootnoteReference"/>
          <w:sz w:val="18"/>
          <w:szCs w:val="18"/>
        </w:rPr>
        <w:footnoteRef/>
      </w:r>
      <w:r w:rsidRPr="00A475BD">
        <w:rPr>
          <w:sz w:val="18"/>
          <w:szCs w:val="18"/>
        </w:rPr>
        <w:t xml:space="preserve"> </w:t>
      </w:r>
      <w:r w:rsidR="008A63D5" w:rsidRPr="00A475BD">
        <w:rPr>
          <w:sz w:val="18"/>
          <w:szCs w:val="18"/>
        </w:rPr>
        <w:t xml:space="preserve">A. </w:t>
      </w:r>
      <w:r w:rsidR="0076575D" w:rsidRPr="00A475BD">
        <w:rPr>
          <w:sz w:val="18"/>
          <w:szCs w:val="18"/>
        </w:rPr>
        <w:t>Calinescu</w:t>
      </w:r>
      <w:r w:rsidR="008A63D5" w:rsidRPr="00A475BD">
        <w:rPr>
          <w:i/>
          <w:iCs/>
          <w:sz w:val="18"/>
          <w:szCs w:val="18"/>
        </w:rPr>
        <w:t xml:space="preserve"> </w:t>
      </w:r>
      <w:proofErr w:type="gramStart"/>
      <w:r w:rsidR="008A63D5" w:rsidRPr="00A475BD">
        <w:rPr>
          <w:i/>
          <w:iCs/>
          <w:sz w:val="18"/>
          <w:szCs w:val="18"/>
        </w:rPr>
        <w:t xml:space="preserve">- </w:t>
      </w:r>
      <w:r w:rsidR="0076575D" w:rsidRPr="00A475BD">
        <w:rPr>
          <w:i/>
          <w:iCs/>
          <w:sz w:val="18"/>
          <w:szCs w:val="18"/>
        </w:rPr>
        <w:t xml:space="preserve"> </w:t>
      </w:r>
      <w:r w:rsidR="008A63D5" w:rsidRPr="00A475BD">
        <w:rPr>
          <w:i/>
          <w:iCs/>
          <w:sz w:val="18"/>
          <w:szCs w:val="18"/>
        </w:rPr>
        <w:t>Ancient</w:t>
      </w:r>
      <w:proofErr w:type="gramEnd"/>
      <w:r w:rsidR="008A63D5" w:rsidRPr="00A475BD">
        <w:rPr>
          <w:i/>
          <w:iCs/>
          <w:sz w:val="18"/>
          <w:szCs w:val="18"/>
        </w:rPr>
        <w:t xml:space="preserve"> </w:t>
      </w:r>
      <w:r w:rsidR="00745537" w:rsidRPr="00A475BD">
        <w:rPr>
          <w:i/>
          <w:iCs/>
          <w:sz w:val="18"/>
          <w:szCs w:val="18"/>
        </w:rPr>
        <w:t>jewellery</w:t>
      </w:r>
      <w:r w:rsidR="008A63D5" w:rsidRPr="00A475BD">
        <w:rPr>
          <w:i/>
          <w:iCs/>
          <w:sz w:val="18"/>
          <w:szCs w:val="18"/>
        </w:rPr>
        <w:t xml:space="preserve"> and </w:t>
      </w:r>
      <w:r w:rsidR="00745537" w:rsidRPr="00A475BD">
        <w:rPr>
          <w:i/>
          <w:iCs/>
          <w:sz w:val="18"/>
          <w:szCs w:val="18"/>
        </w:rPr>
        <w:t>archaeology</w:t>
      </w:r>
      <w:r w:rsidR="008A63D5" w:rsidRPr="00A475BD">
        <w:rPr>
          <w:i/>
          <w:iCs/>
          <w:sz w:val="18"/>
          <w:szCs w:val="18"/>
        </w:rPr>
        <w:t xml:space="preserve"> </w:t>
      </w:r>
      <w:r w:rsidR="00745537" w:rsidRPr="00A475BD">
        <w:rPr>
          <w:sz w:val="18"/>
          <w:szCs w:val="18"/>
        </w:rPr>
        <w:t>(</w:t>
      </w:r>
      <w:r w:rsidR="006372C0" w:rsidRPr="00A475BD">
        <w:rPr>
          <w:sz w:val="18"/>
          <w:szCs w:val="18"/>
        </w:rPr>
        <w:t xml:space="preserve">Indiana University press, 1996) pg. 27 </w:t>
      </w:r>
    </w:p>
  </w:footnote>
  <w:footnote w:id="2">
    <w:p w14:paraId="0A665588" w14:textId="5C1C1FBB" w:rsidR="006E12EF" w:rsidRPr="00A475BD" w:rsidRDefault="006E12EF">
      <w:pPr>
        <w:pStyle w:val="FootnoteText"/>
        <w:rPr>
          <w:sz w:val="18"/>
          <w:szCs w:val="18"/>
        </w:rPr>
      </w:pPr>
      <w:r w:rsidRPr="00A475BD">
        <w:rPr>
          <w:rStyle w:val="FootnoteReference"/>
          <w:sz w:val="18"/>
          <w:szCs w:val="18"/>
        </w:rPr>
        <w:footnoteRef/>
      </w:r>
      <w:r w:rsidRPr="00A475BD">
        <w:rPr>
          <w:sz w:val="18"/>
          <w:szCs w:val="18"/>
        </w:rPr>
        <w:t xml:space="preserve"> </w:t>
      </w:r>
      <w:r w:rsidR="00180703" w:rsidRPr="00A475BD">
        <w:rPr>
          <w:sz w:val="18"/>
          <w:szCs w:val="18"/>
        </w:rPr>
        <w:t xml:space="preserve">Figure 1 </w:t>
      </w:r>
    </w:p>
  </w:footnote>
  <w:footnote w:id="3">
    <w:p w14:paraId="4EEC7E3E" w14:textId="4E8BEF24" w:rsidR="00DF1E5E" w:rsidRPr="00A475BD" w:rsidRDefault="00DF1E5E">
      <w:pPr>
        <w:pStyle w:val="FootnoteText"/>
        <w:rPr>
          <w:sz w:val="18"/>
          <w:szCs w:val="18"/>
        </w:rPr>
      </w:pPr>
      <w:r w:rsidRPr="00A475BD">
        <w:rPr>
          <w:rStyle w:val="FootnoteReference"/>
          <w:sz w:val="18"/>
          <w:szCs w:val="18"/>
        </w:rPr>
        <w:footnoteRef/>
      </w:r>
      <w:r w:rsidRPr="00A475BD">
        <w:rPr>
          <w:sz w:val="18"/>
          <w:szCs w:val="18"/>
        </w:rPr>
        <w:t xml:space="preserve"> </w:t>
      </w:r>
      <w:r w:rsidR="002516DA" w:rsidRPr="00A475BD">
        <w:rPr>
          <w:sz w:val="18"/>
          <w:szCs w:val="18"/>
        </w:rPr>
        <w:t xml:space="preserve">Figure 1 </w:t>
      </w:r>
    </w:p>
  </w:footnote>
  <w:footnote w:id="4">
    <w:p w14:paraId="1DA94CBE" w14:textId="7C31B05F" w:rsidR="007320F8" w:rsidRPr="00A475BD" w:rsidRDefault="007320F8">
      <w:pPr>
        <w:pStyle w:val="FootnoteText"/>
        <w:rPr>
          <w:sz w:val="18"/>
          <w:szCs w:val="18"/>
        </w:rPr>
      </w:pPr>
      <w:r w:rsidRPr="00A475BD">
        <w:rPr>
          <w:rStyle w:val="FootnoteReference"/>
          <w:sz w:val="18"/>
          <w:szCs w:val="18"/>
        </w:rPr>
        <w:footnoteRef/>
      </w:r>
      <w:r w:rsidRPr="00A475BD">
        <w:rPr>
          <w:sz w:val="18"/>
          <w:szCs w:val="18"/>
        </w:rPr>
        <w:t xml:space="preserve"> </w:t>
      </w:r>
      <w:r w:rsidR="00423315" w:rsidRPr="00A475BD">
        <w:rPr>
          <w:sz w:val="18"/>
          <w:szCs w:val="18"/>
        </w:rPr>
        <w:t xml:space="preserve">Figure 1 </w:t>
      </w:r>
    </w:p>
  </w:footnote>
  <w:footnote w:id="5">
    <w:p w14:paraId="327B0A51" w14:textId="1F3AA660" w:rsidR="00F6629E" w:rsidRPr="00A475BD" w:rsidRDefault="00F6629E">
      <w:pPr>
        <w:pStyle w:val="FootnoteText"/>
        <w:rPr>
          <w:sz w:val="18"/>
          <w:szCs w:val="18"/>
        </w:rPr>
      </w:pPr>
      <w:r w:rsidRPr="00A475BD">
        <w:rPr>
          <w:rStyle w:val="FootnoteReference"/>
          <w:sz w:val="18"/>
          <w:szCs w:val="18"/>
        </w:rPr>
        <w:footnoteRef/>
      </w:r>
      <w:r w:rsidRPr="00A475BD">
        <w:rPr>
          <w:sz w:val="18"/>
          <w:szCs w:val="18"/>
        </w:rPr>
        <w:t xml:space="preserve"> </w:t>
      </w:r>
      <w:r w:rsidR="003648B3" w:rsidRPr="00A475BD">
        <w:rPr>
          <w:sz w:val="18"/>
          <w:szCs w:val="18"/>
        </w:rPr>
        <w:t xml:space="preserve">Figure 1 </w:t>
      </w:r>
    </w:p>
  </w:footnote>
  <w:footnote w:id="6">
    <w:p w14:paraId="5832E25E" w14:textId="21853BB3" w:rsidR="006A50E2" w:rsidRPr="00A475BD" w:rsidRDefault="006A50E2">
      <w:pPr>
        <w:pStyle w:val="FootnoteText"/>
        <w:rPr>
          <w:sz w:val="18"/>
          <w:szCs w:val="18"/>
        </w:rPr>
      </w:pPr>
      <w:r w:rsidRPr="00A475BD">
        <w:rPr>
          <w:rStyle w:val="FootnoteReference"/>
          <w:sz w:val="18"/>
          <w:szCs w:val="18"/>
        </w:rPr>
        <w:footnoteRef/>
      </w:r>
      <w:r w:rsidRPr="00A475BD">
        <w:rPr>
          <w:sz w:val="18"/>
          <w:szCs w:val="18"/>
        </w:rPr>
        <w:t xml:space="preserve"> </w:t>
      </w:r>
      <w:r w:rsidR="00BC02DD" w:rsidRPr="00A475BD">
        <w:rPr>
          <w:sz w:val="18"/>
          <w:szCs w:val="18"/>
        </w:rPr>
        <w:t xml:space="preserve">Assignment brief </w:t>
      </w:r>
    </w:p>
  </w:footnote>
  <w:footnote w:id="7">
    <w:p w14:paraId="1AF85FDC" w14:textId="49FDD2F6" w:rsidR="0058524D" w:rsidRPr="00A475BD" w:rsidRDefault="0058524D">
      <w:pPr>
        <w:pStyle w:val="FootnoteText"/>
        <w:rPr>
          <w:sz w:val="18"/>
          <w:szCs w:val="18"/>
        </w:rPr>
      </w:pPr>
      <w:r w:rsidRPr="00A475BD">
        <w:rPr>
          <w:rStyle w:val="FootnoteReference"/>
          <w:sz w:val="18"/>
          <w:szCs w:val="18"/>
        </w:rPr>
        <w:footnoteRef/>
      </w:r>
      <w:r w:rsidRPr="00A475BD">
        <w:rPr>
          <w:sz w:val="18"/>
          <w:szCs w:val="18"/>
        </w:rPr>
        <w:t xml:space="preserve"> </w:t>
      </w:r>
      <w:r w:rsidR="00FC4D89" w:rsidRPr="00A475BD">
        <w:rPr>
          <w:sz w:val="18"/>
          <w:szCs w:val="18"/>
        </w:rPr>
        <w:t>Mouf</w:t>
      </w:r>
      <w:r w:rsidR="00A27832" w:rsidRPr="00A475BD">
        <w:rPr>
          <w:sz w:val="18"/>
          <w:szCs w:val="18"/>
        </w:rPr>
        <w:t xml:space="preserve">flon Bookshop, ‘Lives and deaths of bronze age Cypriots’ </w:t>
      </w:r>
      <w:hyperlink r:id="rId1" w:history="1">
        <w:r w:rsidR="00B3089D" w:rsidRPr="00A475BD">
          <w:rPr>
            <w:rStyle w:val="Hyperlink"/>
            <w:sz w:val="18"/>
            <w:szCs w:val="18"/>
          </w:rPr>
          <w:t>https://www.facebook.com/photo/?fbid=4412063575495974&amp;set=a.450331548335883</w:t>
        </w:r>
      </w:hyperlink>
      <w:r w:rsidR="00B3089D" w:rsidRPr="00A475BD">
        <w:rPr>
          <w:sz w:val="18"/>
          <w:szCs w:val="18"/>
        </w:rPr>
        <w:t xml:space="preserve"> (Accessed 15/1/2024)</w:t>
      </w:r>
    </w:p>
  </w:footnote>
  <w:footnote w:id="8">
    <w:p w14:paraId="73157E77" w14:textId="10E4440A"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1A1B84" w:rsidRPr="00A475BD">
        <w:rPr>
          <w:sz w:val="18"/>
          <w:szCs w:val="18"/>
        </w:rPr>
        <w:t>CAARI Cyprus, (</w:t>
      </w:r>
      <w:r w:rsidR="0024275B" w:rsidRPr="00A475BD">
        <w:rPr>
          <w:sz w:val="18"/>
          <w:szCs w:val="18"/>
        </w:rPr>
        <w:t xml:space="preserve">2021) </w:t>
      </w:r>
      <w:r w:rsidR="0024275B" w:rsidRPr="00A475BD">
        <w:rPr>
          <w:i/>
          <w:iCs/>
          <w:sz w:val="18"/>
          <w:szCs w:val="18"/>
        </w:rPr>
        <w:t xml:space="preserve">Allison South CAARI lecture, </w:t>
      </w:r>
      <w:r w:rsidR="00CE4BC3" w:rsidRPr="00A475BD">
        <w:rPr>
          <w:sz w:val="18"/>
          <w:szCs w:val="18"/>
        </w:rPr>
        <w:t xml:space="preserve">Available at: </w:t>
      </w:r>
      <w:hyperlink r:id="rId2" w:history="1">
        <w:r w:rsidR="00CE4BC3" w:rsidRPr="00A475BD">
          <w:rPr>
            <w:rStyle w:val="Hyperlink"/>
            <w:sz w:val="18"/>
            <w:szCs w:val="18"/>
          </w:rPr>
          <w:t>https://www.youtube.com/watch?v=J_JW4qWwAMw</w:t>
        </w:r>
      </w:hyperlink>
      <w:r w:rsidR="00CE4BC3" w:rsidRPr="00A475BD">
        <w:rPr>
          <w:sz w:val="18"/>
          <w:szCs w:val="18"/>
        </w:rPr>
        <w:t xml:space="preserve"> (Accessed 15/1/2024)</w:t>
      </w:r>
    </w:p>
  </w:footnote>
  <w:footnote w:id="9">
    <w:p w14:paraId="4FA8C125" w14:textId="576A5883" w:rsidR="006A74D3" w:rsidRPr="00A475BD" w:rsidRDefault="006A74D3">
      <w:pPr>
        <w:pStyle w:val="FootnoteText"/>
        <w:rPr>
          <w:sz w:val="18"/>
          <w:szCs w:val="18"/>
        </w:rPr>
      </w:pPr>
      <w:r w:rsidRPr="00A475BD">
        <w:rPr>
          <w:rStyle w:val="FootnoteReference"/>
          <w:sz w:val="18"/>
          <w:szCs w:val="18"/>
        </w:rPr>
        <w:footnoteRef/>
      </w:r>
      <w:r w:rsidRPr="00A475BD">
        <w:rPr>
          <w:sz w:val="18"/>
          <w:szCs w:val="18"/>
        </w:rPr>
        <w:t xml:space="preserve"> </w:t>
      </w:r>
      <w:r w:rsidR="00CE4BC3" w:rsidRPr="00A475BD">
        <w:rPr>
          <w:sz w:val="18"/>
          <w:szCs w:val="18"/>
        </w:rPr>
        <w:t xml:space="preserve">CAARI Cyprus, (2021) </w:t>
      </w:r>
      <w:r w:rsidR="00CE4BC3" w:rsidRPr="00A475BD">
        <w:rPr>
          <w:i/>
          <w:iCs/>
          <w:sz w:val="18"/>
          <w:szCs w:val="18"/>
        </w:rPr>
        <w:t xml:space="preserve">Allison South CAARI lecture, </w:t>
      </w:r>
      <w:r w:rsidR="00CE4BC3" w:rsidRPr="00A475BD">
        <w:rPr>
          <w:sz w:val="18"/>
          <w:szCs w:val="18"/>
        </w:rPr>
        <w:t xml:space="preserve">Available at: </w:t>
      </w:r>
      <w:hyperlink r:id="rId3" w:history="1">
        <w:r w:rsidR="00CE4BC3" w:rsidRPr="00A475BD">
          <w:rPr>
            <w:rStyle w:val="Hyperlink"/>
            <w:sz w:val="18"/>
            <w:szCs w:val="18"/>
          </w:rPr>
          <w:t>https://www.youtube.com/watch?v=J_JW4qWwAMw</w:t>
        </w:r>
      </w:hyperlink>
      <w:r w:rsidR="00CE4BC3" w:rsidRPr="00A475BD">
        <w:rPr>
          <w:sz w:val="18"/>
          <w:szCs w:val="18"/>
        </w:rPr>
        <w:t xml:space="preserve"> (Accessed 15/1/2024)</w:t>
      </w:r>
    </w:p>
  </w:footnote>
  <w:footnote w:id="10">
    <w:p w14:paraId="35F1DD20" w14:textId="7EA192DD" w:rsidR="009525C3" w:rsidRPr="00A475BD" w:rsidRDefault="009525C3">
      <w:pPr>
        <w:pStyle w:val="FootnoteText"/>
        <w:rPr>
          <w:sz w:val="18"/>
          <w:szCs w:val="18"/>
        </w:rPr>
      </w:pPr>
      <w:r w:rsidRPr="00A475BD">
        <w:rPr>
          <w:rStyle w:val="FootnoteReference"/>
          <w:sz w:val="18"/>
          <w:szCs w:val="18"/>
        </w:rPr>
        <w:footnoteRef/>
      </w:r>
      <w:r w:rsidRPr="00A475BD">
        <w:rPr>
          <w:sz w:val="18"/>
          <w:szCs w:val="18"/>
        </w:rPr>
        <w:t xml:space="preserve"> </w:t>
      </w:r>
      <w:r w:rsidR="008706A3" w:rsidRPr="00A475BD">
        <w:rPr>
          <w:sz w:val="18"/>
          <w:szCs w:val="18"/>
        </w:rPr>
        <w:t xml:space="preserve">L. Steel, </w:t>
      </w:r>
      <w:r w:rsidR="00463E54" w:rsidRPr="00A475BD">
        <w:rPr>
          <w:sz w:val="18"/>
          <w:szCs w:val="18"/>
        </w:rPr>
        <w:t>‘</w:t>
      </w:r>
      <w:r w:rsidR="004367AD" w:rsidRPr="00A475BD">
        <w:rPr>
          <w:sz w:val="18"/>
          <w:szCs w:val="18"/>
        </w:rPr>
        <w:t>Hearth and home: The materiality of fire and water</w:t>
      </w:r>
      <w:r w:rsidR="00463E54" w:rsidRPr="00A475BD">
        <w:rPr>
          <w:sz w:val="18"/>
          <w:szCs w:val="18"/>
        </w:rPr>
        <w:t xml:space="preserve">,’ </w:t>
      </w:r>
      <w:r w:rsidR="004367AD" w:rsidRPr="00A475BD">
        <w:rPr>
          <w:sz w:val="18"/>
          <w:szCs w:val="18"/>
        </w:rPr>
        <w:t xml:space="preserve"> </w:t>
      </w:r>
      <w:hyperlink r:id="rId4" w:history="1">
        <w:r w:rsidR="001D4061" w:rsidRPr="00A475BD">
          <w:rPr>
            <w:rStyle w:val="Hyperlink"/>
            <w:sz w:val="18"/>
            <w:szCs w:val="18"/>
          </w:rPr>
          <w:t>https://moodle.uwtsd.ac.uk/mod/resource/view.php?id=388963</w:t>
        </w:r>
      </w:hyperlink>
      <w:r w:rsidR="001D4061" w:rsidRPr="00A475BD">
        <w:rPr>
          <w:sz w:val="18"/>
          <w:szCs w:val="18"/>
        </w:rPr>
        <w:t xml:space="preserve"> </w:t>
      </w:r>
      <w:r w:rsidR="001F3E55" w:rsidRPr="00A475BD">
        <w:rPr>
          <w:sz w:val="18"/>
          <w:szCs w:val="18"/>
        </w:rPr>
        <w:t xml:space="preserve">(Accessed 15/1/2024) </w:t>
      </w:r>
    </w:p>
  </w:footnote>
  <w:footnote w:id="11">
    <w:p w14:paraId="2CE1B405" w14:textId="36678BC6" w:rsidR="00C133C9" w:rsidRPr="00A475BD" w:rsidRDefault="00C133C9">
      <w:pPr>
        <w:pStyle w:val="FootnoteText"/>
        <w:rPr>
          <w:sz w:val="18"/>
          <w:szCs w:val="18"/>
        </w:rPr>
      </w:pPr>
      <w:r w:rsidRPr="00A475BD">
        <w:rPr>
          <w:rStyle w:val="FootnoteReference"/>
          <w:sz w:val="18"/>
          <w:szCs w:val="18"/>
        </w:rPr>
        <w:footnoteRef/>
      </w:r>
      <w:r w:rsidRPr="00A475BD">
        <w:rPr>
          <w:sz w:val="18"/>
          <w:szCs w:val="18"/>
        </w:rPr>
        <w:t xml:space="preserve"> </w:t>
      </w:r>
      <w:r w:rsidR="00274CDD" w:rsidRPr="00A475BD">
        <w:rPr>
          <w:sz w:val="18"/>
          <w:szCs w:val="18"/>
        </w:rPr>
        <w:t>C. M. Sa</w:t>
      </w:r>
      <w:r w:rsidR="00FD15E5" w:rsidRPr="00A475BD">
        <w:rPr>
          <w:sz w:val="18"/>
          <w:szCs w:val="18"/>
        </w:rPr>
        <w:t xml:space="preserve">voy, J </w:t>
      </w:r>
      <w:proofErr w:type="spellStart"/>
      <w:r w:rsidR="00FD15E5" w:rsidRPr="00A475BD">
        <w:rPr>
          <w:sz w:val="18"/>
          <w:szCs w:val="18"/>
        </w:rPr>
        <w:t>Staguhun</w:t>
      </w:r>
      <w:proofErr w:type="spellEnd"/>
      <w:r w:rsidR="00FD15E5" w:rsidRPr="00A475BD">
        <w:rPr>
          <w:sz w:val="18"/>
          <w:szCs w:val="18"/>
        </w:rPr>
        <w:t xml:space="preserve">, </w:t>
      </w:r>
      <w:r w:rsidR="00F44AB2" w:rsidRPr="00A475BD">
        <w:rPr>
          <w:sz w:val="18"/>
          <w:szCs w:val="18"/>
        </w:rPr>
        <w:t>‘</w:t>
      </w:r>
      <w:r w:rsidR="004D37C6" w:rsidRPr="00A475BD">
        <w:rPr>
          <w:sz w:val="18"/>
          <w:szCs w:val="18"/>
        </w:rPr>
        <w:t>The Role of Water in capitalizing gender equity,</w:t>
      </w:r>
      <w:r w:rsidR="00F44AB2" w:rsidRPr="00A475BD">
        <w:rPr>
          <w:sz w:val="18"/>
          <w:szCs w:val="18"/>
        </w:rPr>
        <w:t xml:space="preserve">’ </w:t>
      </w:r>
      <w:hyperlink r:id="rId5" w:history="1">
        <w:r w:rsidR="00F44AB2" w:rsidRPr="00A475BD">
          <w:rPr>
            <w:rStyle w:val="Hyperlink"/>
            <w:sz w:val="18"/>
            <w:szCs w:val="18"/>
          </w:rPr>
          <w:t>https://www.csis.org/analysis/role-water-catalyzing-gender-equity</w:t>
        </w:r>
      </w:hyperlink>
      <w:r w:rsidR="00F44AB2" w:rsidRPr="00A475BD">
        <w:rPr>
          <w:sz w:val="18"/>
          <w:szCs w:val="18"/>
        </w:rPr>
        <w:t xml:space="preserve"> (Accessed 15/1/2024)</w:t>
      </w:r>
      <w:r w:rsidR="004D37C6" w:rsidRPr="00A475BD">
        <w:rPr>
          <w:sz w:val="18"/>
          <w:szCs w:val="18"/>
        </w:rPr>
        <w:t xml:space="preserve"> </w:t>
      </w:r>
    </w:p>
  </w:footnote>
  <w:footnote w:id="12">
    <w:p w14:paraId="681B7201" w14:textId="1FB8F644"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4846C2" w:rsidRPr="00A475BD">
        <w:rPr>
          <w:sz w:val="18"/>
          <w:szCs w:val="18"/>
        </w:rPr>
        <w:t xml:space="preserve">L. Steel, ‘Hearth and home: The materiality of fire and water,’  </w:t>
      </w:r>
      <w:hyperlink r:id="rId6" w:history="1">
        <w:r w:rsidR="004846C2" w:rsidRPr="00A475BD">
          <w:rPr>
            <w:rStyle w:val="Hyperlink"/>
            <w:sz w:val="18"/>
            <w:szCs w:val="18"/>
          </w:rPr>
          <w:t>https://moodle.uwtsd.ac.uk/mod/resource/view.php?id=388963</w:t>
        </w:r>
      </w:hyperlink>
      <w:r w:rsidR="004846C2" w:rsidRPr="00A475BD">
        <w:rPr>
          <w:sz w:val="18"/>
          <w:szCs w:val="18"/>
        </w:rPr>
        <w:t xml:space="preserve"> (Accessed 15/1/2024)</w:t>
      </w:r>
    </w:p>
  </w:footnote>
  <w:footnote w:id="13">
    <w:p w14:paraId="6E29A80F" w14:textId="3399A146" w:rsidR="009D3AB0" w:rsidRPr="00A475BD" w:rsidRDefault="009D3AB0">
      <w:pPr>
        <w:pStyle w:val="FootnoteText"/>
        <w:rPr>
          <w:sz w:val="18"/>
          <w:szCs w:val="18"/>
        </w:rPr>
      </w:pPr>
      <w:r w:rsidRPr="00A475BD">
        <w:rPr>
          <w:rStyle w:val="FootnoteReference"/>
          <w:sz w:val="18"/>
          <w:szCs w:val="18"/>
        </w:rPr>
        <w:footnoteRef/>
      </w:r>
      <w:r w:rsidRPr="00A475BD">
        <w:rPr>
          <w:sz w:val="18"/>
          <w:szCs w:val="18"/>
        </w:rPr>
        <w:t xml:space="preserve"> </w:t>
      </w:r>
      <w:r w:rsidR="0098219A" w:rsidRPr="00A475BD">
        <w:rPr>
          <w:sz w:val="18"/>
          <w:szCs w:val="18"/>
        </w:rPr>
        <w:t xml:space="preserve">CAARI Cyprus, (2021) </w:t>
      </w:r>
      <w:r w:rsidR="0098219A" w:rsidRPr="00A475BD">
        <w:rPr>
          <w:i/>
          <w:iCs/>
          <w:sz w:val="18"/>
          <w:szCs w:val="18"/>
        </w:rPr>
        <w:t xml:space="preserve">Allison South CAARI lecture, </w:t>
      </w:r>
      <w:r w:rsidR="0098219A" w:rsidRPr="00A475BD">
        <w:rPr>
          <w:sz w:val="18"/>
          <w:szCs w:val="18"/>
        </w:rPr>
        <w:t xml:space="preserve">Available at: </w:t>
      </w:r>
      <w:hyperlink r:id="rId7" w:history="1">
        <w:r w:rsidR="0098219A" w:rsidRPr="00A475BD">
          <w:rPr>
            <w:rStyle w:val="Hyperlink"/>
            <w:sz w:val="18"/>
            <w:szCs w:val="18"/>
          </w:rPr>
          <w:t>https://www.youtube.com/watch?v=J_JW4qWwAMw</w:t>
        </w:r>
      </w:hyperlink>
      <w:r w:rsidR="0098219A" w:rsidRPr="00A475BD">
        <w:rPr>
          <w:sz w:val="18"/>
          <w:szCs w:val="18"/>
        </w:rPr>
        <w:t xml:space="preserve"> (Accessed 15/1/2024)</w:t>
      </w:r>
    </w:p>
  </w:footnote>
  <w:footnote w:id="14">
    <w:p w14:paraId="2552EAAC" w14:textId="6736925B"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98219A" w:rsidRPr="00A475BD">
        <w:rPr>
          <w:sz w:val="18"/>
          <w:szCs w:val="18"/>
        </w:rPr>
        <w:t xml:space="preserve">CAARI Cyprus, (2021) </w:t>
      </w:r>
      <w:r w:rsidR="0098219A" w:rsidRPr="00A475BD">
        <w:rPr>
          <w:i/>
          <w:iCs/>
          <w:sz w:val="18"/>
          <w:szCs w:val="18"/>
        </w:rPr>
        <w:t xml:space="preserve">Allison South CAARI lecture, </w:t>
      </w:r>
      <w:r w:rsidR="0098219A" w:rsidRPr="00A475BD">
        <w:rPr>
          <w:sz w:val="18"/>
          <w:szCs w:val="18"/>
        </w:rPr>
        <w:t xml:space="preserve">Available at: </w:t>
      </w:r>
      <w:hyperlink r:id="rId8" w:history="1">
        <w:r w:rsidR="0098219A" w:rsidRPr="00A475BD">
          <w:rPr>
            <w:rStyle w:val="Hyperlink"/>
            <w:sz w:val="18"/>
            <w:szCs w:val="18"/>
          </w:rPr>
          <w:t>https://www.youtube.com/watch?v=J_JW4qWwAMw</w:t>
        </w:r>
      </w:hyperlink>
      <w:r w:rsidR="0098219A" w:rsidRPr="00A475BD">
        <w:rPr>
          <w:sz w:val="18"/>
          <w:szCs w:val="18"/>
        </w:rPr>
        <w:t xml:space="preserve"> (Accessed 15/1/2024)</w:t>
      </w:r>
    </w:p>
  </w:footnote>
  <w:footnote w:id="15">
    <w:p w14:paraId="536C0CA8" w14:textId="1DA19DD2" w:rsidR="003444E6" w:rsidRPr="00A475BD" w:rsidRDefault="003444E6">
      <w:pPr>
        <w:pStyle w:val="FootnoteText"/>
        <w:rPr>
          <w:sz w:val="18"/>
          <w:szCs w:val="18"/>
        </w:rPr>
      </w:pPr>
      <w:r w:rsidRPr="00A475BD">
        <w:rPr>
          <w:rStyle w:val="FootnoteReference"/>
          <w:sz w:val="18"/>
          <w:szCs w:val="18"/>
        </w:rPr>
        <w:footnoteRef/>
      </w:r>
      <w:r w:rsidRPr="00A475BD">
        <w:rPr>
          <w:sz w:val="18"/>
          <w:szCs w:val="18"/>
        </w:rPr>
        <w:t xml:space="preserve"> </w:t>
      </w:r>
      <w:r w:rsidR="00C02257" w:rsidRPr="00A475BD">
        <w:rPr>
          <w:sz w:val="18"/>
          <w:szCs w:val="18"/>
        </w:rPr>
        <w:t>Figure 1</w:t>
      </w:r>
    </w:p>
  </w:footnote>
  <w:footnote w:id="16">
    <w:p w14:paraId="3F893671" w14:textId="365EC1E2"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884649" w:rsidRPr="00A475BD">
        <w:rPr>
          <w:sz w:val="18"/>
          <w:szCs w:val="18"/>
        </w:rPr>
        <w:t xml:space="preserve">Figure </w:t>
      </w:r>
      <w:r w:rsidR="00956D3E">
        <w:rPr>
          <w:sz w:val="18"/>
          <w:szCs w:val="18"/>
        </w:rPr>
        <w:t>3</w:t>
      </w:r>
    </w:p>
  </w:footnote>
  <w:footnote w:id="17">
    <w:p w14:paraId="3E402F7C" w14:textId="4A04AB33"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884649" w:rsidRPr="00A475BD">
        <w:rPr>
          <w:sz w:val="18"/>
          <w:szCs w:val="18"/>
        </w:rPr>
        <w:t xml:space="preserve">CAARI Cyprus, (2021) </w:t>
      </w:r>
      <w:r w:rsidR="00884649" w:rsidRPr="00A475BD">
        <w:rPr>
          <w:i/>
          <w:iCs/>
          <w:sz w:val="18"/>
          <w:szCs w:val="18"/>
        </w:rPr>
        <w:t xml:space="preserve">Allison South CAARI lecture, </w:t>
      </w:r>
      <w:r w:rsidR="00884649" w:rsidRPr="00A475BD">
        <w:rPr>
          <w:sz w:val="18"/>
          <w:szCs w:val="18"/>
        </w:rPr>
        <w:t xml:space="preserve">Available at: </w:t>
      </w:r>
      <w:hyperlink r:id="rId9" w:history="1">
        <w:r w:rsidR="00884649" w:rsidRPr="00A475BD">
          <w:rPr>
            <w:rStyle w:val="Hyperlink"/>
            <w:sz w:val="18"/>
            <w:szCs w:val="18"/>
          </w:rPr>
          <w:t>https://www.youtube.com/watch?v=J_JW4qWwAMw</w:t>
        </w:r>
      </w:hyperlink>
      <w:r w:rsidR="00884649" w:rsidRPr="00A475BD">
        <w:rPr>
          <w:sz w:val="18"/>
          <w:szCs w:val="18"/>
        </w:rPr>
        <w:t xml:space="preserve"> (Accessed 15/1/2024</w:t>
      </w:r>
      <w:r w:rsidR="00A475BD" w:rsidRPr="00A475BD">
        <w:rPr>
          <w:sz w:val="18"/>
          <w:szCs w:val="18"/>
        </w:rPr>
        <w:t>)</w:t>
      </w:r>
    </w:p>
  </w:footnote>
  <w:footnote w:id="18">
    <w:p w14:paraId="2A591500" w14:textId="5FEFD498" w:rsidR="00265596" w:rsidRPr="00A475BD" w:rsidRDefault="00265596">
      <w:pPr>
        <w:pStyle w:val="FootnoteText"/>
        <w:rPr>
          <w:sz w:val="18"/>
          <w:szCs w:val="18"/>
        </w:rPr>
      </w:pPr>
      <w:r w:rsidRPr="00A475BD">
        <w:rPr>
          <w:rStyle w:val="FootnoteReference"/>
          <w:sz w:val="18"/>
          <w:szCs w:val="18"/>
        </w:rPr>
        <w:footnoteRef/>
      </w:r>
      <w:r w:rsidRPr="00A475BD">
        <w:rPr>
          <w:sz w:val="18"/>
          <w:szCs w:val="18"/>
        </w:rPr>
        <w:t xml:space="preserve"> </w:t>
      </w:r>
      <w:r w:rsidR="00884649" w:rsidRPr="00A475BD">
        <w:rPr>
          <w:sz w:val="18"/>
          <w:szCs w:val="18"/>
        </w:rPr>
        <w:t>A. Calinescu</w:t>
      </w:r>
      <w:r w:rsidR="00884649" w:rsidRPr="00A475BD">
        <w:rPr>
          <w:i/>
          <w:iCs/>
          <w:sz w:val="18"/>
          <w:szCs w:val="18"/>
        </w:rPr>
        <w:t xml:space="preserve"> </w:t>
      </w:r>
      <w:proofErr w:type="gramStart"/>
      <w:r w:rsidR="00884649" w:rsidRPr="00A475BD">
        <w:rPr>
          <w:i/>
          <w:iCs/>
          <w:sz w:val="18"/>
          <w:szCs w:val="18"/>
        </w:rPr>
        <w:t>-  Ancient</w:t>
      </w:r>
      <w:proofErr w:type="gramEnd"/>
      <w:r w:rsidR="00884649" w:rsidRPr="00A475BD">
        <w:rPr>
          <w:i/>
          <w:iCs/>
          <w:sz w:val="18"/>
          <w:szCs w:val="18"/>
        </w:rPr>
        <w:t xml:space="preserve"> jewellery and archaeology </w:t>
      </w:r>
      <w:r w:rsidR="00884649" w:rsidRPr="00A475BD">
        <w:rPr>
          <w:sz w:val="18"/>
          <w:szCs w:val="18"/>
        </w:rPr>
        <w:t>(Indiana University press, 1996) pp</w:t>
      </w:r>
      <w:r w:rsidR="00DC1116" w:rsidRPr="00A475BD">
        <w:rPr>
          <w:sz w:val="18"/>
          <w:szCs w:val="18"/>
        </w:rPr>
        <w:t xml:space="preserve"> 29</w:t>
      </w:r>
    </w:p>
  </w:footnote>
  <w:footnote w:id="19">
    <w:p w14:paraId="2AD5C6C2" w14:textId="3EF397D8"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884649" w:rsidRPr="00A475BD">
        <w:rPr>
          <w:sz w:val="18"/>
          <w:szCs w:val="18"/>
        </w:rPr>
        <w:t xml:space="preserve">CAARI Cyprus, (2021) </w:t>
      </w:r>
      <w:r w:rsidR="00884649" w:rsidRPr="00A475BD">
        <w:rPr>
          <w:i/>
          <w:iCs/>
          <w:sz w:val="18"/>
          <w:szCs w:val="18"/>
        </w:rPr>
        <w:t xml:space="preserve">Allison South CAARI lecture, </w:t>
      </w:r>
      <w:r w:rsidR="00884649" w:rsidRPr="00A475BD">
        <w:rPr>
          <w:sz w:val="18"/>
          <w:szCs w:val="18"/>
        </w:rPr>
        <w:t xml:space="preserve">Available at: </w:t>
      </w:r>
      <w:hyperlink r:id="rId10" w:history="1">
        <w:r w:rsidR="00884649" w:rsidRPr="00A475BD">
          <w:rPr>
            <w:rStyle w:val="Hyperlink"/>
            <w:sz w:val="18"/>
            <w:szCs w:val="18"/>
          </w:rPr>
          <w:t>https://www.youtube.com/watch?v=J_JW4qWwAMw</w:t>
        </w:r>
      </w:hyperlink>
      <w:r w:rsidR="00884649" w:rsidRPr="00A475BD">
        <w:rPr>
          <w:sz w:val="18"/>
          <w:szCs w:val="18"/>
        </w:rPr>
        <w:t xml:space="preserve"> (Accessed 15/1/2024</w:t>
      </w:r>
      <w:r w:rsidR="00DC1116" w:rsidRPr="00A475BD">
        <w:rPr>
          <w:sz w:val="18"/>
          <w:szCs w:val="18"/>
        </w:rPr>
        <w:t>)</w:t>
      </w:r>
    </w:p>
  </w:footnote>
  <w:footnote w:id="20">
    <w:p w14:paraId="5D380919" w14:textId="62383533" w:rsidR="00604F80" w:rsidRPr="00A475BD" w:rsidRDefault="00604F80">
      <w:pPr>
        <w:pStyle w:val="FootnoteText"/>
        <w:rPr>
          <w:sz w:val="18"/>
          <w:szCs w:val="18"/>
        </w:rPr>
      </w:pPr>
      <w:r w:rsidRPr="00A475BD">
        <w:rPr>
          <w:rStyle w:val="FootnoteReference"/>
          <w:sz w:val="18"/>
          <w:szCs w:val="18"/>
        </w:rPr>
        <w:footnoteRef/>
      </w:r>
      <w:r w:rsidRPr="00A475BD">
        <w:rPr>
          <w:sz w:val="18"/>
          <w:szCs w:val="18"/>
        </w:rPr>
        <w:t xml:space="preserve"> </w:t>
      </w:r>
      <w:r w:rsidR="00A475BD" w:rsidRPr="00A475BD">
        <w:rPr>
          <w:sz w:val="18"/>
          <w:szCs w:val="18"/>
        </w:rPr>
        <w:t xml:space="preserve">A. Calinescu </w:t>
      </w:r>
      <w:proofErr w:type="gramStart"/>
      <w:r w:rsidR="00A475BD" w:rsidRPr="00A475BD">
        <w:rPr>
          <w:sz w:val="18"/>
          <w:szCs w:val="18"/>
        </w:rPr>
        <w:t>-  Ancient</w:t>
      </w:r>
      <w:proofErr w:type="gramEnd"/>
      <w:r w:rsidR="00A475BD" w:rsidRPr="00A475BD">
        <w:rPr>
          <w:sz w:val="18"/>
          <w:szCs w:val="18"/>
        </w:rPr>
        <w:t xml:space="preserve"> jewellery and archaeology (Indiana University press, 1996</w:t>
      </w:r>
      <w:r w:rsidR="00A475BD" w:rsidRPr="00A475BD">
        <w:rPr>
          <w:sz w:val="18"/>
          <w:szCs w:val="18"/>
        </w:rPr>
        <w:t>) pg. 29-31</w:t>
      </w:r>
    </w:p>
  </w:footnote>
  <w:footnote w:id="21">
    <w:p w14:paraId="671548EF" w14:textId="69A0B73C" w:rsidR="00604F80" w:rsidRPr="00A475BD" w:rsidRDefault="00604F80">
      <w:pPr>
        <w:pStyle w:val="FootnoteText"/>
        <w:rPr>
          <w:sz w:val="18"/>
          <w:szCs w:val="18"/>
        </w:rPr>
      </w:pPr>
      <w:r w:rsidRPr="00A475BD">
        <w:rPr>
          <w:rStyle w:val="FootnoteReference"/>
          <w:sz w:val="18"/>
          <w:szCs w:val="18"/>
        </w:rPr>
        <w:footnoteRef/>
      </w:r>
      <w:r w:rsidRPr="00A475BD">
        <w:rPr>
          <w:sz w:val="18"/>
          <w:szCs w:val="18"/>
        </w:rPr>
        <w:t xml:space="preserve"> </w:t>
      </w:r>
      <w:r w:rsidR="00A475BD" w:rsidRPr="00A475BD">
        <w:rPr>
          <w:i/>
          <w:iCs/>
          <w:sz w:val="18"/>
          <w:szCs w:val="18"/>
        </w:rPr>
        <w:t xml:space="preserve">Ibid. </w:t>
      </w:r>
      <w:r w:rsidR="00A475BD" w:rsidRPr="00A475BD">
        <w:rPr>
          <w:sz w:val="18"/>
          <w:szCs w:val="18"/>
        </w:rPr>
        <w:t>29</w:t>
      </w:r>
    </w:p>
  </w:footnote>
  <w:footnote w:id="22">
    <w:p w14:paraId="1422E660" w14:textId="77CBCE3E" w:rsidR="00B70F66" w:rsidRPr="00A475BD" w:rsidRDefault="00B70F66">
      <w:pPr>
        <w:pStyle w:val="FootnoteText"/>
        <w:rPr>
          <w:sz w:val="18"/>
          <w:szCs w:val="18"/>
        </w:rPr>
      </w:pPr>
      <w:r w:rsidRPr="00A475BD">
        <w:rPr>
          <w:rStyle w:val="FootnoteReference"/>
          <w:sz w:val="18"/>
          <w:szCs w:val="18"/>
        </w:rPr>
        <w:footnoteRef/>
      </w:r>
      <w:r w:rsidR="00A475BD" w:rsidRPr="00A475BD">
        <w:rPr>
          <w:i/>
          <w:iCs/>
          <w:sz w:val="18"/>
          <w:szCs w:val="18"/>
        </w:rPr>
        <w:t xml:space="preserve">Ibid. </w:t>
      </w:r>
      <w:r w:rsidR="00A475BD" w:rsidRPr="00A475BD">
        <w:rPr>
          <w:sz w:val="18"/>
          <w:szCs w:val="18"/>
        </w:rPr>
        <w:t>29</w:t>
      </w:r>
    </w:p>
  </w:footnote>
  <w:footnote w:id="23">
    <w:p w14:paraId="2DE8EBD5" w14:textId="223B8C8D" w:rsidR="00644D67" w:rsidRPr="00A475BD" w:rsidRDefault="00644D67">
      <w:pPr>
        <w:pStyle w:val="FootnoteText"/>
        <w:rPr>
          <w:sz w:val="18"/>
          <w:szCs w:val="18"/>
        </w:rPr>
      </w:pPr>
      <w:r w:rsidRPr="00A475BD">
        <w:rPr>
          <w:rStyle w:val="FootnoteReference"/>
          <w:sz w:val="18"/>
          <w:szCs w:val="18"/>
        </w:rPr>
        <w:footnoteRef/>
      </w:r>
      <w:r w:rsidR="00A475BD" w:rsidRPr="00A475BD">
        <w:rPr>
          <w:i/>
          <w:iCs/>
          <w:sz w:val="18"/>
          <w:szCs w:val="18"/>
        </w:rPr>
        <w:t xml:space="preserve">Ibid. </w:t>
      </w:r>
      <w:r w:rsidR="00A475BD" w:rsidRPr="00A475BD">
        <w:rPr>
          <w:sz w:val="18"/>
          <w:szCs w:val="18"/>
        </w:rPr>
        <w:t>29</w:t>
      </w:r>
    </w:p>
  </w:footnote>
  <w:footnote w:id="24">
    <w:p w14:paraId="49EBD44E" w14:textId="5898BFDB" w:rsidR="00644D67" w:rsidRPr="00A475BD" w:rsidRDefault="00644D67">
      <w:pPr>
        <w:pStyle w:val="FootnoteText"/>
        <w:rPr>
          <w:sz w:val="18"/>
          <w:szCs w:val="18"/>
        </w:rPr>
      </w:pPr>
      <w:r w:rsidRPr="00A475BD">
        <w:rPr>
          <w:rStyle w:val="FootnoteReference"/>
          <w:sz w:val="18"/>
          <w:szCs w:val="18"/>
        </w:rPr>
        <w:footnoteRef/>
      </w:r>
      <w:r w:rsidR="00A475BD" w:rsidRPr="00A475BD">
        <w:rPr>
          <w:i/>
          <w:iCs/>
          <w:sz w:val="18"/>
          <w:szCs w:val="18"/>
        </w:rPr>
        <w:t xml:space="preserve">Ibid. </w:t>
      </w:r>
      <w:r w:rsidR="00A475BD" w:rsidRPr="00A475BD">
        <w:rPr>
          <w:sz w:val="18"/>
          <w:szCs w:val="18"/>
        </w:rPr>
        <w:t>29</w:t>
      </w:r>
    </w:p>
  </w:footnote>
  <w:footnote w:id="25">
    <w:p w14:paraId="3732D6F0" w14:textId="62F8A543" w:rsidR="00F21DFB" w:rsidRPr="00A475BD" w:rsidRDefault="00F21DFB">
      <w:pPr>
        <w:pStyle w:val="FootnoteText"/>
        <w:rPr>
          <w:sz w:val="18"/>
          <w:szCs w:val="18"/>
        </w:rPr>
      </w:pPr>
      <w:r w:rsidRPr="00A475BD">
        <w:rPr>
          <w:rStyle w:val="FootnoteReference"/>
          <w:sz w:val="18"/>
          <w:szCs w:val="18"/>
        </w:rPr>
        <w:footnoteRef/>
      </w:r>
      <w:r w:rsidRPr="00A475BD">
        <w:rPr>
          <w:sz w:val="18"/>
          <w:szCs w:val="18"/>
        </w:rPr>
        <w:t xml:space="preserve"> </w:t>
      </w:r>
      <w:r w:rsidR="00A475BD" w:rsidRPr="00A475BD">
        <w:rPr>
          <w:i/>
          <w:iCs/>
          <w:sz w:val="18"/>
          <w:szCs w:val="18"/>
        </w:rPr>
        <w:t xml:space="preserve">Ibid. </w:t>
      </w:r>
      <w:r w:rsidR="00A475BD" w:rsidRPr="00A475BD">
        <w:rPr>
          <w:sz w:val="18"/>
          <w:szCs w:val="18"/>
        </w:rPr>
        <w:t>29</w:t>
      </w:r>
    </w:p>
  </w:footnote>
  <w:footnote w:id="26">
    <w:p w14:paraId="4FCE6513" w14:textId="66E8CD4D" w:rsidR="00B70F66" w:rsidRPr="00A475BD" w:rsidRDefault="00B70F66">
      <w:pPr>
        <w:pStyle w:val="FootnoteText"/>
        <w:rPr>
          <w:sz w:val="18"/>
          <w:szCs w:val="18"/>
        </w:rPr>
      </w:pPr>
      <w:r w:rsidRPr="00A475BD">
        <w:rPr>
          <w:rStyle w:val="FootnoteReference"/>
          <w:sz w:val="18"/>
          <w:szCs w:val="18"/>
        </w:rPr>
        <w:footnoteRef/>
      </w:r>
      <w:r w:rsidRPr="00A475BD">
        <w:rPr>
          <w:sz w:val="18"/>
          <w:szCs w:val="18"/>
        </w:rPr>
        <w:t xml:space="preserve"> </w:t>
      </w:r>
      <w:r w:rsidR="00A475BD" w:rsidRPr="00A475BD">
        <w:rPr>
          <w:i/>
          <w:iCs/>
          <w:sz w:val="18"/>
          <w:szCs w:val="18"/>
        </w:rPr>
        <w:t xml:space="preserve">Ibid. </w:t>
      </w:r>
      <w:r w:rsidR="00A475BD" w:rsidRPr="00A475BD">
        <w:rPr>
          <w:sz w:val="18"/>
          <w:szCs w:val="18"/>
        </w:rPr>
        <w:t>30</w:t>
      </w:r>
    </w:p>
  </w:footnote>
  <w:footnote w:id="27">
    <w:p w14:paraId="0DBFE78F" w14:textId="205349DD" w:rsidR="00E40596" w:rsidRPr="00A475BD" w:rsidRDefault="00E40596">
      <w:pPr>
        <w:pStyle w:val="FootnoteText"/>
        <w:rPr>
          <w:sz w:val="18"/>
          <w:szCs w:val="18"/>
        </w:rPr>
      </w:pPr>
      <w:r w:rsidRPr="00A475BD">
        <w:rPr>
          <w:rStyle w:val="FootnoteReference"/>
          <w:sz w:val="18"/>
          <w:szCs w:val="18"/>
        </w:rPr>
        <w:footnoteRef/>
      </w:r>
      <w:r w:rsidRPr="00A475BD">
        <w:rPr>
          <w:sz w:val="18"/>
          <w:szCs w:val="18"/>
        </w:rPr>
        <w:t xml:space="preserve"> </w:t>
      </w:r>
      <w:r w:rsidR="00A475BD" w:rsidRPr="00A475BD">
        <w:rPr>
          <w:sz w:val="18"/>
          <w:szCs w:val="18"/>
        </w:rPr>
        <w:t xml:space="preserve">CAARI Cyprus, (2021) </w:t>
      </w:r>
      <w:r w:rsidR="00A475BD" w:rsidRPr="00A475BD">
        <w:rPr>
          <w:i/>
          <w:iCs/>
          <w:sz w:val="18"/>
          <w:szCs w:val="18"/>
        </w:rPr>
        <w:t xml:space="preserve">Allison South CAARI lecture, </w:t>
      </w:r>
      <w:r w:rsidR="00A475BD" w:rsidRPr="00A475BD">
        <w:rPr>
          <w:sz w:val="18"/>
          <w:szCs w:val="18"/>
        </w:rPr>
        <w:t xml:space="preserve">Available at: </w:t>
      </w:r>
      <w:hyperlink r:id="rId11" w:history="1">
        <w:r w:rsidR="00A475BD" w:rsidRPr="00A475BD">
          <w:rPr>
            <w:rStyle w:val="Hyperlink"/>
            <w:sz w:val="18"/>
            <w:szCs w:val="18"/>
          </w:rPr>
          <w:t>https://www.youtube.com/watch?v=J_JW4qWwAMw</w:t>
        </w:r>
      </w:hyperlink>
      <w:r w:rsidR="00A475BD" w:rsidRPr="00A475BD">
        <w:rPr>
          <w:sz w:val="18"/>
          <w:szCs w:val="18"/>
        </w:rPr>
        <w:t xml:space="preserve"> (Accessed 15/1/2024)</w:t>
      </w:r>
    </w:p>
  </w:footnote>
  <w:footnote w:id="28">
    <w:p w14:paraId="40781B03" w14:textId="744590CF" w:rsidR="00B70F66" w:rsidRPr="00A475BD" w:rsidRDefault="00B70F66">
      <w:pPr>
        <w:pStyle w:val="FootnoteText"/>
        <w:rPr>
          <w:sz w:val="18"/>
          <w:szCs w:val="18"/>
        </w:rPr>
      </w:pPr>
      <w:r w:rsidRPr="00A475BD">
        <w:rPr>
          <w:rStyle w:val="FootnoteReference"/>
          <w:sz w:val="18"/>
          <w:szCs w:val="18"/>
        </w:rPr>
        <w:footnoteRef/>
      </w:r>
      <w:r w:rsidR="00A475BD" w:rsidRPr="00A475BD">
        <w:rPr>
          <w:sz w:val="18"/>
          <w:szCs w:val="18"/>
        </w:rPr>
        <w:t xml:space="preserve"> A. Calinescu </w:t>
      </w:r>
      <w:proofErr w:type="gramStart"/>
      <w:r w:rsidR="00A475BD" w:rsidRPr="00A475BD">
        <w:rPr>
          <w:sz w:val="18"/>
          <w:szCs w:val="18"/>
        </w:rPr>
        <w:t>-  Ancient</w:t>
      </w:r>
      <w:proofErr w:type="gramEnd"/>
      <w:r w:rsidR="00A475BD" w:rsidRPr="00A475BD">
        <w:rPr>
          <w:sz w:val="18"/>
          <w:szCs w:val="18"/>
        </w:rPr>
        <w:t xml:space="preserve"> jewellery and archaeology (Indiana University press, 1996) pg. 2</w:t>
      </w:r>
      <w:r w:rsidR="00A475BD" w:rsidRPr="00A475BD">
        <w:rPr>
          <w:sz w:val="18"/>
          <w:szCs w:val="18"/>
        </w:rPr>
        <w:t>9</w:t>
      </w:r>
    </w:p>
  </w:footnote>
  <w:footnote w:id="29">
    <w:p w14:paraId="7BED74F5" w14:textId="77133808" w:rsidR="00BB3111" w:rsidRPr="00A475BD" w:rsidRDefault="00BB3111">
      <w:pPr>
        <w:pStyle w:val="FootnoteText"/>
        <w:rPr>
          <w:sz w:val="18"/>
          <w:szCs w:val="18"/>
        </w:rPr>
      </w:pPr>
      <w:r w:rsidRPr="00A475BD">
        <w:rPr>
          <w:rStyle w:val="FootnoteReference"/>
          <w:sz w:val="18"/>
          <w:szCs w:val="18"/>
        </w:rPr>
        <w:footnoteRef/>
      </w:r>
      <w:r w:rsidRPr="00A475BD">
        <w:rPr>
          <w:sz w:val="18"/>
          <w:szCs w:val="18"/>
        </w:rPr>
        <w:t xml:space="preserve"> </w:t>
      </w:r>
      <w:r w:rsidR="00A475BD" w:rsidRPr="00A475BD">
        <w:rPr>
          <w:sz w:val="18"/>
          <w:szCs w:val="18"/>
        </w:rPr>
        <w:t xml:space="preserve">CAARI Cyprus, (2021) </w:t>
      </w:r>
      <w:r w:rsidR="00A475BD" w:rsidRPr="00A475BD">
        <w:rPr>
          <w:i/>
          <w:iCs/>
          <w:sz w:val="18"/>
          <w:szCs w:val="18"/>
        </w:rPr>
        <w:t xml:space="preserve">Allison South CAARI lecture, </w:t>
      </w:r>
      <w:r w:rsidR="00A475BD" w:rsidRPr="00A475BD">
        <w:rPr>
          <w:sz w:val="18"/>
          <w:szCs w:val="18"/>
        </w:rPr>
        <w:t xml:space="preserve">Available at: </w:t>
      </w:r>
      <w:hyperlink r:id="rId12" w:history="1">
        <w:r w:rsidR="00A475BD" w:rsidRPr="00A475BD">
          <w:rPr>
            <w:rStyle w:val="Hyperlink"/>
            <w:sz w:val="18"/>
            <w:szCs w:val="18"/>
          </w:rPr>
          <w:t>https://www.youtube.com/watch?v=J_JW4qWwAMw</w:t>
        </w:r>
      </w:hyperlink>
      <w:r w:rsidR="00A475BD" w:rsidRPr="00A475BD">
        <w:rPr>
          <w:sz w:val="18"/>
          <w:szCs w:val="18"/>
        </w:rPr>
        <w:t xml:space="preserve"> (Accessed 15/1/2024)</w:t>
      </w:r>
    </w:p>
  </w:footnote>
  <w:footnote w:id="30">
    <w:p w14:paraId="1461D8E8" w14:textId="6E7CF25A" w:rsidR="00E230DA" w:rsidRPr="00A475BD" w:rsidRDefault="00E230DA">
      <w:pPr>
        <w:pStyle w:val="FootnoteText"/>
        <w:rPr>
          <w:sz w:val="18"/>
          <w:szCs w:val="18"/>
        </w:rPr>
      </w:pPr>
      <w:r w:rsidRPr="00A475BD">
        <w:rPr>
          <w:rStyle w:val="FootnoteReference"/>
          <w:sz w:val="18"/>
          <w:szCs w:val="18"/>
        </w:rPr>
        <w:footnoteRef/>
      </w:r>
      <w:r w:rsidRPr="00A475BD">
        <w:rPr>
          <w:sz w:val="18"/>
          <w:szCs w:val="18"/>
        </w:rPr>
        <w:t xml:space="preserve"> </w:t>
      </w:r>
      <w:r w:rsidR="004846C2" w:rsidRPr="004846C2">
        <w:rPr>
          <w:sz w:val="18"/>
          <w:szCs w:val="18"/>
        </w:rPr>
        <w:t xml:space="preserve">CAARI Cyprus, (2021) </w:t>
      </w:r>
      <w:r w:rsidR="004846C2" w:rsidRPr="004846C2">
        <w:rPr>
          <w:i/>
          <w:iCs/>
          <w:sz w:val="18"/>
          <w:szCs w:val="18"/>
        </w:rPr>
        <w:t xml:space="preserve">Allison South CAARI lecture, </w:t>
      </w:r>
      <w:r w:rsidR="004846C2" w:rsidRPr="004846C2">
        <w:rPr>
          <w:sz w:val="18"/>
          <w:szCs w:val="18"/>
        </w:rPr>
        <w:t xml:space="preserve">Available at: </w:t>
      </w:r>
      <w:hyperlink r:id="rId13" w:history="1">
        <w:r w:rsidR="004846C2" w:rsidRPr="004846C2">
          <w:rPr>
            <w:rStyle w:val="Hyperlink"/>
            <w:sz w:val="18"/>
            <w:szCs w:val="18"/>
          </w:rPr>
          <w:t>https://www.youtube.com/watch?v=J_JW4qWwAMw</w:t>
        </w:r>
      </w:hyperlink>
      <w:r w:rsidR="004846C2" w:rsidRPr="004846C2">
        <w:rPr>
          <w:sz w:val="18"/>
          <w:szCs w:val="18"/>
        </w:rPr>
        <w:t xml:space="preserve"> (Accessed 15/1/2024)</w:t>
      </w:r>
    </w:p>
  </w:footnote>
  <w:footnote w:id="31">
    <w:p w14:paraId="2D08246F" w14:textId="4105826F" w:rsidR="00401BF6" w:rsidRPr="00A475BD" w:rsidRDefault="00401BF6">
      <w:pPr>
        <w:pStyle w:val="FootnoteText"/>
        <w:rPr>
          <w:sz w:val="18"/>
          <w:szCs w:val="18"/>
        </w:rPr>
      </w:pPr>
      <w:r w:rsidRPr="00A475BD">
        <w:rPr>
          <w:rStyle w:val="FootnoteReference"/>
          <w:sz w:val="18"/>
          <w:szCs w:val="18"/>
        </w:rPr>
        <w:footnoteRef/>
      </w:r>
      <w:r w:rsidRPr="00A475BD">
        <w:rPr>
          <w:sz w:val="18"/>
          <w:szCs w:val="18"/>
        </w:rPr>
        <w:t xml:space="preserve"> </w:t>
      </w:r>
      <w:r w:rsidR="004846C2" w:rsidRPr="00A475BD">
        <w:rPr>
          <w:sz w:val="18"/>
          <w:szCs w:val="18"/>
        </w:rPr>
        <w:t xml:space="preserve">A. Calinescu </w:t>
      </w:r>
      <w:proofErr w:type="gramStart"/>
      <w:r w:rsidR="004846C2" w:rsidRPr="00A475BD">
        <w:rPr>
          <w:sz w:val="18"/>
          <w:szCs w:val="18"/>
        </w:rPr>
        <w:t>-  Ancient</w:t>
      </w:r>
      <w:proofErr w:type="gramEnd"/>
      <w:r w:rsidR="004846C2" w:rsidRPr="00A475BD">
        <w:rPr>
          <w:sz w:val="18"/>
          <w:szCs w:val="18"/>
        </w:rPr>
        <w:t xml:space="preserve"> jewellery and archaeology (Indiana University press, 1996) pg. 29</w:t>
      </w:r>
    </w:p>
  </w:footnote>
  <w:footnote w:id="32">
    <w:p w14:paraId="3F782606" w14:textId="14679FA5" w:rsidR="004005A2" w:rsidRPr="00A475BD" w:rsidRDefault="004005A2">
      <w:pPr>
        <w:pStyle w:val="FootnoteText"/>
        <w:rPr>
          <w:sz w:val="18"/>
          <w:szCs w:val="18"/>
        </w:rPr>
      </w:pPr>
      <w:r w:rsidRPr="00A475BD">
        <w:rPr>
          <w:rStyle w:val="FootnoteReference"/>
          <w:sz w:val="18"/>
          <w:szCs w:val="18"/>
        </w:rPr>
        <w:footnoteRef/>
      </w:r>
      <w:r w:rsidRPr="00A475BD">
        <w:rPr>
          <w:sz w:val="18"/>
          <w:szCs w:val="18"/>
        </w:rPr>
        <w:t xml:space="preserve"> </w:t>
      </w:r>
      <w:r w:rsidR="004846C2" w:rsidRPr="004846C2">
        <w:rPr>
          <w:sz w:val="18"/>
          <w:szCs w:val="18"/>
        </w:rPr>
        <w:t xml:space="preserve">CAARI Cyprus, (2021) </w:t>
      </w:r>
      <w:r w:rsidR="004846C2" w:rsidRPr="004846C2">
        <w:rPr>
          <w:i/>
          <w:iCs/>
          <w:sz w:val="18"/>
          <w:szCs w:val="18"/>
        </w:rPr>
        <w:t xml:space="preserve">Allison South CAARI lecture, </w:t>
      </w:r>
      <w:r w:rsidR="004846C2" w:rsidRPr="004846C2">
        <w:rPr>
          <w:sz w:val="18"/>
          <w:szCs w:val="18"/>
        </w:rPr>
        <w:t xml:space="preserve">Available at: </w:t>
      </w:r>
      <w:hyperlink r:id="rId14" w:history="1">
        <w:r w:rsidR="004846C2" w:rsidRPr="004846C2">
          <w:rPr>
            <w:rStyle w:val="Hyperlink"/>
            <w:sz w:val="18"/>
            <w:szCs w:val="18"/>
          </w:rPr>
          <w:t>https://www.youtube.com/watch?v=J_JW4qWwAMw</w:t>
        </w:r>
      </w:hyperlink>
      <w:r w:rsidR="004846C2" w:rsidRPr="004846C2">
        <w:rPr>
          <w:sz w:val="18"/>
          <w:szCs w:val="18"/>
        </w:rPr>
        <w:t xml:space="preserve"> (Accessed 15/1/2024)</w:t>
      </w:r>
    </w:p>
  </w:footnote>
  <w:footnote w:id="33">
    <w:p w14:paraId="7C02FB02" w14:textId="52D84A37" w:rsidR="0048439E" w:rsidRPr="00A475BD" w:rsidRDefault="0048439E">
      <w:pPr>
        <w:pStyle w:val="FootnoteText"/>
        <w:rPr>
          <w:sz w:val="18"/>
          <w:szCs w:val="18"/>
        </w:rPr>
      </w:pPr>
      <w:r w:rsidRPr="00A475BD">
        <w:rPr>
          <w:rStyle w:val="FootnoteReference"/>
          <w:sz w:val="18"/>
          <w:szCs w:val="18"/>
        </w:rPr>
        <w:footnoteRef/>
      </w:r>
      <w:r w:rsidRPr="00A475BD">
        <w:rPr>
          <w:sz w:val="18"/>
          <w:szCs w:val="18"/>
        </w:rPr>
        <w:t xml:space="preserve"> </w:t>
      </w:r>
      <w:r w:rsidR="004846C2">
        <w:rPr>
          <w:sz w:val="18"/>
          <w:szCs w:val="18"/>
        </w:rPr>
        <w:t>The university of British Columbia, ‘</w:t>
      </w:r>
      <w:proofErr w:type="spellStart"/>
      <w:r w:rsidR="004846C2" w:rsidRPr="004846C2">
        <w:rPr>
          <w:sz w:val="18"/>
          <w:szCs w:val="18"/>
        </w:rPr>
        <w:t>Kalavasos-Ayios</w:t>
      </w:r>
      <w:proofErr w:type="spellEnd"/>
      <w:r w:rsidR="004846C2" w:rsidRPr="004846C2">
        <w:rPr>
          <w:sz w:val="18"/>
          <w:szCs w:val="18"/>
        </w:rPr>
        <w:t xml:space="preserve"> Dhimitrios</w:t>
      </w:r>
      <w:r w:rsidR="004846C2">
        <w:rPr>
          <w:sz w:val="18"/>
          <w:szCs w:val="18"/>
        </w:rPr>
        <w:t xml:space="preserve">,’ </w:t>
      </w:r>
      <w:hyperlink r:id="rId15" w:history="1">
        <w:r w:rsidR="004846C2" w:rsidRPr="00DB6C76">
          <w:rPr>
            <w:rStyle w:val="Hyperlink"/>
            <w:sz w:val="18"/>
            <w:szCs w:val="18"/>
          </w:rPr>
          <w:t>https://kambe.cnrs.ubc.ca/the-sites/kalavasos-ayios-dhimitrios/</w:t>
        </w:r>
      </w:hyperlink>
      <w:r w:rsidR="004846C2">
        <w:rPr>
          <w:sz w:val="18"/>
          <w:szCs w:val="18"/>
        </w:rPr>
        <w:t xml:space="preserve"> (Accessed 15/1/2024)</w:t>
      </w:r>
    </w:p>
  </w:footnote>
  <w:footnote w:id="34">
    <w:p w14:paraId="1578064B" w14:textId="140428FE" w:rsidR="007C31AD" w:rsidRPr="00A475BD" w:rsidRDefault="007C31AD">
      <w:pPr>
        <w:pStyle w:val="FootnoteText"/>
        <w:rPr>
          <w:sz w:val="18"/>
          <w:szCs w:val="18"/>
        </w:rPr>
      </w:pPr>
      <w:r w:rsidRPr="00A475BD">
        <w:rPr>
          <w:rStyle w:val="FootnoteReference"/>
          <w:sz w:val="18"/>
          <w:szCs w:val="18"/>
        </w:rPr>
        <w:footnoteRef/>
      </w:r>
      <w:r w:rsidRPr="00A475BD">
        <w:rPr>
          <w:sz w:val="18"/>
          <w:szCs w:val="18"/>
        </w:rPr>
        <w:t xml:space="preserve"> </w:t>
      </w:r>
      <w:r w:rsidR="004846C2">
        <w:rPr>
          <w:sz w:val="18"/>
          <w:szCs w:val="18"/>
        </w:rPr>
        <w:t>The university of British Columbia, ‘</w:t>
      </w:r>
      <w:proofErr w:type="spellStart"/>
      <w:r w:rsidR="004846C2" w:rsidRPr="004846C2">
        <w:rPr>
          <w:sz w:val="18"/>
          <w:szCs w:val="18"/>
        </w:rPr>
        <w:t>Kalavasos-Ayios</w:t>
      </w:r>
      <w:proofErr w:type="spellEnd"/>
      <w:r w:rsidR="004846C2" w:rsidRPr="004846C2">
        <w:rPr>
          <w:sz w:val="18"/>
          <w:szCs w:val="18"/>
        </w:rPr>
        <w:t xml:space="preserve"> Dhimitrios</w:t>
      </w:r>
      <w:r w:rsidR="004846C2">
        <w:rPr>
          <w:sz w:val="18"/>
          <w:szCs w:val="18"/>
        </w:rPr>
        <w:t xml:space="preserve">,’ </w:t>
      </w:r>
      <w:hyperlink r:id="rId16" w:history="1">
        <w:r w:rsidR="004846C2" w:rsidRPr="00DB6C76">
          <w:rPr>
            <w:rStyle w:val="Hyperlink"/>
            <w:sz w:val="18"/>
            <w:szCs w:val="18"/>
          </w:rPr>
          <w:t>https://kambe.cnrs.ubc.ca/the-sites/kalavasos-ayios-dhimitrios/</w:t>
        </w:r>
      </w:hyperlink>
      <w:r w:rsidR="004846C2">
        <w:rPr>
          <w:sz w:val="18"/>
          <w:szCs w:val="18"/>
        </w:rPr>
        <w:t xml:space="preserve"> (Accessed 15/1/2024)</w:t>
      </w:r>
    </w:p>
  </w:footnote>
  <w:footnote w:id="35">
    <w:p w14:paraId="30C1862B" w14:textId="18375E63" w:rsidR="00CD55F0" w:rsidRPr="00A475BD" w:rsidRDefault="00CD55F0">
      <w:pPr>
        <w:pStyle w:val="FootnoteText"/>
        <w:rPr>
          <w:sz w:val="18"/>
          <w:szCs w:val="18"/>
        </w:rPr>
      </w:pPr>
      <w:r w:rsidRPr="00A475BD">
        <w:rPr>
          <w:rStyle w:val="FootnoteReference"/>
          <w:sz w:val="18"/>
          <w:szCs w:val="18"/>
        </w:rPr>
        <w:footnoteRef/>
      </w:r>
      <w:r w:rsidRPr="00A475BD">
        <w:rPr>
          <w:sz w:val="18"/>
          <w:szCs w:val="18"/>
        </w:rPr>
        <w:t xml:space="preserve"> </w:t>
      </w:r>
      <w:r w:rsidR="0063551F" w:rsidRPr="004846C2">
        <w:rPr>
          <w:sz w:val="18"/>
          <w:szCs w:val="18"/>
        </w:rPr>
        <w:t xml:space="preserve">CAARI Cyprus, (2021) </w:t>
      </w:r>
      <w:r w:rsidR="0063551F" w:rsidRPr="004846C2">
        <w:rPr>
          <w:i/>
          <w:iCs/>
          <w:sz w:val="18"/>
          <w:szCs w:val="18"/>
        </w:rPr>
        <w:t xml:space="preserve">Allison South CAARI lecture, </w:t>
      </w:r>
      <w:r w:rsidR="0063551F" w:rsidRPr="004846C2">
        <w:rPr>
          <w:sz w:val="18"/>
          <w:szCs w:val="18"/>
        </w:rPr>
        <w:t xml:space="preserve">Available at: </w:t>
      </w:r>
      <w:hyperlink r:id="rId17" w:history="1">
        <w:r w:rsidR="0063551F" w:rsidRPr="004846C2">
          <w:rPr>
            <w:rStyle w:val="Hyperlink"/>
            <w:sz w:val="18"/>
            <w:szCs w:val="18"/>
          </w:rPr>
          <w:t>https://www.youtube.com/watch?v=J_JW4qWwAMw</w:t>
        </w:r>
      </w:hyperlink>
      <w:r w:rsidR="0063551F" w:rsidRPr="004846C2">
        <w:rPr>
          <w:sz w:val="18"/>
          <w:szCs w:val="18"/>
        </w:rPr>
        <w:t xml:space="preserve"> (Accessed 15/1/2024)</w:t>
      </w:r>
    </w:p>
  </w:footnote>
  <w:footnote w:id="36">
    <w:p w14:paraId="6F973312" w14:textId="2D882E0C" w:rsidR="00CD55F0" w:rsidRPr="00A475BD" w:rsidRDefault="00CD55F0">
      <w:pPr>
        <w:pStyle w:val="FootnoteText"/>
        <w:rPr>
          <w:sz w:val="18"/>
          <w:szCs w:val="18"/>
        </w:rPr>
      </w:pPr>
      <w:r w:rsidRPr="00A475BD">
        <w:rPr>
          <w:rStyle w:val="FootnoteReference"/>
          <w:sz w:val="18"/>
          <w:szCs w:val="18"/>
        </w:rPr>
        <w:footnoteRef/>
      </w:r>
      <w:r w:rsidRPr="00A475BD">
        <w:rPr>
          <w:sz w:val="18"/>
          <w:szCs w:val="18"/>
        </w:rPr>
        <w:t xml:space="preserve"> </w:t>
      </w:r>
      <w:r w:rsidR="004846C2" w:rsidRPr="00A475BD">
        <w:rPr>
          <w:sz w:val="18"/>
          <w:szCs w:val="18"/>
        </w:rPr>
        <w:t xml:space="preserve">A. Calinescu </w:t>
      </w:r>
      <w:proofErr w:type="gramStart"/>
      <w:r w:rsidR="004846C2" w:rsidRPr="00A475BD">
        <w:rPr>
          <w:sz w:val="18"/>
          <w:szCs w:val="18"/>
        </w:rPr>
        <w:t>-  Ancient</w:t>
      </w:r>
      <w:proofErr w:type="gramEnd"/>
      <w:r w:rsidR="004846C2" w:rsidRPr="00A475BD">
        <w:rPr>
          <w:sz w:val="18"/>
          <w:szCs w:val="18"/>
        </w:rPr>
        <w:t xml:space="preserve"> jewellery and archaeology (Indiana University press, 1996) pg. 29</w:t>
      </w:r>
    </w:p>
  </w:footnote>
  <w:footnote w:id="37">
    <w:p w14:paraId="68C750C4" w14:textId="06250604" w:rsidR="00833A97" w:rsidRPr="00A475BD" w:rsidRDefault="00833A97">
      <w:pPr>
        <w:pStyle w:val="FootnoteText"/>
        <w:rPr>
          <w:sz w:val="18"/>
          <w:szCs w:val="18"/>
        </w:rPr>
      </w:pPr>
      <w:r w:rsidRPr="00A475BD">
        <w:rPr>
          <w:rStyle w:val="FootnoteReference"/>
          <w:sz w:val="18"/>
          <w:szCs w:val="18"/>
        </w:rPr>
        <w:footnoteRef/>
      </w:r>
      <w:r w:rsidRPr="00A475BD">
        <w:rPr>
          <w:sz w:val="18"/>
          <w:szCs w:val="18"/>
        </w:rPr>
        <w:t xml:space="preserve"> </w:t>
      </w:r>
      <w:r w:rsidR="004846C2">
        <w:rPr>
          <w:sz w:val="18"/>
          <w:szCs w:val="18"/>
        </w:rPr>
        <w:t>G. Ramsey, ‘</w:t>
      </w:r>
      <w:r w:rsidR="004846C2" w:rsidRPr="004846C2">
        <w:rPr>
          <w:sz w:val="18"/>
          <w:szCs w:val="18"/>
        </w:rPr>
        <w:t>Pierre Bourdieu &amp; Habitus (Sociology): Definition &amp; Examples</w:t>
      </w:r>
      <w:r w:rsidR="004846C2">
        <w:rPr>
          <w:sz w:val="18"/>
          <w:szCs w:val="18"/>
        </w:rPr>
        <w:t xml:space="preserve">,’ </w:t>
      </w:r>
      <w:hyperlink r:id="rId18" w:history="1">
        <w:r w:rsidR="004846C2" w:rsidRPr="00DB6C76">
          <w:rPr>
            <w:rStyle w:val="Hyperlink"/>
            <w:sz w:val="18"/>
            <w:szCs w:val="18"/>
          </w:rPr>
          <w:t>https://simplysociology.com/pierre-bourdieu-habitus.html</w:t>
        </w:r>
      </w:hyperlink>
      <w:r w:rsidR="004846C2">
        <w:rPr>
          <w:sz w:val="18"/>
          <w:szCs w:val="18"/>
        </w:rPr>
        <w:t xml:space="preserve"> (Accessed 15/1/2024)</w:t>
      </w:r>
    </w:p>
  </w:footnote>
  <w:footnote w:id="38">
    <w:p w14:paraId="1BBE2EAE" w14:textId="52A94A78" w:rsidR="006039BC" w:rsidRPr="00A475BD" w:rsidRDefault="006039BC">
      <w:pPr>
        <w:pStyle w:val="FootnoteText"/>
        <w:rPr>
          <w:sz w:val="18"/>
          <w:szCs w:val="18"/>
        </w:rPr>
      </w:pPr>
      <w:r w:rsidRPr="00A475BD">
        <w:rPr>
          <w:rStyle w:val="FootnoteReference"/>
          <w:sz w:val="18"/>
          <w:szCs w:val="18"/>
        </w:rPr>
        <w:footnoteRef/>
      </w:r>
      <w:r w:rsidRPr="00A475BD">
        <w:rPr>
          <w:sz w:val="18"/>
          <w:szCs w:val="18"/>
        </w:rPr>
        <w:t xml:space="preserve"> </w:t>
      </w:r>
      <w:r w:rsidR="0063551F">
        <w:rPr>
          <w:sz w:val="18"/>
          <w:szCs w:val="18"/>
        </w:rPr>
        <w:t>Figure 2</w:t>
      </w:r>
    </w:p>
  </w:footnote>
  <w:footnote w:id="39">
    <w:p w14:paraId="00FD30C6" w14:textId="7A462C06" w:rsidR="006039BC" w:rsidRPr="00A475BD" w:rsidRDefault="006039BC">
      <w:pPr>
        <w:pStyle w:val="FootnoteText"/>
        <w:rPr>
          <w:sz w:val="18"/>
          <w:szCs w:val="18"/>
        </w:rPr>
      </w:pPr>
      <w:r w:rsidRPr="00A475BD">
        <w:rPr>
          <w:rStyle w:val="FootnoteReference"/>
          <w:sz w:val="18"/>
          <w:szCs w:val="18"/>
        </w:rPr>
        <w:footnoteRef/>
      </w:r>
      <w:r w:rsidRPr="00A475BD">
        <w:rPr>
          <w:sz w:val="18"/>
          <w:szCs w:val="18"/>
        </w:rPr>
        <w:t xml:space="preserve"> </w:t>
      </w:r>
      <w:r w:rsidR="004846C2">
        <w:rPr>
          <w:sz w:val="18"/>
          <w:szCs w:val="18"/>
        </w:rPr>
        <w:t xml:space="preserve">Figure </w:t>
      </w:r>
      <w:r w:rsidR="00956D3E">
        <w:rPr>
          <w:sz w:val="18"/>
          <w:szCs w:val="18"/>
        </w:rPr>
        <w:t>4</w:t>
      </w:r>
    </w:p>
  </w:footnote>
  <w:footnote w:id="40">
    <w:p w14:paraId="5E5549ED" w14:textId="4CBEBA8E" w:rsidR="006422BB" w:rsidRPr="00A475BD" w:rsidRDefault="006422BB">
      <w:pPr>
        <w:pStyle w:val="FootnoteText"/>
        <w:rPr>
          <w:sz w:val="18"/>
          <w:szCs w:val="18"/>
        </w:rPr>
      </w:pPr>
      <w:r w:rsidRPr="00A475BD">
        <w:rPr>
          <w:rStyle w:val="FootnoteReference"/>
          <w:sz w:val="18"/>
          <w:szCs w:val="18"/>
        </w:rPr>
        <w:footnoteRef/>
      </w:r>
      <w:r w:rsidRPr="00A475BD">
        <w:rPr>
          <w:sz w:val="18"/>
          <w:szCs w:val="18"/>
        </w:rPr>
        <w:t xml:space="preserve"> </w:t>
      </w:r>
      <w:r w:rsidR="004846C2" w:rsidRPr="00A475BD">
        <w:rPr>
          <w:sz w:val="18"/>
          <w:szCs w:val="18"/>
        </w:rPr>
        <w:t xml:space="preserve">C. M. Savoy, J </w:t>
      </w:r>
      <w:proofErr w:type="spellStart"/>
      <w:r w:rsidR="004846C2" w:rsidRPr="00A475BD">
        <w:rPr>
          <w:sz w:val="18"/>
          <w:szCs w:val="18"/>
        </w:rPr>
        <w:t>Staguhun</w:t>
      </w:r>
      <w:proofErr w:type="spellEnd"/>
      <w:r w:rsidR="004846C2" w:rsidRPr="00A475BD">
        <w:rPr>
          <w:sz w:val="18"/>
          <w:szCs w:val="18"/>
        </w:rPr>
        <w:t xml:space="preserve">, ‘The Role of Water in capitalizing gender equity,’ </w:t>
      </w:r>
      <w:hyperlink r:id="rId19" w:history="1">
        <w:r w:rsidR="004846C2" w:rsidRPr="00A475BD">
          <w:rPr>
            <w:rStyle w:val="Hyperlink"/>
            <w:sz w:val="18"/>
            <w:szCs w:val="18"/>
          </w:rPr>
          <w:t>https://www.csis.org/analysis/role-water-catalyzing-gender-equity</w:t>
        </w:r>
      </w:hyperlink>
      <w:r w:rsidR="004846C2" w:rsidRPr="00A475BD">
        <w:rPr>
          <w:sz w:val="18"/>
          <w:szCs w:val="18"/>
        </w:rPr>
        <w:t xml:space="preserve"> (Accessed 15/1/2024)</w:t>
      </w:r>
      <w:r w:rsidR="004846C2">
        <w:rPr>
          <w:sz w:val="18"/>
          <w:szCs w:val="18"/>
        </w:rPr>
        <w:t xml:space="preserve"> </w:t>
      </w:r>
    </w:p>
  </w:footnote>
  <w:footnote w:id="41">
    <w:p w14:paraId="386BC971" w14:textId="6A0FE1D3" w:rsidR="00CF10A6" w:rsidRPr="00A475BD" w:rsidRDefault="00CF10A6">
      <w:pPr>
        <w:pStyle w:val="FootnoteText"/>
        <w:rPr>
          <w:sz w:val="18"/>
          <w:szCs w:val="18"/>
        </w:rPr>
      </w:pPr>
      <w:r w:rsidRPr="00A475BD">
        <w:rPr>
          <w:rStyle w:val="FootnoteReference"/>
          <w:sz w:val="18"/>
          <w:szCs w:val="18"/>
        </w:rPr>
        <w:footnoteRef/>
      </w:r>
      <w:r w:rsidRPr="00A475BD">
        <w:rPr>
          <w:sz w:val="18"/>
          <w:szCs w:val="18"/>
        </w:rPr>
        <w:t xml:space="preserve"> </w:t>
      </w:r>
      <w:r w:rsidR="004846C2">
        <w:rPr>
          <w:sz w:val="18"/>
          <w:szCs w:val="18"/>
        </w:rPr>
        <w:t>G. Ramsey, ‘</w:t>
      </w:r>
      <w:r w:rsidR="004846C2" w:rsidRPr="004846C2">
        <w:rPr>
          <w:sz w:val="18"/>
          <w:szCs w:val="18"/>
        </w:rPr>
        <w:t>Pierre Bourdieu &amp; Habitus (Sociology): Definition &amp; Examples</w:t>
      </w:r>
      <w:r w:rsidR="004846C2">
        <w:rPr>
          <w:sz w:val="18"/>
          <w:szCs w:val="18"/>
        </w:rPr>
        <w:t xml:space="preserve">,’ </w:t>
      </w:r>
      <w:hyperlink r:id="rId20" w:history="1">
        <w:r w:rsidR="004846C2" w:rsidRPr="00DB6C76">
          <w:rPr>
            <w:rStyle w:val="Hyperlink"/>
            <w:sz w:val="18"/>
            <w:szCs w:val="18"/>
          </w:rPr>
          <w:t>https://simplysociology.com/pierre-bourdieu-habitus.html</w:t>
        </w:r>
      </w:hyperlink>
      <w:r w:rsidR="004846C2">
        <w:rPr>
          <w:sz w:val="18"/>
          <w:szCs w:val="18"/>
        </w:rPr>
        <w:t xml:space="preserve"> (Accessed 15/1/2024)</w:t>
      </w:r>
    </w:p>
  </w:footnote>
  <w:footnote w:id="42">
    <w:p w14:paraId="53D1EE48" w14:textId="4E0BAE3C" w:rsidR="0072579F" w:rsidRPr="00A475BD" w:rsidRDefault="0072579F">
      <w:pPr>
        <w:pStyle w:val="FootnoteText"/>
        <w:rPr>
          <w:sz w:val="18"/>
          <w:szCs w:val="18"/>
        </w:rPr>
      </w:pPr>
      <w:r w:rsidRPr="00A475BD">
        <w:rPr>
          <w:rStyle w:val="FootnoteReference"/>
          <w:sz w:val="18"/>
          <w:szCs w:val="18"/>
        </w:rPr>
        <w:footnoteRef/>
      </w:r>
      <w:r w:rsidRPr="00A475BD">
        <w:rPr>
          <w:sz w:val="18"/>
          <w:szCs w:val="18"/>
        </w:rPr>
        <w:t xml:space="preserve"> </w:t>
      </w:r>
      <w:r w:rsidR="00943053">
        <w:rPr>
          <w:sz w:val="18"/>
          <w:szCs w:val="18"/>
        </w:rPr>
        <w:t>D. Bolger, ‘</w:t>
      </w:r>
      <w:r w:rsidR="00943053" w:rsidRPr="00943053">
        <w:rPr>
          <w:sz w:val="18"/>
          <w:szCs w:val="18"/>
        </w:rPr>
        <w:t>Figurines, Fertility, and the Emergence of Complex Society in Prehistoric Cyprus</w:t>
      </w:r>
      <w:r w:rsidR="00943053">
        <w:rPr>
          <w:sz w:val="18"/>
          <w:szCs w:val="18"/>
        </w:rPr>
        <w:t xml:space="preserve">,’ in </w:t>
      </w:r>
      <w:r w:rsidR="00943053" w:rsidRPr="00943053">
        <w:rPr>
          <w:sz w:val="18"/>
          <w:szCs w:val="18"/>
        </w:rPr>
        <w:t>Current Anthropology</w:t>
      </w:r>
      <w:r w:rsidR="00943053">
        <w:rPr>
          <w:sz w:val="18"/>
          <w:szCs w:val="18"/>
        </w:rPr>
        <w:t xml:space="preserve"> (Chicago Press, 1996) pp. </w:t>
      </w:r>
      <w:r w:rsidR="00943053" w:rsidRPr="00943053">
        <w:rPr>
          <w:sz w:val="18"/>
          <w:szCs w:val="18"/>
        </w:rPr>
        <w:t>65-373</w:t>
      </w:r>
      <w:r w:rsidR="00943053">
        <w:rPr>
          <w:sz w:val="18"/>
          <w:szCs w:val="18"/>
        </w:rPr>
        <w:t>, (p. 366)</w:t>
      </w:r>
    </w:p>
  </w:footnote>
  <w:footnote w:id="43">
    <w:p w14:paraId="20847028" w14:textId="0ED7C276" w:rsidR="00015A07" w:rsidRPr="00A475BD" w:rsidRDefault="00015A07">
      <w:pPr>
        <w:pStyle w:val="FootnoteText"/>
        <w:rPr>
          <w:sz w:val="18"/>
          <w:szCs w:val="18"/>
        </w:rPr>
      </w:pPr>
      <w:r w:rsidRPr="00A475BD">
        <w:rPr>
          <w:rStyle w:val="FootnoteReference"/>
          <w:sz w:val="18"/>
          <w:szCs w:val="18"/>
        </w:rPr>
        <w:footnoteRef/>
      </w:r>
      <w:r w:rsidRPr="00A475BD">
        <w:rPr>
          <w:sz w:val="18"/>
          <w:szCs w:val="18"/>
        </w:rPr>
        <w:t xml:space="preserve"> </w:t>
      </w:r>
      <w:r w:rsidR="00943053">
        <w:rPr>
          <w:sz w:val="18"/>
          <w:szCs w:val="18"/>
        </w:rPr>
        <w:t xml:space="preserve">S. </w:t>
      </w:r>
      <w:proofErr w:type="spellStart"/>
      <w:r w:rsidR="00943053">
        <w:rPr>
          <w:sz w:val="18"/>
          <w:szCs w:val="18"/>
        </w:rPr>
        <w:t>Beauvior</w:t>
      </w:r>
      <w:proofErr w:type="spellEnd"/>
      <w:r w:rsidR="00943053">
        <w:rPr>
          <w:sz w:val="18"/>
          <w:szCs w:val="18"/>
        </w:rPr>
        <w:t xml:space="preserve">, </w:t>
      </w:r>
      <w:r w:rsidR="00943053">
        <w:rPr>
          <w:i/>
          <w:iCs/>
          <w:sz w:val="18"/>
          <w:szCs w:val="18"/>
        </w:rPr>
        <w:t xml:space="preserve">The Second Sex, </w:t>
      </w:r>
      <w:r w:rsidR="00943053">
        <w:rPr>
          <w:sz w:val="18"/>
          <w:szCs w:val="18"/>
        </w:rPr>
        <w:t>(</w:t>
      </w:r>
      <w:r w:rsidR="005D126E">
        <w:rPr>
          <w:sz w:val="18"/>
          <w:szCs w:val="18"/>
        </w:rPr>
        <w:t xml:space="preserve">Vintage, first published as </w:t>
      </w:r>
      <w:r w:rsidR="005D126E">
        <w:rPr>
          <w:i/>
          <w:iCs/>
          <w:sz w:val="18"/>
          <w:szCs w:val="18"/>
        </w:rPr>
        <w:t xml:space="preserve">Le </w:t>
      </w:r>
      <w:proofErr w:type="spellStart"/>
      <w:r w:rsidR="005D126E">
        <w:rPr>
          <w:i/>
          <w:iCs/>
          <w:sz w:val="18"/>
          <w:szCs w:val="18"/>
        </w:rPr>
        <w:t>Deuxi</w:t>
      </w:r>
      <w:r w:rsidR="005D126E">
        <w:rPr>
          <w:rFonts w:cstheme="minorHAnsi"/>
          <w:i/>
          <w:iCs/>
          <w:sz w:val="18"/>
          <w:szCs w:val="18"/>
        </w:rPr>
        <w:t>éme</w:t>
      </w:r>
      <w:proofErr w:type="spellEnd"/>
      <w:r w:rsidR="005D126E">
        <w:rPr>
          <w:rFonts w:cstheme="minorHAnsi"/>
          <w:i/>
          <w:iCs/>
          <w:sz w:val="18"/>
          <w:szCs w:val="18"/>
        </w:rPr>
        <w:t xml:space="preserve"> </w:t>
      </w:r>
      <w:proofErr w:type="spellStart"/>
      <w:r w:rsidR="005D126E">
        <w:rPr>
          <w:rFonts w:cstheme="minorHAnsi"/>
          <w:i/>
          <w:iCs/>
          <w:sz w:val="18"/>
          <w:szCs w:val="18"/>
        </w:rPr>
        <w:t>sexe</w:t>
      </w:r>
      <w:proofErr w:type="spellEnd"/>
      <w:r w:rsidR="005D126E">
        <w:rPr>
          <w:rFonts w:cstheme="minorHAnsi"/>
          <w:i/>
          <w:iCs/>
          <w:sz w:val="18"/>
          <w:szCs w:val="18"/>
        </w:rPr>
        <w:t xml:space="preserve">, </w:t>
      </w:r>
      <w:r w:rsidR="005D126E">
        <w:rPr>
          <w:rFonts w:cstheme="minorHAnsi"/>
          <w:sz w:val="18"/>
          <w:szCs w:val="18"/>
        </w:rPr>
        <w:t>1949, this edition 2009)</w:t>
      </w:r>
      <w:r w:rsidR="00943053">
        <w:rPr>
          <w:sz w:val="18"/>
          <w:szCs w:val="18"/>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86435E"/>
    <w:multiLevelType w:val="hybridMultilevel"/>
    <w:tmpl w:val="527C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52C72"/>
    <w:multiLevelType w:val="hybridMultilevel"/>
    <w:tmpl w:val="8A5208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1243733">
    <w:abstractNumId w:val="0"/>
  </w:num>
  <w:num w:numId="2" w16cid:durableId="13044299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0F66"/>
    <w:rsid w:val="00015A07"/>
    <w:rsid w:val="000A1311"/>
    <w:rsid w:val="000B55B0"/>
    <w:rsid w:val="00143591"/>
    <w:rsid w:val="00180703"/>
    <w:rsid w:val="001A1B84"/>
    <w:rsid w:val="001B0F1D"/>
    <w:rsid w:val="001C6D2C"/>
    <w:rsid w:val="001D4061"/>
    <w:rsid w:val="001F3E55"/>
    <w:rsid w:val="00210DC4"/>
    <w:rsid w:val="00226690"/>
    <w:rsid w:val="0024275B"/>
    <w:rsid w:val="002516DA"/>
    <w:rsid w:val="00265596"/>
    <w:rsid w:val="00274CDD"/>
    <w:rsid w:val="00336951"/>
    <w:rsid w:val="003444E6"/>
    <w:rsid w:val="003648B3"/>
    <w:rsid w:val="00374E88"/>
    <w:rsid w:val="003B71F4"/>
    <w:rsid w:val="004005A2"/>
    <w:rsid w:val="00401BF6"/>
    <w:rsid w:val="00423315"/>
    <w:rsid w:val="004326E9"/>
    <w:rsid w:val="004367AD"/>
    <w:rsid w:val="00463E54"/>
    <w:rsid w:val="0048439E"/>
    <w:rsid w:val="004846C2"/>
    <w:rsid w:val="004C3E23"/>
    <w:rsid w:val="004D37C6"/>
    <w:rsid w:val="0052473E"/>
    <w:rsid w:val="005647E1"/>
    <w:rsid w:val="00567ABA"/>
    <w:rsid w:val="005848DE"/>
    <w:rsid w:val="0058524D"/>
    <w:rsid w:val="005C5454"/>
    <w:rsid w:val="005D126E"/>
    <w:rsid w:val="006039BC"/>
    <w:rsid w:val="00604F80"/>
    <w:rsid w:val="0063551F"/>
    <w:rsid w:val="006372C0"/>
    <w:rsid w:val="006422BB"/>
    <w:rsid w:val="00644D67"/>
    <w:rsid w:val="0065291E"/>
    <w:rsid w:val="006A50E2"/>
    <w:rsid w:val="006A74D3"/>
    <w:rsid w:val="006E12EF"/>
    <w:rsid w:val="0072579F"/>
    <w:rsid w:val="007320F8"/>
    <w:rsid w:val="00745537"/>
    <w:rsid w:val="0076575D"/>
    <w:rsid w:val="007B7FA8"/>
    <w:rsid w:val="007C31AD"/>
    <w:rsid w:val="008046FA"/>
    <w:rsid w:val="00833A97"/>
    <w:rsid w:val="008706A3"/>
    <w:rsid w:val="0088103E"/>
    <w:rsid w:val="00884649"/>
    <w:rsid w:val="008A0096"/>
    <w:rsid w:val="008A63D5"/>
    <w:rsid w:val="00943053"/>
    <w:rsid w:val="009525C3"/>
    <w:rsid w:val="00956D3E"/>
    <w:rsid w:val="009772AC"/>
    <w:rsid w:val="0098219A"/>
    <w:rsid w:val="00993074"/>
    <w:rsid w:val="009D3AB0"/>
    <w:rsid w:val="00A27832"/>
    <w:rsid w:val="00A338CA"/>
    <w:rsid w:val="00A475BD"/>
    <w:rsid w:val="00A76060"/>
    <w:rsid w:val="00A85A3C"/>
    <w:rsid w:val="00A92F6E"/>
    <w:rsid w:val="00AA43D2"/>
    <w:rsid w:val="00AB3954"/>
    <w:rsid w:val="00B00E60"/>
    <w:rsid w:val="00B3089D"/>
    <w:rsid w:val="00B70F66"/>
    <w:rsid w:val="00BA75CA"/>
    <w:rsid w:val="00BB3111"/>
    <w:rsid w:val="00BC02DD"/>
    <w:rsid w:val="00BC03E6"/>
    <w:rsid w:val="00C02257"/>
    <w:rsid w:val="00C133C9"/>
    <w:rsid w:val="00CA6D44"/>
    <w:rsid w:val="00CB2784"/>
    <w:rsid w:val="00CC142B"/>
    <w:rsid w:val="00CD55F0"/>
    <w:rsid w:val="00CE4BC3"/>
    <w:rsid w:val="00CF10A6"/>
    <w:rsid w:val="00D0638E"/>
    <w:rsid w:val="00DB3E51"/>
    <w:rsid w:val="00DC1116"/>
    <w:rsid w:val="00DF1E5E"/>
    <w:rsid w:val="00E230DA"/>
    <w:rsid w:val="00E40596"/>
    <w:rsid w:val="00E4208C"/>
    <w:rsid w:val="00E53A3F"/>
    <w:rsid w:val="00E9238A"/>
    <w:rsid w:val="00EB4E71"/>
    <w:rsid w:val="00EF7AD9"/>
    <w:rsid w:val="00F01869"/>
    <w:rsid w:val="00F21DFB"/>
    <w:rsid w:val="00F44AB2"/>
    <w:rsid w:val="00F52A86"/>
    <w:rsid w:val="00F65A8A"/>
    <w:rsid w:val="00F6629E"/>
    <w:rsid w:val="00FC4D89"/>
    <w:rsid w:val="00FC6A86"/>
    <w:rsid w:val="00FD1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FDC9E7B"/>
  <w15:docId w15:val="{44FAF721-7538-4157-94C7-E4B87C0C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0F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70F66"/>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B70F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0F66"/>
    <w:rPr>
      <w:sz w:val="20"/>
      <w:szCs w:val="20"/>
    </w:rPr>
  </w:style>
  <w:style w:type="character" w:styleId="FootnoteReference">
    <w:name w:val="footnote reference"/>
    <w:basedOn w:val="DefaultParagraphFont"/>
    <w:uiPriority w:val="99"/>
    <w:semiHidden/>
    <w:unhideWhenUsed/>
    <w:rsid w:val="00B70F66"/>
    <w:rPr>
      <w:vertAlign w:val="superscript"/>
    </w:rPr>
  </w:style>
  <w:style w:type="paragraph" w:styleId="Caption">
    <w:name w:val="caption"/>
    <w:basedOn w:val="Normal"/>
    <w:next w:val="Normal"/>
    <w:uiPriority w:val="35"/>
    <w:unhideWhenUsed/>
    <w:qFormat/>
    <w:rsid w:val="00423315"/>
    <w:pPr>
      <w:spacing w:after="200" w:line="240" w:lineRule="auto"/>
    </w:pPr>
    <w:rPr>
      <w:i/>
      <w:iCs/>
      <w:color w:val="44546A" w:themeColor="text2"/>
      <w:sz w:val="18"/>
      <w:szCs w:val="18"/>
    </w:rPr>
  </w:style>
  <w:style w:type="character" w:styleId="Hyperlink">
    <w:name w:val="Hyperlink"/>
    <w:basedOn w:val="DefaultParagraphFont"/>
    <w:uiPriority w:val="99"/>
    <w:unhideWhenUsed/>
    <w:rsid w:val="00B3089D"/>
    <w:rPr>
      <w:color w:val="0563C1" w:themeColor="hyperlink"/>
      <w:u w:val="single"/>
    </w:rPr>
  </w:style>
  <w:style w:type="character" w:styleId="UnresolvedMention">
    <w:name w:val="Unresolved Mention"/>
    <w:basedOn w:val="DefaultParagraphFont"/>
    <w:uiPriority w:val="99"/>
    <w:semiHidden/>
    <w:unhideWhenUsed/>
    <w:rsid w:val="00B3089D"/>
    <w:rPr>
      <w:color w:val="605E5C"/>
      <w:shd w:val="clear" w:color="auto" w:fill="E1DFDD"/>
    </w:rPr>
  </w:style>
  <w:style w:type="character" w:styleId="Emphasis">
    <w:name w:val="Emphasis"/>
    <w:basedOn w:val="DefaultParagraphFont"/>
    <w:uiPriority w:val="20"/>
    <w:qFormat/>
    <w:rsid w:val="005D126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443910">
      <w:bodyDiv w:val="1"/>
      <w:marLeft w:val="0"/>
      <w:marRight w:val="0"/>
      <w:marTop w:val="0"/>
      <w:marBottom w:val="0"/>
      <w:divBdr>
        <w:top w:val="none" w:sz="0" w:space="0" w:color="auto"/>
        <w:left w:val="none" w:sz="0" w:space="0" w:color="auto"/>
        <w:bottom w:val="none" w:sz="0" w:space="0" w:color="auto"/>
        <w:right w:val="none" w:sz="0" w:space="0" w:color="auto"/>
      </w:divBdr>
    </w:div>
    <w:div w:id="12799956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moodle.uwtsd.ac.uk/mod/resource/view.php?id=388963" TargetMode="External"/><Relationship Id="rId3" Type="http://schemas.openxmlformats.org/officeDocument/2006/relationships/customXml" Target="../customXml/item3.xml"/><Relationship Id="rId21" Type="http://schemas.openxmlformats.org/officeDocument/2006/relationships/hyperlink" Target="https://www.metmuseum.org/art/collection/search/557816" TargetMode="External"/><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simplysociology.com/pierre-bourdieu-habitus.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watch?v=J_JW4qWwAMw" TargetMode="External"/><Relationship Id="rId20" Type="http://schemas.openxmlformats.org/officeDocument/2006/relationships/hyperlink" Target="https://kambe.cnrs.ubc.ca/the-sites/kalavasos-ayios-dhimitrio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metmuseum.org/art/collection/search/544515" TargetMode="External"/><Relationship Id="rId10" Type="http://schemas.openxmlformats.org/officeDocument/2006/relationships/endnotes" Target="endnotes.xml"/><Relationship Id="rId19" Type="http://schemas.openxmlformats.org/officeDocument/2006/relationships/hyperlink" Target="https://www.csis.org/analysis/role-water-catalyzing-gender-equi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britishmuseum.org/collection/object/Y_EA1181"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youtube.com/watch?v=J_JW4qWwAMw" TargetMode="External"/><Relationship Id="rId13" Type="http://schemas.openxmlformats.org/officeDocument/2006/relationships/hyperlink" Target="https://www.youtube.com/watch?v=J_JW4qWwAMw" TargetMode="External"/><Relationship Id="rId18" Type="http://schemas.openxmlformats.org/officeDocument/2006/relationships/hyperlink" Target="https://simplysociology.com/pierre-bourdieu-habitus.html" TargetMode="External"/><Relationship Id="rId3" Type="http://schemas.openxmlformats.org/officeDocument/2006/relationships/hyperlink" Target="https://www.youtube.com/watch?v=J_JW4qWwAMw" TargetMode="External"/><Relationship Id="rId7" Type="http://schemas.openxmlformats.org/officeDocument/2006/relationships/hyperlink" Target="https://www.youtube.com/watch?v=J_JW4qWwAMw" TargetMode="External"/><Relationship Id="rId12" Type="http://schemas.openxmlformats.org/officeDocument/2006/relationships/hyperlink" Target="https://www.youtube.com/watch?v=J_JW4qWwAMw" TargetMode="External"/><Relationship Id="rId17" Type="http://schemas.openxmlformats.org/officeDocument/2006/relationships/hyperlink" Target="https://www.youtube.com/watch?v=J_JW4qWwAMw" TargetMode="External"/><Relationship Id="rId2" Type="http://schemas.openxmlformats.org/officeDocument/2006/relationships/hyperlink" Target="https://www.youtube.com/watch?v=J_JW4qWwAMw" TargetMode="External"/><Relationship Id="rId16" Type="http://schemas.openxmlformats.org/officeDocument/2006/relationships/hyperlink" Target="https://kambe.cnrs.ubc.ca/the-sites/kalavasos-ayios-dhimitrios/" TargetMode="External"/><Relationship Id="rId20" Type="http://schemas.openxmlformats.org/officeDocument/2006/relationships/hyperlink" Target="https://simplysociology.com/pierre-bourdieu-habitus.html" TargetMode="External"/><Relationship Id="rId1" Type="http://schemas.openxmlformats.org/officeDocument/2006/relationships/hyperlink" Target="https://www.facebook.com/photo/?fbid=4412063575495974&amp;set=a.450331548335883" TargetMode="External"/><Relationship Id="rId6" Type="http://schemas.openxmlformats.org/officeDocument/2006/relationships/hyperlink" Target="https://moodle.uwtsd.ac.uk/mod/resource/view.php?id=388963" TargetMode="External"/><Relationship Id="rId11" Type="http://schemas.openxmlformats.org/officeDocument/2006/relationships/hyperlink" Target="https://www.youtube.com/watch?v=J_JW4qWwAMw" TargetMode="External"/><Relationship Id="rId5" Type="http://schemas.openxmlformats.org/officeDocument/2006/relationships/hyperlink" Target="https://www.csis.org/analysis/role-water-catalyzing-gender-equity" TargetMode="External"/><Relationship Id="rId15" Type="http://schemas.openxmlformats.org/officeDocument/2006/relationships/hyperlink" Target="https://kambe.cnrs.ubc.ca/the-sites/kalavasos-ayios-dhimitrios/" TargetMode="External"/><Relationship Id="rId10" Type="http://schemas.openxmlformats.org/officeDocument/2006/relationships/hyperlink" Target="https://www.youtube.com/watch?v=J_JW4qWwAMw" TargetMode="External"/><Relationship Id="rId19" Type="http://schemas.openxmlformats.org/officeDocument/2006/relationships/hyperlink" Target="https://www.csis.org/analysis/role-water-catalyzing-gender-equity" TargetMode="External"/><Relationship Id="rId4" Type="http://schemas.openxmlformats.org/officeDocument/2006/relationships/hyperlink" Target="https://moodle.uwtsd.ac.uk/mod/resource/view.php?id=388963" TargetMode="External"/><Relationship Id="rId9" Type="http://schemas.openxmlformats.org/officeDocument/2006/relationships/hyperlink" Target="https://www.youtube.com/watch?v=J_JW4qWwAMw" TargetMode="External"/><Relationship Id="rId14" Type="http://schemas.openxmlformats.org/officeDocument/2006/relationships/hyperlink" Target="https://www.youtube.com/watch?v=J_JW4qWwAM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8a6a6d50fca9a86511c9bea4ec3817f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0a74682bb7d6906e2dcc6d5f269b6f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4E814-8BD3-4057-AE69-F0F01E4A0465}">
  <ds:schemaRefs>
    <ds:schemaRef ds:uri="http://schemas.microsoft.com/office/2006/metadata/properties"/>
    <ds:schemaRef ds:uri="http://purl.org/dc/terms/"/>
    <ds:schemaRef ds:uri="http://purl.org/dc/elements/1.1/"/>
    <ds:schemaRef ds:uri="9823f8e4-81f3-4a59-a026-c1a9717271fd"/>
    <ds:schemaRef ds:uri="http://schemas.microsoft.com/office/2006/documentManagement/types"/>
    <ds:schemaRef ds:uri="http://www.w3.org/XML/1998/namespace"/>
    <ds:schemaRef ds:uri="http://purl.org/dc/dcmitype/"/>
    <ds:schemaRef ds:uri="http://schemas.microsoft.com/office/infopath/2007/PartnerControls"/>
    <ds:schemaRef ds:uri="http://schemas.openxmlformats.org/package/2006/metadata/core-properties"/>
    <ds:schemaRef ds:uri="95817cb9-f0eb-4f4d-892c-47ab9f8957c0"/>
  </ds:schemaRefs>
</ds:datastoreItem>
</file>

<file path=customXml/itemProps2.xml><?xml version="1.0" encoding="utf-8"?>
<ds:datastoreItem xmlns:ds="http://schemas.openxmlformats.org/officeDocument/2006/customXml" ds:itemID="{C48FE8DB-A1CE-4402-8EC3-19499881841E}">
  <ds:schemaRefs>
    <ds:schemaRef ds:uri="http://schemas.microsoft.com/sharepoint/v3/contenttype/forms"/>
  </ds:schemaRefs>
</ds:datastoreItem>
</file>

<file path=customXml/itemProps3.xml><?xml version="1.0" encoding="utf-8"?>
<ds:datastoreItem xmlns:ds="http://schemas.openxmlformats.org/officeDocument/2006/customXml" ds:itemID="{C4638EE8-2689-4C6E-8CF1-A5327B8558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5873A07-6308-4201-98E7-D8195139D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2024</Words>
  <Characters>11537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Bone (2103272)</dc:creator>
  <cp:keywords/>
  <dc:description/>
  <cp:lastModifiedBy>Rachael Bone (2103272)</cp:lastModifiedBy>
  <cp:revision>2</cp:revision>
  <dcterms:created xsi:type="dcterms:W3CDTF">2024-01-15T23:46:00Z</dcterms:created>
  <dcterms:modified xsi:type="dcterms:W3CDTF">2024-01-15T23:46:00Z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