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E0C63" w14:textId="77777777" w:rsidR="005E5CA0" w:rsidRDefault="005E5CA0" w:rsidP="005E5CA0">
      <w:pPr>
        <w:pStyle w:val="BodyText"/>
        <w:rPr>
          <w:b/>
          <w:bCs/>
          <w:sz w:val="32"/>
          <w:szCs w:val="32"/>
        </w:rPr>
      </w:pPr>
    </w:p>
    <w:p w14:paraId="1DADF255" w14:textId="77777777" w:rsidR="005E5CA0" w:rsidRDefault="005E5CA0" w:rsidP="005E5CA0">
      <w:pPr>
        <w:pStyle w:val="BodyText"/>
        <w:rPr>
          <w:b/>
          <w:bCs/>
          <w:sz w:val="32"/>
          <w:szCs w:val="32"/>
        </w:rPr>
      </w:pPr>
    </w:p>
    <w:p w14:paraId="35365B7B" w14:textId="77777777" w:rsidR="005E5CA0" w:rsidRDefault="005E5CA0" w:rsidP="005E5CA0">
      <w:pPr>
        <w:jc w:val="center"/>
        <w:rPr>
          <w:b/>
          <w:bCs/>
          <w:sz w:val="40"/>
          <w:szCs w:val="40"/>
        </w:rPr>
      </w:pPr>
      <w:r>
        <w:rPr>
          <w:b/>
          <w:bCs/>
          <w:noProof/>
          <w:sz w:val="40"/>
          <w:szCs w:val="40"/>
        </w:rPr>
        <w:drawing>
          <wp:inline distT="0" distB="0" distL="0" distR="0" wp14:anchorId="13F62B9F" wp14:editId="65F42E54">
            <wp:extent cx="2791215" cy="1247949"/>
            <wp:effectExtent l="0" t="0" r="9525" b="9525"/>
            <wp:docPr id="773726620"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26620" name="Picture 1" descr="A logo for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91215" cy="1247949"/>
                    </a:xfrm>
                    <a:prstGeom prst="rect">
                      <a:avLst/>
                    </a:prstGeom>
                  </pic:spPr>
                </pic:pic>
              </a:graphicData>
            </a:graphic>
          </wp:inline>
        </w:drawing>
      </w:r>
    </w:p>
    <w:p w14:paraId="016044CB" w14:textId="77777777" w:rsidR="005E5CA0" w:rsidRDefault="005E5CA0" w:rsidP="005E5CA0">
      <w:pPr>
        <w:jc w:val="center"/>
        <w:rPr>
          <w:b/>
          <w:bCs/>
          <w:sz w:val="40"/>
          <w:szCs w:val="40"/>
        </w:rPr>
      </w:pPr>
    </w:p>
    <w:p w14:paraId="653BE1AE" w14:textId="77777777" w:rsidR="005E5CA0" w:rsidRDefault="005E5CA0" w:rsidP="005E5CA0">
      <w:pPr>
        <w:jc w:val="center"/>
        <w:rPr>
          <w:b/>
          <w:bCs/>
          <w:sz w:val="40"/>
          <w:szCs w:val="40"/>
        </w:rPr>
      </w:pPr>
      <w:r w:rsidRPr="00FD02BF">
        <w:rPr>
          <w:b/>
          <w:bCs/>
          <w:sz w:val="40"/>
          <w:szCs w:val="40"/>
        </w:rPr>
        <w:t>BSc (Hons) Health and Social Care</w:t>
      </w:r>
    </w:p>
    <w:p w14:paraId="454DCA6C" w14:textId="77777777" w:rsidR="005E5CA0" w:rsidRPr="00FD02BF" w:rsidRDefault="005E5CA0" w:rsidP="005E5CA0">
      <w:pPr>
        <w:jc w:val="center"/>
        <w:rPr>
          <w:b/>
          <w:bCs/>
          <w:sz w:val="40"/>
          <w:szCs w:val="40"/>
        </w:rPr>
      </w:pPr>
    </w:p>
    <w:p w14:paraId="545B59FD" w14:textId="77777777" w:rsidR="005E5CA0" w:rsidRDefault="005E5CA0" w:rsidP="005E5CA0">
      <w:pPr>
        <w:jc w:val="center"/>
        <w:rPr>
          <w:b/>
          <w:bCs/>
          <w:sz w:val="40"/>
          <w:szCs w:val="40"/>
        </w:rPr>
      </w:pPr>
      <w:r>
        <w:rPr>
          <w:b/>
          <w:bCs/>
          <w:sz w:val="40"/>
          <w:szCs w:val="40"/>
        </w:rPr>
        <w:t xml:space="preserve">Module Title: </w:t>
      </w:r>
      <w:r w:rsidRPr="00303EBF">
        <w:rPr>
          <w:b/>
          <w:bCs/>
          <w:sz w:val="40"/>
          <w:szCs w:val="40"/>
        </w:rPr>
        <w:t xml:space="preserve">Psychological Classifications and Provisions </w:t>
      </w:r>
    </w:p>
    <w:p w14:paraId="4F98270F" w14:textId="77777777" w:rsidR="005E5CA0" w:rsidRDefault="005E5CA0" w:rsidP="005E5CA0">
      <w:pPr>
        <w:jc w:val="center"/>
        <w:rPr>
          <w:b/>
          <w:bCs/>
          <w:sz w:val="40"/>
          <w:szCs w:val="40"/>
        </w:rPr>
      </w:pPr>
      <w:r>
        <w:rPr>
          <w:b/>
          <w:bCs/>
          <w:sz w:val="40"/>
          <w:szCs w:val="40"/>
        </w:rPr>
        <w:t xml:space="preserve">Module Code: </w:t>
      </w:r>
      <w:r w:rsidRPr="00196E02">
        <w:rPr>
          <w:b/>
          <w:bCs/>
          <w:sz w:val="40"/>
          <w:szCs w:val="40"/>
        </w:rPr>
        <w:t>BMHP602</w:t>
      </w:r>
      <w:r>
        <w:rPr>
          <w:b/>
          <w:bCs/>
          <w:sz w:val="40"/>
          <w:szCs w:val="40"/>
        </w:rPr>
        <w:t>9</w:t>
      </w:r>
      <w:r w:rsidRPr="00196E02">
        <w:rPr>
          <w:b/>
          <w:bCs/>
          <w:sz w:val="40"/>
          <w:szCs w:val="40"/>
        </w:rPr>
        <w:t xml:space="preserve"> </w:t>
      </w:r>
    </w:p>
    <w:p w14:paraId="1B1F56B9" w14:textId="77777777" w:rsidR="005E5CA0" w:rsidRDefault="005E5CA0" w:rsidP="005E5CA0">
      <w:pPr>
        <w:jc w:val="center"/>
        <w:rPr>
          <w:b/>
          <w:bCs/>
          <w:sz w:val="40"/>
          <w:szCs w:val="40"/>
        </w:rPr>
      </w:pPr>
    </w:p>
    <w:p w14:paraId="1C4EBCBE" w14:textId="77777777" w:rsidR="005E5CA0" w:rsidRDefault="005E5CA0" w:rsidP="005E5CA0">
      <w:pPr>
        <w:jc w:val="center"/>
        <w:rPr>
          <w:b/>
          <w:bCs/>
          <w:sz w:val="40"/>
          <w:szCs w:val="40"/>
        </w:rPr>
      </w:pPr>
      <w:r>
        <w:rPr>
          <w:b/>
          <w:bCs/>
          <w:sz w:val="40"/>
          <w:szCs w:val="40"/>
        </w:rPr>
        <w:t>Neurodevelopmental Disorders</w:t>
      </w:r>
    </w:p>
    <w:p w14:paraId="13AB8E15" w14:textId="77777777" w:rsidR="005E5CA0" w:rsidRDefault="005E5CA0" w:rsidP="005E5CA0">
      <w:pPr>
        <w:jc w:val="center"/>
        <w:rPr>
          <w:b/>
          <w:bCs/>
          <w:sz w:val="40"/>
          <w:szCs w:val="40"/>
        </w:rPr>
      </w:pPr>
      <w:r>
        <w:rPr>
          <w:b/>
          <w:bCs/>
          <w:sz w:val="40"/>
          <w:szCs w:val="40"/>
        </w:rPr>
        <w:t>Attention Deficit Hyperactivity Disorder</w:t>
      </w:r>
    </w:p>
    <w:p w14:paraId="377672ED" w14:textId="77777777" w:rsidR="005E5CA0" w:rsidRDefault="005E5CA0" w:rsidP="005E5CA0">
      <w:pPr>
        <w:jc w:val="center"/>
      </w:pPr>
    </w:p>
    <w:p w14:paraId="5623C9E2" w14:textId="77777777" w:rsidR="005E5CA0" w:rsidRDefault="005E5CA0" w:rsidP="005E5CA0"/>
    <w:p w14:paraId="3604D07F" w14:textId="77777777" w:rsidR="005E5CA0" w:rsidRDefault="005E5CA0" w:rsidP="005E5CA0"/>
    <w:p w14:paraId="71BF7977" w14:textId="77777777" w:rsidR="005E5CA0" w:rsidRDefault="005E5CA0" w:rsidP="005E5CA0"/>
    <w:p w14:paraId="59A3C88F" w14:textId="77777777" w:rsidR="005E5CA0" w:rsidRDefault="005E5CA0" w:rsidP="005E5CA0"/>
    <w:p w14:paraId="7B51F960" w14:textId="77777777" w:rsidR="005E5CA0" w:rsidRDefault="005E5CA0" w:rsidP="005E5CA0"/>
    <w:p w14:paraId="12D8D981" w14:textId="77777777" w:rsidR="005E5CA0" w:rsidRDefault="005E5CA0" w:rsidP="005E5CA0"/>
    <w:p w14:paraId="241CE6A2" w14:textId="77777777" w:rsidR="005E5CA0" w:rsidRDefault="005E5CA0" w:rsidP="005E5CA0"/>
    <w:p w14:paraId="03C8943F" w14:textId="77777777" w:rsidR="005E5CA0" w:rsidRDefault="005E5CA0" w:rsidP="005E5CA0"/>
    <w:p w14:paraId="40EBDBA0" w14:textId="77777777" w:rsidR="005E5CA0" w:rsidRPr="00FD02BF" w:rsidRDefault="005E5CA0" w:rsidP="005E5CA0">
      <w:pPr>
        <w:spacing w:line="360" w:lineRule="auto"/>
        <w:jc w:val="both"/>
        <w:rPr>
          <w:rFonts w:ascii="Arial" w:hAnsi="Arial" w:cs="Arial"/>
          <w:sz w:val="28"/>
          <w:szCs w:val="28"/>
        </w:rPr>
      </w:pPr>
      <w:r w:rsidRPr="00FD02BF">
        <w:rPr>
          <w:rFonts w:ascii="Arial" w:hAnsi="Arial" w:cs="Arial"/>
          <w:sz w:val="28"/>
          <w:szCs w:val="28"/>
        </w:rPr>
        <w:t>Module Leader:</w:t>
      </w:r>
      <w:r>
        <w:rPr>
          <w:rFonts w:ascii="Arial" w:hAnsi="Arial" w:cs="Arial"/>
          <w:sz w:val="28"/>
          <w:szCs w:val="28"/>
        </w:rPr>
        <w:t xml:space="preserve"> </w:t>
      </w:r>
      <w:r w:rsidRPr="00863ED2">
        <w:rPr>
          <w:rFonts w:ascii="Arial" w:hAnsi="Arial" w:cs="Arial"/>
          <w:sz w:val="28"/>
          <w:szCs w:val="28"/>
        </w:rPr>
        <w:t>Bianca Sanfilippo</w:t>
      </w:r>
    </w:p>
    <w:p w14:paraId="33555F72" w14:textId="77777777" w:rsidR="005E5CA0" w:rsidRPr="00FD02BF" w:rsidRDefault="005E5CA0" w:rsidP="005E5CA0">
      <w:pPr>
        <w:spacing w:line="360" w:lineRule="auto"/>
        <w:jc w:val="both"/>
        <w:rPr>
          <w:rFonts w:ascii="Arial" w:hAnsi="Arial" w:cs="Arial"/>
          <w:sz w:val="28"/>
          <w:szCs w:val="28"/>
        </w:rPr>
      </w:pPr>
      <w:r w:rsidRPr="00FD02BF">
        <w:rPr>
          <w:rFonts w:ascii="Arial" w:hAnsi="Arial" w:cs="Arial"/>
          <w:sz w:val="28"/>
          <w:szCs w:val="28"/>
        </w:rPr>
        <w:t>Student ID:</w:t>
      </w:r>
      <w:r>
        <w:rPr>
          <w:rFonts w:ascii="Arial" w:hAnsi="Arial" w:cs="Arial"/>
          <w:sz w:val="28"/>
          <w:szCs w:val="28"/>
        </w:rPr>
        <w:t xml:space="preserve"> 2130206</w:t>
      </w:r>
    </w:p>
    <w:p w14:paraId="184B2AF3" w14:textId="624625C3" w:rsidR="005E5CA0" w:rsidRDefault="005E5CA0" w:rsidP="005E5CA0">
      <w:pPr>
        <w:spacing w:line="360" w:lineRule="auto"/>
        <w:jc w:val="both"/>
        <w:rPr>
          <w:rFonts w:ascii="Arial" w:hAnsi="Arial" w:cs="Arial"/>
          <w:sz w:val="28"/>
          <w:szCs w:val="28"/>
        </w:rPr>
      </w:pPr>
      <w:r w:rsidRPr="00FD02BF">
        <w:rPr>
          <w:rFonts w:ascii="Arial" w:hAnsi="Arial" w:cs="Arial"/>
          <w:sz w:val="28"/>
          <w:szCs w:val="28"/>
        </w:rPr>
        <w:t>Student Name:</w:t>
      </w:r>
      <w:r>
        <w:rPr>
          <w:rFonts w:ascii="Arial" w:hAnsi="Arial" w:cs="Arial"/>
          <w:sz w:val="28"/>
          <w:szCs w:val="28"/>
        </w:rPr>
        <w:t xml:space="preserve"> Andrea Ramona Polac</w:t>
      </w:r>
    </w:p>
    <w:p w14:paraId="16BB690C" w14:textId="47ACF909" w:rsidR="005E5CA0" w:rsidRDefault="005E5CA0" w:rsidP="005E5CA0">
      <w:pPr>
        <w:spacing w:line="360" w:lineRule="auto"/>
        <w:jc w:val="both"/>
        <w:rPr>
          <w:rFonts w:ascii="Arial" w:hAnsi="Arial" w:cs="Arial"/>
          <w:sz w:val="28"/>
          <w:szCs w:val="28"/>
        </w:rPr>
      </w:pPr>
    </w:p>
    <w:p w14:paraId="3BCD8446" w14:textId="77777777" w:rsidR="005E5CA0" w:rsidRDefault="005E5CA0" w:rsidP="005E5CA0">
      <w:pPr>
        <w:pStyle w:val="BodyText"/>
        <w:spacing w:line="360" w:lineRule="auto"/>
        <w:jc w:val="both"/>
        <w:rPr>
          <w:rFonts w:ascii="Arial" w:hAnsi="Arial" w:cs="Arial"/>
          <w:b/>
          <w:bCs/>
          <w:sz w:val="32"/>
          <w:szCs w:val="32"/>
        </w:rPr>
      </w:pPr>
    </w:p>
    <w:p w14:paraId="56584905" w14:textId="77777777" w:rsidR="005E5CA0" w:rsidRDefault="005E5CA0" w:rsidP="005E5CA0">
      <w:pPr>
        <w:pStyle w:val="BodyText"/>
        <w:spacing w:line="360" w:lineRule="auto"/>
        <w:jc w:val="both"/>
        <w:rPr>
          <w:rFonts w:ascii="Arial" w:hAnsi="Arial" w:cs="Arial"/>
          <w:b/>
          <w:bCs/>
          <w:sz w:val="32"/>
          <w:szCs w:val="32"/>
        </w:rPr>
      </w:pPr>
    </w:p>
    <w:p w14:paraId="6054B0D4" w14:textId="52750F7B" w:rsidR="005E5CA0" w:rsidRPr="005E5CA0" w:rsidRDefault="005E5CA0" w:rsidP="005E5CA0">
      <w:pPr>
        <w:spacing w:line="360" w:lineRule="auto"/>
        <w:rPr>
          <w:rFonts w:ascii="Arial" w:hAnsi="Arial" w:cs="Arial"/>
          <w:b/>
          <w:bCs/>
          <w:sz w:val="32"/>
          <w:szCs w:val="32"/>
        </w:rPr>
      </w:pPr>
      <w:r w:rsidRPr="005E5CA0">
        <w:rPr>
          <w:rFonts w:ascii="Arial" w:hAnsi="Arial" w:cs="Arial"/>
          <w:b/>
          <w:bCs/>
          <w:sz w:val="32"/>
          <w:szCs w:val="32"/>
        </w:rPr>
        <w:lastRenderedPageBreak/>
        <w:t>Table of Content</w:t>
      </w:r>
    </w:p>
    <w:p w14:paraId="2C10ADA7" w14:textId="5B6B42B2" w:rsidR="005E5CA0" w:rsidRPr="005E5CA0" w:rsidRDefault="005E5CA0" w:rsidP="005E5CA0">
      <w:pPr>
        <w:spacing w:line="480" w:lineRule="auto"/>
        <w:rPr>
          <w:rFonts w:ascii="Arial" w:hAnsi="Arial" w:cs="Arial"/>
        </w:rPr>
      </w:pPr>
      <w:r w:rsidRPr="005E5CA0">
        <w:rPr>
          <w:rFonts w:ascii="Arial" w:hAnsi="Arial" w:cs="Arial"/>
          <w:sz w:val="28"/>
          <w:szCs w:val="28"/>
        </w:rPr>
        <w:t>Introduction</w:t>
      </w:r>
      <w:r w:rsidRPr="005E5CA0">
        <w:rPr>
          <w:rFonts w:ascii="Arial" w:hAnsi="Arial" w:cs="Arial"/>
        </w:rPr>
        <w:t>……………………………………………………………………………</w:t>
      </w:r>
      <w:proofErr w:type="gramStart"/>
      <w:r w:rsidRPr="005E5CA0">
        <w:rPr>
          <w:rFonts w:ascii="Arial" w:hAnsi="Arial" w:cs="Arial"/>
        </w:rPr>
        <w:t>…..</w:t>
      </w:r>
      <w:proofErr w:type="gramEnd"/>
      <w:r w:rsidR="004867C0">
        <w:rPr>
          <w:rFonts w:ascii="Arial" w:hAnsi="Arial" w:cs="Arial"/>
        </w:rPr>
        <w:t>3</w:t>
      </w:r>
    </w:p>
    <w:p w14:paraId="16E2A415" w14:textId="3CEA90D7" w:rsidR="005E5CA0" w:rsidRPr="005E5CA0" w:rsidRDefault="005E5CA0" w:rsidP="005E5CA0">
      <w:pPr>
        <w:spacing w:line="480" w:lineRule="auto"/>
        <w:rPr>
          <w:rFonts w:ascii="Arial" w:hAnsi="Arial" w:cs="Arial"/>
        </w:rPr>
      </w:pPr>
      <w:r w:rsidRPr="005E5CA0">
        <w:rPr>
          <w:rFonts w:ascii="Arial" w:hAnsi="Arial" w:cs="Arial"/>
          <w:sz w:val="28"/>
          <w:szCs w:val="28"/>
        </w:rPr>
        <w:t>Classification</w:t>
      </w:r>
      <w:r w:rsidRPr="005E5CA0">
        <w:rPr>
          <w:rFonts w:ascii="Arial" w:hAnsi="Arial" w:cs="Arial"/>
        </w:rPr>
        <w:t>……………………………………………………………………………...</w:t>
      </w:r>
      <w:r w:rsidR="004867C0">
        <w:rPr>
          <w:rFonts w:ascii="Arial" w:hAnsi="Arial" w:cs="Arial"/>
        </w:rPr>
        <w:t>4</w:t>
      </w:r>
    </w:p>
    <w:p w14:paraId="0FBD66E4" w14:textId="0DC34A58" w:rsidR="005E5CA0" w:rsidRPr="005E5CA0" w:rsidRDefault="005E5CA0" w:rsidP="005E5CA0">
      <w:pPr>
        <w:spacing w:line="480" w:lineRule="auto"/>
        <w:rPr>
          <w:rFonts w:ascii="Arial" w:hAnsi="Arial" w:cs="Arial"/>
        </w:rPr>
      </w:pPr>
      <w:r w:rsidRPr="005E5CA0">
        <w:rPr>
          <w:rFonts w:ascii="Arial" w:hAnsi="Arial" w:cs="Arial"/>
          <w:sz w:val="28"/>
          <w:szCs w:val="28"/>
        </w:rPr>
        <w:t>Diagnosis</w:t>
      </w:r>
      <w:r w:rsidRPr="005E5CA0">
        <w:rPr>
          <w:rFonts w:ascii="Arial" w:hAnsi="Arial" w:cs="Arial"/>
        </w:rPr>
        <w:t>………………………………………………………………………………….</w:t>
      </w:r>
      <w:r w:rsidR="004867C0">
        <w:rPr>
          <w:rFonts w:ascii="Arial" w:hAnsi="Arial" w:cs="Arial"/>
        </w:rPr>
        <w:t>5</w:t>
      </w:r>
    </w:p>
    <w:p w14:paraId="7020E136" w14:textId="1807DB54" w:rsidR="005E5CA0" w:rsidRPr="005E5CA0" w:rsidRDefault="005E5CA0" w:rsidP="005E5CA0">
      <w:pPr>
        <w:spacing w:line="480" w:lineRule="auto"/>
        <w:rPr>
          <w:rFonts w:ascii="Arial" w:hAnsi="Arial" w:cs="Arial"/>
          <w:sz w:val="28"/>
          <w:szCs w:val="28"/>
        </w:rPr>
      </w:pPr>
      <w:r w:rsidRPr="005E5CA0">
        <w:rPr>
          <w:rFonts w:ascii="Arial" w:hAnsi="Arial" w:cs="Arial"/>
          <w:sz w:val="28"/>
          <w:szCs w:val="28"/>
        </w:rPr>
        <w:t>Treatment and Rehabilitation</w:t>
      </w:r>
      <w:r>
        <w:rPr>
          <w:rFonts w:ascii="Arial" w:hAnsi="Arial" w:cs="Arial"/>
          <w:sz w:val="28"/>
          <w:szCs w:val="28"/>
        </w:rPr>
        <w:t>……………………………………………….</w:t>
      </w:r>
      <w:r w:rsidR="004867C0">
        <w:rPr>
          <w:rFonts w:ascii="Arial" w:hAnsi="Arial" w:cs="Arial"/>
          <w:sz w:val="28"/>
          <w:szCs w:val="28"/>
        </w:rPr>
        <w:t>6</w:t>
      </w:r>
    </w:p>
    <w:p w14:paraId="386CD126" w14:textId="0075D254" w:rsidR="005E5CA0" w:rsidRPr="005E5CA0" w:rsidRDefault="005E5CA0" w:rsidP="005E5CA0">
      <w:pPr>
        <w:spacing w:line="480" w:lineRule="auto"/>
        <w:rPr>
          <w:rFonts w:ascii="Arial" w:hAnsi="Arial" w:cs="Arial"/>
          <w:sz w:val="28"/>
          <w:szCs w:val="28"/>
        </w:rPr>
      </w:pPr>
      <w:r w:rsidRPr="005E5CA0">
        <w:rPr>
          <w:rFonts w:ascii="Arial" w:hAnsi="Arial" w:cs="Arial"/>
          <w:sz w:val="28"/>
          <w:szCs w:val="28"/>
        </w:rPr>
        <w:t>Current Debates and Emerging Issues</w:t>
      </w:r>
      <w:r>
        <w:rPr>
          <w:rFonts w:ascii="Arial" w:hAnsi="Arial" w:cs="Arial"/>
          <w:sz w:val="28"/>
          <w:szCs w:val="28"/>
        </w:rPr>
        <w:t>…………………………………….</w:t>
      </w:r>
      <w:r w:rsidR="004867C0">
        <w:rPr>
          <w:rFonts w:ascii="Arial" w:hAnsi="Arial" w:cs="Arial"/>
          <w:sz w:val="28"/>
          <w:szCs w:val="28"/>
        </w:rPr>
        <w:t>7</w:t>
      </w:r>
    </w:p>
    <w:p w14:paraId="41A07473" w14:textId="0D659471" w:rsidR="005E5CA0" w:rsidRPr="005E5CA0" w:rsidRDefault="005E5CA0" w:rsidP="005E5CA0">
      <w:pPr>
        <w:spacing w:line="480" w:lineRule="auto"/>
        <w:rPr>
          <w:rFonts w:ascii="Arial" w:hAnsi="Arial" w:cs="Arial"/>
        </w:rPr>
      </w:pPr>
      <w:r w:rsidRPr="005E5CA0">
        <w:rPr>
          <w:rFonts w:ascii="Arial" w:hAnsi="Arial" w:cs="Arial"/>
          <w:sz w:val="28"/>
          <w:szCs w:val="28"/>
        </w:rPr>
        <w:t>Recommendations</w:t>
      </w:r>
      <w:r w:rsidRPr="005E5CA0">
        <w:rPr>
          <w:rFonts w:ascii="Arial" w:hAnsi="Arial" w:cs="Arial"/>
        </w:rPr>
        <w:t>………………………………………………………………………</w:t>
      </w:r>
      <w:r w:rsidR="004867C0">
        <w:rPr>
          <w:rFonts w:ascii="Arial" w:hAnsi="Arial" w:cs="Arial"/>
        </w:rPr>
        <w:t>8</w:t>
      </w:r>
    </w:p>
    <w:p w14:paraId="43A02ADB" w14:textId="0CFC66C1" w:rsidR="005E5CA0" w:rsidRPr="005E5CA0" w:rsidRDefault="005E5CA0" w:rsidP="005E5CA0">
      <w:pPr>
        <w:spacing w:line="480" w:lineRule="auto"/>
        <w:rPr>
          <w:rFonts w:ascii="Arial" w:hAnsi="Arial" w:cs="Arial"/>
        </w:rPr>
      </w:pPr>
      <w:r w:rsidRPr="005E5CA0">
        <w:rPr>
          <w:rFonts w:ascii="Arial" w:hAnsi="Arial" w:cs="Arial"/>
          <w:sz w:val="28"/>
          <w:szCs w:val="28"/>
        </w:rPr>
        <w:t>Conclusion</w:t>
      </w:r>
      <w:r w:rsidRPr="005E5CA0">
        <w:rPr>
          <w:rFonts w:ascii="Arial" w:hAnsi="Arial" w:cs="Arial"/>
        </w:rPr>
        <w:t>………………………………………………………………………………...</w:t>
      </w:r>
      <w:r w:rsidR="004867C0">
        <w:rPr>
          <w:rFonts w:ascii="Arial" w:hAnsi="Arial" w:cs="Arial"/>
        </w:rPr>
        <w:t>9</w:t>
      </w:r>
    </w:p>
    <w:p w14:paraId="7298ED8B" w14:textId="11F74641" w:rsidR="005E5CA0" w:rsidRPr="005E5CA0" w:rsidRDefault="005E5CA0" w:rsidP="005E5CA0">
      <w:pPr>
        <w:spacing w:line="480" w:lineRule="auto"/>
        <w:rPr>
          <w:rFonts w:ascii="Arial" w:hAnsi="Arial" w:cs="Arial"/>
        </w:rPr>
      </w:pPr>
      <w:r w:rsidRPr="005E5CA0">
        <w:rPr>
          <w:rFonts w:ascii="Arial" w:hAnsi="Arial" w:cs="Arial"/>
          <w:sz w:val="28"/>
          <w:szCs w:val="28"/>
        </w:rPr>
        <w:t>References</w:t>
      </w:r>
      <w:r w:rsidRPr="005E5CA0">
        <w:rPr>
          <w:rFonts w:ascii="Arial" w:hAnsi="Arial" w:cs="Arial"/>
        </w:rPr>
        <w:t>……………………………………………………………………………….</w:t>
      </w:r>
      <w:r w:rsidR="004867C0">
        <w:rPr>
          <w:rFonts w:ascii="Arial" w:hAnsi="Arial" w:cs="Arial"/>
        </w:rPr>
        <w:t>10</w:t>
      </w:r>
    </w:p>
    <w:p w14:paraId="3EC522C1" w14:textId="0EFF811E" w:rsidR="00805229" w:rsidRDefault="00805229" w:rsidP="005E5CA0">
      <w:pPr>
        <w:spacing w:line="360" w:lineRule="auto"/>
      </w:pPr>
    </w:p>
    <w:p w14:paraId="7B090FE5" w14:textId="25B3C6A5" w:rsidR="005E5CA0" w:rsidRDefault="005E5CA0" w:rsidP="005E5CA0">
      <w:pPr>
        <w:spacing w:line="360" w:lineRule="auto"/>
      </w:pPr>
    </w:p>
    <w:p w14:paraId="7CD8648E" w14:textId="149699C5" w:rsidR="005E5CA0" w:rsidRDefault="005E5CA0" w:rsidP="005E5CA0">
      <w:pPr>
        <w:spacing w:line="360" w:lineRule="auto"/>
      </w:pPr>
    </w:p>
    <w:p w14:paraId="7095C98B" w14:textId="3D61D56E" w:rsidR="005E5CA0" w:rsidRDefault="005E5CA0" w:rsidP="005E5CA0">
      <w:pPr>
        <w:spacing w:line="360" w:lineRule="auto"/>
      </w:pPr>
    </w:p>
    <w:p w14:paraId="6D45A138" w14:textId="2346CD64" w:rsidR="005E5CA0" w:rsidRDefault="005E5CA0" w:rsidP="005E5CA0">
      <w:pPr>
        <w:spacing w:line="360" w:lineRule="auto"/>
      </w:pPr>
    </w:p>
    <w:p w14:paraId="6E424C78" w14:textId="007C7AF4" w:rsidR="005E5CA0" w:rsidRDefault="005E5CA0" w:rsidP="005E5CA0">
      <w:pPr>
        <w:spacing w:line="360" w:lineRule="auto"/>
      </w:pPr>
    </w:p>
    <w:p w14:paraId="428590B9" w14:textId="190DD7E3" w:rsidR="005E5CA0" w:rsidRDefault="005E5CA0" w:rsidP="005E5CA0">
      <w:pPr>
        <w:spacing w:line="360" w:lineRule="auto"/>
      </w:pPr>
    </w:p>
    <w:p w14:paraId="431FD3C4" w14:textId="370BD7CD" w:rsidR="005E5CA0" w:rsidRDefault="005E5CA0" w:rsidP="005E5CA0">
      <w:pPr>
        <w:spacing w:line="360" w:lineRule="auto"/>
      </w:pPr>
    </w:p>
    <w:p w14:paraId="5C62A5E4" w14:textId="4F831489" w:rsidR="005E5CA0" w:rsidRDefault="005E5CA0" w:rsidP="005E5CA0">
      <w:pPr>
        <w:spacing w:line="360" w:lineRule="auto"/>
      </w:pPr>
    </w:p>
    <w:p w14:paraId="72B7BD82" w14:textId="0DEE1A18" w:rsidR="005E5CA0" w:rsidRDefault="005E5CA0" w:rsidP="005E5CA0">
      <w:pPr>
        <w:spacing w:line="360" w:lineRule="auto"/>
      </w:pPr>
    </w:p>
    <w:p w14:paraId="026BB38F" w14:textId="78D42832" w:rsidR="005E5CA0" w:rsidRDefault="005E5CA0" w:rsidP="005E5CA0">
      <w:pPr>
        <w:spacing w:line="360" w:lineRule="auto"/>
      </w:pPr>
    </w:p>
    <w:p w14:paraId="7E170FA8" w14:textId="55C09CC9" w:rsidR="005E5CA0" w:rsidRDefault="005E5CA0" w:rsidP="005E5CA0">
      <w:pPr>
        <w:spacing w:line="360" w:lineRule="auto"/>
      </w:pPr>
    </w:p>
    <w:p w14:paraId="594BB57E" w14:textId="487E80E2" w:rsidR="005E5CA0" w:rsidRDefault="005E5CA0" w:rsidP="005E5CA0">
      <w:pPr>
        <w:spacing w:line="360" w:lineRule="auto"/>
      </w:pPr>
    </w:p>
    <w:p w14:paraId="38233D56" w14:textId="3AF4E0E9" w:rsidR="005E5CA0" w:rsidRDefault="005E5CA0" w:rsidP="005E5CA0">
      <w:pPr>
        <w:spacing w:line="360" w:lineRule="auto"/>
      </w:pPr>
    </w:p>
    <w:p w14:paraId="5F652E39" w14:textId="47AB29E8" w:rsidR="005E5CA0" w:rsidRDefault="005E5CA0" w:rsidP="005E5CA0">
      <w:pPr>
        <w:spacing w:line="360" w:lineRule="auto"/>
      </w:pPr>
    </w:p>
    <w:p w14:paraId="0C738406" w14:textId="469C8C62" w:rsidR="005E5CA0" w:rsidRDefault="005E5CA0" w:rsidP="005E5CA0">
      <w:pPr>
        <w:spacing w:line="360" w:lineRule="auto"/>
      </w:pPr>
    </w:p>
    <w:p w14:paraId="7EC259E6" w14:textId="00FFC5A5" w:rsidR="005E5CA0" w:rsidRDefault="005E5CA0" w:rsidP="005E5CA0">
      <w:pPr>
        <w:spacing w:line="360" w:lineRule="auto"/>
      </w:pPr>
    </w:p>
    <w:p w14:paraId="6F4DEC6F" w14:textId="1B743F96" w:rsidR="005E5CA0" w:rsidRDefault="005E5CA0" w:rsidP="005E5CA0">
      <w:pPr>
        <w:spacing w:line="360" w:lineRule="auto"/>
      </w:pPr>
    </w:p>
    <w:p w14:paraId="5859362C" w14:textId="71802AB8" w:rsidR="005E5CA0" w:rsidRDefault="005E5CA0" w:rsidP="005E5CA0">
      <w:pPr>
        <w:spacing w:line="360" w:lineRule="auto"/>
      </w:pPr>
    </w:p>
    <w:p w14:paraId="6273616D" w14:textId="1FF408A9" w:rsidR="00800EA4" w:rsidRPr="00800EA4" w:rsidRDefault="00800EA4" w:rsidP="00A012E0">
      <w:pPr>
        <w:pStyle w:val="NormalWeb"/>
        <w:spacing w:line="360" w:lineRule="auto"/>
        <w:jc w:val="both"/>
        <w:rPr>
          <w:rFonts w:ascii="Arial" w:hAnsi="Arial" w:cs="Arial"/>
          <w:sz w:val="28"/>
          <w:szCs w:val="28"/>
        </w:rPr>
      </w:pPr>
      <w:r w:rsidRPr="00800EA4">
        <w:rPr>
          <w:rStyle w:val="Strong"/>
          <w:rFonts w:ascii="Arial" w:hAnsi="Arial" w:cs="Arial"/>
          <w:sz w:val="28"/>
          <w:szCs w:val="28"/>
        </w:rPr>
        <w:lastRenderedPageBreak/>
        <w:t>Introduction</w:t>
      </w:r>
    </w:p>
    <w:p w14:paraId="41A30508" w14:textId="77777777" w:rsidR="00800EA4" w:rsidRDefault="00800EA4" w:rsidP="00A012E0">
      <w:pPr>
        <w:pStyle w:val="NormalWeb"/>
        <w:spacing w:after="0" w:afterAutospacing="0" w:line="360" w:lineRule="auto"/>
        <w:jc w:val="both"/>
        <w:rPr>
          <w:rFonts w:ascii="Arial" w:hAnsi="Arial" w:cs="Arial"/>
          <w:sz w:val="22"/>
          <w:szCs w:val="22"/>
        </w:rPr>
      </w:pPr>
      <w:r w:rsidRPr="00800EA4">
        <w:rPr>
          <w:rFonts w:ascii="Arial" w:hAnsi="Arial" w:cs="Arial"/>
          <w:sz w:val="22"/>
          <w:szCs w:val="22"/>
        </w:rPr>
        <w:t>The NHS defines ADHD (attention deficit hyperactivity disorder) as “a condition where the brain works differently to most people” (NHS, 2025). In children ADHD manifests as inattention, excessive motor activity, and even impulsiveness. Alexander Crichton was the first physician that studied a disorder that had similar symptoms to attention deficit hyperactivity disorder in 1798, followed by researchers that through history investigated the disorder and looked for treatments (Lange, 2010). Nowadays, ADHD is classified as a neurodevelopmental disorder that affects children and teens but also adults, impacting school performance, work, and social relationships (NIMH, 2024). ADHD is diagnosed if at least 6 months of symptoms of hyperactivity and impulsivity and inattention have been identified (CDC, 2024). In the UK it is estimated that 2,498,000 people have attention deficit hyperactivity disorder, including the undiagnosed ones, of which 741,000 are children (NHS digital, 2025).</w:t>
      </w:r>
    </w:p>
    <w:p w14:paraId="27BCEA22" w14:textId="14BD6A48" w:rsidR="00800EA4" w:rsidRP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The aim of this report is to increase awareness about attention deficit hyperactivity disorder and its symptoms by analysing the diagnosis, classification, and treatment available. Although it is a common disorder at the present, ADHD is still misunderstood, so current debates and emerging issues will also be discussed in this paper. For a better understanding of attention deficit hyperactivity disorder and the support that is needed from the community, recommendations will be provided.</w:t>
      </w:r>
    </w:p>
    <w:p w14:paraId="156ED76C"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584AFF22"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502A9E55"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E08FAB3"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9865403"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151A64C"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46575B8"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28A0146" w14:textId="697D06EC" w:rsid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7C7F7288" w14:textId="4059D3B3" w:rsidR="00A012E0" w:rsidRDefault="00A012E0" w:rsidP="00A012E0">
      <w:pPr>
        <w:pStyle w:val="NormalWeb"/>
        <w:spacing w:line="360" w:lineRule="auto"/>
        <w:jc w:val="both"/>
        <w:rPr>
          <w:rFonts w:ascii="Arial" w:hAnsi="Arial" w:cs="Arial"/>
          <w:sz w:val="22"/>
          <w:szCs w:val="22"/>
        </w:rPr>
      </w:pPr>
    </w:p>
    <w:p w14:paraId="511B6373" w14:textId="77777777" w:rsidR="00A012E0" w:rsidRPr="00800EA4" w:rsidRDefault="00A012E0" w:rsidP="00A012E0">
      <w:pPr>
        <w:pStyle w:val="NormalWeb"/>
        <w:spacing w:line="360" w:lineRule="auto"/>
        <w:jc w:val="both"/>
        <w:rPr>
          <w:rFonts w:ascii="Arial" w:hAnsi="Arial" w:cs="Arial"/>
          <w:sz w:val="22"/>
          <w:szCs w:val="22"/>
        </w:rPr>
      </w:pPr>
    </w:p>
    <w:p w14:paraId="3720E8EF" w14:textId="7778C630" w:rsidR="00800EA4" w:rsidRPr="00800EA4" w:rsidRDefault="00800EA4" w:rsidP="00A012E0">
      <w:pPr>
        <w:pStyle w:val="NormalWeb"/>
        <w:spacing w:line="360" w:lineRule="auto"/>
        <w:jc w:val="both"/>
        <w:rPr>
          <w:rFonts w:ascii="Arial" w:hAnsi="Arial" w:cs="Arial"/>
          <w:sz w:val="28"/>
          <w:szCs w:val="28"/>
        </w:rPr>
      </w:pPr>
      <w:r w:rsidRPr="00800EA4">
        <w:rPr>
          <w:rStyle w:val="Strong"/>
          <w:rFonts w:ascii="Arial" w:hAnsi="Arial" w:cs="Arial"/>
          <w:sz w:val="28"/>
          <w:szCs w:val="28"/>
        </w:rPr>
        <w:lastRenderedPageBreak/>
        <w:t>Classification</w:t>
      </w:r>
    </w:p>
    <w:p w14:paraId="6DCC6A3E" w14:textId="77777777" w:rsid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A psychiatrist or a medical professional can diagnose attention deficit hyperactivity disorder by utilising the criteria from DSM-5 when completing the medical evaluation. There are three types of ADHD: inattentive, hyperactive-impulsive, and combined, and each of them has its symptoms and challenges (</w:t>
      </w:r>
      <w:proofErr w:type="spellStart"/>
      <w:r w:rsidRPr="00800EA4">
        <w:rPr>
          <w:rFonts w:ascii="Arial" w:hAnsi="Arial" w:cs="Arial"/>
          <w:sz w:val="22"/>
          <w:szCs w:val="22"/>
        </w:rPr>
        <w:t>Koseva</w:t>
      </w:r>
      <w:proofErr w:type="spellEnd"/>
      <w:r w:rsidRPr="00800EA4">
        <w:rPr>
          <w:rFonts w:ascii="Arial" w:hAnsi="Arial" w:cs="Arial"/>
          <w:sz w:val="22"/>
          <w:szCs w:val="22"/>
        </w:rPr>
        <w:t>, 2023). The patients diagnosed with inattentive attention deficit hyperactivity disorder do not show impulsive and hyperactive behaviours. They are disorganised and struggle to pay attention. Forgetfulness is also specific to this type of ADHD. Other common symptoms are losing things, getting distracted easily, finding it difficult to follow instructions, and looking absent when spoken to directly. More girls are diagnosed with this type of ADHD than boys (Roth, 2013).</w:t>
      </w:r>
    </w:p>
    <w:p w14:paraId="06EB6BD3" w14:textId="77777777" w:rsid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The hyperactive-impulsive attention deficit hyperactivity disorder is causing problems with self-control and activity regulation. The main symptoms are impulsivity and hyperactivity and rarely signs of inattention. People with this diagnosis can have difficulty in standing still and are usually impatient. They talk constantly, interrupt, and are not able to participate in any kind of quiet activities. Opposite to the inattentive ADHD, more boys than girls are diagnosed with this type of hyperactive-impulsive ADHD (Johns Hopkins Medicine, 2024).</w:t>
      </w:r>
    </w:p>
    <w:p w14:paraId="5126D797" w14:textId="753B81B1" w:rsidR="00800EA4" w:rsidRP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Combined attention deficit hyperactivity disorder is a mix of hyperactive, impulsive, and inattentive symptoms. It affects the behaviours and the brain (Cabral, 2020). To be diagnosed with combined ADHD, the following criteria must be met: The symptoms must have started before the age of 12 years old; the symptom is manifested in more than two places and affects school or work performance; there must be the presence of 5 or more symptoms of inattention, hyperactivity, and impulsivity for at least 6 months; and the symptoms cannot be explained by other mental disorders. The combined attention deficit hyperactivity disorder can be mild, moderate, or severe (CDC, 2024).</w:t>
      </w:r>
    </w:p>
    <w:p w14:paraId="5A298B47"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6D11151"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1D9200D5"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536ABE5"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B999B89" w14:textId="22C3226C" w:rsid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30C5570" w14:textId="77777777" w:rsidR="00A012E0" w:rsidRPr="00800EA4" w:rsidRDefault="00A012E0" w:rsidP="00A012E0">
      <w:pPr>
        <w:pStyle w:val="NormalWeb"/>
        <w:spacing w:line="360" w:lineRule="auto"/>
        <w:jc w:val="both"/>
        <w:rPr>
          <w:rFonts w:ascii="Arial" w:hAnsi="Arial" w:cs="Arial"/>
          <w:sz w:val="22"/>
          <w:szCs w:val="22"/>
        </w:rPr>
      </w:pPr>
    </w:p>
    <w:p w14:paraId="44662ED1" w14:textId="0FA2D150" w:rsidR="00800EA4" w:rsidRPr="00800EA4" w:rsidRDefault="00800EA4" w:rsidP="00A012E0">
      <w:pPr>
        <w:pStyle w:val="NormalWeb"/>
        <w:spacing w:line="360" w:lineRule="auto"/>
        <w:jc w:val="both"/>
        <w:rPr>
          <w:rFonts w:ascii="Arial" w:hAnsi="Arial" w:cs="Arial"/>
          <w:sz w:val="28"/>
          <w:szCs w:val="28"/>
        </w:rPr>
      </w:pPr>
      <w:r w:rsidRPr="00800EA4">
        <w:rPr>
          <w:rStyle w:val="Strong"/>
          <w:rFonts w:ascii="Arial" w:hAnsi="Arial" w:cs="Arial"/>
          <w:sz w:val="28"/>
          <w:szCs w:val="28"/>
        </w:rPr>
        <w:lastRenderedPageBreak/>
        <w:t>Diagnosis</w:t>
      </w:r>
    </w:p>
    <w:p w14:paraId="0880B8B6" w14:textId="77777777" w:rsidR="00800EA4" w:rsidRDefault="00800EA4" w:rsidP="00A012E0">
      <w:pPr>
        <w:pStyle w:val="NormalWeb"/>
        <w:spacing w:after="0" w:afterAutospacing="0" w:line="360" w:lineRule="auto"/>
        <w:jc w:val="both"/>
        <w:rPr>
          <w:rFonts w:ascii="Arial" w:hAnsi="Arial" w:cs="Arial"/>
          <w:sz w:val="22"/>
          <w:szCs w:val="22"/>
        </w:rPr>
      </w:pPr>
      <w:r w:rsidRPr="00800EA4">
        <w:rPr>
          <w:rFonts w:ascii="Arial" w:hAnsi="Arial" w:cs="Arial"/>
          <w:sz w:val="22"/>
          <w:szCs w:val="22"/>
        </w:rPr>
        <w:t xml:space="preserve">Over time the diagnosis of attention deficit hyperactivity disorder had an important evolution. Following Dr. Alexander Crichton (1978), who identified this as a disorder of attention, Dr. George Still (1902) conducted studies on 43 children that were resistant to discipline and struggled to learn. His conclusion was that the symptoms were not caused by the environment and that they were born with it. DSM-II was published in 1968, and it contained the hyperkinetic disorder that presented the symptoms of ADHD. Upon the review of DSM-II, the DSM-III introduced the term attention deficit disorder, which at the time stated that the condition only affected children. In 1987 the condition was clearly updated, and the disorder was renamed attention deficit hyperactivity disorder. The medication used to treat it was Ritalin, Dexedrine, and </w:t>
      </w:r>
      <w:proofErr w:type="spellStart"/>
      <w:r w:rsidRPr="00800EA4">
        <w:rPr>
          <w:rFonts w:ascii="Arial" w:hAnsi="Arial" w:cs="Arial"/>
          <w:sz w:val="22"/>
          <w:szCs w:val="22"/>
        </w:rPr>
        <w:t>Cylert</w:t>
      </w:r>
      <w:proofErr w:type="spellEnd"/>
      <w:r w:rsidRPr="00800EA4">
        <w:rPr>
          <w:rFonts w:ascii="Arial" w:hAnsi="Arial" w:cs="Arial"/>
          <w:sz w:val="22"/>
          <w:szCs w:val="22"/>
        </w:rPr>
        <w:t>. The subtypes of ADHD (hyperactive and impulsive, inattentive, and combined) were introduced in 2000 in the DSM-IV. ADHD in adults was recognised in 2008 by NICE. Nowadays, the research shows that ADHD is genetic and it can be inherited from parents. If one sibling was diagnosed, it is likely that the others have it too (ADHD, 2023). There are also environmental factors that contribute to ADHD. For example, lead exposure is a high risk for attention deficit hyperactivity disorder. Alcohol, smoking, and substance abuse during pregnancy, premature birth, and low weight at birth can influence the chances of developing ADHD. Childhood brain injuries can be an explanation for it as well (NIMH, 2024). In adults, studies have shown that attention deficit hyperactivity disorder is associated with anxiety, sleep disorder, and substance use, leading to increased mortality rates (Dalsgaard, 2015).</w:t>
      </w:r>
    </w:p>
    <w:p w14:paraId="7D71DD43" w14:textId="45A93C72" w:rsidR="00800EA4" w:rsidRP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ICD-11 is another classification that situates attention deficit hyperactivity disorder among the neurodevelopmental disorders. Trained and experienced medical professionals should conduct the evaluation. The diagnostic process involves the use of different tools and information from different sources. An interview with the child/adult and his parent or carers is scheduled to discuss the family background, developmental history, and psychosocial factors. The rating scales used in the diagnostic process are the Child Behaviour Checklist, the Conners Rating Scale, or the Vanderbilt Assessment Scale. They support in identifying the severity of the attention deficit hyperactivity disorder symptoms (Chang, 2016).</w:t>
      </w:r>
    </w:p>
    <w:p w14:paraId="14424AC7"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4E3B7C73"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5B221E8B"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2BA8651E" w14:textId="46D798FF"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7399FF84" w14:textId="6B2ED27B" w:rsidR="00800EA4" w:rsidRPr="00800EA4" w:rsidRDefault="00800EA4" w:rsidP="00A012E0">
      <w:pPr>
        <w:pStyle w:val="NormalWeb"/>
        <w:spacing w:line="360" w:lineRule="auto"/>
        <w:jc w:val="both"/>
        <w:rPr>
          <w:rFonts w:ascii="Arial" w:hAnsi="Arial" w:cs="Arial"/>
          <w:sz w:val="28"/>
          <w:szCs w:val="28"/>
        </w:rPr>
      </w:pPr>
      <w:r w:rsidRPr="00800EA4">
        <w:rPr>
          <w:rStyle w:val="Strong"/>
          <w:rFonts w:ascii="Arial" w:hAnsi="Arial" w:cs="Arial"/>
          <w:sz w:val="28"/>
          <w:szCs w:val="28"/>
        </w:rPr>
        <w:lastRenderedPageBreak/>
        <w:t>Treatment and Rehabilitation</w:t>
      </w:r>
    </w:p>
    <w:p w14:paraId="3BD44643" w14:textId="77777777" w:rsidR="00800EA4" w:rsidRDefault="00800EA4" w:rsidP="00A012E0">
      <w:pPr>
        <w:pStyle w:val="NormalWeb"/>
        <w:spacing w:after="0" w:afterAutospacing="0" w:line="360" w:lineRule="auto"/>
        <w:jc w:val="both"/>
        <w:rPr>
          <w:rFonts w:ascii="Arial" w:hAnsi="Arial" w:cs="Arial"/>
          <w:sz w:val="22"/>
          <w:szCs w:val="22"/>
        </w:rPr>
      </w:pPr>
      <w:r w:rsidRPr="00800EA4">
        <w:rPr>
          <w:rFonts w:ascii="Arial" w:hAnsi="Arial" w:cs="Arial"/>
          <w:sz w:val="22"/>
          <w:szCs w:val="22"/>
        </w:rPr>
        <w:t>Attention deficit hyperactivity disorder cannot be cured; however, the symptoms can be managed through treatment and rehabilitation strategies. Medication and behavioural therapy are the types of treatment available for ADHD. Different types of medication are approved to be used for this disorder. Stimulants are the most common medicines used for ADHD. They increase dopamine and norepinephrine levels in the brain, which leads to improved self-control and focus. The stimulants act fast, and 70-80% of the children responded very well to the treatment. The non-stimulant medicine takes longer to act, and it is an alternative for those who cannot use stimulant medication. The dosage is different for each patient, depending on what works best for each person (CDC, 2024).</w:t>
      </w:r>
    </w:p>
    <w:p w14:paraId="09D7AF48" w14:textId="507F39AB" w:rsidR="00800EA4" w:rsidRP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There are also a few types of therapy used to treat attention deficit hyperactivity disorder. The behavioural therapy is an effective treatment. It works by discouraging negative behaviours and encouraging the positive ones by using rewards. A consistent routine is necessary as well as clear expectations. Parents and carers must be involved and learn how to deal with their child's behaviours to be able to guide them on how to manage their emotions and improve their social life. For teenagers and adults with attention deficit hyperactivity disorder, cognitive behavioural therapy has good results. This type of therapy encourages practicing the skills in real-life situations. The focus is on the difficulties a person had in their day-to-day life, like completing basic tasks or organising their own time. The negative thoughts are replaced by a positive “I can” attitude. (Rath, 2023). There are some other actions to take to improve the attention deficit hyperactivity disorder symptoms without medication. For example, exercising improves sleep and regulates brain chemistry; reducing the intake of sugar and offering nutritious food improves brain function; and reducing screen time and spending a lot of time outside doing different activities.</w:t>
      </w:r>
    </w:p>
    <w:p w14:paraId="326C173A" w14:textId="56D7F0D0" w:rsidR="00800EA4" w:rsidRPr="00800EA4" w:rsidRDefault="00800EA4" w:rsidP="00A012E0">
      <w:pPr>
        <w:pStyle w:val="NormalWeb"/>
        <w:spacing w:before="0" w:beforeAutospacing="0" w:line="360" w:lineRule="auto"/>
        <w:jc w:val="both"/>
        <w:rPr>
          <w:rFonts w:ascii="Arial" w:hAnsi="Arial" w:cs="Arial"/>
          <w:sz w:val="22"/>
          <w:szCs w:val="22"/>
        </w:rPr>
      </w:pPr>
      <w:r w:rsidRPr="00800EA4">
        <w:rPr>
          <w:rFonts w:ascii="Arial" w:hAnsi="Arial" w:cs="Arial"/>
          <w:sz w:val="22"/>
          <w:szCs w:val="22"/>
        </w:rPr>
        <w:t>The terms of rehabilitation for the students with attention deficit hyperactivity disorder are</w:t>
      </w:r>
      <w:r>
        <w:rPr>
          <w:rFonts w:ascii="Arial" w:hAnsi="Arial" w:cs="Arial"/>
          <w:sz w:val="22"/>
          <w:szCs w:val="22"/>
        </w:rPr>
        <w:t xml:space="preserve"> </w:t>
      </w:r>
      <w:r w:rsidRPr="00800EA4">
        <w:rPr>
          <w:rFonts w:ascii="Arial" w:hAnsi="Arial" w:cs="Arial"/>
          <w:sz w:val="22"/>
          <w:szCs w:val="22"/>
        </w:rPr>
        <w:t>reduced homework and more time allowed on their tests with regular feedback from the teachers. The adults with ADHD can have difficulties at work; they can be allowed flexible deadlines and a structured routine to support them and increase their productivity.</w:t>
      </w:r>
    </w:p>
    <w:p w14:paraId="77C3DD24"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0079C73"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2F09B0AF"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2927BCA4" w14:textId="036AE991"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6CF3D14B" w14:textId="2DB62C0D" w:rsidR="00800EA4" w:rsidRPr="00800EA4" w:rsidRDefault="00800EA4" w:rsidP="00A012E0">
      <w:pPr>
        <w:pStyle w:val="NormalWeb"/>
        <w:spacing w:line="360" w:lineRule="auto"/>
        <w:jc w:val="both"/>
        <w:rPr>
          <w:rFonts w:ascii="Arial" w:hAnsi="Arial" w:cs="Arial"/>
          <w:sz w:val="28"/>
          <w:szCs w:val="28"/>
        </w:rPr>
      </w:pPr>
      <w:r w:rsidRPr="00800EA4">
        <w:rPr>
          <w:rStyle w:val="Strong"/>
          <w:rFonts w:ascii="Arial" w:hAnsi="Arial" w:cs="Arial"/>
          <w:sz w:val="28"/>
          <w:szCs w:val="28"/>
        </w:rPr>
        <w:lastRenderedPageBreak/>
        <w:t>Current Debates and Emerging Issues</w:t>
      </w:r>
    </w:p>
    <w:p w14:paraId="2533640A" w14:textId="77777777" w:rsidR="00800EA4" w:rsidRDefault="00800EA4" w:rsidP="00A012E0">
      <w:pPr>
        <w:pStyle w:val="NormalWeb"/>
        <w:spacing w:after="0" w:afterAutospacing="0" w:line="360" w:lineRule="auto"/>
        <w:jc w:val="both"/>
        <w:rPr>
          <w:rFonts w:ascii="Arial" w:hAnsi="Arial" w:cs="Arial"/>
          <w:sz w:val="22"/>
          <w:szCs w:val="22"/>
        </w:rPr>
      </w:pPr>
      <w:r w:rsidRPr="00800EA4">
        <w:rPr>
          <w:rFonts w:ascii="Arial" w:hAnsi="Arial" w:cs="Arial"/>
          <w:sz w:val="22"/>
          <w:szCs w:val="22"/>
        </w:rPr>
        <w:t>An emerging issue of the present is the overdiagnosis, specifically for the adults. People exaggerate their symptoms to get access to medication and to disability accommodation. The medicine recommended for attention deficit hyperactivity disorder can be used for recreational purposes (Cook, 2021). Perks like flexible work schedules and financial support are what the people want to achieve by trying to obtain a diagnosis of ADHD (Harrison, 2017). However, weekly specialised tests can detect the exaggeration. Caution and care are necessary to ensure the patient is not overdiagnosed. Underdiagnosis is also possible when the symptoms are subtle or because of the barriers in healthcare in some cases.</w:t>
      </w:r>
    </w:p>
    <w:p w14:paraId="07DE8DB8" w14:textId="56520FC2" w:rsidR="00800EA4" w:rsidRP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The use of drugs in children is a present debate that causes controversy. The stimulants have been used for many years and have had good results in the short term, but the long-term effects still need to be addressed. The research now is focused on non-medicated treatments, diet, and alternatives to medication (Albert P., 2012).</w:t>
      </w:r>
    </w:p>
    <w:p w14:paraId="7FEF7281" w14:textId="77777777" w:rsidR="00800EA4" w:rsidRPr="00800EA4" w:rsidRDefault="00800EA4" w:rsidP="00A012E0">
      <w:pPr>
        <w:pStyle w:val="NormalWeb"/>
        <w:spacing w:before="0" w:beforeAutospacing="0" w:after="0" w:afterAutospacing="0" w:line="360" w:lineRule="auto"/>
        <w:jc w:val="both"/>
        <w:rPr>
          <w:rFonts w:ascii="Arial" w:hAnsi="Arial" w:cs="Arial"/>
          <w:sz w:val="22"/>
          <w:szCs w:val="22"/>
        </w:rPr>
      </w:pPr>
      <w:r w:rsidRPr="00800EA4">
        <w:rPr>
          <w:rFonts w:ascii="Arial" w:hAnsi="Arial" w:cs="Arial"/>
          <w:sz w:val="22"/>
          <w:szCs w:val="22"/>
        </w:rPr>
        <w:t>The attention deficit hyperactivity disorder diagnosis in adults is still an issue, as the symptoms are similar to anxiety and depression. Not getting a correct diagnosis leads to incorrect treatment, which affects mental health and life overall. According to Faraone (2004), 75% of adults with ADHD were not previously diagnosed in childhood. Workplace accommodation and targeted cognitive behavioural therapy should be offered to the adults by the mental health systems.</w:t>
      </w:r>
    </w:p>
    <w:p w14:paraId="2008B494" w14:textId="384A9FB4" w:rsidR="00800EA4" w:rsidRPr="00800EA4" w:rsidRDefault="00800EA4" w:rsidP="00A012E0">
      <w:pPr>
        <w:pStyle w:val="NormalWeb"/>
        <w:spacing w:before="0" w:beforeAutospacing="0" w:line="360" w:lineRule="auto"/>
        <w:jc w:val="both"/>
        <w:rPr>
          <w:rFonts w:ascii="Arial" w:hAnsi="Arial" w:cs="Arial"/>
          <w:sz w:val="22"/>
          <w:szCs w:val="22"/>
        </w:rPr>
      </w:pPr>
      <w:r w:rsidRPr="00800EA4">
        <w:rPr>
          <w:rFonts w:ascii="Arial" w:hAnsi="Arial" w:cs="Arial"/>
          <w:sz w:val="22"/>
          <w:szCs w:val="22"/>
        </w:rPr>
        <w:t>The use of technology in the treatment of attention deficit hyperactivity disorder is now possible. According to NICE, the QB test is used for people between 6 and 17 to help diagnose ADHD, in addition to the standard assessment. When utilising technology and completing the tests, the patients are being assessed for attention, reaction time, and movement. This might be reducing the time to be diagnosed. The impact of screen time on attention deficit hyperactivity disorder patients is still being studied (Goodwin, 2016).</w:t>
      </w:r>
    </w:p>
    <w:p w14:paraId="09045308"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5F21567"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32BCC70"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24EAB1F"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F079437"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5DA047B8" w14:textId="327F563E"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8D58466" w14:textId="5A1C691B" w:rsidR="00800EA4" w:rsidRPr="00800EA4" w:rsidRDefault="00800EA4" w:rsidP="00A012E0">
      <w:pPr>
        <w:pStyle w:val="NormalWeb"/>
        <w:spacing w:line="360" w:lineRule="auto"/>
        <w:jc w:val="both"/>
        <w:rPr>
          <w:rFonts w:ascii="Arial" w:hAnsi="Arial" w:cs="Arial"/>
          <w:sz w:val="22"/>
          <w:szCs w:val="22"/>
        </w:rPr>
      </w:pPr>
    </w:p>
    <w:p w14:paraId="5C5EA576" w14:textId="46394315" w:rsidR="00800EA4" w:rsidRPr="00A012E0" w:rsidRDefault="00800EA4" w:rsidP="00A012E0">
      <w:pPr>
        <w:pStyle w:val="NormalWeb"/>
        <w:spacing w:line="360" w:lineRule="auto"/>
        <w:jc w:val="both"/>
        <w:rPr>
          <w:rFonts w:ascii="Arial" w:hAnsi="Arial" w:cs="Arial"/>
          <w:sz w:val="28"/>
          <w:szCs w:val="28"/>
        </w:rPr>
      </w:pPr>
      <w:r w:rsidRPr="00800EA4">
        <w:rPr>
          <w:rStyle w:val="Strong"/>
          <w:rFonts w:ascii="Arial" w:hAnsi="Arial" w:cs="Arial"/>
          <w:sz w:val="28"/>
          <w:szCs w:val="28"/>
        </w:rPr>
        <w:t>Recommendations</w:t>
      </w:r>
    </w:p>
    <w:p w14:paraId="35FE88B1" w14:textId="77777777" w:rsidR="00800EA4" w:rsidRPr="00800EA4" w:rsidRDefault="00800EA4" w:rsidP="00A012E0">
      <w:pPr>
        <w:pStyle w:val="NormalWeb"/>
        <w:spacing w:after="0" w:afterAutospacing="0" w:line="360" w:lineRule="auto"/>
        <w:jc w:val="both"/>
        <w:rPr>
          <w:rFonts w:ascii="Arial" w:hAnsi="Arial" w:cs="Arial"/>
          <w:sz w:val="22"/>
          <w:szCs w:val="22"/>
        </w:rPr>
      </w:pPr>
      <w:r w:rsidRPr="00800EA4">
        <w:rPr>
          <w:rFonts w:ascii="Arial" w:hAnsi="Arial" w:cs="Arial"/>
          <w:sz w:val="22"/>
          <w:szCs w:val="22"/>
        </w:rPr>
        <w:t>To diagnose attention deficit hyperactivity disorder correctly, the recommendation is that a routine screening be completed in the primary school and relevant training be offered to the teachers and general practitioners to be able to identify the symptoms. Once a diagnosis of ADHD has been made, behavioural therapy is the first step in the treatment of this condition. This can be combined with medication, if needed, but must be carefully monitored (CDC, 2024). Any educational institution must be able to support the students diagnosed with ADHD by offering assistive technology, more time on the exams, a quiet workspace, etc. NHS (2025) recommends an active lifestyle to support children and adults with attention deficit hyperactivity disorder. Exercising regularly to direct the energy. Sleep is also very important, as well as a balanced diet with regular meals. The people with attention deficit hyperactivity disorder are likely to have other mental issues, and they are at risk of suicide, so they need as much support as they can get to prevent this. Every person with attention deficit hyperactivity disorder is different, so the treatment strategy is unique for each one of them, so it is vital to work with a healthcare professional from the diagnosis step to planning to the ongoing treatment (NIMH, 2024).</w:t>
      </w:r>
    </w:p>
    <w:p w14:paraId="00CECC91" w14:textId="77777777" w:rsidR="00800EA4" w:rsidRPr="00800EA4" w:rsidRDefault="00800EA4" w:rsidP="00A012E0">
      <w:pPr>
        <w:pStyle w:val="NormalWeb"/>
        <w:spacing w:before="0" w:beforeAutospacing="0" w:line="360" w:lineRule="auto"/>
        <w:jc w:val="both"/>
        <w:rPr>
          <w:rFonts w:ascii="Arial" w:hAnsi="Arial" w:cs="Arial"/>
          <w:sz w:val="22"/>
          <w:szCs w:val="22"/>
        </w:rPr>
      </w:pPr>
      <w:r w:rsidRPr="00800EA4">
        <w:rPr>
          <w:rFonts w:ascii="Arial" w:hAnsi="Arial" w:cs="Arial"/>
          <w:sz w:val="22"/>
          <w:szCs w:val="22"/>
        </w:rPr>
        <w:t>Early diagnosis is the key to improving the quality of life of those living with this disorder. Social media can be utilised to promote attention deficit hyperactivity disorder awareness campaigns that can help with the stigma around attention deficit hyperactivity disorder and promote understanding of this condition in any setting of the community.</w:t>
      </w:r>
    </w:p>
    <w:p w14:paraId="188A771F"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1308ACB1"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4ED5CBC4"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7AF70F01"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730797FD"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055EC438" w14:textId="77777777" w:rsidR="00800EA4" w:rsidRP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28008306" w14:textId="1DCF6289" w:rsidR="00800EA4" w:rsidRDefault="00800EA4" w:rsidP="00A012E0">
      <w:pPr>
        <w:pStyle w:val="NormalWeb"/>
        <w:spacing w:line="360" w:lineRule="auto"/>
        <w:jc w:val="both"/>
        <w:rPr>
          <w:rFonts w:ascii="Arial" w:hAnsi="Arial" w:cs="Arial"/>
          <w:sz w:val="22"/>
          <w:szCs w:val="22"/>
        </w:rPr>
      </w:pPr>
      <w:r w:rsidRPr="00800EA4">
        <w:rPr>
          <w:rFonts w:ascii="Arial" w:hAnsi="Arial" w:cs="Arial"/>
          <w:sz w:val="22"/>
          <w:szCs w:val="22"/>
        </w:rPr>
        <w:t> </w:t>
      </w:r>
    </w:p>
    <w:p w14:paraId="3803D672" w14:textId="77777777" w:rsidR="00A012E0" w:rsidRPr="00800EA4" w:rsidRDefault="00A012E0" w:rsidP="00A012E0">
      <w:pPr>
        <w:pStyle w:val="NormalWeb"/>
        <w:spacing w:line="360" w:lineRule="auto"/>
        <w:jc w:val="both"/>
        <w:rPr>
          <w:rFonts w:ascii="Arial" w:hAnsi="Arial" w:cs="Arial"/>
          <w:sz w:val="22"/>
          <w:szCs w:val="22"/>
        </w:rPr>
      </w:pPr>
    </w:p>
    <w:p w14:paraId="36AF4111" w14:textId="77777777" w:rsidR="00800EA4" w:rsidRPr="00A012E0" w:rsidRDefault="00800EA4" w:rsidP="00A012E0">
      <w:pPr>
        <w:pStyle w:val="NormalWeb"/>
        <w:spacing w:line="360" w:lineRule="auto"/>
        <w:jc w:val="both"/>
        <w:rPr>
          <w:rFonts w:ascii="Arial" w:hAnsi="Arial" w:cs="Arial"/>
          <w:sz w:val="28"/>
          <w:szCs w:val="28"/>
        </w:rPr>
      </w:pPr>
      <w:r w:rsidRPr="00A012E0">
        <w:rPr>
          <w:rStyle w:val="Strong"/>
          <w:rFonts w:ascii="Arial" w:hAnsi="Arial" w:cs="Arial"/>
          <w:sz w:val="28"/>
          <w:szCs w:val="28"/>
        </w:rPr>
        <w:lastRenderedPageBreak/>
        <w:t>Conclusion</w:t>
      </w:r>
    </w:p>
    <w:p w14:paraId="7C5FF261" w14:textId="77777777" w:rsidR="00800EA4" w:rsidRPr="00800EA4" w:rsidRDefault="00800EA4" w:rsidP="00A012E0">
      <w:pPr>
        <w:pStyle w:val="NormalWeb"/>
        <w:spacing w:after="0" w:afterAutospacing="0" w:line="360" w:lineRule="auto"/>
        <w:jc w:val="both"/>
        <w:rPr>
          <w:rFonts w:ascii="Arial" w:hAnsi="Arial" w:cs="Arial"/>
          <w:sz w:val="22"/>
          <w:szCs w:val="22"/>
        </w:rPr>
      </w:pPr>
      <w:r w:rsidRPr="00800EA4">
        <w:rPr>
          <w:rFonts w:ascii="Arial" w:hAnsi="Arial" w:cs="Arial"/>
          <w:sz w:val="22"/>
          <w:szCs w:val="22"/>
        </w:rPr>
        <w:t>This report analysed the diagnosis of attention deficit hyperactivity disorder and treatment, as well as the emerging issues and current debate. The conclusion is that attention deficit hyperactivity disorder is a complex neurodevelopmental condition that impacts children but also adults during their whole life. It affects not only school and work performance but also their social life. An accurate diagnosis is essential for an effective treatment plan. Behavioural therapy is recommended, but sometimes it must be combined with medication (stimulant or non-stimulant). The attention deficit hyperactivity disorder affects not only the patient but also their family, who must find ways to understand and offer the support needed.</w:t>
      </w:r>
    </w:p>
    <w:p w14:paraId="07E25ED7" w14:textId="77777777" w:rsidR="00800EA4" w:rsidRPr="00800EA4" w:rsidRDefault="00800EA4" w:rsidP="00A012E0">
      <w:pPr>
        <w:pStyle w:val="NormalWeb"/>
        <w:spacing w:before="0" w:beforeAutospacing="0" w:line="360" w:lineRule="auto"/>
        <w:jc w:val="both"/>
        <w:rPr>
          <w:rFonts w:ascii="Arial" w:hAnsi="Arial" w:cs="Arial"/>
          <w:sz w:val="22"/>
          <w:szCs w:val="22"/>
        </w:rPr>
      </w:pPr>
      <w:r w:rsidRPr="00800EA4">
        <w:rPr>
          <w:rFonts w:ascii="Arial" w:hAnsi="Arial" w:cs="Arial"/>
          <w:sz w:val="22"/>
          <w:szCs w:val="22"/>
        </w:rPr>
        <w:t>Research continues, and with the help of technology, new tools and treatment ideas will be available in the future. For now, the community must be kept informed so they can offer support to those affected by attention deficit hyperactivity disorder to live a normal life.</w:t>
      </w:r>
    </w:p>
    <w:p w14:paraId="4E7271B4" w14:textId="7FB8D2D4" w:rsidR="001F5EDD" w:rsidRDefault="001F5EDD" w:rsidP="00800EA4">
      <w:pPr>
        <w:spacing w:line="360" w:lineRule="auto"/>
        <w:rPr>
          <w:rFonts w:ascii="Arial" w:hAnsi="Arial" w:cs="Arial"/>
          <w:sz w:val="22"/>
          <w:szCs w:val="22"/>
        </w:rPr>
      </w:pPr>
    </w:p>
    <w:p w14:paraId="707D0E04" w14:textId="088FAB2A" w:rsidR="008A7FAE" w:rsidRDefault="008A7FAE" w:rsidP="00800EA4">
      <w:pPr>
        <w:spacing w:line="360" w:lineRule="auto"/>
        <w:rPr>
          <w:rFonts w:ascii="Arial" w:hAnsi="Arial" w:cs="Arial"/>
          <w:sz w:val="22"/>
          <w:szCs w:val="22"/>
        </w:rPr>
      </w:pPr>
    </w:p>
    <w:p w14:paraId="0AA6198B" w14:textId="212E8E37" w:rsidR="008A7FAE" w:rsidRDefault="008A7FAE" w:rsidP="00800EA4">
      <w:pPr>
        <w:spacing w:line="360" w:lineRule="auto"/>
        <w:rPr>
          <w:rFonts w:ascii="Arial" w:hAnsi="Arial" w:cs="Arial"/>
          <w:sz w:val="22"/>
          <w:szCs w:val="22"/>
        </w:rPr>
      </w:pPr>
    </w:p>
    <w:p w14:paraId="1212879C" w14:textId="6BE924EA" w:rsidR="008A7FAE" w:rsidRDefault="008A7FAE" w:rsidP="00800EA4">
      <w:pPr>
        <w:spacing w:line="360" w:lineRule="auto"/>
        <w:rPr>
          <w:rFonts w:ascii="Arial" w:hAnsi="Arial" w:cs="Arial"/>
          <w:sz w:val="22"/>
          <w:szCs w:val="22"/>
        </w:rPr>
      </w:pPr>
    </w:p>
    <w:p w14:paraId="6A3A1C84" w14:textId="5264E95D" w:rsidR="008A7FAE" w:rsidRDefault="008A7FAE" w:rsidP="00800EA4">
      <w:pPr>
        <w:spacing w:line="360" w:lineRule="auto"/>
        <w:rPr>
          <w:rFonts w:ascii="Arial" w:hAnsi="Arial" w:cs="Arial"/>
          <w:sz w:val="22"/>
          <w:szCs w:val="22"/>
        </w:rPr>
      </w:pPr>
    </w:p>
    <w:p w14:paraId="045986D4" w14:textId="79963805" w:rsidR="008A7FAE" w:rsidRDefault="008A7FAE" w:rsidP="00800EA4">
      <w:pPr>
        <w:spacing w:line="360" w:lineRule="auto"/>
        <w:rPr>
          <w:rFonts w:ascii="Arial" w:hAnsi="Arial" w:cs="Arial"/>
          <w:sz w:val="22"/>
          <w:szCs w:val="22"/>
        </w:rPr>
      </w:pPr>
    </w:p>
    <w:p w14:paraId="12F02330" w14:textId="21829639" w:rsidR="008A7FAE" w:rsidRDefault="008A7FAE" w:rsidP="00800EA4">
      <w:pPr>
        <w:spacing w:line="360" w:lineRule="auto"/>
        <w:rPr>
          <w:rFonts w:ascii="Arial" w:hAnsi="Arial" w:cs="Arial"/>
          <w:sz w:val="22"/>
          <w:szCs w:val="22"/>
        </w:rPr>
      </w:pPr>
    </w:p>
    <w:p w14:paraId="29C9BB83" w14:textId="3B2B49E9" w:rsidR="008A7FAE" w:rsidRDefault="008A7FAE" w:rsidP="00800EA4">
      <w:pPr>
        <w:spacing w:line="360" w:lineRule="auto"/>
        <w:rPr>
          <w:rFonts w:ascii="Arial" w:hAnsi="Arial" w:cs="Arial"/>
          <w:sz w:val="22"/>
          <w:szCs w:val="22"/>
        </w:rPr>
      </w:pPr>
    </w:p>
    <w:p w14:paraId="06BF47C4" w14:textId="7330CEB1" w:rsidR="008A7FAE" w:rsidRDefault="008A7FAE" w:rsidP="00800EA4">
      <w:pPr>
        <w:spacing w:line="360" w:lineRule="auto"/>
        <w:rPr>
          <w:rFonts w:ascii="Arial" w:hAnsi="Arial" w:cs="Arial"/>
          <w:sz w:val="22"/>
          <w:szCs w:val="22"/>
        </w:rPr>
      </w:pPr>
    </w:p>
    <w:p w14:paraId="327647C0" w14:textId="7EAB5681" w:rsidR="008A7FAE" w:rsidRDefault="008A7FAE" w:rsidP="00800EA4">
      <w:pPr>
        <w:spacing w:line="360" w:lineRule="auto"/>
        <w:rPr>
          <w:rFonts w:ascii="Arial" w:hAnsi="Arial" w:cs="Arial"/>
          <w:sz w:val="22"/>
          <w:szCs w:val="22"/>
        </w:rPr>
      </w:pPr>
    </w:p>
    <w:p w14:paraId="0E229731" w14:textId="600EDDE2" w:rsidR="008A7FAE" w:rsidRDefault="008A7FAE" w:rsidP="00800EA4">
      <w:pPr>
        <w:spacing w:line="360" w:lineRule="auto"/>
        <w:rPr>
          <w:rFonts w:ascii="Arial" w:hAnsi="Arial" w:cs="Arial"/>
          <w:sz w:val="22"/>
          <w:szCs w:val="22"/>
        </w:rPr>
      </w:pPr>
    </w:p>
    <w:p w14:paraId="356311F3" w14:textId="34B471DE" w:rsidR="008A7FAE" w:rsidRDefault="008A7FAE" w:rsidP="00800EA4">
      <w:pPr>
        <w:spacing w:line="360" w:lineRule="auto"/>
        <w:rPr>
          <w:rFonts w:ascii="Arial" w:hAnsi="Arial" w:cs="Arial"/>
          <w:sz w:val="22"/>
          <w:szCs w:val="22"/>
        </w:rPr>
      </w:pPr>
    </w:p>
    <w:p w14:paraId="09811C48" w14:textId="3926A656" w:rsidR="008A7FAE" w:rsidRDefault="008A7FAE" w:rsidP="00800EA4">
      <w:pPr>
        <w:spacing w:line="360" w:lineRule="auto"/>
        <w:rPr>
          <w:rFonts w:ascii="Arial" w:hAnsi="Arial" w:cs="Arial"/>
          <w:sz w:val="22"/>
          <w:szCs w:val="22"/>
        </w:rPr>
      </w:pPr>
    </w:p>
    <w:p w14:paraId="1AC80337" w14:textId="063023E2" w:rsidR="008A7FAE" w:rsidRDefault="008A7FAE" w:rsidP="00800EA4">
      <w:pPr>
        <w:spacing w:line="360" w:lineRule="auto"/>
        <w:rPr>
          <w:rFonts w:ascii="Arial" w:hAnsi="Arial" w:cs="Arial"/>
          <w:sz w:val="22"/>
          <w:szCs w:val="22"/>
        </w:rPr>
      </w:pPr>
    </w:p>
    <w:p w14:paraId="7FDD52D7" w14:textId="68BFF5B8" w:rsidR="008A7FAE" w:rsidRDefault="008A7FAE" w:rsidP="00800EA4">
      <w:pPr>
        <w:spacing w:line="360" w:lineRule="auto"/>
        <w:rPr>
          <w:rFonts w:ascii="Arial" w:hAnsi="Arial" w:cs="Arial"/>
          <w:sz w:val="22"/>
          <w:szCs w:val="22"/>
        </w:rPr>
      </w:pPr>
    </w:p>
    <w:p w14:paraId="2742782D" w14:textId="3C091224" w:rsidR="008A7FAE" w:rsidRDefault="008A7FAE" w:rsidP="00800EA4">
      <w:pPr>
        <w:spacing w:line="360" w:lineRule="auto"/>
        <w:rPr>
          <w:rFonts w:ascii="Arial" w:hAnsi="Arial" w:cs="Arial"/>
          <w:sz w:val="22"/>
          <w:szCs w:val="22"/>
        </w:rPr>
      </w:pPr>
    </w:p>
    <w:p w14:paraId="4309C6F8" w14:textId="6922F467" w:rsidR="008A7FAE" w:rsidRDefault="008A7FAE" w:rsidP="00800EA4">
      <w:pPr>
        <w:spacing w:line="360" w:lineRule="auto"/>
        <w:rPr>
          <w:rFonts w:ascii="Arial" w:hAnsi="Arial" w:cs="Arial"/>
          <w:sz w:val="22"/>
          <w:szCs w:val="22"/>
        </w:rPr>
      </w:pPr>
    </w:p>
    <w:p w14:paraId="7D070B3A" w14:textId="12469AEC" w:rsidR="008A7FAE" w:rsidRDefault="008A7FAE" w:rsidP="00800EA4">
      <w:pPr>
        <w:spacing w:line="360" w:lineRule="auto"/>
        <w:rPr>
          <w:rFonts w:ascii="Arial" w:hAnsi="Arial" w:cs="Arial"/>
          <w:sz w:val="22"/>
          <w:szCs w:val="22"/>
        </w:rPr>
      </w:pPr>
    </w:p>
    <w:p w14:paraId="39B2041C" w14:textId="7D547EBC" w:rsidR="008A7FAE" w:rsidRDefault="008A7FAE" w:rsidP="00800EA4">
      <w:pPr>
        <w:spacing w:line="360" w:lineRule="auto"/>
        <w:rPr>
          <w:rFonts w:ascii="Arial" w:hAnsi="Arial" w:cs="Arial"/>
          <w:sz w:val="22"/>
          <w:szCs w:val="22"/>
        </w:rPr>
      </w:pPr>
    </w:p>
    <w:p w14:paraId="2D8EE6F6" w14:textId="5E3F3E29" w:rsidR="008A7FAE" w:rsidRDefault="008A7FAE" w:rsidP="00800EA4">
      <w:pPr>
        <w:spacing w:line="360" w:lineRule="auto"/>
        <w:rPr>
          <w:rFonts w:ascii="Arial" w:hAnsi="Arial" w:cs="Arial"/>
          <w:sz w:val="22"/>
          <w:szCs w:val="22"/>
        </w:rPr>
      </w:pPr>
    </w:p>
    <w:p w14:paraId="3B40A015" w14:textId="394A22C4" w:rsidR="008A7FAE" w:rsidRDefault="008A7FAE" w:rsidP="00800EA4">
      <w:pPr>
        <w:spacing w:line="360" w:lineRule="auto"/>
        <w:rPr>
          <w:rFonts w:ascii="Arial" w:hAnsi="Arial" w:cs="Arial"/>
          <w:sz w:val="22"/>
          <w:szCs w:val="22"/>
        </w:rPr>
      </w:pPr>
    </w:p>
    <w:p w14:paraId="6C248A93" w14:textId="50E50D48" w:rsidR="008A7FAE" w:rsidRDefault="008A7FAE" w:rsidP="00800EA4">
      <w:pPr>
        <w:spacing w:line="360" w:lineRule="auto"/>
        <w:rPr>
          <w:rFonts w:ascii="Arial" w:hAnsi="Arial" w:cs="Arial"/>
          <w:sz w:val="22"/>
          <w:szCs w:val="22"/>
        </w:rPr>
      </w:pPr>
    </w:p>
    <w:p w14:paraId="4E0D5A3C" w14:textId="714B90E7" w:rsidR="008A7FAE" w:rsidRDefault="008A7FAE" w:rsidP="00800EA4">
      <w:pPr>
        <w:spacing w:line="360" w:lineRule="auto"/>
        <w:rPr>
          <w:rFonts w:ascii="Arial" w:hAnsi="Arial" w:cs="Arial"/>
          <w:sz w:val="22"/>
          <w:szCs w:val="22"/>
        </w:rPr>
      </w:pPr>
    </w:p>
    <w:p w14:paraId="7C660456" w14:textId="77777777" w:rsidR="008A7FAE" w:rsidRPr="008A7FAE" w:rsidRDefault="008A7FAE" w:rsidP="008A7FAE">
      <w:pPr>
        <w:widowControl/>
        <w:suppressAutoHyphens w:val="0"/>
        <w:spacing w:after="240" w:line="360" w:lineRule="auto"/>
        <w:outlineLvl w:val="0"/>
        <w:rPr>
          <w:rFonts w:ascii="Arial" w:eastAsia="Times New Roman" w:hAnsi="Arial" w:cs="Arial"/>
          <w:b/>
          <w:bCs/>
          <w:kern w:val="36"/>
          <w:sz w:val="28"/>
          <w:szCs w:val="28"/>
          <w:lang w:val="en-GB" w:eastAsia="en-GB" w:bidi="ar-SA"/>
        </w:rPr>
      </w:pPr>
      <w:r w:rsidRPr="008A7FAE">
        <w:rPr>
          <w:rFonts w:ascii="Arial" w:eastAsia="Times New Roman" w:hAnsi="Arial" w:cs="Arial"/>
          <w:b/>
          <w:bCs/>
          <w:kern w:val="36"/>
          <w:sz w:val="28"/>
          <w:szCs w:val="28"/>
          <w:lang w:val="en-GB" w:eastAsia="en-GB" w:bidi="ar-SA"/>
        </w:rPr>
        <w:lastRenderedPageBreak/>
        <w:t>Reference list</w:t>
      </w:r>
    </w:p>
    <w:p w14:paraId="70C141F0"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ADHD UK (2023). </w:t>
      </w:r>
      <w:r w:rsidRPr="008A7FAE">
        <w:rPr>
          <w:rFonts w:ascii="Arial" w:eastAsia="Times New Roman" w:hAnsi="Arial" w:cs="Arial"/>
          <w:i/>
          <w:iCs/>
          <w:sz w:val="22"/>
          <w:szCs w:val="22"/>
          <w:lang w:val="en-GB" w:eastAsia="en-GB" w:bidi="ar-SA"/>
        </w:rPr>
        <w:t>The History of ADHD - ADHD UK</w:t>
      </w:r>
      <w:r w:rsidRPr="008A7FAE">
        <w:rPr>
          <w:rFonts w:ascii="Arial" w:eastAsia="Times New Roman" w:hAnsi="Arial" w:cs="Arial"/>
          <w:sz w:val="22"/>
          <w:szCs w:val="22"/>
          <w:lang w:val="en-GB" w:eastAsia="en-GB" w:bidi="ar-SA"/>
        </w:rPr>
        <w:t>. [online] ADHD UK. Available at: https://adhduk.co.uk/the-history-of-adhd/.</w:t>
      </w:r>
    </w:p>
    <w:p w14:paraId="410B8734"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Albert, P. (2012). Drugs for kids: Good or bad? </w:t>
      </w:r>
      <w:r w:rsidRPr="008A7FAE">
        <w:rPr>
          <w:rFonts w:ascii="Arial" w:eastAsia="Times New Roman" w:hAnsi="Arial" w:cs="Arial"/>
          <w:i/>
          <w:iCs/>
          <w:sz w:val="22"/>
          <w:szCs w:val="22"/>
          <w:lang w:val="en-GB" w:eastAsia="en-GB" w:bidi="ar-SA"/>
        </w:rPr>
        <w:t>Journal of Psychiatry &amp; Neuroscience</w:t>
      </w:r>
      <w:r w:rsidRPr="008A7FAE">
        <w:rPr>
          <w:rFonts w:ascii="Arial" w:eastAsia="Times New Roman" w:hAnsi="Arial" w:cs="Arial"/>
          <w:sz w:val="22"/>
          <w:szCs w:val="22"/>
          <w:lang w:val="en-GB" w:eastAsia="en-GB" w:bidi="ar-SA"/>
        </w:rPr>
        <w:t xml:space="preserve">, 37(5), pp.293–295.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://doi.org/10.1503/jpn.120140</w:t>
      </w:r>
      <w:proofErr w:type="gramEnd"/>
      <w:r w:rsidRPr="008A7FAE">
        <w:rPr>
          <w:rFonts w:ascii="Arial" w:eastAsia="Times New Roman" w:hAnsi="Arial" w:cs="Arial"/>
          <w:sz w:val="22"/>
          <w:szCs w:val="22"/>
          <w:lang w:val="en-GB" w:eastAsia="en-GB" w:bidi="ar-SA"/>
        </w:rPr>
        <w:t>.</w:t>
      </w:r>
    </w:p>
    <w:p w14:paraId="724EA8D5"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Cabral, M.D.I., Liu, S. and Soares, N. (2020). Attention-deficit/hyperactivity disorder: diagnostic criteria, epidemiology, risk factors and evaluation in youth. </w:t>
      </w:r>
      <w:r w:rsidRPr="008A7FAE">
        <w:rPr>
          <w:rFonts w:ascii="Arial" w:eastAsia="Times New Roman" w:hAnsi="Arial" w:cs="Arial"/>
          <w:i/>
          <w:iCs/>
          <w:sz w:val="22"/>
          <w:szCs w:val="22"/>
          <w:lang w:val="en-GB" w:eastAsia="en-GB" w:bidi="ar-SA"/>
        </w:rPr>
        <w:t xml:space="preserve">Translational </w:t>
      </w:r>
      <w:proofErr w:type="spellStart"/>
      <w:r w:rsidRPr="008A7FAE">
        <w:rPr>
          <w:rFonts w:ascii="Arial" w:eastAsia="Times New Roman" w:hAnsi="Arial" w:cs="Arial"/>
          <w:i/>
          <w:iCs/>
          <w:sz w:val="22"/>
          <w:szCs w:val="22"/>
          <w:lang w:val="en-GB" w:eastAsia="en-GB" w:bidi="ar-SA"/>
        </w:rPr>
        <w:t>Pediatrics</w:t>
      </w:r>
      <w:proofErr w:type="spellEnd"/>
      <w:r w:rsidRPr="008A7FAE">
        <w:rPr>
          <w:rFonts w:ascii="Arial" w:eastAsia="Times New Roman" w:hAnsi="Arial" w:cs="Arial"/>
          <w:sz w:val="22"/>
          <w:szCs w:val="22"/>
          <w:lang w:val="en-GB" w:eastAsia="en-GB" w:bidi="ar-SA"/>
        </w:rPr>
        <w:t xml:space="preserve">, 9(S1), </w:t>
      </w:r>
      <w:proofErr w:type="gramStart"/>
      <w:r w:rsidRPr="008A7FAE">
        <w:rPr>
          <w:rFonts w:ascii="Arial" w:eastAsia="Times New Roman" w:hAnsi="Arial" w:cs="Arial"/>
          <w:sz w:val="22"/>
          <w:szCs w:val="22"/>
          <w:lang w:val="en-GB" w:eastAsia="en-GB" w:bidi="ar-SA"/>
        </w:rPr>
        <w:t>pp.S</w:t>
      </w:r>
      <w:proofErr w:type="gramEnd"/>
      <w:r w:rsidRPr="008A7FAE">
        <w:rPr>
          <w:rFonts w:ascii="Arial" w:eastAsia="Times New Roman" w:hAnsi="Arial" w:cs="Arial"/>
          <w:sz w:val="22"/>
          <w:szCs w:val="22"/>
          <w:lang w:val="en-GB" w:eastAsia="en-GB" w:bidi="ar-SA"/>
        </w:rPr>
        <w:t xml:space="preserve">104–S113.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://doi.org/10.21037/tp.2019.09.08</w:t>
      </w:r>
      <w:proofErr w:type="gramEnd"/>
      <w:r w:rsidRPr="008A7FAE">
        <w:rPr>
          <w:rFonts w:ascii="Arial" w:eastAsia="Times New Roman" w:hAnsi="Arial" w:cs="Arial"/>
          <w:sz w:val="22"/>
          <w:szCs w:val="22"/>
          <w:lang w:val="en-GB" w:eastAsia="en-GB" w:bidi="ar-SA"/>
        </w:rPr>
        <w:t>.</w:t>
      </w:r>
    </w:p>
    <w:p w14:paraId="4EAFF681"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CDC (2024a). </w:t>
      </w:r>
      <w:r w:rsidRPr="008A7FAE">
        <w:rPr>
          <w:rFonts w:ascii="Arial" w:eastAsia="Times New Roman" w:hAnsi="Arial" w:cs="Arial"/>
          <w:i/>
          <w:iCs/>
          <w:sz w:val="22"/>
          <w:szCs w:val="22"/>
          <w:lang w:val="en-GB" w:eastAsia="en-GB" w:bidi="ar-SA"/>
        </w:rPr>
        <w:t>Diagnosing ADHD</w:t>
      </w:r>
      <w:r w:rsidRPr="008A7FAE">
        <w:rPr>
          <w:rFonts w:ascii="Arial" w:eastAsia="Times New Roman" w:hAnsi="Arial" w:cs="Arial"/>
          <w:sz w:val="22"/>
          <w:szCs w:val="22"/>
          <w:lang w:val="en-GB" w:eastAsia="en-GB" w:bidi="ar-SA"/>
        </w:rPr>
        <w:t>. [online] Attention-Deficit / Hyperactivity Disorder (ADHD). Available at: https://www.cdc.gov/adhd/diagnosis/index.html.</w:t>
      </w:r>
    </w:p>
    <w:p w14:paraId="4F9087E8"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CDC (2024b). </w:t>
      </w:r>
      <w:r w:rsidRPr="008A7FAE">
        <w:rPr>
          <w:rFonts w:ascii="Arial" w:eastAsia="Times New Roman" w:hAnsi="Arial" w:cs="Arial"/>
          <w:i/>
          <w:iCs/>
          <w:sz w:val="22"/>
          <w:szCs w:val="22"/>
          <w:lang w:val="en-GB" w:eastAsia="en-GB" w:bidi="ar-SA"/>
        </w:rPr>
        <w:t>Treatment of ADHD</w:t>
      </w:r>
      <w:r w:rsidRPr="008A7FAE">
        <w:rPr>
          <w:rFonts w:ascii="Arial" w:eastAsia="Times New Roman" w:hAnsi="Arial" w:cs="Arial"/>
          <w:sz w:val="22"/>
          <w:szCs w:val="22"/>
          <w:lang w:val="en-GB" w:eastAsia="en-GB" w:bidi="ar-SA"/>
        </w:rPr>
        <w:t>. [online] Attention-Deficit / Hyperactivity Disorder (ADHD). Available at: https://www.cdc.gov/adhd/treatment/index.html.</w:t>
      </w:r>
    </w:p>
    <w:p w14:paraId="76BAAF56"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Chang, L.-Y., Wang, M.-Y. and Tsai, P.-S. (2016). Diagnostic accuracy of rating scales for attention-deficit/hyperactivity disorder: A meta-analysis. </w:t>
      </w:r>
      <w:proofErr w:type="spellStart"/>
      <w:r w:rsidRPr="008A7FAE">
        <w:rPr>
          <w:rFonts w:ascii="Arial" w:eastAsia="Times New Roman" w:hAnsi="Arial" w:cs="Arial"/>
          <w:i/>
          <w:iCs/>
          <w:sz w:val="22"/>
          <w:szCs w:val="22"/>
          <w:lang w:val="en-GB" w:eastAsia="en-GB" w:bidi="ar-SA"/>
        </w:rPr>
        <w:t>Pediatrics</w:t>
      </w:r>
      <w:proofErr w:type="spellEnd"/>
      <w:r w:rsidRPr="008A7FAE">
        <w:rPr>
          <w:rFonts w:ascii="Arial" w:eastAsia="Times New Roman" w:hAnsi="Arial" w:cs="Arial"/>
          <w:sz w:val="22"/>
          <w:szCs w:val="22"/>
          <w:lang w:val="en-GB" w:eastAsia="en-GB" w:bidi="ar-SA"/>
        </w:rPr>
        <w:t xml:space="preserve">, 137(3).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://doi.org/10.1542/peds.2015-2749</w:t>
      </w:r>
      <w:proofErr w:type="gramEnd"/>
      <w:r w:rsidRPr="008A7FAE">
        <w:rPr>
          <w:rFonts w:ascii="Arial" w:eastAsia="Times New Roman" w:hAnsi="Arial" w:cs="Arial"/>
          <w:sz w:val="22"/>
          <w:szCs w:val="22"/>
          <w:lang w:val="en-GB" w:eastAsia="en-GB" w:bidi="ar-SA"/>
        </w:rPr>
        <w:t>.</w:t>
      </w:r>
    </w:p>
    <w:p w14:paraId="72E57132"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Cook, C., Kurtz-Costes, B. and Burnett, M. (2021). Nonprescription Stimulant Use at a Public University: Students’ Motives, Experiences, and Guilt. </w:t>
      </w:r>
      <w:r w:rsidRPr="008A7FAE">
        <w:rPr>
          <w:rFonts w:ascii="Arial" w:eastAsia="Times New Roman" w:hAnsi="Arial" w:cs="Arial"/>
          <w:i/>
          <w:iCs/>
          <w:sz w:val="22"/>
          <w:szCs w:val="22"/>
          <w:lang w:val="en-GB" w:eastAsia="en-GB" w:bidi="ar-SA"/>
        </w:rPr>
        <w:t>Journal of Drug Issues</w:t>
      </w:r>
      <w:r w:rsidRPr="008A7FAE">
        <w:rPr>
          <w:rFonts w:ascii="Arial" w:eastAsia="Times New Roman" w:hAnsi="Arial" w:cs="Arial"/>
          <w:sz w:val="22"/>
          <w:szCs w:val="22"/>
          <w:lang w:val="en-GB" w:eastAsia="en-GB" w:bidi="ar-SA"/>
        </w:rPr>
        <w:t xml:space="preserve">, 51(2), pp.376–390.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://doi.org/10.1177/0022042620988107</w:t>
      </w:r>
      <w:proofErr w:type="gramEnd"/>
      <w:r w:rsidRPr="008A7FAE">
        <w:rPr>
          <w:rFonts w:ascii="Arial" w:eastAsia="Times New Roman" w:hAnsi="Arial" w:cs="Arial"/>
          <w:sz w:val="22"/>
          <w:szCs w:val="22"/>
          <w:lang w:val="en-GB" w:eastAsia="en-GB" w:bidi="ar-SA"/>
        </w:rPr>
        <w:t>.</w:t>
      </w:r>
    </w:p>
    <w:p w14:paraId="67348E36"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Dalsgaard, S., Østergaard, S.D., Leckman, J.F., Mortensen, P.B. and Pedersen, M.G. (2015). Mortality in children, adolescents, and adults with attention deficit hyperactivity disorder: a nationwide cohort study. </w:t>
      </w:r>
      <w:r w:rsidRPr="008A7FAE">
        <w:rPr>
          <w:rFonts w:ascii="Arial" w:eastAsia="Times New Roman" w:hAnsi="Arial" w:cs="Arial"/>
          <w:i/>
          <w:iCs/>
          <w:sz w:val="22"/>
          <w:szCs w:val="22"/>
          <w:lang w:val="en-GB" w:eastAsia="en-GB" w:bidi="ar-SA"/>
        </w:rPr>
        <w:t>The Lancet</w:t>
      </w:r>
      <w:r w:rsidRPr="008A7FAE">
        <w:rPr>
          <w:rFonts w:ascii="Arial" w:eastAsia="Times New Roman" w:hAnsi="Arial" w:cs="Arial"/>
          <w:sz w:val="22"/>
          <w:szCs w:val="22"/>
          <w:lang w:val="en-GB" w:eastAsia="en-GB" w:bidi="ar-SA"/>
        </w:rPr>
        <w:t xml:space="preserve">, 385(9983), pp.2190–2196.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://doi.org/10.1016/s0140-6736(14)61684-6</w:t>
      </w:r>
      <w:proofErr w:type="gramEnd"/>
      <w:r w:rsidRPr="008A7FAE">
        <w:rPr>
          <w:rFonts w:ascii="Arial" w:eastAsia="Times New Roman" w:hAnsi="Arial" w:cs="Arial"/>
          <w:sz w:val="22"/>
          <w:szCs w:val="22"/>
          <w:lang w:val="en-GB" w:eastAsia="en-GB" w:bidi="ar-SA"/>
        </w:rPr>
        <w:t>.</w:t>
      </w:r>
    </w:p>
    <w:p w14:paraId="6640A1FB"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Faraone, S.V., Spencer, T.J., Montano, C.B. and Biederman, J. (2004). Attention-deficit/hyperactivity disorder in adults: a survey of current practice in psychiatry and primary care. </w:t>
      </w:r>
      <w:r w:rsidRPr="008A7FAE">
        <w:rPr>
          <w:rFonts w:ascii="Arial" w:eastAsia="Times New Roman" w:hAnsi="Arial" w:cs="Arial"/>
          <w:i/>
          <w:iCs/>
          <w:sz w:val="22"/>
          <w:szCs w:val="22"/>
          <w:lang w:val="en-GB" w:eastAsia="en-GB" w:bidi="ar-SA"/>
        </w:rPr>
        <w:t>Archives of Internal Medicine</w:t>
      </w:r>
      <w:r w:rsidRPr="008A7FAE">
        <w:rPr>
          <w:rFonts w:ascii="Arial" w:eastAsia="Times New Roman" w:hAnsi="Arial" w:cs="Arial"/>
          <w:sz w:val="22"/>
          <w:szCs w:val="22"/>
          <w:lang w:val="en-GB" w:eastAsia="en-GB" w:bidi="ar-SA"/>
        </w:rPr>
        <w:t xml:space="preserve">, [online] 164(11), pp.1221–1226.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://doi.org/10.1001/archinte.164.11.1221</w:t>
      </w:r>
      <w:proofErr w:type="gramEnd"/>
      <w:r w:rsidRPr="008A7FAE">
        <w:rPr>
          <w:rFonts w:ascii="Arial" w:eastAsia="Times New Roman" w:hAnsi="Arial" w:cs="Arial"/>
          <w:sz w:val="22"/>
          <w:szCs w:val="22"/>
          <w:lang w:val="en-GB" w:eastAsia="en-GB" w:bidi="ar-SA"/>
        </w:rPr>
        <w:t>.</w:t>
      </w:r>
    </w:p>
    <w:p w14:paraId="5892F765"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Goodwin Grace Duffield (2016). </w:t>
      </w:r>
      <w:r w:rsidRPr="008A7FAE">
        <w:rPr>
          <w:rFonts w:ascii="Arial" w:eastAsia="Times New Roman" w:hAnsi="Arial" w:cs="Arial"/>
          <w:i/>
          <w:iCs/>
          <w:sz w:val="22"/>
          <w:szCs w:val="22"/>
          <w:lang w:val="en-GB" w:eastAsia="en-GB" w:bidi="ar-SA"/>
        </w:rPr>
        <w:t>Horizon Songs</w:t>
      </w:r>
      <w:r w:rsidRPr="008A7FAE">
        <w:rPr>
          <w:rFonts w:ascii="Arial" w:eastAsia="Times New Roman" w:hAnsi="Arial" w:cs="Arial"/>
          <w:sz w:val="22"/>
          <w:szCs w:val="22"/>
          <w:lang w:val="en-GB" w:eastAsia="en-GB" w:bidi="ar-SA"/>
        </w:rPr>
        <w:t>. Palala Press.</w:t>
      </w:r>
    </w:p>
    <w:p w14:paraId="1929B609"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lastRenderedPageBreak/>
        <w:t xml:space="preserve">Harrison, A.G. (2017). Clinical, Ethical, and Forensic Implications of a Flexible Threshold for LD and ADHD in Postsecondary Settings. </w:t>
      </w:r>
      <w:r w:rsidRPr="008A7FAE">
        <w:rPr>
          <w:rFonts w:ascii="Arial" w:eastAsia="Times New Roman" w:hAnsi="Arial" w:cs="Arial"/>
          <w:i/>
          <w:iCs/>
          <w:sz w:val="22"/>
          <w:szCs w:val="22"/>
          <w:lang w:val="en-GB" w:eastAsia="en-GB" w:bidi="ar-SA"/>
        </w:rPr>
        <w:t>Psychological Injury and Law</w:t>
      </w:r>
      <w:r w:rsidRPr="008A7FAE">
        <w:rPr>
          <w:rFonts w:ascii="Arial" w:eastAsia="Times New Roman" w:hAnsi="Arial" w:cs="Arial"/>
          <w:sz w:val="22"/>
          <w:szCs w:val="22"/>
          <w:lang w:val="en-GB" w:eastAsia="en-GB" w:bidi="ar-SA"/>
        </w:rPr>
        <w:t xml:space="preserve">, 10(2), pp.138–150.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://doi.org/10.1007/s12207-017-9291-9</w:t>
      </w:r>
      <w:proofErr w:type="gramEnd"/>
      <w:r w:rsidRPr="008A7FAE">
        <w:rPr>
          <w:rFonts w:ascii="Arial" w:eastAsia="Times New Roman" w:hAnsi="Arial" w:cs="Arial"/>
          <w:sz w:val="22"/>
          <w:szCs w:val="22"/>
          <w:lang w:val="en-GB" w:eastAsia="en-GB" w:bidi="ar-SA"/>
        </w:rPr>
        <w:t>.</w:t>
      </w:r>
    </w:p>
    <w:p w14:paraId="703930A9"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John Hopkins Medicine (2024). </w:t>
      </w:r>
      <w:r w:rsidRPr="008A7FAE">
        <w:rPr>
          <w:rFonts w:ascii="Arial" w:eastAsia="Times New Roman" w:hAnsi="Arial" w:cs="Arial"/>
          <w:i/>
          <w:iCs/>
          <w:sz w:val="22"/>
          <w:szCs w:val="22"/>
          <w:lang w:val="en-GB" w:eastAsia="en-GB" w:bidi="ar-SA"/>
        </w:rPr>
        <w:t>Attention-Deficit / hyperactivity disorder (ADHD) in children</w:t>
      </w:r>
      <w:r w:rsidRPr="008A7FAE">
        <w:rPr>
          <w:rFonts w:ascii="Arial" w:eastAsia="Times New Roman" w:hAnsi="Arial" w:cs="Arial"/>
          <w:sz w:val="22"/>
          <w:szCs w:val="22"/>
          <w:lang w:val="en-GB" w:eastAsia="en-GB" w:bidi="ar-SA"/>
        </w:rPr>
        <w:t>. [online] John Hopkins Medicine. Available at: https://www.hopkinsmedicine.org/health/conditions-and-diseases/adhdadd.</w:t>
      </w:r>
    </w:p>
    <w:p w14:paraId="5D0CC8D7"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proofErr w:type="spellStart"/>
      <w:r w:rsidRPr="008A7FAE">
        <w:rPr>
          <w:rFonts w:ascii="Arial" w:eastAsia="Times New Roman" w:hAnsi="Arial" w:cs="Arial"/>
          <w:sz w:val="22"/>
          <w:szCs w:val="22"/>
          <w:lang w:val="en-GB" w:eastAsia="en-GB" w:bidi="ar-SA"/>
        </w:rPr>
        <w:t>Koseva</w:t>
      </w:r>
      <w:proofErr w:type="spellEnd"/>
      <w:r w:rsidRPr="008A7FAE">
        <w:rPr>
          <w:rFonts w:ascii="Arial" w:eastAsia="Times New Roman" w:hAnsi="Arial" w:cs="Arial"/>
          <w:sz w:val="22"/>
          <w:szCs w:val="22"/>
          <w:lang w:val="en-GB" w:eastAsia="en-GB" w:bidi="ar-SA"/>
        </w:rPr>
        <w:t xml:space="preserve">, N. (2023). </w:t>
      </w:r>
      <w:r w:rsidRPr="008A7FAE">
        <w:rPr>
          <w:rFonts w:ascii="Arial" w:eastAsia="Times New Roman" w:hAnsi="Arial" w:cs="Arial"/>
          <w:i/>
          <w:iCs/>
          <w:sz w:val="22"/>
          <w:szCs w:val="22"/>
          <w:lang w:val="en-GB" w:eastAsia="en-GB" w:bidi="ar-SA"/>
        </w:rPr>
        <w:t>Understanding ADHD: The 3 Different Types and Their Symptoms</w:t>
      </w:r>
      <w:r w:rsidRPr="008A7FAE">
        <w:rPr>
          <w:rFonts w:ascii="Arial" w:eastAsia="Times New Roman" w:hAnsi="Arial" w:cs="Arial"/>
          <w:sz w:val="22"/>
          <w:szCs w:val="22"/>
          <w:lang w:val="en-GB" w:eastAsia="en-GB" w:bidi="ar-SA"/>
        </w:rPr>
        <w:t>. [online] The ADHD Centre. Available at: https://www.adhdcentre.co.uk/understanding-adhd-the-3-different-types-and-their-symptoms/.</w:t>
      </w:r>
    </w:p>
    <w:p w14:paraId="4E81CD47"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Lange, K.W., Reichl, S., Lange, K.M., </w:t>
      </w:r>
      <w:proofErr w:type="spellStart"/>
      <w:r w:rsidRPr="008A7FAE">
        <w:rPr>
          <w:rFonts w:ascii="Arial" w:eastAsia="Times New Roman" w:hAnsi="Arial" w:cs="Arial"/>
          <w:sz w:val="22"/>
          <w:szCs w:val="22"/>
          <w:lang w:val="en-GB" w:eastAsia="en-GB" w:bidi="ar-SA"/>
        </w:rPr>
        <w:t>Tucha</w:t>
      </w:r>
      <w:proofErr w:type="spellEnd"/>
      <w:r w:rsidRPr="008A7FAE">
        <w:rPr>
          <w:rFonts w:ascii="Arial" w:eastAsia="Times New Roman" w:hAnsi="Arial" w:cs="Arial"/>
          <w:sz w:val="22"/>
          <w:szCs w:val="22"/>
          <w:lang w:val="en-GB" w:eastAsia="en-GB" w:bidi="ar-SA"/>
        </w:rPr>
        <w:t xml:space="preserve">, L. and </w:t>
      </w:r>
      <w:proofErr w:type="spellStart"/>
      <w:r w:rsidRPr="008A7FAE">
        <w:rPr>
          <w:rFonts w:ascii="Arial" w:eastAsia="Times New Roman" w:hAnsi="Arial" w:cs="Arial"/>
          <w:sz w:val="22"/>
          <w:szCs w:val="22"/>
          <w:lang w:val="en-GB" w:eastAsia="en-GB" w:bidi="ar-SA"/>
        </w:rPr>
        <w:t>Tucha</w:t>
      </w:r>
      <w:proofErr w:type="spellEnd"/>
      <w:r w:rsidRPr="008A7FAE">
        <w:rPr>
          <w:rFonts w:ascii="Arial" w:eastAsia="Times New Roman" w:hAnsi="Arial" w:cs="Arial"/>
          <w:sz w:val="22"/>
          <w:szCs w:val="22"/>
          <w:lang w:val="en-GB" w:eastAsia="en-GB" w:bidi="ar-SA"/>
        </w:rPr>
        <w:t xml:space="preserve">, O. (2010). The history of attention deficit hyperactivity disorder. </w:t>
      </w:r>
      <w:r w:rsidRPr="008A7FAE">
        <w:rPr>
          <w:rFonts w:ascii="Arial" w:eastAsia="Times New Roman" w:hAnsi="Arial" w:cs="Arial"/>
          <w:i/>
          <w:iCs/>
          <w:sz w:val="22"/>
          <w:szCs w:val="22"/>
          <w:lang w:val="en-GB" w:eastAsia="en-GB" w:bidi="ar-SA"/>
        </w:rPr>
        <w:t>ADHD Attention Deficit and Hyperactivity Disorders</w:t>
      </w:r>
      <w:r w:rsidRPr="008A7FAE">
        <w:rPr>
          <w:rFonts w:ascii="Arial" w:eastAsia="Times New Roman" w:hAnsi="Arial" w:cs="Arial"/>
          <w:sz w:val="22"/>
          <w:szCs w:val="22"/>
          <w:lang w:val="en-GB" w:eastAsia="en-GB" w:bidi="ar-SA"/>
        </w:rPr>
        <w:t xml:space="preserve">, [online] 2(4), pp.241–255. </w:t>
      </w:r>
      <w:proofErr w:type="spellStart"/>
      <w:proofErr w:type="gramStart"/>
      <w:r w:rsidRPr="008A7FAE">
        <w:rPr>
          <w:rFonts w:ascii="Arial" w:eastAsia="Times New Roman" w:hAnsi="Arial" w:cs="Arial"/>
          <w:sz w:val="22"/>
          <w:szCs w:val="22"/>
          <w:lang w:val="en-GB" w:eastAsia="en-GB" w:bidi="ar-SA"/>
        </w:rPr>
        <w:t>doi:https</w:t>
      </w:r>
      <w:proofErr w:type="spellEnd"/>
      <w:r w:rsidRPr="008A7FAE">
        <w:rPr>
          <w:rFonts w:ascii="Arial" w:eastAsia="Times New Roman" w:hAnsi="Arial" w:cs="Arial"/>
          <w:sz w:val="22"/>
          <w:szCs w:val="22"/>
          <w:lang w:val="en-GB" w:eastAsia="en-GB" w:bidi="ar-SA"/>
        </w:rPr>
        <w:t>://doi.org/10.1007/s12402-010-0045-8</w:t>
      </w:r>
      <w:proofErr w:type="gramEnd"/>
      <w:r w:rsidRPr="008A7FAE">
        <w:rPr>
          <w:rFonts w:ascii="Arial" w:eastAsia="Times New Roman" w:hAnsi="Arial" w:cs="Arial"/>
          <w:sz w:val="22"/>
          <w:szCs w:val="22"/>
          <w:lang w:val="en-GB" w:eastAsia="en-GB" w:bidi="ar-SA"/>
        </w:rPr>
        <w:t>.</w:t>
      </w:r>
    </w:p>
    <w:p w14:paraId="64ACE938"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National Institute of Mental Health (2024a). </w:t>
      </w:r>
      <w:r w:rsidRPr="008A7FAE">
        <w:rPr>
          <w:rFonts w:ascii="Arial" w:eastAsia="Times New Roman" w:hAnsi="Arial" w:cs="Arial"/>
          <w:i/>
          <w:iCs/>
          <w:sz w:val="22"/>
          <w:szCs w:val="22"/>
          <w:lang w:val="en-GB" w:eastAsia="en-GB" w:bidi="ar-SA"/>
        </w:rPr>
        <w:t>Attention-Deficit/Hyperactivity disorder</w:t>
      </w:r>
      <w:r w:rsidRPr="008A7FAE">
        <w:rPr>
          <w:rFonts w:ascii="Arial" w:eastAsia="Times New Roman" w:hAnsi="Arial" w:cs="Arial"/>
          <w:sz w:val="22"/>
          <w:szCs w:val="22"/>
          <w:lang w:val="en-GB" w:eastAsia="en-GB" w:bidi="ar-SA"/>
        </w:rPr>
        <w:t>. [online] www.nimh.nih.gov. Available at: https://www.nimh.nih.gov/health/topics/attention-deficit-hyperactivity-disorder-adhd.</w:t>
      </w:r>
    </w:p>
    <w:p w14:paraId="587BEDAC"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National Institute of Mental Health (2024b). </w:t>
      </w:r>
      <w:r w:rsidRPr="008A7FAE">
        <w:rPr>
          <w:rFonts w:ascii="Arial" w:eastAsia="Times New Roman" w:hAnsi="Arial" w:cs="Arial"/>
          <w:i/>
          <w:iCs/>
          <w:sz w:val="22"/>
          <w:szCs w:val="22"/>
          <w:lang w:val="en-GB" w:eastAsia="en-GB" w:bidi="ar-SA"/>
        </w:rPr>
        <w:t>Attention-Deficit/Hyperactivity disorder: What you need to know</w:t>
      </w:r>
      <w:r w:rsidRPr="008A7FAE">
        <w:rPr>
          <w:rFonts w:ascii="Arial" w:eastAsia="Times New Roman" w:hAnsi="Arial" w:cs="Arial"/>
          <w:sz w:val="22"/>
          <w:szCs w:val="22"/>
          <w:lang w:val="en-GB" w:eastAsia="en-GB" w:bidi="ar-SA"/>
        </w:rPr>
        <w:t>. [online] National Institute of Mental Health. Available at: https://www.nimh.nih.gov/health/publications/attention-deficit-hyperactivity-disorder-what-you-need-to-know.</w:t>
      </w:r>
    </w:p>
    <w:p w14:paraId="2559C1A4"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NHS (2025a). </w:t>
      </w:r>
      <w:r w:rsidRPr="008A7FAE">
        <w:rPr>
          <w:rFonts w:ascii="Arial" w:eastAsia="Times New Roman" w:hAnsi="Arial" w:cs="Arial"/>
          <w:i/>
          <w:iCs/>
          <w:sz w:val="22"/>
          <w:szCs w:val="22"/>
          <w:lang w:val="en-GB" w:eastAsia="en-GB" w:bidi="ar-SA"/>
        </w:rPr>
        <w:t>ADHD in adults</w:t>
      </w:r>
      <w:r w:rsidRPr="008A7FAE">
        <w:rPr>
          <w:rFonts w:ascii="Arial" w:eastAsia="Times New Roman" w:hAnsi="Arial" w:cs="Arial"/>
          <w:sz w:val="22"/>
          <w:szCs w:val="22"/>
          <w:lang w:val="en-GB" w:eastAsia="en-GB" w:bidi="ar-SA"/>
        </w:rPr>
        <w:t>. [online] nhs.uk. Available at: https://www.nhs.uk/conditions/adhd-adults/.</w:t>
      </w:r>
    </w:p>
    <w:p w14:paraId="7F668877"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NHS (2025b). </w:t>
      </w:r>
      <w:r w:rsidRPr="008A7FAE">
        <w:rPr>
          <w:rFonts w:ascii="Arial" w:eastAsia="Times New Roman" w:hAnsi="Arial" w:cs="Arial"/>
          <w:i/>
          <w:iCs/>
          <w:sz w:val="22"/>
          <w:szCs w:val="22"/>
          <w:lang w:val="en-GB" w:eastAsia="en-GB" w:bidi="ar-SA"/>
        </w:rPr>
        <w:t>ADHD in children and young people</w:t>
      </w:r>
      <w:r w:rsidRPr="008A7FAE">
        <w:rPr>
          <w:rFonts w:ascii="Arial" w:eastAsia="Times New Roman" w:hAnsi="Arial" w:cs="Arial"/>
          <w:sz w:val="22"/>
          <w:szCs w:val="22"/>
          <w:lang w:val="en-GB" w:eastAsia="en-GB" w:bidi="ar-SA"/>
        </w:rPr>
        <w:t>. [online] nhs.uk. Available at: https://www.nhs.uk/conditions/adhd-children-teenagers/.</w:t>
      </w:r>
    </w:p>
    <w:p w14:paraId="1B8E3FE8"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NHS, D. (2025c). Available at: </w:t>
      </w:r>
      <w:proofErr w:type="gramStart"/>
      <w:r w:rsidRPr="008A7FAE">
        <w:rPr>
          <w:rFonts w:ascii="Arial" w:eastAsia="Times New Roman" w:hAnsi="Arial" w:cs="Arial"/>
          <w:sz w:val="22"/>
          <w:szCs w:val="22"/>
          <w:lang w:val="en-GB" w:eastAsia="en-GB" w:bidi="ar-SA"/>
        </w:rPr>
        <w:t>https://digital.nhs.uk/data-and-information/publications/statistical/mi-adhd/may-2025#:~:text=Key%20Facts&amp;text=In%20May%202025%20it%20is,(aged%205%2D24).&amp;text=In%20March%202025%2C%20up%20to,Services%20(CHS)%20SitRep%20dataset.&amp;text=In%20March%202025%20up%20to,(2%2C000)%20from%20March%202024..</w:t>
      </w:r>
      <w:proofErr w:type="gramEnd"/>
    </w:p>
    <w:p w14:paraId="3B3678BB"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t xml:space="preserve">Rath, L. (2023). </w:t>
      </w:r>
      <w:r w:rsidRPr="008A7FAE">
        <w:rPr>
          <w:rFonts w:ascii="Arial" w:eastAsia="Times New Roman" w:hAnsi="Arial" w:cs="Arial"/>
          <w:i/>
          <w:iCs/>
          <w:sz w:val="22"/>
          <w:szCs w:val="22"/>
          <w:lang w:val="en-GB" w:eastAsia="en-GB" w:bidi="ar-SA"/>
        </w:rPr>
        <w:t xml:space="preserve">Cognitive </w:t>
      </w:r>
      <w:proofErr w:type="spellStart"/>
      <w:r w:rsidRPr="008A7FAE">
        <w:rPr>
          <w:rFonts w:ascii="Arial" w:eastAsia="Times New Roman" w:hAnsi="Arial" w:cs="Arial"/>
          <w:i/>
          <w:iCs/>
          <w:sz w:val="22"/>
          <w:szCs w:val="22"/>
          <w:lang w:val="en-GB" w:eastAsia="en-GB" w:bidi="ar-SA"/>
        </w:rPr>
        <w:t>Behavioral</w:t>
      </w:r>
      <w:proofErr w:type="spellEnd"/>
      <w:r w:rsidRPr="008A7FAE">
        <w:rPr>
          <w:rFonts w:ascii="Arial" w:eastAsia="Times New Roman" w:hAnsi="Arial" w:cs="Arial"/>
          <w:i/>
          <w:iCs/>
          <w:sz w:val="22"/>
          <w:szCs w:val="22"/>
          <w:lang w:val="en-GB" w:eastAsia="en-GB" w:bidi="ar-SA"/>
        </w:rPr>
        <w:t xml:space="preserve"> Therapy for Adult ADHD</w:t>
      </w:r>
      <w:r w:rsidRPr="008A7FAE">
        <w:rPr>
          <w:rFonts w:ascii="Arial" w:eastAsia="Times New Roman" w:hAnsi="Arial" w:cs="Arial"/>
          <w:sz w:val="22"/>
          <w:szCs w:val="22"/>
          <w:lang w:val="en-GB" w:eastAsia="en-GB" w:bidi="ar-SA"/>
        </w:rPr>
        <w:t>. [online] WebMD. Available at: https://www.webmd.com/add-adhd/cbt-adult-adhd.</w:t>
      </w:r>
    </w:p>
    <w:p w14:paraId="33C2626B" w14:textId="77777777" w:rsidR="008A7FAE" w:rsidRPr="008A7FAE" w:rsidRDefault="008A7FAE" w:rsidP="008A7FAE">
      <w:pPr>
        <w:widowControl/>
        <w:suppressAutoHyphens w:val="0"/>
        <w:spacing w:after="240" w:line="360" w:lineRule="auto"/>
        <w:rPr>
          <w:rFonts w:ascii="Arial" w:eastAsia="Times New Roman" w:hAnsi="Arial" w:cs="Arial"/>
          <w:sz w:val="22"/>
          <w:szCs w:val="22"/>
          <w:lang w:val="en-GB" w:eastAsia="en-GB" w:bidi="ar-SA"/>
        </w:rPr>
      </w:pPr>
      <w:r w:rsidRPr="008A7FAE">
        <w:rPr>
          <w:rFonts w:ascii="Arial" w:eastAsia="Times New Roman" w:hAnsi="Arial" w:cs="Arial"/>
          <w:sz w:val="22"/>
          <w:szCs w:val="22"/>
          <w:lang w:val="en-GB" w:eastAsia="en-GB" w:bidi="ar-SA"/>
        </w:rPr>
        <w:lastRenderedPageBreak/>
        <w:t xml:space="preserve">Roth, E. and Weiss, K. (2013). </w:t>
      </w:r>
      <w:r w:rsidRPr="008A7FAE">
        <w:rPr>
          <w:rFonts w:ascii="Arial" w:eastAsia="Times New Roman" w:hAnsi="Arial" w:cs="Arial"/>
          <w:i/>
          <w:iCs/>
          <w:sz w:val="22"/>
          <w:szCs w:val="22"/>
          <w:lang w:val="en-GB" w:eastAsia="en-GB" w:bidi="ar-SA"/>
        </w:rPr>
        <w:t>What Are the Three Types of ADHD?</w:t>
      </w:r>
      <w:r w:rsidRPr="008A7FAE">
        <w:rPr>
          <w:rFonts w:ascii="Arial" w:eastAsia="Times New Roman" w:hAnsi="Arial" w:cs="Arial"/>
          <w:sz w:val="22"/>
          <w:szCs w:val="22"/>
          <w:lang w:val="en-GB" w:eastAsia="en-GB" w:bidi="ar-SA"/>
        </w:rPr>
        <w:t xml:space="preserve"> [online] Healthline. Available at: https://www.healthline.com/health/adhd/three-types-adhd.</w:t>
      </w:r>
    </w:p>
    <w:p w14:paraId="7B02D757" w14:textId="77777777" w:rsidR="008A7FAE" w:rsidRPr="008A7FAE" w:rsidRDefault="008A7FAE" w:rsidP="00800EA4">
      <w:pPr>
        <w:spacing w:line="360" w:lineRule="auto"/>
        <w:rPr>
          <w:rFonts w:ascii="Arial" w:hAnsi="Arial" w:cs="Arial"/>
          <w:sz w:val="22"/>
          <w:szCs w:val="22"/>
        </w:rPr>
      </w:pPr>
    </w:p>
    <w:sectPr w:rsidR="008A7FAE" w:rsidRPr="008A7F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32928" w14:textId="77777777" w:rsidR="003C455F" w:rsidRDefault="003C455F" w:rsidP="002D1D7A">
      <w:r>
        <w:separator/>
      </w:r>
    </w:p>
  </w:endnote>
  <w:endnote w:type="continuationSeparator" w:id="0">
    <w:p w14:paraId="020A6B6F" w14:textId="77777777" w:rsidR="003C455F" w:rsidRDefault="003C455F" w:rsidP="002D1D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jaVu Serif">
    <w:altName w:val="Cambria"/>
    <w:charset w:val="01"/>
    <w:family w:val="roman"/>
    <w:pitch w:val="variable"/>
  </w:font>
  <w:font w:name="DejaVu Sans">
    <w:altName w:val="Verdana"/>
    <w:panose1 w:val="00000000000000000000"/>
    <w:charset w:val="00"/>
    <w:family w:val="roman"/>
    <w:notTrueType/>
    <w:pitch w:val="default"/>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616273"/>
      <w:docPartObj>
        <w:docPartGallery w:val="Page Numbers (Bottom of Page)"/>
        <w:docPartUnique/>
      </w:docPartObj>
    </w:sdtPr>
    <w:sdtEndPr>
      <w:rPr>
        <w:noProof/>
      </w:rPr>
    </w:sdtEndPr>
    <w:sdtContent>
      <w:p w14:paraId="4DA92982" w14:textId="77777777" w:rsidR="002D1D7A" w:rsidRDefault="002D1D7A">
        <w:pPr>
          <w:pStyle w:val="Footer"/>
          <w:jc w:val="center"/>
        </w:pPr>
      </w:p>
      <w:p w14:paraId="533ECC9F" w14:textId="3BFF5693" w:rsidR="002D1D7A" w:rsidRDefault="002D1D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312250" w14:textId="77777777" w:rsidR="002D1D7A" w:rsidRDefault="002D1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35CB5" w14:textId="77777777" w:rsidR="003C455F" w:rsidRDefault="003C455F" w:rsidP="002D1D7A">
      <w:r>
        <w:separator/>
      </w:r>
    </w:p>
  </w:footnote>
  <w:footnote w:type="continuationSeparator" w:id="0">
    <w:p w14:paraId="3865A607" w14:textId="77777777" w:rsidR="003C455F" w:rsidRDefault="003C455F" w:rsidP="002D1D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F71"/>
    <w:rsid w:val="00002E7D"/>
    <w:rsid w:val="00074BD1"/>
    <w:rsid w:val="00077B62"/>
    <w:rsid w:val="00081B92"/>
    <w:rsid w:val="00106C7C"/>
    <w:rsid w:val="00123EE1"/>
    <w:rsid w:val="0016187B"/>
    <w:rsid w:val="001E71F1"/>
    <w:rsid w:val="001F5EDD"/>
    <w:rsid w:val="0020473B"/>
    <w:rsid w:val="00236469"/>
    <w:rsid w:val="002D1D7A"/>
    <w:rsid w:val="002D33DE"/>
    <w:rsid w:val="002D7704"/>
    <w:rsid w:val="00344D7D"/>
    <w:rsid w:val="00345D26"/>
    <w:rsid w:val="00367A62"/>
    <w:rsid w:val="003860B9"/>
    <w:rsid w:val="003C455F"/>
    <w:rsid w:val="003D4993"/>
    <w:rsid w:val="003D62C0"/>
    <w:rsid w:val="00415A52"/>
    <w:rsid w:val="00446814"/>
    <w:rsid w:val="004867C0"/>
    <w:rsid w:val="004C51B9"/>
    <w:rsid w:val="004D6A92"/>
    <w:rsid w:val="004D77F1"/>
    <w:rsid w:val="004F2A59"/>
    <w:rsid w:val="005042B3"/>
    <w:rsid w:val="0050792C"/>
    <w:rsid w:val="00540FCC"/>
    <w:rsid w:val="005440A6"/>
    <w:rsid w:val="005948E7"/>
    <w:rsid w:val="005B275B"/>
    <w:rsid w:val="005E5CA0"/>
    <w:rsid w:val="006011DF"/>
    <w:rsid w:val="00616045"/>
    <w:rsid w:val="00636448"/>
    <w:rsid w:val="00647D13"/>
    <w:rsid w:val="00663088"/>
    <w:rsid w:val="00692C38"/>
    <w:rsid w:val="006A34E9"/>
    <w:rsid w:val="006F1491"/>
    <w:rsid w:val="007078B7"/>
    <w:rsid w:val="00721EE2"/>
    <w:rsid w:val="007361E1"/>
    <w:rsid w:val="007428C3"/>
    <w:rsid w:val="007F3A89"/>
    <w:rsid w:val="00800EA4"/>
    <w:rsid w:val="00805229"/>
    <w:rsid w:val="008558C8"/>
    <w:rsid w:val="00862492"/>
    <w:rsid w:val="008A7FAE"/>
    <w:rsid w:val="0090274A"/>
    <w:rsid w:val="009645AC"/>
    <w:rsid w:val="00981EA8"/>
    <w:rsid w:val="0098451C"/>
    <w:rsid w:val="009A0EAF"/>
    <w:rsid w:val="009F2B8E"/>
    <w:rsid w:val="00A012E0"/>
    <w:rsid w:val="00A541BB"/>
    <w:rsid w:val="00A61D8C"/>
    <w:rsid w:val="00AC2AA1"/>
    <w:rsid w:val="00B32EF8"/>
    <w:rsid w:val="00B706C7"/>
    <w:rsid w:val="00BB10FC"/>
    <w:rsid w:val="00BC5510"/>
    <w:rsid w:val="00C10803"/>
    <w:rsid w:val="00C63CD3"/>
    <w:rsid w:val="00C91982"/>
    <w:rsid w:val="00C92300"/>
    <w:rsid w:val="00CC734F"/>
    <w:rsid w:val="00CE7525"/>
    <w:rsid w:val="00CF6105"/>
    <w:rsid w:val="00D03FB7"/>
    <w:rsid w:val="00D25F71"/>
    <w:rsid w:val="00D27369"/>
    <w:rsid w:val="00D37521"/>
    <w:rsid w:val="00D406EE"/>
    <w:rsid w:val="00D602CD"/>
    <w:rsid w:val="00DB53E3"/>
    <w:rsid w:val="00DD7E1E"/>
    <w:rsid w:val="00E46720"/>
    <w:rsid w:val="00EA6B23"/>
    <w:rsid w:val="00EC5AB8"/>
    <w:rsid w:val="00EE7E3C"/>
    <w:rsid w:val="00F03AD6"/>
    <w:rsid w:val="00F318A1"/>
    <w:rsid w:val="00F43244"/>
    <w:rsid w:val="00F46DE5"/>
    <w:rsid w:val="00F70CB6"/>
    <w:rsid w:val="00F9168C"/>
    <w:rsid w:val="00F95838"/>
    <w:rsid w:val="00FA2685"/>
    <w:rsid w:val="00FF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8637D"/>
  <w15:chartTrackingRefBased/>
  <w15:docId w15:val="{5189CCE0-9516-462A-AE22-783C8F9C2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CA0"/>
    <w:pPr>
      <w:widowControl w:val="0"/>
      <w:suppressAutoHyphens/>
      <w:spacing w:after="0" w:line="240" w:lineRule="auto"/>
    </w:pPr>
    <w:rPr>
      <w:rFonts w:ascii="DejaVu Serif" w:eastAsia="DejaVu Sans" w:hAnsi="DejaVu Serif" w:cs="DejaVu Sans"/>
      <w:sz w:val="24"/>
      <w:szCs w:val="24"/>
      <w:lang w:val="en-US" w:eastAsia="zh-CN" w:bidi="hi-IN"/>
    </w:rPr>
  </w:style>
  <w:style w:type="paragraph" w:styleId="Heading1">
    <w:name w:val="heading 1"/>
    <w:basedOn w:val="Normal"/>
    <w:link w:val="Heading1Char"/>
    <w:uiPriority w:val="9"/>
    <w:qFormat/>
    <w:rsid w:val="008A7FAE"/>
    <w:pPr>
      <w:widowControl/>
      <w:suppressAutoHyphens w:val="0"/>
      <w:spacing w:before="100" w:beforeAutospacing="1" w:after="100" w:afterAutospacing="1"/>
      <w:outlineLvl w:val="0"/>
    </w:pPr>
    <w:rPr>
      <w:rFonts w:ascii="Times New Roman" w:eastAsia="Times New Roman" w:hAnsi="Times New Roman" w:cs="Times New Roman"/>
      <w:b/>
      <w:bCs/>
      <w:kern w:val="36"/>
      <w:sz w:val="48"/>
      <w:szCs w:val="48"/>
      <w:lang w:val="en-GB"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5E5CA0"/>
    <w:pPr>
      <w:spacing w:after="283"/>
    </w:pPr>
  </w:style>
  <w:style w:type="character" w:customStyle="1" w:styleId="BodyTextChar">
    <w:name w:val="Body Text Char"/>
    <w:basedOn w:val="DefaultParagraphFont"/>
    <w:link w:val="BodyText"/>
    <w:rsid w:val="005E5CA0"/>
    <w:rPr>
      <w:rFonts w:ascii="DejaVu Serif" w:eastAsia="DejaVu Sans" w:hAnsi="DejaVu Serif" w:cs="DejaVu Sans"/>
      <w:sz w:val="24"/>
      <w:szCs w:val="24"/>
      <w:lang w:val="en-US" w:eastAsia="zh-CN" w:bidi="hi-IN"/>
    </w:rPr>
  </w:style>
  <w:style w:type="paragraph" w:styleId="NormalWeb">
    <w:name w:val="Normal (Web)"/>
    <w:basedOn w:val="Normal"/>
    <w:uiPriority w:val="99"/>
    <w:semiHidden/>
    <w:unhideWhenUsed/>
    <w:rsid w:val="00800EA4"/>
    <w:pPr>
      <w:widowControl/>
      <w:suppressAutoHyphens w:val="0"/>
      <w:spacing w:before="100" w:beforeAutospacing="1" w:after="100" w:afterAutospacing="1"/>
    </w:pPr>
    <w:rPr>
      <w:rFonts w:ascii="Times New Roman" w:eastAsia="Times New Roman" w:hAnsi="Times New Roman" w:cs="Times New Roman"/>
      <w:lang w:val="en-GB" w:eastAsia="en-GB" w:bidi="ar-SA"/>
    </w:rPr>
  </w:style>
  <w:style w:type="character" w:styleId="Strong">
    <w:name w:val="Strong"/>
    <w:basedOn w:val="DefaultParagraphFont"/>
    <w:uiPriority w:val="22"/>
    <w:qFormat/>
    <w:rsid w:val="00800EA4"/>
    <w:rPr>
      <w:b/>
      <w:bCs/>
    </w:rPr>
  </w:style>
  <w:style w:type="character" w:customStyle="1" w:styleId="Heading1Char">
    <w:name w:val="Heading 1 Char"/>
    <w:basedOn w:val="DefaultParagraphFont"/>
    <w:link w:val="Heading1"/>
    <w:uiPriority w:val="9"/>
    <w:rsid w:val="008A7FAE"/>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2D1D7A"/>
    <w:pPr>
      <w:tabs>
        <w:tab w:val="center" w:pos="4513"/>
        <w:tab w:val="right" w:pos="9026"/>
      </w:tabs>
    </w:pPr>
    <w:rPr>
      <w:rFonts w:cs="Mangal"/>
      <w:szCs w:val="21"/>
    </w:rPr>
  </w:style>
  <w:style w:type="character" w:customStyle="1" w:styleId="HeaderChar">
    <w:name w:val="Header Char"/>
    <w:basedOn w:val="DefaultParagraphFont"/>
    <w:link w:val="Header"/>
    <w:uiPriority w:val="99"/>
    <w:rsid w:val="002D1D7A"/>
    <w:rPr>
      <w:rFonts w:ascii="DejaVu Serif" w:eastAsia="DejaVu Sans" w:hAnsi="DejaVu Serif" w:cs="Mangal"/>
      <w:sz w:val="24"/>
      <w:szCs w:val="21"/>
      <w:lang w:val="en-US" w:eastAsia="zh-CN" w:bidi="hi-IN"/>
    </w:rPr>
  </w:style>
  <w:style w:type="paragraph" w:styleId="Footer">
    <w:name w:val="footer"/>
    <w:basedOn w:val="Normal"/>
    <w:link w:val="FooterChar"/>
    <w:uiPriority w:val="99"/>
    <w:unhideWhenUsed/>
    <w:rsid w:val="002D1D7A"/>
    <w:pPr>
      <w:tabs>
        <w:tab w:val="center" w:pos="4513"/>
        <w:tab w:val="right" w:pos="9026"/>
      </w:tabs>
    </w:pPr>
    <w:rPr>
      <w:rFonts w:cs="Mangal"/>
      <w:szCs w:val="21"/>
    </w:rPr>
  </w:style>
  <w:style w:type="character" w:customStyle="1" w:styleId="FooterChar">
    <w:name w:val="Footer Char"/>
    <w:basedOn w:val="DefaultParagraphFont"/>
    <w:link w:val="Footer"/>
    <w:uiPriority w:val="99"/>
    <w:rsid w:val="002D1D7A"/>
    <w:rPr>
      <w:rFonts w:ascii="DejaVu Serif" w:eastAsia="DejaVu Sans" w:hAnsi="DejaVu Serif" w:cs="Mangal"/>
      <w:sz w:val="24"/>
      <w:szCs w:val="21"/>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503947">
      <w:bodyDiv w:val="1"/>
      <w:marLeft w:val="0"/>
      <w:marRight w:val="0"/>
      <w:marTop w:val="0"/>
      <w:marBottom w:val="0"/>
      <w:divBdr>
        <w:top w:val="none" w:sz="0" w:space="0" w:color="auto"/>
        <w:left w:val="none" w:sz="0" w:space="0" w:color="auto"/>
        <w:bottom w:val="none" w:sz="0" w:space="0" w:color="auto"/>
        <w:right w:val="none" w:sz="0" w:space="0" w:color="auto"/>
      </w:divBdr>
    </w:div>
    <w:div w:id="780149012">
      <w:bodyDiv w:val="1"/>
      <w:marLeft w:val="0"/>
      <w:marRight w:val="0"/>
      <w:marTop w:val="0"/>
      <w:marBottom w:val="0"/>
      <w:divBdr>
        <w:top w:val="none" w:sz="0" w:space="0" w:color="auto"/>
        <w:left w:val="none" w:sz="0" w:space="0" w:color="auto"/>
        <w:bottom w:val="none" w:sz="0" w:space="0" w:color="auto"/>
        <w:right w:val="none" w:sz="0" w:space="0" w:color="auto"/>
      </w:divBdr>
      <w:divsChild>
        <w:div w:id="1115294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19F8B-D399-4D00-9204-70ED0362D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Andrea-Ramona Polac</dc:creator>
  <cp:keywords/>
  <dc:description/>
  <cp:lastModifiedBy>Andrea-Ramona Polac (2130206)</cp:lastModifiedBy>
  <cp:revision>2</cp:revision>
  <dcterms:created xsi:type="dcterms:W3CDTF">2025-07-17T08:44:00Z</dcterms:created>
  <dcterms:modified xsi:type="dcterms:W3CDTF">2025-07-17T08:44:00Z</dcterms:modified>
</cp:coreProperties>
</file>