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B425189" w:rsidR="00986B43" w:rsidRDefault="00986B43" w:rsidP="00442BF9">
            <w:pPr>
              <w:tabs>
                <w:tab w:val="left" w:pos="4370"/>
              </w:tabs>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42BF9">
              <w:rPr>
                <w:rFonts w:ascii="Times New Roman" w:hAnsi="Times New Roman" w:cs="Times New Roman"/>
                <w:b/>
                <w:color w:val="auto"/>
                <w:sz w:val="48"/>
              </w:rPr>
              <w:t>Marc Bentham</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BB0C75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42BF9">
              <w:rPr>
                <w:rFonts w:ascii="Times New Roman" w:hAnsi="Times New Roman" w:cs="Times New Roman"/>
                <w:b/>
                <w:color w:val="auto"/>
                <w:sz w:val="48"/>
              </w:rPr>
              <w:t xml:space="preserve"> </w:t>
            </w:r>
            <w:hyperlink r:id="rId11" w:history="1">
              <w:r w:rsidR="00442BF9" w:rsidRPr="00B95AF4">
                <w:rPr>
                  <w:rStyle w:val="Hyperddolen"/>
                  <w:rFonts w:ascii="Times New Roman" w:hAnsi="Times New Roman" w:cs="Times New Roman"/>
                  <w:b/>
                  <w:sz w:val="32"/>
                  <w:szCs w:val="32"/>
                </w:rPr>
                <w:t>2330026@student.uwtsd.ac.uk</w:t>
              </w:r>
            </w:hyperlink>
            <w:r w:rsidR="00442BF9" w:rsidRPr="00B95AF4">
              <w:rPr>
                <w:rFonts w:ascii="Times New Roman" w:hAnsi="Times New Roman" w:cs="Times New Roman"/>
                <w:b/>
                <w:sz w:val="32"/>
                <w:szCs w:val="32"/>
              </w:rPr>
              <w:t>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D29E56E" w:rsidR="0085230E" w:rsidRPr="005D3F07" w:rsidRDefault="00442BF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2330026</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FF2C743"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Task 3 </w:t>
      </w:r>
    </w:p>
    <w:p w14:paraId="6FD303F1" w14:textId="77777777" w:rsidR="00442BF9" w:rsidRPr="00442BF9" w:rsidRDefault="00442BF9" w:rsidP="00442BF9">
      <w:pPr>
        <w:spacing w:line="360" w:lineRule="auto"/>
        <w:rPr>
          <w:rFonts w:asciiTheme="minorHAnsi" w:hAnsiTheme="minorHAnsi" w:cstheme="minorHAnsi"/>
          <w:sz w:val="24"/>
          <w:szCs w:val="24"/>
        </w:rPr>
      </w:pPr>
    </w:p>
    <w:p w14:paraId="0D4B3402"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The safeguarding case I have decided to critically reflect upon involved a 27-year-old woman who I will name 2 to remain confidential. I have been her social worker for approximately 8 months. I work for an adult’s Learning Disability team, however 2 is not diagnosed with a learning disability. She has clear learning needs and due to being a vulnerable adult, when she was 18 it was deemed that the learning disability team were best places to assess and support her needs in accordance with the Social Services </w:t>
      </w:r>
      <w:r w:rsidRPr="00442BF9">
        <w:rPr>
          <w:rFonts w:asciiTheme="minorHAnsi" w:hAnsiTheme="minorHAnsi" w:cstheme="minorHAnsi"/>
          <w:sz w:val="24"/>
          <w:szCs w:val="24"/>
        </w:rPr>
        <w:lastRenderedPageBreak/>
        <w:t xml:space="preserve">and Well-being (Wales) Act 2014 (SSW(W)A 2014). As a young child she was adopted with her biological sister (who also has learning needs) to a family from a small village in a rural part of Wales. 2 was born and spent the first few years of her life in an English city. As well as her biological sister who now has little contact with the family. 2 has three adopted siblings, her adopted Father has moved to Scotland and her adopted Mother passed away last year after suffering an illness. This resulted in 2 having to move suddenly into a supported accommodation provided by the Local Authority (LA). 2’s adopted sister who will be named 3 then became her financial appointee, a role that her adopted Mother used to support her with. The safeguarding concern came when supporting 2 with some financial matters some irregularities regarding her benefits that gave me cause to investigate potential financial abuse. </w:t>
      </w:r>
    </w:p>
    <w:p w14:paraId="1916E328" w14:textId="77777777" w:rsidR="00442BF9" w:rsidRPr="00442BF9" w:rsidRDefault="00442BF9" w:rsidP="00442BF9">
      <w:pPr>
        <w:spacing w:line="360" w:lineRule="auto"/>
        <w:rPr>
          <w:rFonts w:asciiTheme="minorHAnsi" w:hAnsiTheme="minorHAnsi" w:cstheme="minorHAnsi"/>
          <w:sz w:val="24"/>
          <w:szCs w:val="24"/>
        </w:rPr>
      </w:pPr>
    </w:p>
    <w:p w14:paraId="1E153260"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2 told me that she received two types of income benefits, PIP and ESA. The arrangement she had with her sister was that 3 received both benefits and sent them into 2’s personal bank account immediately. I observed with 2 whilst looking at her bank statements that this was evident up to around 10 months prior to the meeting, during the recent ten months only one payment a month was sent from 3 to 2. Whilst 2 disclosed she had no recollection of an agreement to change their arrangement. This indicated to me that 2 was a person at risk, potentially exposed to financial abuse by 3. Section 126 of the SSW(W)A 2014 emphasises this as 2 is ‘a person who had needs for care and support and was unable to protect herself from the abuse’. As she is a vulnerable person with learning needs open to social services and unable to protect herself without support due to going ten months without noticing a significant payment missing from her income. Brammer (2015c) defines abuse as a single or repeated act or a lack of appropriate action within a relationship where there is an expectation of trust, which causes harm. One of the types of abuse listed by Brammer (2015c) is financial abuse. Due to the factors defined by Brammer, I had ‘reasonable cause to suspect 2 was a person at risk of abuse and therefore was duty-bound under section 128 of the SSW(W)A 2014 to report this. </w:t>
      </w:r>
    </w:p>
    <w:p w14:paraId="2E3A533C" w14:textId="77777777" w:rsidR="00442BF9" w:rsidRPr="00442BF9" w:rsidRDefault="00442BF9" w:rsidP="00442BF9">
      <w:pPr>
        <w:spacing w:line="360" w:lineRule="auto"/>
        <w:rPr>
          <w:rFonts w:asciiTheme="minorHAnsi" w:hAnsiTheme="minorHAnsi" w:cstheme="minorHAnsi"/>
          <w:sz w:val="24"/>
          <w:szCs w:val="24"/>
        </w:rPr>
      </w:pPr>
    </w:p>
    <w:p w14:paraId="0E97EDC8"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Social Care </w:t>
      </w:r>
      <w:proofErr w:type="spellStart"/>
      <w:r w:rsidRPr="00442BF9">
        <w:rPr>
          <w:rFonts w:asciiTheme="minorHAnsi" w:hAnsiTheme="minorHAnsi" w:cstheme="minorHAnsi"/>
          <w:sz w:val="24"/>
          <w:szCs w:val="24"/>
        </w:rPr>
        <w:t>Wales’</w:t>
      </w:r>
      <w:proofErr w:type="spellEnd"/>
      <w:r w:rsidRPr="00442BF9">
        <w:rPr>
          <w:rFonts w:asciiTheme="minorHAnsi" w:hAnsiTheme="minorHAnsi" w:cstheme="minorHAnsi"/>
          <w:sz w:val="24"/>
          <w:szCs w:val="24"/>
        </w:rPr>
        <w:t xml:space="preserve"> (2017) third Professional Code of Practice (COP) ‘to promote an individual’s well-being whilst supporting them to stay safe’ was further clarification that I needed to act. As the severity of the situation dawned on me, I remember being very driven by my social work values such as </w:t>
      </w:r>
      <w:r w:rsidRPr="00442BF9">
        <w:rPr>
          <w:rFonts w:asciiTheme="minorHAnsi" w:hAnsiTheme="minorHAnsi" w:cstheme="minorHAnsi"/>
          <w:sz w:val="24"/>
          <w:szCs w:val="24"/>
        </w:rPr>
        <w:lastRenderedPageBreak/>
        <w:t xml:space="preserve">providing a duty of service to 2 and to advocate for her to gain social justice (Social Work Guide, 2023). Without referring to the principles of the European Convention on Human Rights (ECHR), I felt that 2’s rights had been somehow violated by 3. </w:t>
      </w:r>
      <w:proofErr w:type="gramStart"/>
      <w:r w:rsidRPr="00442BF9">
        <w:rPr>
          <w:rFonts w:asciiTheme="minorHAnsi" w:hAnsiTheme="minorHAnsi" w:cstheme="minorHAnsi"/>
          <w:sz w:val="24"/>
          <w:szCs w:val="24"/>
        </w:rPr>
        <w:t>However</w:t>
      </w:r>
      <w:proofErr w:type="gramEnd"/>
      <w:r w:rsidRPr="00442BF9">
        <w:rPr>
          <w:rFonts w:asciiTheme="minorHAnsi" w:hAnsiTheme="minorHAnsi" w:cstheme="minorHAnsi"/>
          <w:sz w:val="24"/>
          <w:szCs w:val="24"/>
        </w:rPr>
        <w:t xml:space="preserve"> when interpretating the Human Rights Act 1998, it struck a chord that if I ‘the social worker’ did not proceed with regard to procedure and the law. Then I may be the one who violates 2’s human rights. Cree and Wallace (2009) as cited in Adams et al (2009c) states that those who are considered at risk are those who equally have rights, and it is the social worker’s duty to advise on this. I took particular interest in Article 8 of ECHR which affirms I should be mindful of 2’s ‘right to respect for private and family life’. This principle accompanies the first and second COP ‘to respect the views and wishes of the individual and maintain their trust and confidence (Social Care Wales, 2017). Faced with a complex situation where a balance needs to be found between safeguarding a vulnerable person as well as promoting their rights, I knew there were two immediate strategies I needed to implement. To follow safeguarding procedures whilst encouraging a collaborative approach with 2. </w:t>
      </w:r>
    </w:p>
    <w:p w14:paraId="7589C1FB" w14:textId="77777777" w:rsidR="00442BF9" w:rsidRPr="00442BF9" w:rsidRDefault="00442BF9" w:rsidP="00442BF9">
      <w:pPr>
        <w:spacing w:line="360" w:lineRule="auto"/>
        <w:rPr>
          <w:rFonts w:asciiTheme="minorHAnsi" w:hAnsiTheme="minorHAnsi" w:cstheme="minorHAnsi"/>
          <w:sz w:val="24"/>
          <w:szCs w:val="24"/>
        </w:rPr>
      </w:pPr>
    </w:p>
    <w:p w14:paraId="40E3C075"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To ensure a collaborative approach I had to share my concerns with 2 and ensure she gave me consent to investigate the matter deeper. Social Care Wales (2025) states that the interest of the individual should be </w:t>
      </w:r>
      <w:proofErr w:type="gramStart"/>
      <w:r w:rsidRPr="00442BF9">
        <w:rPr>
          <w:rFonts w:asciiTheme="minorHAnsi" w:hAnsiTheme="minorHAnsi" w:cstheme="minorHAnsi"/>
          <w:sz w:val="24"/>
          <w:szCs w:val="24"/>
        </w:rPr>
        <w:t>paramount</w:t>
      </w:r>
      <w:proofErr w:type="gramEnd"/>
      <w:r w:rsidRPr="00442BF9">
        <w:rPr>
          <w:rFonts w:asciiTheme="minorHAnsi" w:hAnsiTheme="minorHAnsi" w:cstheme="minorHAnsi"/>
          <w:sz w:val="24"/>
          <w:szCs w:val="24"/>
        </w:rPr>
        <w:t xml:space="preserve"> and practitioners should seek consent when possible with the advantages including; engagement in the process to have effective outcomes and to promote an effective working partnership. The phrase ‘when possible’ could be interpreted </w:t>
      </w:r>
      <w:r w:rsidRPr="00442BF9">
        <w:rPr>
          <w:rFonts w:asciiTheme="minorHAnsi" w:hAnsiTheme="minorHAnsi" w:cstheme="minorHAnsi"/>
          <w:i/>
          <w:iCs/>
          <w:sz w:val="24"/>
          <w:szCs w:val="24"/>
        </w:rPr>
        <w:t>if the individual has capacity</w:t>
      </w:r>
      <w:r w:rsidRPr="00442BF9">
        <w:rPr>
          <w:rFonts w:asciiTheme="minorHAnsi" w:hAnsiTheme="minorHAnsi" w:cstheme="minorHAnsi"/>
          <w:sz w:val="24"/>
          <w:szCs w:val="24"/>
        </w:rPr>
        <w:t xml:space="preserve"> which is often an important consideration in my work as a learning disability social worker. The first principle of the Mental Capacity Act 2005 (MCA 2005) is to presume a person has capacity. And section 2 of the MCA 2005 clarifies that a person who lacks capacity in relation to a matter is because of an impairment of the functioning of the mind. The fact that 2 does not have a diagnosis such as a learning disability is very relevant to this case. By taking time to apply analysis in assessment of the implication this may have on 2’s well-being. And how it may implicate her relationship with her adopted sister and wider family members. It was important that I justified my own concerns by applying a critical approach for holistic perspective of the situation. Vital in this case to ensure the investigation is about 2, and not led by presumptuous beliefs based on previous experiences of seeing people with learning needs being exploited (Fook, ND as cited in Davies, 2023a).</w:t>
      </w:r>
    </w:p>
    <w:p w14:paraId="7C5B0F28" w14:textId="77777777" w:rsidR="00442BF9" w:rsidRPr="00442BF9" w:rsidRDefault="00442BF9" w:rsidP="00442BF9">
      <w:pPr>
        <w:spacing w:line="360" w:lineRule="auto"/>
        <w:rPr>
          <w:rFonts w:asciiTheme="minorHAnsi" w:hAnsiTheme="minorHAnsi" w:cstheme="minorHAnsi"/>
          <w:sz w:val="24"/>
          <w:szCs w:val="24"/>
        </w:rPr>
      </w:pPr>
    </w:p>
    <w:p w14:paraId="4C617CBF" w14:textId="77777777" w:rsidR="00442BF9" w:rsidRDefault="00442BF9" w:rsidP="00442BF9">
      <w:pPr>
        <w:spacing w:line="360" w:lineRule="auto"/>
        <w:rPr>
          <w:rFonts w:asciiTheme="minorHAnsi" w:hAnsiTheme="minorHAnsi" w:cstheme="minorHAnsi"/>
          <w:sz w:val="24"/>
          <w:szCs w:val="24"/>
        </w:rPr>
      </w:pPr>
      <w:proofErr w:type="gramStart"/>
      <w:r w:rsidRPr="00442BF9">
        <w:rPr>
          <w:rFonts w:asciiTheme="minorHAnsi" w:hAnsiTheme="minorHAnsi" w:cstheme="minorHAnsi"/>
          <w:sz w:val="24"/>
          <w:szCs w:val="24"/>
        </w:rPr>
        <w:t xml:space="preserve">With this in mind, </w:t>
      </w:r>
      <w:proofErr w:type="spellStart"/>
      <w:r w:rsidRPr="00442BF9">
        <w:rPr>
          <w:rFonts w:asciiTheme="minorHAnsi" w:hAnsiTheme="minorHAnsi" w:cstheme="minorHAnsi"/>
          <w:sz w:val="24"/>
          <w:szCs w:val="24"/>
        </w:rPr>
        <w:t>Wales’</w:t>
      </w:r>
      <w:proofErr w:type="spellEnd"/>
      <w:proofErr w:type="gramEnd"/>
      <w:r w:rsidRPr="00442BF9">
        <w:rPr>
          <w:rFonts w:asciiTheme="minorHAnsi" w:hAnsiTheme="minorHAnsi" w:cstheme="minorHAnsi"/>
          <w:sz w:val="24"/>
          <w:szCs w:val="24"/>
        </w:rPr>
        <w:t xml:space="preserve"> Adult Safeguarding Procedures such as differentiating between hearsay and evidence-based information became very relevant. As well critiquing if the information is proportionate (Welsh Government, 2018). It guided me to communicate my concern in a professionally curious way, rather than led by unsupported fact. I explained to her why I had concerns however to be sure we needed more time to collaborate on understanding the facts. And as 2 had now given me consent I knew I had a good opportunity to gain an effective result with her engagement (Howe, 2009). Clear and effective documenting was important to be evidence based.  Using a task-centred approach so that 2 could process her problems into goals (Marsh, ND as cited in Davies, 2013h), we listed tasks to </w:t>
      </w:r>
      <w:proofErr w:type="gramStart"/>
      <w:r w:rsidRPr="00442BF9">
        <w:rPr>
          <w:rFonts w:asciiTheme="minorHAnsi" w:hAnsiTheme="minorHAnsi" w:cstheme="minorHAnsi"/>
          <w:sz w:val="24"/>
          <w:szCs w:val="24"/>
        </w:rPr>
        <w:t>take action</w:t>
      </w:r>
      <w:proofErr w:type="gramEnd"/>
      <w:r w:rsidRPr="00442BF9">
        <w:rPr>
          <w:rFonts w:asciiTheme="minorHAnsi" w:hAnsiTheme="minorHAnsi" w:cstheme="minorHAnsi"/>
          <w:sz w:val="24"/>
          <w:szCs w:val="24"/>
        </w:rPr>
        <w:t xml:space="preserve">. </w:t>
      </w:r>
    </w:p>
    <w:p w14:paraId="2970C039" w14:textId="77777777" w:rsidR="00442BF9" w:rsidRPr="00442BF9" w:rsidRDefault="00442BF9" w:rsidP="00442BF9">
      <w:pPr>
        <w:spacing w:line="360" w:lineRule="auto"/>
        <w:rPr>
          <w:rFonts w:asciiTheme="minorHAnsi" w:hAnsiTheme="minorHAnsi" w:cstheme="minorHAnsi"/>
          <w:sz w:val="24"/>
          <w:szCs w:val="24"/>
        </w:rPr>
      </w:pPr>
    </w:p>
    <w:p w14:paraId="52FB981B" w14:textId="77777777" w:rsidR="00442BF9" w:rsidRPr="00442BF9" w:rsidRDefault="00442BF9" w:rsidP="00442BF9">
      <w:pPr>
        <w:pStyle w:val="ParagraffRhestr"/>
        <w:numPr>
          <w:ilvl w:val="0"/>
          <w:numId w:val="54"/>
        </w:numPr>
        <w:spacing w:line="360" w:lineRule="auto"/>
        <w:rPr>
          <w:rFonts w:cstheme="minorHAnsi"/>
          <w:sz w:val="24"/>
          <w:szCs w:val="24"/>
          <w:lang w:val="en-GB"/>
        </w:rPr>
      </w:pPr>
      <w:r w:rsidRPr="00442BF9">
        <w:rPr>
          <w:rFonts w:cstheme="minorHAnsi"/>
          <w:sz w:val="24"/>
          <w:szCs w:val="24"/>
          <w:lang w:val="en-GB"/>
        </w:rPr>
        <w:t xml:space="preserve">2 was to collect a bank statement dating back 18 months. </w:t>
      </w:r>
    </w:p>
    <w:p w14:paraId="19073328" w14:textId="77777777" w:rsidR="00442BF9" w:rsidRPr="00442BF9" w:rsidRDefault="00442BF9" w:rsidP="00442BF9">
      <w:pPr>
        <w:pStyle w:val="ParagraffRhestr"/>
        <w:numPr>
          <w:ilvl w:val="0"/>
          <w:numId w:val="54"/>
        </w:numPr>
        <w:spacing w:line="360" w:lineRule="auto"/>
        <w:rPr>
          <w:rFonts w:cstheme="minorHAnsi"/>
          <w:sz w:val="24"/>
          <w:szCs w:val="24"/>
          <w:lang w:val="en-GB"/>
        </w:rPr>
      </w:pPr>
      <w:r w:rsidRPr="00442BF9">
        <w:rPr>
          <w:rFonts w:cstheme="minorHAnsi"/>
          <w:sz w:val="24"/>
          <w:szCs w:val="24"/>
          <w:lang w:val="en-GB"/>
        </w:rPr>
        <w:t xml:space="preserve">We agreed that I was to establish if 3 had any legitimate reason to keep 2’s ESA money. </w:t>
      </w:r>
    </w:p>
    <w:p w14:paraId="444235DC" w14:textId="77777777" w:rsidR="00442BF9" w:rsidRPr="00442BF9" w:rsidRDefault="00442BF9" w:rsidP="00442BF9">
      <w:pPr>
        <w:pStyle w:val="ParagraffRhestr"/>
        <w:numPr>
          <w:ilvl w:val="0"/>
          <w:numId w:val="54"/>
        </w:numPr>
        <w:spacing w:line="360" w:lineRule="auto"/>
        <w:rPr>
          <w:rFonts w:cstheme="minorHAnsi"/>
          <w:sz w:val="24"/>
          <w:szCs w:val="24"/>
          <w:lang w:val="en-GB"/>
        </w:rPr>
      </w:pPr>
      <w:r w:rsidRPr="00442BF9">
        <w:rPr>
          <w:rFonts w:cstheme="minorHAnsi"/>
          <w:sz w:val="24"/>
          <w:szCs w:val="24"/>
          <w:lang w:val="en-GB"/>
        </w:rPr>
        <w:t xml:space="preserve">To find out if there was an issue relating to the DWP that meant 3 wasn’t receiving the money. </w:t>
      </w:r>
    </w:p>
    <w:p w14:paraId="3B1918D5" w14:textId="77777777" w:rsidR="00442BF9" w:rsidRPr="00442BF9" w:rsidRDefault="00442BF9" w:rsidP="00442BF9">
      <w:pPr>
        <w:spacing w:line="360" w:lineRule="auto"/>
        <w:rPr>
          <w:rFonts w:asciiTheme="minorHAnsi" w:hAnsiTheme="minorHAnsi" w:cstheme="minorHAnsi"/>
          <w:sz w:val="24"/>
          <w:szCs w:val="24"/>
        </w:rPr>
      </w:pPr>
    </w:p>
    <w:p w14:paraId="4CDA6A09"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And to ensure that K was not in immediate risk of exploitation in the meantime. We called the DWP first and learned that her ESA had been paid as usual to her sister. They told us the next payment was due in 8 days. This gave us a </w:t>
      </w:r>
      <w:proofErr w:type="gramStart"/>
      <w:r w:rsidRPr="00442BF9">
        <w:rPr>
          <w:rFonts w:asciiTheme="minorHAnsi" w:hAnsiTheme="minorHAnsi" w:cstheme="minorHAnsi"/>
          <w:sz w:val="24"/>
          <w:szCs w:val="24"/>
        </w:rPr>
        <w:t>time-frame</w:t>
      </w:r>
      <w:proofErr w:type="gramEnd"/>
      <w:r w:rsidRPr="00442BF9">
        <w:rPr>
          <w:rFonts w:asciiTheme="minorHAnsi" w:hAnsiTheme="minorHAnsi" w:cstheme="minorHAnsi"/>
          <w:sz w:val="24"/>
          <w:szCs w:val="24"/>
        </w:rPr>
        <w:t xml:space="preserve"> to complete the other two tasks as this would then be the next time 2 could lose money to her sister. We decided to meet again in two days. </w:t>
      </w:r>
    </w:p>
    <w:p w14:paraId="7222C01F" w14:textId="77777777" w:rsidR="00442BF9" w:rsidRPr="00442BF9" w:rsidRDefault="00442BF9" w:rsidP="00442BF9">
      <w:pPr>
        <w:spacing w:line="360" w:lineRule="auto"/>
        <w:rPr>
          <w:rFonts w:asciiTheme="minorHAnsi" w:hAnsiTheme="minorHAnsi" w:cstheme="minorHAnsi"/>
          <w:sz w:val="24"/>
          <w:szCs w:val="24"/>
        </w:rPr>
      </w:pPr>
    </w:p>
    <w:p w14:paraId="3A3151D5"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After I had managed to speak to 3 on the phone about an unrelated task, I managed to ask questions regarding how she support K financially. Wanting to understand if she kept money saved for 2 in a different account. Once I clarified that she did not, I felt I had credible evidence to suggest she was keeping 2’s money for herself. I had planned the approach for this phone call during supervision with my line manager, collaborating on the best approach whilst benefiting from her experience. It was important at this stage not to disclose our suspicions as it may give 3 the opportunity to hide evidence. The two days between my initial findings and the next meeting with 2 made me appreciate the complex family dynamic. Adams et al (2009c) suggests complex family dynamics require a great deal of thoughtful practice. Suggesting if the social worker can better understand all the little complexities </w:t>
      </w:r>
      <w:r w:rsidRPr="00442BF9">
        <w:rPr>
          <w:rFonts w:asciiTheme="minorHAnsi" w:hAnsiTheme="minorHAnsi" w:cstheme="minorHAnsi"/>
          <w:sz w:val="24"/>
          <w:szCs w:val="24"/>
        </w:rPr>
        <w:lastRenderedPageBreak/>
        <w:t xml:space="preserve">involved the more appropriate support they can offer whilst ensuring the well-being of the individual. I considered background knowledge I already had such as how 2 and her biological sister inherited £500 after the passing of their </w:t>
      </w:r>
      <w:proofErr w:type="gramStart"/>
      <w:r w:rsidRPr="00442BF9">
        <w:rPr>
          <w:rFonts w:asciiTheme="minorHAnsi" w:hAnsiTheme="minorHAnsi" w:cstheme="minorHAnsi"/>
          <w:sz w:val="24"/>
          <w:szCs w:val="24"/>
        </w:rPr>
        <w:t>Mother</w:t>
      </w:r>
      <w:proofErr w:type="gramEnd"/>
      <w:r w:rsidRPr="00442BF9">
        <w:rPr>
          <w:rFonts w:asciiTheme="minorHAnsi" w:hAnsiTheme="minorHAnsi" w:cstheme="minorHAnsi"/>
          <w:sz w:val="24"/>
          <w:szCs w:val="24"/>
        </w:rPr>
        <w:t>. When their three adopted siblings shared the inheritance of the family home as well as a sum of thousands of pounds each. Thoughtfulness in practice helped me realise that I was dealing with a complex family case where 2 was not considered an equal in her own family. Giving me empathy as to how much of a psychological impact this had already had on her.</w:t>
      </w:r>
    </w:p>
    <w:p w14:paraId="111D39DD" w14:textId="77777777" w:rsidR="00442BF9" w:rsidRPr="00442BF9" w:rsidRDefault="00442BF9" w:rsidP="00442BF9">
      <w:pPr>
        <w:spacing w:line="360" w:lineRule="auto"/>
        <w:rPr>
          <w:rFonts w:asciiTheme="minorHAnsi" w:hAnsiTheme="minorHAnsi" w:cstheme="minorHAnsi"/>
          <w:sz w:val="24"/>
          <w:szCs w:val="24"/>
        </w:rPr>
      </w:pPr>
    </w:p>
    <w:p w14:paraId="294192D3"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Another factor as to why I had to proceed carefully with this case was due to the geographical location. As mentioned, 2 and her family are from a small village where the residents know them well. 2 had recently got herself involved in some regrettable situations after alcohol consumption. And I knew she was beginning to gain unfair stigma as a ‘problematic person’ with a ‘drinking problem’. By reflecting for action whilst analysing the complex situation, I could foresee how 3 may defend her actions by discrediting 2’s allegations by using her increasingly negative reputation against her. It was not easy to share this with 2 as I was concerned that it would disempower her to </w:t>
      </w:r>
      <w:proofErr w:type="gramStart"/>
      <w:r w:rsidRPr="00442BF9">
        <w:rPr>
          <w:rFonts w:asciiTheme="minorHAnsi" w:hAnsiTheme="minorHAnsi" w:cstheme="minorHAnsi"/>
          <w:sz w:val="24"/>
          <w:szCs w:val="24"/>
        </w:rPr>
        <w:t>take action</w:t>
      </w:r>
      <w:proofErr w:type="gramEnd"/>
      <w:r w:rsidRPr="00442BF9">
        <w:rPr>
          <w:rFonts w:asciiTheme="minorHAnsi" w:hAnsiTheme="minorHAnsi" w:cstheme="minorHAnsi"/>
          <w:sz w:val="24"/>
          <w:szCs w:val="24"/>
        </w:rPr>
        <w:t xml:space="preserve"> for justice. However, it was the correct action to take as one of the principles of good practice when supporting people with learning needs is to present all the information and possibilities to enable them to make informed decisions (Stalker and Robinson, ND as cited in Davies, 2013i). Maclean (2010) argues that Killian and </w:t>
      </w:r>
      <w:proofErr w:type="spellStart"/>
      <w:r w:rsidRPr="00442BF9">
        <w:rPr>
          <w:rFonts w:asciiTheme="minorHAnsi" w:hAnsiTheme="minorHAnsi" w:cstheme="minorHAnsi"/>
          <w:sz w:val="24"/>
          <w:szCs w:val="24"/>
        </w:rPr>
        <w:t>Toden’s</w:t>
      </w:r>
      <w:proofErr w:type="spellEnd"/>
      <w:r w:rsidRPr="00442BF9">
        <w:rPr>
          <w:rFonts w:asciiTheme="minorHAnsi" w:hAnsiTheme="minorHAnsi" w:cstheme="minorHAnsi"/>
          <w:sz w:val="24"/>
          <w:szCs w:val="24"/>
        </w:rPr>
        <w:t xml:space="preserve"> (1991) ‘reflection for action’ is a necessary addition to Schön’s (1983) reflecting ‘in and on action’. As it gives professionals the opportunity </w:t>
      </w:r>
      <w:proofErr w:type="gramStart"/>
      <w:r w:rsidRPr="00442BF9">
        <w:rPr>
          <w:rFonts w:asciiTheme="minorHAnsi" w:hAnsiTheme="minorHAnsi" w:cstheme="minorHAnsi"/>
          <w:sz w:val="24"/>
          <w:szCs w:val="24"/>
        </w:rPr>
        <w:t>plan ahead</w:t>
      </w:r>
      <w:proofErr w:type="gramEnd"/>
      <w:r w:rsidRPr="00442BF9">
        <w:rPr>
          <w:rFonts w:asciiTheme="minorHAnsi" w:hAnsiTheme="minorHAnsi" w:cstheme="minorHAnsi"/>
          <w:sz w:val="24"/>
          <w:szCs w:val="24"/>
        </w:rPr>
        <w:t xml:space="preserve"> for interventions. For 2 I hope this information would give us time and insight to work out how to navigate her complex issue. </w:t>
      </w:r>
    </w:p>
    <w:p w14:paraId="53AA83B0" w14:textId="77777777" w:rsidR="00442BF9" w:rsidRPr="00442BF9" w:rsidRDefault="00442BF9" w:rsidP="00442BF9">
      <w:pPr>
        <w:spacing w:line="360" w:lineRule="auto"/>
        <w:rPr>
          <w:rFonts w:asciiTheme="minorHAnsi" w:hAnsiTheme="minorHAnsi" w:cstheme="minorHAnsi"/>
          <w:sz w:val="24"/>
          <w:szCs w:val="24"/>
        </w:rPr>
      </w:pPr>
    </w:p>
    <w:p w14:paraId="4F8AEB60"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Another Welsh context element to working with this case was language. As I am a Welsh speaker I can and will always present service users with the active offer of a Welsh Service (Welsh Government, 2015a). As I live in a part of Wales where </w:t>
      </w:r>
      <w:proofErr w:type="gramStart"/>
      <w:r w:rsidRPr="00442BF9">
        <w:rPr>
          <w:rFonts w:asciiTheme="minorHAnsi" w:hAnsiTheme="minorHAnsi" w:cstheme="minorHAnsi"/>
          <w:sz w:val="24"/>
          <w:szCs w:val="24"/>
        </w:rPr>
        <w:t>the majority of</w:t>
      </w:r>
      <w:proofErr w:type="gramEnd"/>
      <w:r w:rsidRPr="00442BF9">
        <w:rPr>
          <w:rFonts w:asciiTheme="minorHAnsi" w:hAnsiTheme="minorHAnsi" w:cstheme="minorHAnsi"/>
          <w:sz w:val="24"/>
          <w:szCs w:val="24"/>
        </w:rPr>
        <w:t xml:space="preserve"> people can speak Welsh, it is normal practice for me to support people who are bilingual. 2 is unique as she is the only person I have supported who has chosen her second language when given the choice. She was adopted from England to an English family living in Wales. As she chose Welsh, I could have proceeded to deliver the Welsh service knowing that I had fulfilled my ‘Active Offer’ duty. Whilst working with people with learning disabilities where communication is often a barrier, I will use techniques such as paraphrasing and asking </w:t>
      </w:r>
      <w:r w:rsidRPr="00442BF9">
        <w:rPr>
          <w:rFonts w:asciiTheme="minorHAnsi" w:hAnsiTheme="minorHAnsi" w:cstheme="minorHAnsi"/>
          <w:sz w:val="24"/>
          <w:szCs w:val="24"/>
        </w:rPr>
        <w:lastRenderedPageBreak/>
        <w:t>questions on the narrative to ensure the service user is understanding and retaining the information (</w:t>
      </w:r>
      <w:proofErr w:type="spellStart"/>
      <w:r w:rsidRPr="00442BF9">
        <w:rPr>
          <w:rFonts w:asciiTheme="minorHAnsi" w:hAnsiTheme="minorHAnsi" w:cstheme="minorHAnsi"/>
          <w:sz w:val="24"/>
          <w:szCs w:val="24"/>
        </w:rPr>
        <w:t>Seden</w:t>
      </w:r>
      <w:proofErr w:type="spellEnd"/>
      <w:r w:rsidRPr="00442BF9">
        <w:rPr>
          <w:rFonts w:asciiTheme="minorHAnsi" w:hAnsiTheme="minorHAnsi" w:cstheme="minorHAnsi"/>
          <w:sz w:val="24"/>
          <w:szCs w:val="24"/>
        </w:rPr>
        <w:t xml:space="preserve">, ND as cited in Davies, 2013e). </w:t>
      </w:r>
      <w:proofErr w:type="gramStart"/>
      <w:r w:rsidRPr="00442BF9">
        <w:rPr>
          <w:rFonts w:asciiTheme="minorHAnsi" w:hAnsiTheme="minorHAnsi" w:cstheme="minorHAnsi"/>
          <w:sz w:val="24"/>
          <w:szCs w:val="24"/>
        </w:rPr>
        <w:t>However</w:t>
      </w:r>
      <w:proofErr w:type="gramEnd"/>
      <w:r w:rsidRPr="00442BF9">
        <w:rPr>
          <w:rFonts w:asciiTheme="minorHAnsi" w:hAnsiTheme="minorHAnsi" w:cstheme="minorHAnsi"/>
          <w:sz w:val="24"/>
          <w:szCs w:val="24"/>
        </w:rPr>
        <w:t xml:space="preserve"> it is difficult to be a 100% sure of knowing if the service user understands every detail of the conversation. Johns (2000) as cited in Maclean (2010) states that critical reflection offers the practitioner the opportunity to focus on self within the context of experience to understand the contradictions within practice. By questioning ‘why?’ 2 would choose a language she is less comfortable with, I that perhaps the power dynamic was not as close to equal as I had hopped. Perhaps she felt that she needed to conform to me for some reason?</w:t>
      </w:r>
    </w:p>
    <w:p w14:paraId="1F74A60E" w14:textId="77777777" w:rsidR="00442BF9" w:rsidRPr="00442BF9" w:rsidRDefault="00442BF9" w:rsidP="00442BF9">
      <w:pPr>
        <w:spacing w:line="360" w:lineRule="auto"/>
        <w:rPr>
          <w:rFonts w:asciiTheme="minorHAnsi" w:hAnsiTheme="minorHAnsi" w:cstheme="minorHAnsi"/>
          <w:sz w:val="24"/>
          <w:szCs w:val="24"/>
          <w:highlight w:val="yellow"/>
        </w:rPr>
      </w:pPr>
    </w:p>
    <w:p w14:paraId="59133B4E" w14:textId="77777777" w:rsidR="00442BF9" w:rsidRPr="00442BF9" w:rsidRDefault="00442BF9" w:rsidP="00442BF9">
      <w:pPr>
        <w:spacing w:line="360" w:lineRule="auto"/>
        <w:rPr>
          <w:rFonts w:asciiTheme="minorHAnsi" w:hAnsiTheme="minorHAnsi" w:cstheme="minorHAnsi"/>
          <w:sz w:val="24"/>
          <w:szCs w:val="24"/>
        </w:rPr>
      </w:pPr>
      <w:proofErr w:type="gramStart"/>
      <w:r w:rsidRPr="00442BF9">
        <w:rPr>
          <w:rFonts w:asciiTheme="minorHAnsi" w:hAnsiTheme="minorHAnsi" w:cstheme="minorHAnsi"/>
          <w:sz w:val="24"/>
          <w:szCs w:val="24"/>
        </w:rPr>
        <w:t>Again</w:t>
      </w:r>
      <w:proofErr w:type="gramEnd"/>
      <w:r w:rsidRPr="00442BF9">
        <w:rPr>
          <w:rFonts w:asciiTheme="minorHAnsi" w:hAnsiTheme="minorHAnsi" w:cstheme="minorHAnsi"/>
          <w:sz w:val="24"/>
          <w:szCs w:val="24"/>
        </w:rPr>
        <w:t xml:space="preserve"> by combining thoughtfulness, critical analysis and historical knowledge of 2’s life. I considered   the abuse and neglect 2 suffered in early life that led to her being placed in case. And weighing this up to some of her known behaviours with support staff, it is reasonable to suspect that 2 has issues related to attachment. If correct it is important to regard that 2 is likely to be anxious of failure that will may to abandonment (Howe, 2011). This made aware of the need to reassure 2 of my duty to support her under the SSWB(W)A 2014. It also highlighted the need to maintain a professional relationship as I understand that adults with attachment issues and people with learning difficulties can find it difficult to understand and keep to relationship boundaries. Cafcass (2025) highlights this in their guidance to support people with additional needs. Howe (2011) suggests that it is an attached trait to perceive any negative behaviours towards them as extreme, which can result in a chaotic response often involving themselves in risky situations. Already aware of how difficult the process was going to be for 2, applying the attachment theory gave me a clearer vision of how scenarios may pan out. </w:t>
      </w:r>
      <w:proofErr w:type="gramStart"/>
      <w:r w:rsidRPr="00442BF9">
        <w:rPr>
          <w:rFonts w:asciiTheme="minorHAnsi" w:hAnsiTheme="minorHAnsi" w:cstheme="minorHAnsi"/>
          <w:sz w:val="24"/>
          <w:szCs w:val="24"/>
        </w:rPr>
        <w:t>So</w:t>
      </w:r>
      <w:proofErr w:type="gramEnd"/>
      <w:r w:rsidRPr="00442BF9">
        <w:rPr>
          <w:rFonts w:asciiTheme="minorHAnsi" w:hAnsiTheme="minorHAnsi" w:cstheme="minorHAnsi"/>
          <w:sz w:val="24"/>
          <w:szCs w:val="24"/>
        </w:rPr>
        <w:t xml:space="preserve"> I adapted my support to her needs by checking on the phone and asking for her consent to share this information with support staff in order for them to check in on her also. Information sharing under the Data Protection Act 1998 (DPA 1998) is a component of safeguarding that also needs consent from adults with capacity, however in exceptional circumstances I can override consent to prevent abuse or serious harm (Welsh Government, 2018).</w:t>
      </w:r>
    </w:p>
    <w:p w14:paraId="51D6FF78" w14:textId="77777777" w:rsidR="00442BF9" w:rsidRPr="00442BF9" w:rsidRDefault="00442BF9" w:rsidP="00442BF9">
      <w:pPr>
        <w:spacing w:line="360" w:lineRule="auto"/>
        <w:rPr>
          <w:rFonts w:asciiTheme="minorHAnsi" w:hAnsiTheme="minorHAnsi" w:cstheme="minorHAnsi"/>
          <w:sz w:val="24"/>
          <w:szCs w:val="24"/>
        </w:rPr>
      </w:pPr>
    </w:p>
    <w:p w14:paraId="40137A28"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When we met again in two days’ time, I did not want </w:t>
      </w:r>
      <w:proofErr w:type="gramStart"/>
      <w:r w:rsidRPr="00442BF9">
        <w:rPr>
          <w:rFonts w:asciiTheme="minorHAnsi" w:hAnsiTheme="minorHAnsi" w:cstheme="minorHAnsi"/>
          <w:sz w:val="24"/>
          <w:szCs w:val="24"/>
        </w:rPr>
        <w:t>feel</w:t>
      </w:r>
      <w:proofErr w:type="gramEnd"/>
      <w:r w:rsidRPr="00442BF9">
        <w:rPr>
          <w:rFonts w:asciiTheme="minorHAnsi" w:hAnsiTheme="minorHAnsi" w:cstheme="minorHAnsi"/>
          <w:sz w:val="24"/>
          <w:szCs w:val="24"/>
        </w:rPr>
        <w:t xml:space="preserve"> it was warranted to suggest we speak English to better support her communication needs. I did not want to trigger her potential attachment issues by dismissing her achievement of learning a new language. It also could have been perceived as </w:t>
      </w:r>
      <w:r w:rsidRPr="00442BF9">
        <w:rPr>
          <w:rFonts w:asciiTheme="minorHAnsi" w:hAnsiTheme="minorHAnsi" w:cstheme="minorHAnsi"/>
          <w:sz w:val="24"/>
          <w:szCs w:val="24"/>
        </w:rPr>
        <w:lastRenderedPageBreak/>
        <w:t xml:space="preserve">oppressive practice as I would be highlighting her as a minority (Thompson, 2012). Due to being a second language Welsh speaker in an area where the majority are first language Welsh speakers. Instead during supervision, we worked out a creative approach that I would proceed in Welsh as she wished, however I would repeat the more important pieces of information in English. Understanding the risk that she may realise what I was doing and find it disempowering, I therefor took an honest approach. I planned to have an open discussion about communication and language with her. Sharing that I am half English and I too speak both languages with different friends, family members and colleagues. I would ask how she would feel if I repeated the most important parts of the conversation in English. And if she agreed I would not only succeed in breaking down a communication barrier. It could help 2 identify which parts of the conversation are more important and require greater focus and engagement. </w:t>
      </w:r>
    </w:p>
    <w:p w14:paraId="46422906" w14:textId="77777777" w:rsidR="00442BF9" w:rsidRPr="00442BF9" w:rsidRDefault="00442BF9" w:rsidP="00442BF9">
      <w:pPr>
        <w:spacing w:line="360" w:lineRule="auto"/>
        <w:rPr>
          <w:rFonts w:asciiTheme="minorHAnsi" w:hAnsiTheme="minorHAnsi" w:cstheme="minorHAnsi"/>
          <w:sz w:val="24"/>
          <w:szCs w:val="24"/>
          <w:highlight w:val="yellow"/>
        </w:rPr>
      </w:pPr>
    </w:p>
    <w:p w14:paraId="732C9282"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When I got together with 2 a couple of days </w:t>
      </w:r>
      <w:proofErr w:type="gramStart"/>
      <w:r w:rsidRPr="00442BF9">
        <w:rPr>
          <w:rFonts w:asciiTheme="minorHAnsi" w:hAnsiTheme="minorHAnsi" w:cstheme="minorHAnsi"/>
          <w:sz w:val="24"/>
          <w:szCs w:val="24"/>
        </w:rPr>
        <w:t>later</w:t>
      </w:r>
      <w:proofErr w:type="gramEnd"/>
      <w:r w:rsidRPr="00442BF9">
        <w:rPr>
          <w:rFonts w:asciiTheme="minorHAnsi" w:hAnsiTheme="minorHAnsi" w:cstheme="minorHAnsi"/>
          <w:sz w:val="24"/>
          <w:szCs w:val="24"/>
        </w:rPr>
        <w:t xml:space="preserve"> we agreed that due to clarification that 3 had received 2’S ESA money for a period of time and had stopped sending it to 2 as they had previously agreed. There was likely foul </w:t>
      </w:r>
      <w:proofErr w:type="gramStart"/>
      <w:r w:rsidRPr="00442BF9">
        <w:rPr>
          <w:rFonts w:asciiTheme="minorHAnsi" w:hAnsiTheme="minorHAnsi" w:cstheme="minorHAnsi"/>
          <w:sz w:val="24"/>
          <w:szCs w:val="24"/>
        </w:rPr>
        <w:t>play</w:t>
      </w:r>
      <w:proofErr w:type="gramEnd"/>
      <w:r w:rsidRPr="00442BF9">
        <w:rPr>
          <w:rFonts w:asciiTheme="minorHAnsi" w:hAnsiTheme="minorHAnsi" w:cstheme="minorHAnsi"/>
          <w:sz w:val="24"/>
          <w:szCs w:val="24"/>
        </w:rPr>
        <w:t xml:space="preserve"> and I explained that with her consent I could go on to make a safeguarding report. We looked at her bank statement to fully understand the extent of the alleged abuse (how long had it gone on for and how much money had she potentially lost). </w:t>
      </w:r>
      <w:proofErr w:type="gramStart"/>
      <w:r w:rsidRPr="00442BF9">
        <w:rPr>
          <w:rFonts w:asciiTheme="minorHAnsi" w:hAnsiTheme="minorHAnsi" w:cstheme="minorHAnsi"/>
          <w:sz w:val="24"/>
          <w:szCs w:val="24"/>
        </w:rPr>
        <w:t>In order to</w:t>
      </w:r>
      <w:proofErr w:type="gramEnd"/>
      <w:r w:rsidRPr="00442BF9">
        <w:rPr>
          <w:rFonts w:asciiTheme="minorHAnsi" w:hAnsiTheme="minorHAnsi" w:cstheme="minorHAnsi"/>
          <w:sz w:val="24"/>
          <w:szCs w:val="24"/>
        </w:rPr>
        <w:t xml:space="preserve"> give 2 all the information to make an informed decision to consent. I confirmed the process </w:t>
      </w:r>
      <w:proofErr w:type="gramStart"/>
      <w:r w:rsidRPr="00442BF9">
        <w:rPr>
          <w:rFonts w:asciiTheme="minorHAnsi" w:hAnsiTheme="minorHAnsi" w:cstheme="minorHAnsi"/>
          <w:sz w:val="24"/>
          <w:szCs w:val="24"/>
        </w:rPr>
        <w:t>in regard to</w:t>
      </w:r>
      <w:proofErr w:type="gramEnd"/>
      <w:r w:rsidRPr="00442BF9">
        <w:rPr>
          <w:rFonts w:asciiTheme="minorHAnsi" w:hAnsiTheme="minorHAnsi" w:cstheme="minorHAnsi"/>
          <w:sz w:val="24"/>
          <w:szCs w:val="24"/>
        </w:rPr>
        <w:t xml:space="preserve"> who will I share the information with. I felt duty bound to manage her expectations in that she may not get the justice she is seeking. I explained that the Police may become involved, and the allegations may be put to her sister who then could share with others. Potentially no longer making this a private matter protected by the DPA 1998. After consideration, 2 agreed to give consent. Looking back to my considerations regarding attachment and how this may influence the decision, I asked if she would like more time to weigh it up with an advocate. I explained my reasonings and suggested she had time to make the decision before proceeding with action as there was 6 days before her next payment was due.</w:t>
      </w:r>
    </w:p>
    <w:p w14:paraId="0FFD826F" w14:textId="77777777" w:rsidR="00442BF9" w:rsidRPr="00442BF9" w:rsidRDefault="00442BF9" w:rsidP="00442BF9">
      <w:pPr>
        <w:spacing w:line="360" w:lineRule="auto"/>
        <w:rPr>
          <w:rFonts w:asciiTheme="minorHAnsi" w:hAnsiTheme="minorHAnsi" w:cstheme="minorHAnsi"/>
          <w:sz w:val="24"/>
          <w:szCs w:val="24"/>
        </w:rPr>
      </w:pPr>
    </w:p>
    <w:p w14:paraId="0B81A3E2"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Part 10 of the SSWB(W)A 2014 refers to the rights of the individual to be referred for an independent professional advocate if the social worker or individual feel the need is integral to the situation (Welsh </w:t>
      </w:r>
      <w:r w:rsidRPr="00442BF9">
        <w:rPr>
          <w:rFonts w:asciiTheme="minorHAnsi" w:hAnsiTheme="minorHAnsi" w:cstheme="minorHAnsi"/>
          <w:sz w:val="24"/>
          <w:szCs w:val="24"/>
        </w:rPr>
        <w:lastRenderedPageBreak/>
        <w:t xml:space="preserve">Government, 2018). This case was different to most advocacy referrals I had made as they usually involved a conflict of opinion between myself and the service user. Here was no conflict as 2 agreed with my concerns and clearly expressed consent to proceed. However, due my awareness of attachment theory I did not feel completely comfortable with the consent. 2 was already open to advocacy for a different matter and agreed for me to share the situation to see if they could support. This gave me piece of mind, as I had been impressed with her advocates ability to present information in an </w:t>
      </w:r>
      <w:proofErr w:type="gramStart"/>
      <w:r w:rsidRPr="00442BF9">
        <w:rPr>
          <w:rFonts w:asciiTheme="minorHAnsi" w:hAnsiTheme="minorHAnsi" w:cstheme="minorHAnsi"/>
          <w:sz w:val="24"/>
          <w:szCs w:val="24"/>
        </w:rPr>
        <w:t>easy to understand</w:t>
      </w:r>
      <w:proofErr w:type="gramEnd"/>
      <w:r w:rsidRPr="00442BF9">
        <w:rPr>
          <w:rFonts w:asciiTheme="minorHAnsi" w:hAnsiTheme="minorHAnsi" w:cstheme="minorHAnsi"/>
          <w:sz w:val="24"/>
          <w:szCs w:val="24"/>
        </w:rPr>
        <w:t xml:space="preserve"> way and perhaps they could think of a new factor for 2 to consider. Also, it meant involving another professional that would be dutybound to ensure 2’s wellbeing. Afterall, the stakes were very hight for 2 as the process would potentially affect her relationship with the entire family. I made it clear to the advocate it was an urgent request for support. Once they had met, 2 contacted me to clarify her consent. To eliminate the risk of further abuse, we called the DWP to explain the situation and asked them to freeze the ESA money from going into 3’s account.</w:t>
      </w:r>
    </w:p>
    <w:p w14:paraId="4EB09A2A" w14:textId="77777777" w:rsidR="00442BF9" w:rsidRPr="00442BF9" w:rsidRDefault="00442BF9" w:rsidP="00442BF9">
      <w:pPr>
        <w:spacing w:line="360" w:lineRule="auto"/>
        <w:rPr>
          <w:rFonts w:asciiTheme="minorHAnsi" w:hAnsiTheme="minorHAnsi" w:cstheme="minorHAnsi"/>
          <w:sz w:val="24"/>
          <w:szCs w:val="24"/>
        </w:rPr>
      </w:pPr>
    </w:p>
    <w:p w14:paraId="0778DA7D" w14:textId="02493CDD" w:rsidR="00442BF9" w:rsidRPr="00442BF9" w:rsidRDefault="00442BF9" w:rsidP="00442BF9">
      <w:pPr>
        <w:spacing w:line="360" w:lineRule="auto"/>
        <w:rPr>
          <w:rFonts w:asciiTheme="minorHAnsi" w:hAnsiTheme="minorHAnsi" w:cstheme="minorHAnsi"/>
          <w:sz w:val="24"/>
          <w:szCs w:val="24"/>
        </w:rPr>
      </w:pPr>
      <w:proofErr w:type="gramStart"/>
      <w:r w:rsidRPr="00442BF9">
        <w:rPr>
          <w:rFonts w:asciiTheme="minorHAnsi" w:hAnsiTheme="minorHAnsi" w:cstheme="minorHAnsi"/>
          <w:sz w:val="24"/>
          <w:szCs w:val="24"/>
        </w:rPr>
        <w:t>As long as</w:t>
      </w:r>
      <w:proofErr w:type="gramEnd"/>
      <w:r w:rsidRPr="00442BF9">
        <w:rPr>
          <w:rFonts w:asciiTheme="minorHAnsi" w:hAnsiTheme="minorHAnsi" w:cstheme="minorHAnsi"/>
          <w:sz w:val="24"/>
          <w:szCs w:val="24"/>
        </w:rPr>
        <w:t xml:space="preserve"> there is no immediate risk of harm to a vulnerable person where I would feel the need to instantly report to the Police. The first contact within our team is to discuss the concerns with the designated safeguarding person. This happens to be my line manager who was already of situation through supervisions. After an update from 2 following her meeting thit the advocate, it was agreed that it was time to sum up the evidence in a report to safeguarding. Once submitted I would be the person responsible to follow up with the safeguarding team to ensure the report had been processed and there was an action plan to follow up within seven days (Welsh Government, 2018). Our internal form is completed on a shared drive ensuring minimising the risk of sensitive information finding its way to an unconcerned party as instructed in Part 1, Section 2 of the DPA 1998. I was very mindful of the 6</w:t>
      </w:r>
      <w:r w:rsidRPr="00442BF9">
        <w:rPr>
          <w:rFonts w:asciiTheme="minorHAnsi" w:hAnsiTheme="minorHAnsi" w:cstheme="minorHAnsi"/>
          <w:sz w:val="24"/>
          <w:szCs w:val="24"/>
          <w:vertAlign w:val="superscript"/>
        </w:rPr>
        <w:t>th</w:t>
      </w:r>
      <w:r w:rsidRPr="00442BF9">
        <w:rPr>
          <w:rFonts w:asciiTheme="minorHAnsi" w:hAnsiTheme="minorHAnsi" w:cstheme="minorHAnsi"/>
          <w:sz w:val="24"/>
          <w:szCs w:val="24"/>
        </w:rPr>
        <w:t xml:space="preserve"> section of Social Care Wales (2017) codes of practice, being accountable for the quality of the work. Not only so that I could present to the safeguarding officer with a competent report that would help me gain respect for future inter-professional collaboration. However mainly for 2’s case to be considered with the seriousness it deserved. I had to alter my writing style to one that was more to the point and in a chronological order, presenting the facts in a clear and concise manner. </w:t>
      </w:r>
    </w:p>
    <w:p w14:paraId="4262A887" w14:textId="77777777" w:rsidR="00442BF9" w:rsidRPr="00442BF9" w:rsidRDefault="00442BF9" w:rsidP="00442BF9">
      <w:pPr>
        <w:spacing w:line="360" w:lineRule="auto"/>
        <w:rPr>
          <w:rFonts w:asciiTheme="minorHAnsi" w:hAnsiTheme="minorHAnsi" w:cstheme="minorHAnsi"/>
          <w:sz w:val="24"/>
          <w:szCs w:val="24"/>
        </w:rPr>
      </w:pPr>
    </w:p>
    <w:p w14:paraId="5DE828F2"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lastRenderedPageBreak/>
        <w:t>When responding to a safeguarding concern, Welsh Government (2018) instructs that the LA and practitioner is responsible to:</w:t>
      </w:r>
    </w:p>
    <w:p w14:paraId="2E77A6F4" w14:textId="77777777" w:rsidR="00442BF9" w:rsidRPr="00442BF9" w:rsidRDefault="00442BF9" w:rsidP="00442BF9">
      <w:pPr>
        <w:pStyle w:val="ParagraffRhestr"/>
        <w:numPr>
          <w:ilvl w:val="0"/>
          <w:numId w:val="55"/>
        </w:numPr>
        <w:spacing w:line="360" w:lineRule="auto"/>
        <w:rPr>
          <w:rFonts w:cstheme="minorHAnsi"/>
          <w:sz w:val="24"/>
          <w:szCs w:val="24"/>
          <w:lang w:val="en-GB"/>
        </w:rPr>
      </w:pPr>
      <w:r w:rsidRPr="00442BF9">
        <w:rPr>
          <w:rFonts w:cstheme="minorHAnsi"/>
          <w:sz w:val="24"/>
          <w:szCs w:val="24"/>
          <w:lang w:val="en-GB"/>
        </w:rPr>
        <w:t>Decide on a proposed action, or that no further action will be taken:</w:t>
      </w:r>
    </w:p>
    <w:p w14:paraId="3F4CACB7" w14:textId="77777777" w:rsidR="00442BF9" w:rsidRPr="00442BF9" w:rsidRDefault="00442BF9" w:rsidP="00442BF9">
      <w:pPr>
        <w:pStyle w:val="ParagraffRhestr"/>
        <w:numPr>
          <w:ilvl w:val="0"/>
          <w:numId w:val="55"/>
        </w:numPr>
        <w:spacing w:line="360" w:lineRule="auto"/>
        <w:rPr>
          <w:rFonts w:cstheme="minorHAnsi"/>
          <w:sz w:val="24"/>
          <w:szCs w:val="24"/>
          <w:lang w:val="en-GB"/>
        </w:rPr>
      </w:pPr>
      <w:r w:rsidRPr="00442BF9">
        <w:rPr>
          <w:rFonts w:cstheme="minorHAnsi"/>
          <w:sz w:val="24"/>
          <w:szCs w:val="24"/>
          <w:lang w:val="en-GB"/>
        </w:rPr>
        <w:t>Timescales:</w:t>
      </w:r>
    </w:p>
    <w:p w14:paraId="7B8ACCA8" w14:textId="77777777" w:rsidR="00442BF9" w:rsidRPr="00442BF9" w:rsidRDefault="00442BF9" w:rsidP="00442BF9">
      <w:pPr>
        <w:pStyle w:val="ParagraffRhestr"/>
        <w:numPr>
          <w:ilvl w:val="0"/>
          <w:numId w:val="55"/>
        </w:numPr>
        <w:spacing w:line="360" w:lineRule="auto"/>
        <w:rPr>
          <w:rFonts w:cstheme="minorHAnsi"/>
          <w:sz w:val="24"/>
          <w:szCs w:val="24"/>
          <w:lang w:val="en-GB"/>
        </w:rPr>
      </w:pPr>
      <w:r w:rsidRPr="00442BF9">
        <w:rPr>
          <w:rFonts w:cstheme="minorHAnsi"/>
          <w:sz w:val="24"/>
          <w:szCs w:val="24"/>
          <w:lang w:val="en-GB"/>
        </w:rPr>
        <w:t>Who will be taking the action/roles and responsibilities</w:t>
      </w:r>
    </w:p>
    <w:p w14:paraId="16DA439E" w14:textId="77777777" w:rsidR="00442BF9" w:rsidRPr="00442BF9" w:rsidRDefault="00442BF9" w:rsidP="00442BF9">
      <w:pPr>
        <w:pStyle w:val="ParagraffRhestr"/>
        <w:numPr>
          <w:ilvl w:val="0"/>
          <w:numId w:val="55"/>
        </w:numPr>
        <w:spacing w:line="360" w:lineRule="auto"/>
        <w:rPr>
          <w:rFonts w:cstheme="minorHAnsi"/>
          <w:sz w:val="24"/>
          <w:szCs w:val="24"/>
          <w:lang w:val="en-GB"/>
        </w:rPr>
      </w:pPr>
      <w:r w:rsidRPr="00442BF9">
        <w:rPr>
          <w:rFonts w:cstheme="minorHAnsi"/>
          <w:sz w:val="24"/>
          <w:szCs w:val="24"/>
          <w:lang w:val="en-GB"/>
        </w:rPr>
        <w:t>Any concerns the reporter has about the consequences for themselves and others in making what the individual or others will be told about the referral, by whom and when:</w:t>
      </w:r>
    </w:p>
    <w:p w14:paraId="4E60BE2B" w14:textId="77777777" w:rsidR="00442BF9" w:rsidRPr="00442BF9" w:rsidRDefault="00442BF9" w:rsidP="00442BF9">
      <w:pPr>
        <w:pStyle w:val="ParagraffRhestr"/>
        <w:numPr>
          <w:ilvl w:val="0"/>
          <w:numId w:val="55"/>
        </w:numPr>
        <w:spacing w:line="360" w:lineRule="auto"/>
        <w:rPr>
          <w:rFonts w:cstheme="minorHAnsi"/>
          <w:sz w:val="24"/>
          <w:szCs w:val="24"/>
          <w:lang w:val="en-GB"/>
        </w:rPr>
      </w:pPr>
      <w:r w:rsidRPr="00442BF9">
        <w:rPr>
          <w:rFonts w:cstheme="minorHAnsi"/>
          <w:sz w:val="24"/>
          <w:szCs w:val="24"/>
          <w:lang w:val="en-GB"/>
        </w:rPr>
        <w:t xml:space="preserve">What the individual or others will be told about the referral, by whom and when. </w:t>
      </w:r>
    </w:p>
    <w:p w14:paraId="706C532E"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I soon received a call from the safeguarding officer who confirmed that there will be action to follow and that she will discuss with the Police and arrange a Multi-Disciplinary Team (MDT) meeting to propose actions. We agreed that the timescale should be before the date that 2’s ESA benefits would be paid into 3’s account. As this will be the day that 3 is prompted that something has changed, possibly motivating her to </w:t>
      </w:r>
      <w:proofErr w:type="gramStart"/>
      <w:r w:rsidRPr="00442BF9">
        <w:rPr>
          <w:rFonts w:asciiTheme="minorHAnsi" w:hAnsiTheme="minorHAnsi" w:cstheme="minorHAnsi"/>
          <w:sz w:val="24"/>
          <w:szCs w:val="24"/>
        </w:rPr>
        <w:t>contract?</w:t>
      </w:r>
      <w:proofErr w:type="gramEnd"/>
      <w:r w:rsidRPr="00442BF9">
        <w:rPr>
          <w:rFonts w:asciiTheme="minorHAnsi" w:hAnsiTheme="minorHAnsi" w:cstheme="minorHAnsi"/>
          <w:sz w:val="24"/>
          <w:szCs w:val="24"/>
        </w:rPr>
        <w:t xml:space="preserve"> The MDT consisted of myself, the safeguarding officer, a representative from the Police and our team’s designated safeguarding person (my line manager). Everyone agreed that appropriate actions had been taken in collaboration with 2 to safeguard her immediate finances. Part 3 of the SSWB(W)A 2014 obliges the LA to assess the needs of the individual and part 4 obliges the LA to meet any need with appropriate services. With this in mind I was assigned the task of assessing 2’s needs to manage her finances now she no longer </w:t>
      </w:r>
      <w:proofErr w:type="gramStart"/>
      <w:r w:rsidRPr="00442BF9">
        <w:rPr>
          <w:rFonts w:asciiTheme="minorHAnsi" w:hAnsiTheme="minorHAnsi" w:cstheme="minorHAnsi"/>
          <w:sz w:val="24"/>
          <w:szCs w:val="24"/>
        </w:rPr>
        <w:t>have</w:t>
      </w:r>
      <w:proofErr w:type="gramEnd"/>
      <w:r w:rsidRPr="00442BF9">
        <w:rPr>
          <w:rFonts w:asciiTheme="minorHAnsi" w:hAnsiTheme="minorHAnsi" w:cstheme="minorHAnsi"/>
          <w:sz w:val="24"/>
          <w:szCs w:val="24"/>
        </w:rPr>
        <w:t xml:space="preserve"> an appointee. The Police were going to take an official report from 2. Based on the outcome I would help and advise her on managing the potential family conflict. </w:t>
      </w:r>
    </w:p>
    <w:p w14:paraId="06C00A91" w14:textId="77777777" w:rsidR="00442BF9" w:rsidRPr="00442BF9" w:rsidRDefault="00442BF9" w:rsidP="00442BF9">
      <w:pPr>
        <w:spacing w:line="360" w:lineRule="auto"/>
        <w:rPr>
          <w:rFonts w:asciiTheme="minorHAnsi" w:hAnsiTheme="minorHAnsi" w:cstheme="minorHAnsi"/>
          <w:sz w:val="24"/>
          <w:szCs w:val="24"/>
        </w:rPr>
      </w:pPr>
    </w:p>
    <w:p w14:paraId="10622416"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 xml:space="preserve">By the time the MDT met again, 2 had made it clear that she did not want me involved with discussions with her sister, preferring to deal with this herself. The Police representee returned to the next MDT and suggested that 2 should consider working this out with her family rather than make it a legal matter, as this could have great implications on their relationship. He suggested that there may not have been a crime as 3 had a legal right to receive 2’s money as her appointee. I advocated on 2’s behalf by asking if it was legal for 3 to keep 2’s ESA money for herself. I clarified that I had worked with 2 to consider the implications of the family dynamic and that she was clear that she wanted to take the legal route rather than settling the issue in private. After another follow up with 2, she clarified that </w:t>
      </w:r>
      <w:r w:rsidRPr="00442BF9">
        <w:rPr>
          <w:rFonts w:asciiTheme="minorHAnsi" w:hAnsiTheme="minorHAnsi" w:cstheme="minorHAnsi"/>
          <w:sz w:val="24"/>
          <w:szCs w:val="24"/>
        </w:rPr>
        <w:lastRenderedPageBreak/>
        <w:t xml:space="preserve">she would ‘like to press </w:t>
      </w:r>
      <w:proofErr w:type="gramStart"/>
      <w:r w:rsidRPr="00442BF9">
        <w:rPr>
          <w:rFonts w:asciiTheme="minorHAnsi" w:hAnsiTheme="minorHAnsi" w:cstheme="minorHAnsi"/>
          <w:sz w:val="24"/>
          <w:szCs w:val="24"/>
        </w:rPr>
        <w:t>charges’</w:t>
      </w:r>
      <w:proofErr w:type="gramEnd"/>
      <w:r w:rsidRPr="00442BF9">
        <w:rPr>
          <w:rFonts w:asciiTheme="minorHAnsi" w:hAnsiTheme="minorHAnsi" w:cstheme="minorHAnsi"/>
          <w:sz w:val="24"/>
          <w:szCs w:val="24"/>
        </w:rPr>
        <w:t xml:space="preserve">. I returned to the MDT over email to share 2’s wishes. We had meetings when all representatives weren’t present. The Police kept suggesting it was a family matter and there were emails unanswered. I found the process frustrating, as I felt 2’s wishes were being ignored. And as time went on other issues came to light in 2’s life and the priority of seeking justice and getting her money back became less of a motivation for her. </w:t>
      </w:r>
    </w:p>
    <w:p w14:paraId="200F1771" w14:textId="77777777" w:rsidR="00442BF9" w:rsidRPr="00442BF9" w:rsidRDefault="00442BF9" w:rsidP="00442BF9">
      <w:pPr>
        <w:spacing w:line="360" w:lineRule="auto"/>
        <w:rPr>
          <w:rFonts w:asciiTheme="minorHAnsi" w:hAnsiTheme="minorHAnsi" w:cstheme="minorHAnsi"/>
          <w:sz w:val="24"/>
          <w:szCs w:val="24"/>
        </w:rPr>
      </w:pPr>
    </w:p>
    <w:p w14:paraId="7E030D68" w14:textId="77777777" w:rsidR="00442BF9" w:rsidRPr="00442BF9" w:rsidRDefault="00442BF9" w:rsidP="00442BF9">
      <w:pPr>
        <w:spacing w:line="360" w:lineRule="auto"/>
        <w:rPr>
          <w:rFonts w:asciiTheme="minorHAnsi" w:hAnsiTheme="minorHAnsi" w:cstheme="minorHAnsi"/>
          <w:sz w:val="24"/>
          <w:szCs w:val="24"/>
        </w:rPr>
      </w:pPr>
      <w:r w:rsidRPr="00442BF9">
        <w:rPr>
          <w:rFonts w:asciiTheme="minorHAnsi" w:hAnsiTheme="minorHAnsi" w:cstheme="minorHAnsi"/>
          <w:sz w:val="24"/>
          <w:szCs w:val="24"/>
        </w:rPr>
        <w:t>Closer working relationships between professionals is considered a positive thing when delivering services to those who need it. And mutual respect is a fundamental part of an interprofessional setting (</w:t>
      </w:r>
      <w:proofErr w:type="spellStart"/>
      <w:r w:rsidRPr="00442BF9">
        <w:rPr>
          <w:rFonts w:asciiTheme="minorHAnsi" w:hAnsiTheme="minorHAnsi" w:cstheme="minorHAnsi"/>
          <w:sz w:val="24"/>
          <w:szCs w:val="24"/>
        </w:rPr>
        <w:t>Lymbery</w:t>
      </w:r>
      <w:proofErr w:type="spellEnd"/>
      <w:r w:rsidRPr="00442BF9">
        <w:rPr>
          <w:rFonts w:asciiTheme="minorHAnsi" w:hAnsiTheme="minorHAnsi" w:cstheme="minorHAnsi"/>
          <w:sz w:val="24"/>
          <w:szCs w:val="24"/>
        </w:rPr>
        <w:t xml:space="preserve"> and Millward, 2009 as cited in Adams et al 2009c). Considering this, I reflect on my mutual respect for all the professionals that were a part of the MDT. How I respected them all as more experienced professionals than myself. This respect I had may have had a counter-productive effect on my performance and contribution to the collaboration. If I had my time again, I would have tested myself to think more critically withing the of the interprofessional setting. I took for granted the more experienced professionals would have the best ideas necessary for the task. Looking back, I can’t think of a reason why 2 was not involved with us in the professional’s meeting. She could have provided an explanation to the Police’s suggestions. Rather than loosing time and momentum with me working as the ‘go between’. This is something I will suggest next time as it is my role as the social worker to ensure the service user’s wishes are placed at the centre (</w:t>
      </w:r>
      <w:proofErr w:type="spellStart"/>
      <w:r w:rsidRPr="00442BF9">
        <w:rPr>
          <w:rFonts w:asciiTheme="minorHAnsi" w:hAnsiTheme="minorHAnsi" w:cstheme="minorHAnsi"/>
          <w:sz w:val="24"/>
          <w:szCs w:val="24"/>
        </w:rPr>
        <w:t>Lymbery</w:t>
      </w:r>
      <w:proofErr w:type="spellEnd"/>
      <w:r w:rsidRPr="00442BF9">
        <w:rPr>
          <w:rFonts w:asciiTheme="minorHAnsi" w:hAnsiTheme="minorHAnsi" w:cstheme="minorHAnsi"/>
          <w:sz w:val="24"/>
          <w:szCs w:val="24"/>
        </w:rPr>
        <w:t xml:space="preserve"> and Millward, 2009 as cited in Adams et al 2009c). If involved in a similar financial safeguarding strategy in the future, I would ask if it would be beneficial to involve the DWP who could have provided the specialist legal knowledge of what exactly was 3’s obligation as 2’s appointee. I reflect that I too need to maintain critical thinking and use my voice to contribute, no matter how experienced other professionals are.  </w:t>
      </w:r>
    </w:p>
    <w:p w14:paraId="56265A4C" w14:textId="77777777" w:rsidR="00442BF9" w:rsidRPr="00442BF9" w:rsidRDefault="00442BF9" w:rsidP="00442BF9">
      <w:pPr>
        <w:spacing w:line="360" w:lineRule="auto"/>
        <w:rPr>
          <w:rFonts w:asciiTheme="minorHAnsi" w:hAnsiTheme="minorHAnsi" w:cstheme="minorHAnsi"/>
          <w:sz w:val="24"/>
          <w:szCs w:val="24"/>
        </w:rPr>
      </w:pPr>
    </w:p>
    <w:p w14:paraId="1862F7D8" w14:textId="77777777" w:rsidR="00442BF9" w:rsidRPr="00442BF9" w:rsidRDefault="00442BF9" w:rsidP="00442BF9">
      <w:pPr>
        <w:spacing w:line="360" w:lineRule="auto"/>
        <w:rPr>
          <w:rFonts w:asciiTheme="minorHAnsi" w:hAnsiTheme="minorHAnsi" w:cstheme="minorHAnsi"/>
          <w:sz w:val="24"/>
          <w:szCs w:val="24"/>
          <w:lang w:val="en-US"/>
        </w:rPr>
      </w:pPr>
      <w:r w:rsidRPr="00442BF9">
        <w:rPr>
          <w:rFonts w:asciiTheme="minorHAnsi" w:hAnsiTheme="minorHAnsi" w:cstheme="minorHAnsi"/>
          <w:sz w:val="24"/>
          <w:szCs w:val="24"/>
          <w:lang w:val="en-US"/>
        </w:rPr>
        <w:t xml:space="preserve">Due to the complexities of the case, it is understandable that there will be elements of practice to take away and learn for the future. And I do believe that I contributed well to the MDT, especially report writing and sharing critical information. </w:t>
      </w:r>
      <w:proofErr w:type="gramStart"/>
      <w:r w:rsidRPr="00442BF9">
        <w:rPr>
          <w:rFonts w:asciiTheme="minorHAnsi" w:hAnsiTheme="minorHAnsi" w:cstheme="minorHAnsi"/>
          <w:sz w:val="24"/>
          <w:szCs w:val="24"/>
          <w:lang w:val="en-US"/>
        </w:rPr>
        <w:t>On the whole</w:t>
      </w:r>
      <w:proofErr w:type="gramEnd"/>
      <w:r w:rsidRPr="00442BF9">
        <w:rPr>
          <w:rFonts w:asciiTheme="minorHAnsi" w:hAnsiTheme="minorHAnsi" w:cstheme="minorHAnsi"/>
          <w:sz w:val="24"/>
          <w:szCs w:val="24"/>
          <w:lang w:val="en-US"/>
        </w:rPr>
        <w:t xml:space="preserve"> I was pleased with how I handled the entire case. I had identified ongoing abuse. Communicated it in an appropriate and sensitive way to the needs of 2 and found a plan that engaged her in collaborating. Minimising the risk whilst planning for independence, hopefully reducing the perceived gap in power. It is felt that theories such as task-</w:t>
      </w:r>
      <w:r w:rsidRPr="00442BF9">
        <w:rPr>
          <w:rFonts w:asciiTheme="minorHAnsi" w:hAnsiTheme="minorHAnsi" w:cstheme="minorHAnsi"/>
          <w:sz w:val="24"/>
          <w:szCs w:val="24"/>
          <w:lang w:val="en-US"/>
        </w:rPr>
        <w:lastRenderedPageBreak/>
        <w:t xml:space="preserve">centered practice, attachment and a critical perspective confirms that I am applying learned theories as a student into professional practice. It is pleasing that I was able to reflect in, on and for action to use the information provided to me in a holistic manner. As well as reflecting well, I feel that I have demonstrated the ability to follow safeguarding procedures, the code of practice and relevant legislation such as </w:t>
      </w:r>
      <w:proofErr w:type="gramStart"/>
      <w:r w:rsidRPr="00442BF9">
        <w:rPr>
          <w:rFonts w:asciiTheme="minorHAnsi" w:hAnsiTheme="minorHAnsi" w:cstheme="minorHAnsi"/>
          <w:sz w:val="24"/>
          <w:szCs w:val="24"/>
          <w:lang w:val="en-US"/>
        </w:rPr>
        <w:t>The</w:t>
      </w:r>
      <w:proofErr w:type="gramEnd"/>
      <w:r w:rsidRPr="00442BF9">
        <w:rPr>
          <w:rFonts w:asciiTheme="minorHAnsi" w:hAnsiTheme="minorHAnsi" w:cstheme="minorHAnsi"/>
          <w:sz w:val="24"/>
          <w:szCs w:val="24"/>
          <w:lang w:val="en-US"/>
        </w:rPr>
        <w:t xml:space="preserve"> SSWB(W)A 2014, The MCA 2005, The DPA 1998 and the HRA 1998. The geographical landscape and the Welsh language context played an important and unique role. And it is believed that with the help of thoughtful practice and the use of supervision I applied a creative response to the need. By working in a person-centered way, I had practiced anti-oppressively hopefully enhancing the trust in our relationship moving forward.</w:t>
      </w:r>
    </w:p>
    <w:p w14:paraId="27CAD1F7" w14:textId="77777777" w:rsidR="00442BF9" w:rsidRPr="00442BF9" w:rsidRDefault="00442BF9" w:rsidP="00442BF9">
      <w:pPr>
        <w:spacing w:line="360" w:lineRule="auto"/>
        <w:rPr>
          <w:rFonts w:asciiTheme="minorHAnsi" w:hAnsiTheme="minorHAnsi" w:cstheme="minorHAnsi"/>
          <w:sz w:val="24"/>
          <w:szCs w:val="24"/>
        </w:rPr>
      </w:pPr>
    </w:p>
    <w:p w14:paraId="2AE5C8EC" w14:textId="77777777" w:rsidR="00442BF9" w:rsidRPr="00442BF9" w:rsidRDefault="00442BF9" w:rsidP="00442BF9">
      <w:pPr>
        <w:spacing w:line="360" w:lineRule="auto"/>
        <w:rPr>
          <w:rFonts w:asciiTheme="minorHAnsi" w:hAnsiTheme="minorHAnsi" w:cstheme="minorHAnsi"/>
          <w:b/>
          <w:bCs/>
          <w:sz w:val="24"/>
          <w:szCs w:val="24"/>
        </w:rPr>
      </w:pPr>
      <w:r w:rsidRPr="00442BF9">
        <w:rPr>
          <w:rFonts w:asciiTheme="minorHAnsi" w:hAnsiTheme="minorHAnsi" w:cstheme="minorHAnsi"/>
          <w:b/>
          <w:bCs/>
          <w:sz w:val="24"/>
          <w:szCs w:val="24"/>
        </w:rPr>
        <w:t>Word Count: 4260</w:t>
      </w: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8279E" w14:textId="77777777" w:rsidR="00DC6879" w:rsidRDefault="00DC6879">
      <w:r>
        <w:separator/>
      </w:r>
    </w:p>
  </w:endnote>
  <w:endnote w:type="continuationSeparator" w:id="0">
    <w:p w14:paraId="0E758A4C" w14:textId="77777777" w:rsidR="00DC6879" w:rsidRDefault="00DC68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94F55" w14:textId="77777777" w:rsidR="00DC6879" w:rsidRDefault="00DC6879">
      <w:r>
        <w:separator/>
      </w:r>
    </w:p>
  </w:footnote>
  <w:footnote w:type="continuationSeparator" w:id="0">
    <w:p w14:paraId="187DC226" w14:textId="77777777" w:rsidR="00DC6879" w:rsidRDefault="00DC68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696A5E"/>
    <w:multiLevelType w:val="hybridMultilevel"/>
    <w:tmpl w:val="4FE44A74"/>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2F44DBA"/>
    <w:multiLevelType w:val="hybridMultilevel"/>
    <w:tmpl w:val="34AAAE3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7"/>
  </w:num>
  <w:num w:numId="4" w16cid:durableId="1850633156">
    <w:abstractNumId w:val="49"/>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5"/>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6"/>
  </w:num>
  <w:num w:numId="33" w16cid:durableId="694232600">
    <w:abstractNumId w:val="40"/>
  </w:num>
  <w:num w:numId="34" w16cid:durableId="1062095063">
    <w:abstractNumId w:val="5"/>
  </w:num>
  <w:num w:numId="35" w16cid:durableId="2051881075">
    <w:abstractNumId w:val="48"/>
  </w:num>
  <w:num w:numId="36" w16cid:durableId="2107188112">
    <w:abstractNumId w:val="43"/>
  </w:num>
  <w:num w:numId="37" w16cid:durableId="1313413796">
    <w:abstractNumId w:val="36"/>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50"/>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427968388">
    <w:abstractNumId w:val="37"/>
  </w:num>
  <w:num w:numId="55" w16cid:durableId="643197618">
    <w:abstractNumId w:val="4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D5400"/>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42BF9"/>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57EAC"/>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373E"/>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57A93"/>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0211"/>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6879"/>
    <w:rsid w:val="00DD31C5"/>
    <w:rsid w:val="00DD5020"/>
    <w:rsid w:val="00DD63BE"/>
    <w:rsid w:val="00DD737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paragraph" w:styleId="ParagraffRhestr">
    <w:name w:val="List Paragraph"/>
    <w:basedOn w:val="Normal"/>
    <w:uiPriority w:val="34"/>
    <w:qFormat/>
    <w:rsid w:val="00442BF9"/>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kern w:val="2"/>
      <w:sz w:val="22"/>
      <w:szCs w:val="22"/>
      <w:lang w:val="cy-GB"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3%33%300%32%36@%73%74u%64%65%6et%2e%75%77%74%73d%2e%61%63%2e%75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3904</Words>
  <Characters>22256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Marc Bentham (OEDOLION)</cp:lastModifiedBy>
  <cp:revision>3</cp:revision>
  <cp:lastPrinted>2020-02-11T19:20:00Z</cp:lastPrinted>
  <dcterms:created xsi:type="dcterms:W3CDTF">2025-02-12T10:14:00Z</dcterms:created>
  <dcterms:modified xsi:type="dcterms:W3CDTF">2025-02-12T23:33:00Z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