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layout2.xml" ContentType="application/vnd.openxmlformats-officedocument.drawingml.diagramLayout+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quickStyle2.xml" ContentType="application/vnd.openxmlformats-officedocument.drawingml.diagramStyle+xml"/>
  <Override PartName="/word/diagrams/layout1.xml" ContentType="application/vnd.openxmlformats-officedocument.drawingml.diagramLayout+xml"/>
  <Override PartName="/word/diagrams/drawing2.xml" ContentType="application/vnd.ms-office.drawingml.diagramDrawing+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diagrams/data2.xml" ContentType="application/vnd.openxmlformats-officedocument.drawingml.diagramData+xml"/>
  <Override PartName="/word/diagrams/colors2.xml" ContentType="application/vnd.openxmlformats-officedocument.drawingml.diagramColor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left"/>
        <w:rPr>
          <w:rFonts w:ascii="Arial" w:cs="Arial" w:hAnsi="Arial"/>
        </w:rPr>
      </w:pPr>
      <w:r>
        <w:rPr>
          <w:rFonts w:ascii="Arial" w:cs="Arial" w:hAnsi="Arial"/>
        </w:rPr>
        <w:drawing>
          <wp:inline distL="0" distT="0" distB="0" distR="0">
            <wp:extent cx="2867425" cy="1000264"/>
            <wp:effectExtent l="0" t="0" r="0" b="952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867425" cy="1000264"/>
                    </a:xfrm>
                    <a:prstGeom prst="rect"/>
                  </pic:spPr>
                </pic:pic>
              </a:graphicData>
            </a:graphic>
          </wp:inline>
        </w:drawing>
      </w:r>
    </w:p>
    <w:p>
      <w:pPr>
        <w:pStyle w:val="style0"/>
        <w:jc w:val="left"/>
        <w:rPr>
          <w:rFonts w:ascii="Arial" w:cs="Arial" w:hAnsi="Arial"/>
        </w:rPr>
      </w:pPr>
    </w:p>
    <w:p>
      <w:pPr>
        <w:pStyle w:val="style0"/>
        <w:jc w:val="center"/>
        <w:rPr>
          <w:rFonts w:ascii="Arial" w:cs="Arial" w:hAnsi="Arial"/>
          <w:b/>
          <w:bCs/>
          <w:sz w:val="28"/>
          <w:szCs w:val="28"/>
        </w:rPr>
      </w:pPr>
      <w:r>
        <w:rPr>
          <w:rFonts w:ascii="Arial" w:cs="Arial" w:hAnsi="Arial"/>
          <w:b/>
          <w:bCs/>
          <w:sz w:val="28"/>
          <w:szCs w:val="28"/>
        </w:rPr>
        <w:t>Programme: MSc Public Health and Social Care in Practice</w:t>
      </w:r>
    </w:p>
    <w:p>
      <w:pPr>
        <w:pStyle w:val="style0"/>
        <w:jc w:val="center"/>
        <w:rPr>
          <w:rFonts w:ascii="Arial" w:cs="Arial" w:hAnsi="Arial"/>
          <w:b/>
          <w:bCs/>
          <w:sz w:val="28"/>
          <w:szCs w:val="28"/>
        </w:rPr>
      </w:pPr>
      <w:r>
        <w:rPr>
          <w:rFonts w:ascii="Arial" w:cs="Arial" w:hAnsi="Arial"/>
          <w:b/>
          <w:bCs/>
          <w:sz w:val="28"/>
          <w:szCs w:val="28"/>
        </w:rPr>
        <w:t>Module: Quality Assurance and Service Improvements</w:t>
      </w:r>
    </w:p>
    <w:p>
      <w:pPr>
        <w:pStyle w:val="style0"/>
        <w:jc w:val="center"/>
        <w:rPr>
          <w:rFonts w:ascii="Arial" w:cs="Arial" w:hAnsi="Arial"/>
          <w:b/>
          <w:bCs/>
          <w:sz w:val="28"/>
          <w:szCs w:val="28"/>
        </w:rPr>
      </w:pPr>
      <w:r>
        <w:rPr>
          <w:rFonts w:ascii="Arial" w:cs="Arial" w:hAnsi="Arial"/>
          <w:b/>
          <w:bCs/>
          <w:sz w:val="28"/>
          <w:szCs w:val="28"/>
        </w:rPr>
        <w:t>Module code: LCHS7006</w:t>
      </w:r>
    </w:p>
    <w:p>
      <w:pPr>
        <w:pStyle w:val="style0"/>
        <w:jc w:val="center"/>
        <w:rPr>
          <w:rFonts w:ascii="Arial" w:cs="Arial" w:hAnsi="Arial"/>
          <w:b/>
          <w:bCs/>
          <w:sz w:val="24"/>
          <w:szCs w:val="24"/>
        </w:rPr>
      </w:pPr>
    </w:p>
    <w:p>
      <w:pPr>
        <w:pStyle w:val="style0"/>
        <w:jc w:val="center"/>
        <w:rPr>
          <w:rFonts w:ascii="Arial" w:cs="Arial" w:hAnsi="Arial"/>
          <w:b/>
          <w:bCs/>
          <w:sz w:val="24"/>
          <w:szCs w:val="24"/>
        </w:rPr>
      </w:pPr>
      <w:r>
        <w:rPr>
          <w:rFonts w:ascii="Arial" w:cs="Arial" w:hAnsi="Arial"/>
          <w:b/>
          <w:bCs/>
          <w:sz w:val="24"/>
          <w:szCs w:val="24"/>
        </w:rPr>
        <w:t>Lecturer: Dr Fahad Khan</w:t>
      </w:r>
    </w:p>
    <w:p>
      <w:pPr>
        <w:pStyle w:val="style0"/>
        <w:jc w:val="center"/>
        <w:rPr>
          <w:rFonts w:ascii="Arial" w:cs="Arial" w:hAnsi="Arial"/>
          <w:b/>
          <w:bCs/>
          <w:sz w:val="24"/>
          <w:szCs w:val="24"/>
        </w:rPr>
      </w:pPr>
    </w:p>
    <w:p>
      <w:pPr>
        <w:pStyle w:val="style0"/>
        <w:jc w:val="center"/>
        <w:rPr>
          <w:rFonts w:ascii="Arial" w:cs="Arial" w:hAnsi="Arial"/>
          <w:b/>
          <w:bCs/>
          <w:sz w:val="28"/>
          <w:szCs w:val="28"/>
        </w:rPr>
      </w:pPr>
      <w:r>
        <w:rPr>
          <w:rFonts w:ascii="Arial" w:cs="Arial" w:hAnsi="Arial"/>
          <w:b/>
          <w:bCs/>
          <w:sz w:val="28"/>
          <w:szCs w:val="28"/>
        </w:rPr>
        <w:t>Assignment Title: Component 2 Service Improvement Report</w:t>
      </w:r>
    </w:p>
    <w:p>
      <w:pPr>
        <w:pStyle w:val="style0"/>
        <w:jc w:val="center"/>
        <w:rPr>
          <w:rFonts w:ascii="Arial" w:cs="Arial" w:hAnsi="Arial"/>
          <w:b/>
          <w:bCs/>
          <w:sz w:val="24"/>
          <w:szCs w:val="24"/>
        </w:rPr>
      </w:pPr>
    </w:p>
    <w:p>
      <w:pPr>
        <w:pStyle w:val="style0"/>
        <w:jc w:val="center"/>
        <w:rPr>
          <w:rFonts w:ascii="Arial" w:cs="Arial" w:hAnsi="Arial"/>
          <w:b/>
          <w:bCs/>
          <w:sz w:val="32"/>
          <w:szCs w:val="32"/>
        </w:rPr>
      </w:pPr>
      <w:r>
        <w:rPr>
          <w:rFonts w:ascii="Arial" w:cs="Arial" w:hAnsi="Arial"/>
          <w:b/>
          <w:bCs/>
          <w:sz w:val="32"/>
          <w:szCs w:val="32"/>
        </w:rPr>
        <w:t>Systems-Based Safety Analysis and Root Cause Evaluation in Healthcare</w:t>
      </w:r>
    </w:p>
    <w:p>
      <w:pPr>
        <w:pStyle w:val="style0"/>
        <w:jc w:val="center"/>
        <w:rPr>
          <w:rFonts w:ascii="Arial" w:cs="Arial" w:hAnsi="Arial"/>
          <w:b/>
          <w:bCs/>
          <w:sz w:val="28"/>
          <w:szCs w:val="28"/>
        </w:rPr>
      </w:pPr>
      <w:r>
        <w:rPr>
          <w:rFonts w:ascii="Arial" w:cs="Arial" w:hAnsi="Arial"/>
          <w:b/>
          <w:bCs/>
          <w:sz w:val="28"/>
          <w:szCs w:val="28"/>
        </w:rPr>
        <w:t>Mid Staffordshire NHS Foundation Trust (UK)</w:t>
      </w:r>
    </w:p>
    <w:p>
      <w:pPr>
        <w:pStyle w:val="style0"/>
        <w:jc w:val="center"/>
        <w:rPr>
          <w:rFonts w:ascii="Arial" w:cs="Arial" w:hAnsi="Arial"/>
        </w:rPr>
      </w:pPr>
    </w:p>
    <w:p>
      <w:pPr>
        <w:pStyle w:val="style0"/>
        <w:jc w:val="center"/>
        <w:rPr>
          <w:rFonts w:ascii="Arial" w:cs="Arial" w:hAnsi="Arial"/>
        </w:rPr>
      </w:pPr>
    </w:p>
    <w:p>
      <w:pPr>
        <w:pStyle w:val="style0"/>
        <w:jc w:val="center"/>
        <w:rPr>
          <w:rFonts w:ascii="Arial" w:cs="Arial" w:hAnsi="Arial"/>
        </w:rPr>
      </w:pPr>
      <w:r>
        <w:rPr>
          <w:rFonts w:ascii="Arial" w:cs="Arial" w:hAnsi="Arial"/>
        </w:rPr>
        <w:t xml:space="preserve">Student name: </w:t>
      </w:r>
      <w:r>
        <w:rPr>
          <w:rFonts w:ascii="Arial" w:cs="Arial" w:hAnsi="Arial"/>
          <w:lang w:val="en-US"/>
        </w:rPr>
        <w:t>Izhar</w:t>
      </w:r>
    </w:p>
    <w:p>
      <w:pPr>
        <w:pStyle w:val="style0"/>
        <w:jc w:val="center"/>
        <w:rPr>
          <w:rFonts w:ascii="Arial" w:cs="Arial" w:hAnsi="Arial"/>
        </w:rPr>
      </w:pPr>
      <w:r>
        <w:rPr>
          <w:rFonts w:ascii="Arial" w:cs="Arial" w:hAnsi="Arial"/>
        </w:rPr>
        <w:t>Student ID number:</w:t>
      </w:r>
      <w:r>
        <w:rPr>
          <w:rFonts w:ascii="Arial" w:cs="Arial" w:hAnsi="Arial"/>
          <w:lang w:val="en-US"/>
        </w:rPr>
        <w:t xml:space="preserve"> 2437059</w:t>
      </w:r>
    </w:p>
    <w:p>
      <w:pPr>
        <w:pStyle w:val="style0"/>
        <w:jc w:val="center"/>
        <w:rPr>
          <w:rFonts w:ascii="Arial" w:cs="Arial" w:hAnsi="Arial"/>
        </w:rPr>
      </w:pPr>
    </w:p>
    <w:p>
      <w:pPr>
        <w:pStyle w:val="style0"/>
        <w:jc w:val="center"/>
        <w:rPr>
          <w:rFonts w:ascii="Arial" w:cs="Arial" w:hAnsi="Arial"/>
        </w:rPr>
      </w:pPr>
      <w:r>
        <w:rPr>
          <w:rFonts w:ascii="Arial" w:cs="Arial" w:hAnsi="Arial"/>
        </w:rPr>
        <w:t>Word</w:t>
      </w:r>
      <w:r>
        <w:rPr>
          <w:rFonts w:ascii="Arial" w:cs="Arial" w:hAnsi="Arial"/>
        </w:rPr>
        <w:t xml:space="preserve"> </w:t>
      </w:r>
      <w:r>
        <w:rPr>
          <w:rFonts w:ascii="Arial" w:cs="Arial" w:hAnsi="Arial"/>
        </w:rPr>
        <w:t>count:</w:t>
      </w:r>
      <w:r>
        <w:rPr>
          <w:rFonts w:ascii="Arial" w:cs="Arial" w:hAnsi="Arial"/>
        </w:rPr>
        <w:t xml:space="preserve"> </w:t>
      </w:r>
      <w:r>
        <w:rPr>
          <w:rFonts w:ascii="Arial" w:cs="Arial" w:hAnsi="Arial"/>
        </w:rPr>
        <w:t>2841</w:t>
      </w:r>
    </w:p>
    <w:p>
      <w:pPr>
        <w:pStyle w:val="style0"/>
        <w:jc w:val="center"/>
        <w:rPr>
          <w:rFonts w:ascii="Arial" w:cs="Arial" w:hAnsi="Arial"/>
        </w:rPr>
      </w:pPr>
    </w:p>
    <w:p>
      <w:pPr>
        <w:pStyle w:val="style0"/>
        <w:jc w:val="center"/>
        <w:rPr>
          <w:rFonts w:ascii="Arial" w:cs="Arial" w:hAnsi="Arial"/>
        </w:rPr>
      </w:pPr>
      <w:r>
        <w:rPr>
          <w:rFonts w:ascii="Arial" w:cs="Arial" w:hAnsi="Arial"/>
        </w:rPr>
        <w:t xml:space="preserve">Submission: </w:t>
      </w:r>
      <w:r>
        <w:rPr>
          <w:rFonts w:ascii="Arial" w:cs="Arial" w:hAnsi="Arial"/>
          <w:lang w:val="en-US"/>
        </w:rPr>
        <w:t>27.11.2025</w:t>
      </w:r>
    </w:p>
    <w:p>
      <w:pPr>
        <w:pStyle w:val="style0"/>
        <w:jc w:val="center"/>
        <w:rPr>
          <w:rFonts w:ascii="Arial" w:cs="Arial" w:hAnsi="Arial"/>
        </w:rPr>
      </w:pPr>
    </w:p>
    <w:p>
      <w:pPr>
        <w:pStyle w:val="style266"/>
        <w:spacing w:before="120" w:after="120" w:lineRule="auto" w:line="360"/>
        <w:jc w:val="center"/>
        <w:rPr>
          <w:rFonts w:ascii="Arial" w:cs="Arial" w:hAnsi="Arial"/>
          <w:b/>
          <w:bCs/>
          <w:color w:val="000000"/>
          <w:sz w:val="28"/>
          <w:szCs w:val="28"/>
          <w:lang w:val="en-GB"/>
        </w:rPr>
      </w:pPr>
      <w:r>
        <w:rPr>
          <w:rFonts w:ascii="Arial" w:cs="Arial" w:hAnsi="Arial"/>
          <w:b/>
          <w:bCs/>
          <w:color w:val="000000"/>
          <w:sz w:val="28"/>
          <w:szCs w:val="28"/>
          <w:lang w:val="en-GB"/>
        </w:rPr>
        <w:t>Table of Contents</w:t>
      </w:r>
    </w:p>
    <w:p>
      <w:pPr>
        <w:pStyle w:val="style19"/>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"_Toc214964377" </w:instrText>
      </w:r>
      <w:r>
        <w:rPr/>
        <w:fldChar w:fldCharType="separate"/>
      </w:r>
      <w:r>
        <w:rPr>
          <w:rStyle w:val="style85"/>
          <w:rFonts w:ascii="Arial" w:cs="Arial" w:hAnsi="Arial"/>
          <w:noProof/>
        </w:rPr>
        <w:t>1.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_Toc214964377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19"/>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"_Toc214964378" </w:instrText>
      </w:r>
      <w:r>
        <w:rPr/>
        <w:fldChar w:fldCharType="separate"/>
      </w:r>
      <w:r>
        <w:rPr>
          <w:rStyle w:val="style85"/>
          <w:rFonts w:ascii="Arial" w:cs="Arial" w:hAnsi="Arial"/>
          <w:noProof/>
        </w:rPr>
        <w:t>2. Main Body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_Toc214964378 \h </w:instrText>
      </w:r>
      <w:r>
        <w:rPr>
          <w:rFonts w:ascii="Arial" w:cs="Arial" w:hAnsi="Arial"/>
          <w:noProof/>
          <w:webHidden/>
        </w:rPr>
        <w:fldChar w:fldCharType="separate"/>
      </w:r>
      <w:r>
        <w:rPr>
          <w:rFonts w:ascii="Arial" w:cs="Arial" w:hAnsi="Arial"/>
          <w:noProof/>
          <w:webHidden/>
        </w:rPr>
        <w:t>3</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"_Toc214964379" </w:instrText>
      </w:r>
      <w:r>
        <w:rPr/>
        <w:fldChar w:fldCharType="separate"/>
      </w:r>
      <w:r>
        <w:rPr>
          <w:rStyle w:val="style85"/>
          <w:rFonts w:ascii="Arial" w:cs="Arial" w:hAnsi="Arial"/>
          <w:noProof/>
        </w:rPr>
        <w:t>2.1 Overview of the Quality Issue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_Toc214964379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"_Toc214964380" </w:instrText>
      </w:r>
      <w:r>
        <w:rPr/>
        <w:fldChar w:fldCharType="separate"/>
      </w:r>
      <w:r>
        <w:rPr>
          <w:rStyle w:val="style85"/>
          <w:rFonts w:ascii="Arial" w:cs="Arial" w:hAnsi="Arial"/>
          <w:noProof/>
        </w:rPr>
        <w:t>2.2 Root Cause Analysis- Fishbone Diagram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_Toc214964380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"_Toc214964381" </w:instrText>
      </w:r>
      <w:r>
        <w:rPr/>
        <w:fldChar w:fldCharType="separate"/>
      </w:r>
      <w:r>
        <w:rPr>
          <w:rStyle w:val="style85"/>
          <w:rFonts w:ascii="Arial" w:cs="Arial" w:hAnsi="Arial"/>
          <w:noProof/>
        </w:rPr>
        <w:t>2.3 Donabedian Model Application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_Toc214964381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"_Toc214964382" </w:instrText>
      </w:r>
      <w:r>
        <w:rPr/>
        <w:fldChar w:fldCharType="separate"/>
      </w:r>
      <w:r>
        <w:rPr>
          <w:rStyle w:val="style85"/>
          <w:rFonts w:ascii="Arial" w:cs="Arial" w:hAnsi="Arial"/>
          <w:noProof/>
        </w:rPr>
        <w:t>2.4 SWOT Analysis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_Toc214964382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"_Toc214964383" </w:instrText>
      </w:r>
      <w:r>
        <w:rPr/>
        <w:fldChar w:fldCharType="separate"/>
      </w:r>
      <w:r>
        <w:rPr>
          <w:rStyle w:val="style85"/>
          <w:rFonts w:ascii="Arial" w:cs="Arial" w:hAnsi="Arial"/>
          <w:noProof/>
        </w:rPr>
        <w:t>2.5 Benchmark Table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_Toc214964383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"_Toc214964384" </w:instrText>
      </w:r>
      <w:r>
        <w:rPr/>
        <w:fldChar w:fldCharType="separate"/>
      </w:r>
      <w:r>
        <w:rPr>
          <w:rStyle w:val="style85"/>
          <w:rFonts w:ascii="Arial" w:cs="Arial" w:hAnsi="Arial"/>
          <w:noProof/>
        </w:rPr>
        <w:t>2.6 Change Management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_Toc214964384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pPr>
        <w:pStyle w:val="style19"/>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"_Toc214964385" </w:instrText>
      </w:r>
      <w:r>
        <w:rPr/>
        <w:fldChar w:fldCharType="separate"/>
      </w:r>
      <w:r>
        <w:rPr>
          <w:rStyle w:val="style85"/>
          <w:rFonts w:ascii="Arial" w:cs="Arial" w:hAnsi="Arial"/>
          <w:noProof/>
        </w:rPr>
        <w:t>3. Recommendations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_Toc214964385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"_Toc214964386" </w:instrText>
      </w:r>
      <w:r>
        <w:rPr/>
        <w:fldChar w:fldCharType="separate"/>
      </w:r>
      <w:r>
        <w:rPr>
          <w:rStyle w:val="style85"/>
          <w:rFonts w:ascii="Arial" w:cs="Arial" w:hAnsi="Arial"/>
          <w:noProof/>
        </w:rPr>
        <w:t>3.1 Strategic Actions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_Toc214964386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pPr>
        <w:pStyle w:val="style20"/>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"_Toc214964387" </w:instrText>
      </w:r>
      <w:r>
        <w:rPr/>
        <w:fldChar w:fldCharType="separate"/>
      </w:r>
      <w:r>
        <w:rPr>
          <w:rStyle w:val="style85"/>
          <w:rFonts w:ascii="Arial" w:cs="Arial" w:hAnsi="Arial"/>
          <w:noProof/>
        </w:rPr>
        <w:t>3.2 Implementation Strategy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_Toc214964387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pPr>
        <w:pStyle w:val="style19"/>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"_Toc214964388" </w:instrText>
      </w:r>
      <w:r>
        <w:rPr/>
        <w:fldChar w:fldCharType="separate"/>
      </w:r>
      <w:r>
        <w:rPr>
          <w:rStyle w:val="style85"/>
          <w:rFonts w:ascii="Arial" w:cs="Arial" w:hAnsi="Arial"/>
          <w:noProof/>
        </w:rPr>
        <w:t>4. Conclusion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_Toc214964388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pPr>
        <w:pStyle w:val="style19"/>
        <w:tabs>
          <w:tab w:val="right" w:leader="dot" w:pos="9016"/>
        </w:tabs>
        <w:rPr>
          <w:rFonts w:ascii="Arial" w:cs="Arial" w:eastAsia="宋体" w:hAnsi="Arial"/>
          <w:noProof/>
          <w:color w:val="auto"/>
          <w:sz w:val="24"/>
          <w:szCs w:val="24"/>
          <w:lang w:val="en-IN" w:eastAsia="en-IN"/>
          <w14:ligatures xmlns:w14="http://schemas.microsoft.com/office/word/2010/wordml" w14:val="standardContextual"/>
        </w:rPr>
      </w:pPr>
      <w:r>
        <w:rPr/>
        <w:fldChar w:fldCharType="begin"/>
      </w:r>
      <w:r>
        <w:instrText xml:space="preserve"> HYPERLINK \l "_Toc214964389" </w:instrText>
      </w:r>
      <w:r>
        <w:rPr/>
        <w:fldChar w:fldCharType="separate"/>
      </w:r>
      <w:r>
        <w:rPr>
          <w:rStyle w:val="style85"/>
          <w:rFonts w:ascii="Arial" w:cs="Arial" w:hAnsi="Arial"/>
          <w:noProof/>
        </w:rPr>
        <w:t>Reference List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_Toc214964389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pPr>
        <w:pStyle w:val="style0"/>
        <w:rPr>
          <w:rFonts w:ascii="Arial" w:cs="Arial" w:hAnsi="Arial"/>
        </w:rPr>
      </w:pPr>
      <w:r>
        <w:rPr>
          <w:rFonts w:ascii="Arial" w:cs="Arial" w:hAnsi="Arial"/>
          <w:b/>
          <w:bCs/>
        </w:rPr>
        <w:fldChar w:fldCharType="end"/>
      </w:r>
    </w:p>
    <w:p>
      <w:pPr>
        <w:pStyle w:val="style0"/>
        <w:jc w:val="left"/>
        <w:rPr>
          <w:rFonts w:ascii="Arial" w:cs="Arial" w:hAnsi="Arial"/>
          <w:b/>
          <w:bCs/>
          <w:sz w:val="28"/>
          <w:szCs w:val="28"/>
        </w:rPr>
      </w:pPr>
      <w:r>
        <w:rPr>
          <w:rFonts w:ascii="Arial" w:cs="Arial" w:hAnsi="Arial"/>
        </w:rPr>
        <w:br w:type="page"/>
      </w:r>
    </w:p>
    <w:bookmarkStart w:id="0" w:name="_Toc214964377"/>
    <w:p>
      <w:pPr>
        <w:pStyle w:val="style1"/>
        <w:rPr>
          <w:rFonts w:ascii="Arial" w:cs="Arial" w:hAnsi="Arial"/>
        </w:rPr>
      </w:pPr>
      <w:r>
        <w:rPr>
          <w:rFonts w:ascii="Arial" w:cs="Arial" w:hAnsi="Arial"/>
        </w:rPr>
        <w:t>1. Introduction</w:t>
      </w:r>
      <w:bookmarkEnd w:id="0"/>
      <w:r>
        <w:rPr>
          <w:rFonts w:ascii="Arial" w:cs="Arial" w:hAnsi="Arial"/>
        </w:rPr>
        <w:t xml:space="preserve"> </w:t>
      </w:r>
    </w:p>
    <w:p>
      <w:pPr>
        <w:pStyle w:val="style0"/>
        <w:rPr>
          <w:rFonts w:ascii="Arial" w:cs="Arial" w:hAnsi="Arial"/>
        </w:rPr>
      </w:pPr>
      <w:r>
        <w:rPr>
          <w:rFonts w:ascii="Arial" w:cs="Arial" w:hAnsi="Arial"/>
        </w:rPr>
        <w:t xml:space="preserve">A failure of leadership, governance, and culture of patient safety at the Mid Staffordshire NHS Foundation Trust between 2005 and 2009 resulted in an estimated 1,200 excess deaths. Major causes of these incidents were inadequate hygienic conditions, poor hygiene, and lack of basic care, leading to severe quality breakdown (Inquests &amp; Inquiries, 2025). An investigation by the Healthcare Commission in 2009 and a first independent inquiry by Robert Francis in February 2010 revealed the scandal of quality care systems. This culture includes low quality, inadequate board controls, fear of whistle-blowing among the staff, decisions made on targets at the expense of patient care, and regulatory lapses. </w:t>
      </w:r>
    </w:p>
    <w:p>
      <w:pPr>
        <w:pStyle w:val="style0"/>
        <w:rPr>
          <w:rFonts w:ascii="Arial" w:cs="Arial" w:hAnsi="Arial"/>
        </w:rPr>
      </w:pPr>
      <w:r>
        <w:rPr>
          <w:rFonts w:ascii="Arial" w:cs="Arial" w:hAnsi="Arial"/>
        </w:rPr>
        <w:t xml:space="preserve">The conclusion of Robert Francis' report was that Mid-Staffordshire NHS Foundation Trust had endemic failures (Francis, 2013). </w:t>
      </w:r>
      <w:r>
        <w:rPr>
          <w:rFonts w:ascii="Arial" w:cs="Arial" w:hAnsi="Arial"/>
        </w:rPr>
        <w:t>The final report, which has 290 recommendations targeting culture, regulation, professional bodies and local leadership. Despite meeting financial and performance targets, the basic areas of care, dignity, safety, and responsiveness were overlooked. External regulators and commissioners failed to connect signals like mortality alerts, complaints, and inspections, resulting in delayed, disjointed intervention and inadequate system accountability (Francis, 2013).</w:t>
      </w:r>
    </w:p>
    <w:p>
      <w:pPr>
        <w:pStyle w:val="style0"/>
        <w:rPr>
          <w:rFonts w:ascii="Arial" w:cs="Arial" w:hAnsi="Arial"/>
        </w:rPr>
      </w:pPr>
      <w:r>
        <w:rPr>
          <w:rFonts w:ascii="Arial" w:cs="Arial" w:hAnsi="Arial"/>
        </w:rPr>
        <w:t xml:space="preserve">Investigations and reviews identify recurring themes such as workforce pressures, under-resourcing, inconsistent board cultures, and inconsistent regulatory ones, which support harm to resurface. Regarding these structural changes, it is hard to entrench culture change in a massive system. The funding must be sustained with regulatory efficiency and required funding on a regular basis, clinical experience among inspectors, and working between review systems like IT and data analytics. The government and the NHS responded to the urgent tone of the message delivered by Francis and announced an array of reforms. This includes a new and statutory duty of candour, the establishment of a Chief Inspector of Hospitals position at the CQC, and new mechanisms, including Freedom to Speak Up Guardians and patients' first commitments (NHS England, 2022). </w:t>
      </w:r>
    </w:p>
    <w:p>
      <w:pPr>
        <w:pStyle w:val="style0"/>
        <w:rPr>
          <w:rFonts w:ascii="Arial" w:cs="Arial" w:hAnsi="Arial"/>
        </w:rPr>
      </w:pPr>
      <w:r>
        <w:rPr>
          <w:rFonts w:ascii="Arial" w:cs="Arial" w:hAnsi="Arial"/>
        </w:rPr>
        <w:t xml:space="preserve">A significant number of these reforms were realised within a short time in 2013-14 as an official response and NHS action plans (Ham, 2014). In addition to this, alignment of staffing to acuity with real-time tools is </w:t>
      </w:r>
      <w:r>
        <w:rPr>
          <w:rFonts w:ascii="Arial" w:cs="Arial" w:hAnsi="Arial"/>
        </w:rPr>
        <w:t>practiced</w:t>
      </w:r>
      <w:r>
        <w:rPr>
          <w:rFonts w:ascii="Arial" w:cs="Arial" w:hAnsi="Arial"/>
        </w:rPr>
        <w:t xml:space="preserve"> to ensure supervisory time for ward leaders to coach and cover all tasks. The creation of patient councils embedded in governance involves families in incident reviews where appropriate and feeds outputs into board learning logs. The </w:t>
      </w:r>
      <w:r>
        <w:rPr>
          <w:rFonts w:ascii="Arial" w:cs="Arial" w:hAnsi="Arial"/>
        </w:rPr>
        <w:t>implementation of roadmaps of 90 days to 1 year, including different metrics, includes the launch of quality dashboards to measure of reduction in unavoidable harm and improves</w:t>
      </w:r>
      <w:r>
        <w:rPr>
          <w:rFonts w:ascii="Arial" w:cs="Arial" w:hAnsi="Arial"/>
        </w:rPr>
        <w:t xml:space="preserve"> patient satisfaction.</w:t>
      </w:r>
    </w:p>
    <w:bookmarkStart w:id="1" w:name="_Toc214964378"/>
    <w:p>
      <w:pPr>
        <w:pStyle w:val="style1"/>
        <w:rPr>
          <w:rFonts w:ascii="Arial" w:cs="Arial" w:hAnsi="Arial"/>
        </w:rPr>
      </w:pPr>
      <w:r>
        <w:rPr>
          <w:rFonts w:ascii="Arial" w:cs="Arial" w:hAnsi="Arial"/>
        </w:rPr>
        <w:t>2. Main Body</w:t>
      </w:r>
      <w:bookmarkEnd w:id="1"/>
    </w:p>
    <w:bookmarkStart w:id="2" w:name="_Toc214964379"/>
    <w:p>
      <w:pPr>
        <w:pStyle w:val="style2"/>
        <w:rPr/>
      </w:pPr>
      <w:r>
        <w:t xml:space="preserve">2.1 </w:t>
      </w:r>
      <w:r>
        <w:t>Overview of the Quality Issue</w:t>
      </w:r>
      <w:bookmarkEnd w:id="2"/>
    </w:p>
    <w:p>
      <w:pPr>
        <w:pStyle w:val="style0"/>
        <w:rPr>
          <w:rFonts w:ascii="Arial" w:cs="Arial" w:hAnsi="Arial"/>
        </w:rPr>
      </w:pPr>
      <w:r>
        <w:rPr>
          <w:rFonts w:ascii="Arial" w:cs="Arial" w:hAnsi="Arial"/>
        </w:rPr>
        <w:t xml:space="preserve">The Mid Staffordshire NHS Foundation Trust faced one of the worst quality and safety lapses in the history of the National Health Service of the UK between 2005 and 2009. </w:t>
      </w:r>
      <w:r>
        <w:rPr>
          <w:rFonts w:ascii="Arial" w:cs="Arial" w:hAnsi="Arial"/>
        </w:rPr>
        <w:t xml:space="preserve">Hundreds of individuals became victims of the most outrageous negligence </w:t>
      </w:r>
      <w:r>
        <w:rPr>
          <w:rFonts w:ascii="Arial" w:cs="Arial" w:hAnsi="Arial"/>
        </w:rPr>
        <w:t>(Francis, 2013</w:t>
      </w:r>
      <w:r>
        <w:rPr>
          <w:rFonts w:ascii="Arial" w:cs="Arial" w:hAnsi="Arial"/>
        </w:rPr>
        <w:t>a</w:t>
      </w:r>
      <w:r>
        <w:rPr>
          <w:rFonts w:ascii="Arial" w:cs="Arial" w:hAnsi="Arial"/>
        </w:rPr>
        <w:t>)</w:t>
      </w:r>
      <w:r>
        <w:rPr>
          <w:rFonts w:ascii="Arial" w:cs="Arial" w:hAnsi="Arial"/>
        </w:rPr>
        <w:t>. It was pointed out in the Francis Report (2013</w:t>
      </w:r>
      <w:r>
        <w:rPr>
          <w:rFonts w:ascii="Arial" w:cs="Arial" w:hAnsi="Arial"/>
        </w:rPr>
        <w:t>a</w:t>
      </w:r>
      <w:r>
        <w:rPr>
          <w:rFonts w:ascii="Arial" w:cs="Arial" w:hAnsi="Arial"/>
        </w:rPr>
        <w:t xml:space="preserve">) that the leadership of the </w:t>
      </w:r>
      <w:r>
        <w:rPr>
          <w:rFonts w:ascii="Arial" w:cs="Arial" w:hAnsi="Arial"/>
        </w:rPr>
        <w:t xml:space="preserve">Mid </w:t>
      </w:r>
      <w:r>
        <w:rPr>
          <w:rFonts w:ascii="Arial" w:cs="Arial" w:hAnsi="Arial"/>
        </w:rPr>
        <w:t>Staffordshire was</w:t>
      </w:r>
      <w:r>
        <w:rPr>
          <w:rFonts w:ascii="Arial" w:cs="Arial" w:hAnsi="Arial"/>
        </w:rPr>
        <w:t xml:space="preserve"> highly concerned with its goal to attain Foundation Trust status and financial performance, without prioritising patient safety and staff interests. </w:t>
      </w:r>
    </w:p>
    <w:p>
      <w:pPr>
        <w:pStyle w:val="style0"/>
        <w:rPr>
          <w:rFonts w:ascii="Arial" w:cs="Arial" w:hAnsi="Arial"/>
        </w:rPr>
      </w:pPr>
      <w:r>
        <w:rPr>
          <w:rFonts w:ascii="Arial" w:cs="Arial" w:hAnsi="Arial"/>
        </w:rPr>
        <w:t xml:space="preserve">Moreover, the reports prepared by auditors also reported to the Board that there were significant issues with the </w:t>
      </w:r>
      <w:r>
        <w:rPr>
          <w:rFonts w:ascii="Arial" w:cs="Arial" w:hAnsi="Arial"/>
        </w:rPr>
        <w:t xml:space="preserve">Mid </w:t>
      </w:r>
      <w:r>
        <w:rPr>
          <w:rFonts w:ascii="Arial" w:cs="Arial" w:hAnsi="Arial"/>
        </w:rPr>
        <w:t>Staffordshire with</w:t>
      </w:r>
      <w:r>
        <w:rPr>
          <w:rFonts w:ascii="Arial" w:cs="Arial" w:hAnsi="Arial"/>
        </w:rPr>
        <w:t xml:space="preserve"> regard to the lack of adequate risk management and assurance systems </w:t>
      </w:r>
      <w:r>
        <w:rPr>
          <w:rFonts w:ascii="Arial" w:cs="Arial" w:hAnsi="Arial"/>
        </w:rPr>
        <w:t>(Francis, 2013b)</w:t>
      </w:r>
      <w:r>
        <w:rPr>
          <w:rFonts w:ascii="Arial" w:cs="Arial" w:hAnsi="Arial"/>
        </w:rPr>
        <w:t xml:space="preserve">. </w:t>
      </w:r>
      <w:r>
        <w:rPr>
          <w:rFonts w:ascii="Arial" w:cs="Arial" w:hAnsi="Arial"/>
        </w:rPr>
        <w:t xml:space="preserve">In a move to balance the books and attain the status of a foundation trust, nursing numbers were reduced </w:t>
      </w:r>
      <w:r>
        <w:rPr>
          <w:rFonts w:ascii="Arial" w:cs="Arial" w:hAnsi="Arial"/>
        </w:rPr>
        <w:t>(Rafferty and Leary, 2023)</w:t>
      </w:r>
      <w:r>
        <w:rPr>
          <w:rFonts w:ascii="Arial" w:cs="Arial" w:hAnsi="Arial"/>
        </w:rPr>
        <w:t xml:space="preserve">. Such circumstances were the reasons behind missed observations, unattended infections, and patients in distress. It was not as a result of one error but rather a mix of bad leadership, bad governance, and a lack of safety culture. </w:t>
      </w:r>
    </w:p>
    <w:bookmarkStart w:id="3" w:name="_Toc214964380"/>
    <w:p>
      <w:pPr>
        <w:pStyle w:val="style2"/>
        <w:rPr/>
      </w:pPr>
      <w:r>
        <w:t xml:space="preserve">2.2 </w:t>
      </w:r>
      <w:r>
        <w:t>Root Cause Analysis- Fishbone Diagram</w:t>
      </w:r>
      <w:bookmarkEnd w:id="3"/>
    </w:p>
    <w:p>
      <w:pPr>
        <w:pStyle w:val="style0"/>
        <w:rPr>
          <w:rFonts w:ascii="Arial" w:cs="Arial" w:hAnsi="Arial"/>
        </w:rPr>
      </w:pPr>
      <w:r>
        <w:rPr>
          <w:rFonts w:ascii="Arial" w:cs="Arial" w:hAnsi="Arial"/>
        </w:rPr>
        <w:t>Fishbones or cause-and-effect diagrams (Ishikawa) can define business issues in terms of business procedures, individuals, tools, consumers and more (</w:t>
      </w:r>
      <w:r>
        <w:rPr>
          <w:rFonts w:ascii="Arial" w:cs="Arial" w:hAnsi="Arial"/>
        </w:rPr>
        <w:t>Sakdiyah</w:t>
      </w:r>
      <w:r>
        <w:rPr>
          <w:rFonts w:ascii="Arial" w:cs="Arial" w:hAnsi="Arial"/>
        </w:rPr>
        <w:t xml:space="preserve">, </w:t>
      </w:r>
      <w:r>
        <w:rPr>
          <w:rFonts w:ascii="Arial" w:cs="Arial" w:hAnsi="Arial"/>
        </w:rPr>
        <w:t>Eltiviaand</w:t>
      </w:r>
      <w:r>
        <w:rPr>
          <w:rFonts w:ascii="Arial" w:cs="Arial" w:hAnsi="Arial"/>
        </w:rPr>
        <w:t xml:space="preserve"> Afandi, 2022). It assists in realising that there are numerous causes of the severe failures in the Mid Staffordshire NHS Foundation Trust. It reveals that the issue was not brought about by a single weakness, but a number of unified weaknesses in the whole organisation. The diagram is broken down into six major categories that are leadership and governance, staffing and culture, clinical audits and quality assurance, external regulation, patient feedback, and communication.  </w:t>
      </w:r>
    </w:p>
    <w:p>
      <w:pPr>
        <w:pStyle w:val="style0"/>
        <w:jc w:val="center"/>
        <w:rPr>
          <w:rFonts w:ascii="Arial" w:cs="Arial" w:hAnsi="Arial"/>
        </w:rPr>
      </w:pPr>
      <w:r>
        <w:rPr>
          <w:rFonts w:ascii="Arial" w:cs="Arial" w:hAnsi="Arial"/>
        </w:rPr>
        <w:drawing>
          <wp:inline distL="0" distT="0" distB="0" distR="0">
            <wp:extent cx="6047509" cy="3178810"/>
            <wp:effectExtent l="38100" t="57150" r="105641" b="9779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6047509" cy="317881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rFonts w:ascii="Arial" w:cs="Arial" w:hAnsi="Arial"/>
          <w:b/>
          <w:bCs/>
        </w:rPr>
      </w:pPr>
      <w:r>
        <w:rPr>
          <w:rFonts w:ascii="Arial" w:cs="Arial" w:hAnsi="Arial"/>
          <w:b/>
          <w:bCs/>
        </w:rPr>
        <w:t>Figure</w:t>
      </w:r>
      <w:r>
        <w:rPr>
          <w:rFonts w:ascii="Arial" w:cs="Arial" w:hAnsi="Arial"/>
          <w:b/>
          <w:bCs/>
        </w:rPr>
        <w:t xml:space="preserve"> 1</w:t>
      </w:r>
      <w:r>
        <w:rPr>
          <w:rFonts w:ascii="Arial" w:cs="Arial" w:hAnsi="Arial"/>
          <w:b/>
          <w:bCs/>
        </w:rPr>
        <w:t>: Fishbone Diagram</w:t>
      </w:r>
    </w:p>
    <w:p>
      <w:pPr>
        <w:pStyle w:val="style0"/>
        <w:jc w:val="center"/>
        <w:rPr>
          <w:rFonts w:ascii="Arial" w:cs="Arial" w:hAnsi="Arial"/>
        </w:rPr>
      </w:pPr>
      <w:r>
        <w:rPr>
          <w:rFonts w:ascii="Arial" w:cs="Arial" w:hAnsi="Arial"/>
        </w:rPr>
        <w:t xml:space="preserve">(Source: Self-Created) </w:t>
      </w:r>
    </w:p>
    <w:p>
      <w:pPr>
        <w:pStyle w:val="style0"/>
        <w:rPr>
          <w:rFonts w:ascii="Arial" w:cs="Arial" w:hAnsi="Arial"/>
        </w:rPr>
      </w:pPr>
      <w:r>
        <w:rPr>
          <w:rFonts w:ascii="Arial" w:cs="Arial" w:hAnsi="Arial"/>
        </w:rPr>
        <w:t>The board did not act on warning indicators like high mortality rates and disregarded employee and patients’ complaints in the leadership and governance department.</w:t>
      </w:r>
      <w:r>
        <w:rPr>
          <w:rFonts w:ascii="Arial" w:cs="Arial" w:hAnsi="Arial"/>
        </w:rPr>
        <w:t xml:space="preserve"> The </w:t>
      </w:r>
      <w:r>
        <w:rPr>
          <w:rFonts w:ascii="Arial" w:cs="Arial" w:hAnsi="Arial"/>
        </w:rPr>
        <w:t xml:space="preserve">board of this trust only focused on their financial goals and status of being a structure, so patient safety was neglected </w:t>
      </w:r>
      <w:r>
        <w:rPr>
          <w:rFonts w:ascii="Arial" w:cs="Arial" w:hAnsi="Arial"/>
        </w:rPr>
        <w:t>(EMAP, 2009)</w:t>
      </w:r>
      <w:r>
        <w:rPr>
          <w:rFonts w:ascii="Arial" w:cs="Arial" w:hAnsi="Arial"/>
        </w:rPr>
        <w:t xml:space="preserve">. The staffing and culture were inadequate, with nurses being too few, and staff being too afraid to report issues. This helped to develop a culture of blame where issues were covered up rather than solved. </w:t>
      </w:r>
    </w:p>
    <w:p>
      <w:pPr>
        <w:pStyle w:val="style0"/>
        <w:rPr>
          <w:rFonts w:ascii="Arial" w:cs="Arial" w:hAnsi="Arial"/>
        </w:rPr>
      </w:pPr>
      <w:r>
        <w:rPr>
          <w:rFonts w:ascii="Arial" w:cs="Arial" w:hAnsi="Arial"/>
        </w:rPr>
        <w:t>There were weak clinical audits and quality assurance systems. Audits were not done, and there was no proper system to monitor risks or report incidents. There was a lack of timely action by external regulators such as the Care Quality Commission, even at the time of obvious problems</w:t>
      </w:r>
      <w:r>
        <w:rPr>
          <w:rFonts w:ascii="Arial" w:cs="Arial" w:hAnsi="Arial"/>
        </w:rPr>
        <w:t xml:space="preserve"> (Francis, 2013a)</w:t>
      </w:r>
      <w:r>
        <w:rPr>
          <w:rFonts w:ascii="Arial" w:cs="Arial" w:hAnsi="Arial"/>
        </w:rPr>
        <w:t xml:space="preserve">. It demonstrates an absence of accountability and coordination among supervisory authorities. </w:t>
      </w:r>
    </w:p>
    <w:p>
      <w:pPr>
        <w:pStyle w:val="style0"/>
        <w:rPr>
          <w:rFonts w:ascii="Arial" w:cs="Arial" w:hAnsi="Arial"/>
        </w:rPr>
      </w:pPr>
      <w:r>
        <w:rPr>
          <w:rFonts w:ascii="Arial" w:cs="Arial" w:hAnsi="Arial"/>
        </w:rPr>
        <w:t>Feedback from patients used to be ignored</w:t>
      </w:r>
      <w:r>
        <w:rPr>
          <w:rFonts w:ascii="Arial" w:cs="Arial" w:hAnsi="Arial"/>
        </w:rPr>
        <w:t xml:space="preserve"> (EMAP, 2009)</w:t>
      </w:r>
      <w:r>
        <w:rPr>
          <w:rFonts w:ascii="Arial" w:cs="Arial" w:hAnsi="Arial"/>
        </w:rPr>
        <w:t xml:space="preserve">. This contributed to a loss of confidence in the hospital. Lastly, </w:t>
      </w:r>
      <w:r>
        <w:rPr>
          <w:rFonts w:ascii="Arial" w:cs="Arial" w:hAnsi="Arial"/>
        </w:rPr>
        <w:t xml:space="preserve">the </w:t>
      </w:r>
      <w:r>
        <w:rPr>
          <w:rFonts w:ascii="Arial" w:cs="Arial" w:hAnsi="Arial"/>
        </w:rPr>
        <w:t xml:space="preserve">lack of communication among staff and </w:t>
      </w:r>
      <w:r>
        <w:rPr>
          <w:rFonts w:ascii="Arial" w:cs="Arial" w:hAnsi="Arial"/>
        </w:rPr>
        <w:t xml:space="preserve">the </w:t>
      </w:r>
      <w:r>
        <w:rPr>
          <w:rFonts w:ascii="Arial" w:cs="Arial" w:hAnsi="Arial"/>
        </w:rPr>
        <w:t xml:space="preserve">inability to refer to severe patient problems resulted in the fact that a large number of patients did not get the necessary care in time. In general, the Fishbone Diagram demonstrates that the failures were systemic. This discussion justifies the necessity to adopt a systems-based approach to safety, in which the leadership, communication, and accountability processes are enhanced at all levels of care. </w:t>
      </w:r>
    </w:p>
    <w:bookmarkStart w:id="4" w:name="_Toc214964381"/>
    <w:p>
      <w:pPr>
        <w:pStyle w:val="style2"/>
        <w:rPr/>
      </w:pPr>
      <w:r>
        <w:t xml:space="preserve">2.3 </w:t>
      </w:r>
      <w:r>
        <w:t>Donabedian Model Application</w:t>
      </w:r>
      <w:bookmarkEnd w:id="4"/>
    </w:p>
    <w:p>
      <w:pPr>
        <w:pStyle w:val="style0"/>
        <w:rPr>
          <w:rFonts w:ascii="Arial" w:cs="Arial" w:hAnsi="Arial"/>
        </w:rPr>
      </w:pPr>
      <w:r>
        <w:rPr>
          <w:rFonts w:ascii="Arial" w:cs="Arial" w:hAnsi="Arial"/>
        </w:rPr>
        <w:t xml:space="preserve">Avedis Donabedian, the American scholar, introduced the model of three-dimensional quality structure in 1966 </w:t>
      </w:r>
      <w:r>
        <w:rPr>
          <w:rFonts w:ascii="Arial" w:cs="Arial" w:hAnsi="Arial"/>
        </w:rPr>
        <w:t>and</w:t>
      </w:r>
      <w:r>
        <w:rPr>
          <w:rFonts w:ascii="Arial" w:cs="Arial" w:hAnsi="Arial"/>
        </w:rPr>
        <w:t xml:space="preserve"> the theory that </w:t>
      </w:r>
      <w:r>
        <w:rPr>
          <w:rFonts w:ascii="Arial" w:cs="Arial" w:hAnsi="Arial"/>
        </w:rPr>
        <w:t>shows</w:t>
      </w:r>
      <w:r>
        <w:rPr>
          <w:rFonts w:ascii="Arial" w:cs="Arial" w:hAnsi="Arial"/>
        </w:rPr>
        <w:t xml:space="preserve"> the quality </w:t>
      </w:r>
      <w:r>
        <w:rPr>
          <w:rFonts w:ascii="Arial" w:cs="Arial" w:hAnsi="Arial"/>
        </w:rPr>
        <w:t>of an organisation in</w:t>
      </w:r>
      <w:r>
        <w:rPr>
          <w:rFonts w:ascii="Arial" w:cs="Arial" w:hAnsi="Arial"/>
        </w:rPr>
        <w:t xml:space="preserve"> the form of structure, process and outcome </w:t>
      </w:r>
      <w:r>
        <w:rPr>
          <w:rFonts w:ascii="Arial" w:cs="Arial" w:hAnsi="Arial"/>
        </w:rPr>
        <w:t xml:space="preserve">(Yang </w:t>
      </w:r>
      <w:r>
        <w:rPr>
          <w:rFonts w:ascii="Arial" w:cs="Arial" w:hAnsi="Arial"/>
          <w:i/>
          <w:iCs/>
        </w:rPr>
        <w:t>et al.</w:t>
      </w:r>
      <w:r>
        <w:rPr>
          <w:rFonts w:ascii="Arial" w:cs="Arial" w:hAnsi="Arial"/>
        </w:rPr>
        <w:t xml:space="preserve">2025). </w:t>
      </w:r>
    </w:p>
    <w:p>
      <w:pPr>
        <w:pStyle w:val="style0"/>
        <w:rPr>
          <w:rFonts w:ascii="Arial" w:cs="Arial" w:hAnsi="Arial"/>
        </w:rPr>
      </w:pPr>
      <w:r>
        <w:rPr>
          <w:rFonts w:ascii="Arial" w:cs="Arial" w:hAnsi="Arial"/>
          <w:b/>
          <w:bCs/>
          <w:i/>
          <w:iCs/>
        </w:rPr>
        <w:t>Structure:</w:t>
      </w:r>
      <w:r>
        <w:rPr>
          <w:rFonts w:ascii="Arial" w:cs="Arial" w:hAnsi="Arial"/>
        </w:rPr>
        <w:t xml:space="preserve"> Structure is the most fundamental arrangement of the hospital to consider, including staffing, leadership, facilities, and policies. The construction of the structure was poor at Mid Staffordshire. The number of nurses was insufficient. </w:t>
      </w:r>
      <w:r>
        <w:rPr>
          <w:rFonts w:ascii="Arial" w:cs="Arial" w:hAnsi="Arial"/>
        </w:rPr>
        <w:t xml:space="preserve">Time constraint has been the most widely reported barrier to effective communication between professionals and patients globally </w:t>
      </w:r>
      <w:r>
        <w:rPr>
          <w:rFonts w:ascii="Arial" w:cs="Arial" w:hAnsi="Arial"/>
        </w:rPr>
        <w:t xml:space="preserve">(Erjavec, Knavs and </w:t>
      </w:r>
      <w:r>
        <w:rPr>
          <w:rFonts w:ascii="Arial" w:cs="Arial" w:hAnsi="Arial"/>
        </w:rPr>
        <w:t>Bedenčič</w:t>
      </w:r>
      <w:r>
        <w:rPr>
          <w:rFonts w:ascii="Arial" w:cs="Arial" w:hAnsi="Arial"/>
        </w:rPr>
        <w:t xml:space="preserve">, 2022). </w:t>
      </w:r>
      <w:r>
        <w:rPr>
          <w:rFonts w:ascii="Arial" w:cs="Arial" w:hAnsi="Arial"/>
        </w:rPr>
        <w:t xml:space="preserve">No effective risk monitoring system or accountability was in place, and the leadership was not engaged. These organisational issues provided an insecure workplace for both employees and patients. </w:t>
      </w:r>
    </w:p>
    <w:p>
      <w:pPr>
        <w:pStyle w:val="style0"/>
        <w:rPr>
          <w:rFonts w:ascii="Arial" w:cs="Arial" w:hAnsi="Arial"/>
        </w:rPr>
      </w:pPr>
      <w:r>
        <w:rPr>
          <w:rFonts w:ascii="Arial" w:cs="Arial" w:hAnsi="Arial"/>
          <w:b/>
          <w:bCs/>
          <w:i/>
          <w:iCs/>
        </w:rPr>
        <w:t>Process:</w:t>
      </w:r>
      <w:r>
        <w:rPr>
          <w:rFonts w:ascii="Arial" w:cs="Arial" w:hAnsi="Arial"/>
        </w:rPr>
        <w:t xml:space="preserve"> Process entails a mode of giving care. This comprises clinical processes, communication, as well as the manner the </w:t>
      </w:r>
      <w:r>
        <w:rPr>
          <w:rFonts w:ascii="Arial" w:cs="Arial" w:hAnsi="Arial"/>
        </w:rPr>
        <w:t>staff</w:t>
      </w:r>
      <w:r>
        <w:rPr>
          <w:rFonts w:ascii="Arial" w:cs="Arial" w:hAnsi="Arial"/>
        </w:rPr>
        <w:t xml:space="preserve"> react</w:t>
      </w:r>
      <w:r>
        <w:rPr>
          <w:rFonts w:ascii="Arial" w:cs="Arial" w:hAnsi="Arial"/>
        </w:rPr>
        <w:t xml:space="preserve"> to patient needs. In the </w:t>
      </w:r>
      <w:r>
        <w:rPr>
          <w:rFonts w:ascii="Arial" w:cs="Arial" w:hAnsi="Arial"/>
        </w:rPr>
        <w:t>Mid Staffordshire</w:t>
      </w:r>
      <w:r>
        <w:rPr>
          <w:rFonts w:ascii="Arial" w:cs="Arial" w:hAnsi="Arial"/>
        </w:rPr>
        <w:t xml:space="preserve">, processes were not well coordinated and managed. </w:t>
      </w:r>
      <w:r>
        <w:rPr>
          <w:rFonts w:ascii="Arial" w:cs="Arial" w:hAnsi="Arial"/>
        </w:rPr>
        <w:t xml:space="preserve">The nurses are known to have a reputation for their commitment to patient care, spending more time with the patients than any other medical professional </w:t>
      </w:r>
      <w:r>
        <w:rPr>
          <w:rFonts w:ascii="Arial" w:cs="Arial" w:hAnsi="Arial"/>
        </w:rPr>
        <w:t xml:space="preserve">(Wong </w:t>
      </w:r>
      <w:r>
        <w:rPr>
          <w:rFonts w:ascii="Arial" w:cs="Arial" w:hAnsi="Arial"/>
          <w:i/>
          <w:iCs/>
        </w:rPr>
        <w:t>et al.</w:t>
      </w:r>
      <w:r>
        <w:rPr>
          <w:rFonts w:ascii="Arial" w:cs="Arial" w:hAnsi="Arial"/>
        </w:rPr>
        <w:t>2025). However, in this case, e</w:t>
      </w:r>
      <w:r>
        <w:rPr>
          <w:rFonts w:ascii="Arial" w:cs="Arial" w:hAnsi="Arial"/>
        </w:rPr>
        <w:t xml:space="preserve">mployees failed to adhere to national principles of patient follow-up and escalation. </w:t>
      </w:r>
      <w:r>
        <w:rPr>
          <w:rFonts w:ascii="Arial" w:cs="Arial" w:hAnsi="Arial"/>
        </w:rPr>
        <w:t xml:space="preserve">The </w:t>
      </w:r>
      <w:r>
        <w:rPr>
          <w:rFonts w:ascii="Arial" w:cs="Arial" w:hAnsi="Arial"/>
        </w:rPr>
        <w:t xml:space="preserve">level of communication among the departments was poor, and this resulted in the delay of care. </w:t>
      </w:r>
    </w:p>
    <w:p>
      <w:pPr>
        <w:pStyle w:val="style0"/>
        <w:jc w:val="center"/>
        <w:rPr>
          <w:rFonts w:ascii="Arial" w:cs="Arial" w:hAnsi="Arial"/>
        </w:rPr>
      </w:pPr>
      <w:r>
        <w:rPr>
          <w:rFonts w:ascii="Arial" w:cs="Arial" w:hAnsi="Arial"/>
        </w:rPr>
        <w:drawing>
          <wp:inline distL="0" distT="0" distB="0" distR="0">
            <wp:extent cx="5731510" cy="3893185"/>
            <wp:effectExtent l="76200" t="76200" r="135890" b="126365"/>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731510" cy="389318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rFonts w:ascii="Arial" w:cs="Arial" w:hAnsi="Arial"/>
          <w:b/>
          <w:bCs/>
        </w:rPr>
      </w:pPr>
      <w:r>
        <w:rPr>
          <w:rFonts w:ascii="Arial" w:cs="Arial" w:hAnsi="Arial"/>
          <w:b/>
          <w:bCs/>
        </w:rPr>
        <w:t>Figure</w:t>
      </w:r>
      <w:r>
        <w:rPr>
          <w:rFonts w:ascii="Arial" w:cs="Arial" w:hAnsi="Arial"/>
          <w:b/>
          <w:bCs/>
        </w:rPr>
        <w:t xml:space="preserve"> 2</w:t>
      </w:r>
      <w:r>
        <w:rPr>
          <w:rFonts w:ascii="Arial" w:cs="Arial" w:hAnsi="Arial"/>
          <w:b/>
          <w:bCs/>
        </w:rPr>
        <w:t>: Death at Staffordshire</w:t>
      </w:r>
    </w:p>
    <w:p>
      <w:pPr>
        <w:pStyle w:val="style0"/>
        <w:jc w:val="center"/>
        <w:rPr>
          <w:rFonts w:ascii="Arial" w:cs="Arial" w:hAnsi="Arial"/>
        </w:rPr>
      </w:pPr>
      <w:r>
        <w:rPr>
          <w:rFonts w:ascii="Arial" w:cs="Arial" w:hAnsi="Arial"/>
        </w:rPr>
        <w:t xml:space="preserve">(Source: Jones, 2015) </w:t>
      </w:r>
    </w:p>
    <w:p>
      <w:pPr>
        <w:pStyle w:val="style0"/>
        <w:rPr>
          <w:rFonts w:ascii="Arial" w:cs="Arial" w:hAnsi="Arial"/>
        </w:rPr>
      </w:pPr>
      <w:r>
        <w:rPr>
          <w:rFonts w:ascii="Arial" w:cs="Arial" w:hAnsi="Arial"/>
          <w:b/>
          <w:bCs/>
          <w:i/>
          <w:iCs/>
        </w:rPr>
        <w:t>Outcome:</w:t>
      </w:r>
      <w:r>
        <w:rPr>
          <w:rFonts w:ascii="Arial" w:cs="Arial" w:hAnsi="Arial"/>
        </w:rPr>
        <w:t xml:space="preserve"> Outcome is the result of care, which includes patient satisfaction, safety and health improvements.  In this case, the end results were tragic. Almost 1,200 patients have died between 2005 and </w:t>
      </w:r>
      <w:r>
        <w:rPr>
          <w:rFonts w:ascii="Arial" w:cs="Arial" w:hAnsi="Arial"/>
        </w:rPr>
        <w:t>2008 (Jones, 2015)</w:t>
      </w:r>
      <w:r>
        <w:rPr>
          <w:rFonts w:ascii="Arial" w:cs="Arial" w:hAnsi="Arial"/>
        </w:rPr>
        <w:t xml:space="preserve">. </w:t>
      </w:r>
      <w:r>
        <w:rPr>
          <w:rFonts w:ascii="Arial" w:cs="Arial" w:hAnsi="Arial"/>
        </w:rPr>
        <w:t xml:space="preserve">Mid Staffordshire NHS Foundation Trust were also fined over 35,000 pounds by the Health and Safety Executive </w:t>
      </w:r>
      <w:r>
        <w:rPr>
          <w:rFonts w:ascii="Arial" w:cs="Arial" w:hAnsi="Arial"/>
        </w:rPr>
        <w:t xml:space="preserve">(The Guardian, 2015). </w:t>
      </w:r>
      <w:r>
        <w:rPr>
          <w:rFonts w:ascii="Arial" w:cs="Arial" w:hAnsi="Arial"/>
        </w:rPr>
        <w:t xml:space="preserve">The credibility of the hospital among the people was lost, and the mistakes turned into a national scandal. </w:t>
      </w:r>
    </w:p>
    <w:p>
      <w:pPr>
        <w:pStyle w:val="style0"/>
        <w:rPr>
          <w:rFonts w:ascii="Arial" w:cs="Arial" w:hAnsi="Arial"/>
        </w:rPr>
      </w:pPr>
      <w:r>
        <w:rPr>
          <w:rFonts w:ascii="Arial" w:cs="Arial" w:hAnsi="Arial"/>
        </w:rPr>
        <w:t xml:space="preserve">This model advocates the necessity of safety and ongoing enhancement that is system-based. </w:t>
      </w:r>
    </w:p>
    <w:bookmarkStart w:id="5" w:name="_Toc214964382"/>
    <w:p>
      <w:pPr>
        <w:pStyle w:val="style2"/>
        <w:rPr/>
      </w:pPr>
      <w:r>
        <w:t xml:space="preserve">2.4 </w:t>
      </w:r>
      <w:r>
        <w:t>SWOT Analysis</w:t>
      </w:r>
      <w:bookmarkEnd w:id="5"/>
    </w:p>
    <w:p>
      <w:pPr>
        <w:pStyle w:val="style0"/>
        <w:jc w:val="center"/>
        <w:rPr>
          <w:rFonts w:ascii="Arial" w:cs="Arial" w:hAnsi="Arial"/>
        </w:rPr>
      </w:pPr>
      <w:r>
        <w:rPr>
          <w:rFonts w:ascii="Arial" w:cs="Arial" w:hAnsi="Arial"/>
        </w:rPr>
        <w:drawing>
          <wp:inline distL="0" distT="0" distB="0" distR="0">
            <wp:extent cx="4988816" cy="2491740"/>
            <wp:effectExtent l="0" t="0" r="21590" b="22860"/>
            <wp:docPr id="1029" name="Diagram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pStyle w:val="style0"/>
        <w:jc w:val="center"/>
        <w:rPr>
          <w:rFonts w:ascii="Arial" w:cs="Arial" w:hAnsi="Arial"/>
          <w:b/>
          <w:bCs/>
        </w:rPr>
      </w:pPr>
      <w:r>
        <w:rPr>
          <w:rFonts w:ascii="Arial" w:cs="Arial" w:hAnsi="Arial"/>
          <w:b/>
          <w:bCs/>
        </w:rPr>
        <w:t>Figure</w:t>
      </w:r>
      <w:r>
        <w:rPr>
          <w:rFonts w:ascii="Arial" w:cs="Arial" w:hAnsi="Arial"/>
          <w:b/>
          <w:bCs/>
        </w:rPr>
        <w:t xml:space="preserve"> 3</w:t>
      </w:r>
      <w:r>
        <w:rPr>
          <w:rFonts w:ascii="Arial" w:cs="Arial" w:hAnsi="Arial"/>
          <w:b/>
          <w:bCs/>
        </w:rPr>
        <w:t xml:space="preserve">: SWOT Analysis </w:t>
      </w:r>
    </w:p>
    <w:p>
      <w:pPr>
        <w:pStyle w:val="style0"/>
        <w:jc w:val="center"/>
        <w:rPr>
          <w:rFonts w:ascii="Arial" w:cs="Arial" w:hAnsi="Arial"/>
        </w:rPr>
      </w:pPr>
      <w:r>
        <w:rPr>
          <w:rFonts w:ascii="Arial" w:cs="Arial" w:hAnsi="Arial"/>
        </w:rPr>
        <w:t xml:space="preserve">(Source: Self-Created) </w:t>
      </w:r>
    </w:p>
    <w:p>
      <w:pPr>
        <w:pStyle w:val="style0"/>
        <w:rPr>
          <w:rFonts w:ascii="Arial" w:cs="Arial" w:hAnsi="Arial"/>
        </w:rPr>
      </w:pPr>
      <w:r>
        <w:rPr>
          <w:rFonts w:ascii="Arial" w:cs="Arial" w:hAnsi="Arial"/>
        </w:rPr>
        <w:t>A strengths, weaknesses, opportunities, and threats (SWOT) analysis has become an essential tool that organisations use to examine the internal and external environments (</w:t>
      </w:r>
      <w:r>
        <w:rPr>
          <w:rFonts w:ascii="Arial" w:cs="Arial" w:hAnsi="Arial"/>
        </w:rPr>
        <w:t>Benzaghta</w:t>
      </w:r>
      <w:r>
        <w:rPr>
          <w:rFonts w:ascii="Arial" w:cs="Arial" w:hAnsi="Arial"/>
        </w:rPr>
        <w:t xml:space="preserve"> </w:t>
      </w:r>
      <w:r>
        <w:rPr>
          <w:rFonts w:ascii="Arial" w:cs="Arial" w:hAnsi="Arial"/>
          <w:i/>
          <w:iCs/>
        </w:rPr>
        <w:t>et</w:t>
      </w:r>
      <w:r>
        <w:rPr>
          <w:rFonts w:ascii="Arial" w:cs="Arial" w:hAnsi="Arial"/>
          <w:i/>
          <w:iCs/>
        </w:rPr>
        <w:t xml:space="preserve"> al.</w:t>
      </w:r>
      <w:r>
        <w:rPr>
          <w:rFonts w:ascii="Arial" w:cs="Arial" w:hAnsi="Arial"/>
        </w:rPr>
        <w:t xml:space="preserve"> 2021). </w:t>
      </w:r>
    </w:p>
    <w:p>
      <w:pPr>
        <w:pStyle w:val="style0"/>
        <w:rPr>
          <w:rFonts w:ascii="Arial" w:cs="Arial" w:hAnsi="Arial"/>
        </w:rPr>
      </w:pPr>
      <w:r>
        <w:rPr>
          <w:rFonts w:ascii="Arial" w:cs="Arial" w:hAnsi="Arial"/>
          <w:b/>
          <w:bCs/>
          <w:i/>
          <w:iCs/>
        </w:rPr>
        <w:t>Strengths:</w:t>
      </w:r>
      <w:r>
        <w:rPr>
          <w:rFonts w:ascii="Arial" w:cs="Arial" w:hAnsi="Arial"/>
          <w:b/>
          <w:bCs/>
          <w:i/>
          <w:iCs/>
        </w:rPr>
        <w:t xml:space="preserve"> </w:t>
      </w:r>
      <w:r>
        <w:rPr>
          <w:rFonts w:ascii="Arial" w:cs="Arial" w:hAnsi="Arial"/>
        </w:rPr>
        <w:t xml:space="preserve">Being an NHS trust, the </w:t>
      </w:r>
      <w:r>
        <w:rPr>
          <w:rFonts w:ascii="Arial" w:cs="Arial" w:hAnsi="Arial"/>
        </w:rPr>
        <w:t xml:space="preserve">presence of national NHS safety frameworks and guidelines was among the main strengths, as it could have assisted the </w:t>
      </w:r>
      <w:r>
        <w:rPr>
          <w:rFonts w:ascii="Arial" w:cs="Arial" w:hAnsi="Arial"/>
        </w:rPr>
        <w:t xml:space="preserve">Mid </w:t>
      </w:r>
      <w:r>
        <w:rPr>
          <w:rFonts w:ascii="Arial" w:cs="Arial" w:hAnsi="Arial"/>
        </w:rPr>
        <w:t>Staffordshire in</w:t>
      </w:r>
      <w:r>
        <w:rPr>
          <w:rFonts w:ascii="Arial" w:cs="Arial" w:hAnsi="Arial"/>
        </w:rPr>
        <w:t xml:space="preserve"> the maintenance of quality care</w:t>
      </w:r>
      <w:r>
        <w:rPr>
          <w:rFonts w:ascii="Arial" w:cs="Arial" w:hAnsi="Arial"/>
        </w:rPr>
        <w:t xml:space="preserve"> (England NHS, 2025</w:t>
      </w:r>
      <w:r>
        <w:rPr>
          <w:rFonts w:ascii="Arial" w:cs="Arial" w:hAnsi="Arial"/>
        </w:rPr>
        <w:t>a</w:t>
      </w:r>
      <w:r>
        <w:rPr>
          <w:rFonts w:ascii="Arial" w:cs="Arial" w:hAnsi="Arial"/>
        </w:rPr>
        <w:t>)</w:t>
      </w:r>
      <w:r>
        <w:rPr>
          <w:rFonts w:ascii="Arial" w:cs="Arial" w:hAnsi="Arial"/>
        </w:rPr>
        <w:t xml:space="preserve">.  </w:t>
      </w:r>
    </w:p>
    <w:p>
      <w:pPr>
        <w:pStyle w:val="style0"/>
        <w:rPr>
          <w:rFonts w:ascii="Arial" w:cs="Arial" w:hAnsi="Arial"/>
        </w:rPr>
      </w:pPr>
      <w:r>
        <w:rPr>
          <w:rFonts w:ascii="Arial" w:cs="Arial" w:hAnsi="Arial"/>
          <w:b/>
          <w:bCs/>
          <w:i/>
          <w:iCs/>
        </w:rPr>
        <w:t>Weaknesses:</w:t>
      </w:r>
      <w:r>
        <w:rPr>
          <w:rFonts w:ascii="Arial" w:cs="Arial" w:hAnsi="Arial"/>
          <w:b/>
          <w:bCs/>
          <w:i/>
          <w:iCs/>
        </w:rPr>
        <w:t xml:space="preserve"> </w:t>
      </w:r>
      <w:r>
        <w:rPr>
          <w:rFonts w:ascii="Arial" w:cs="Arial" w:hAnsi="Arial"/>
        </w:rPr>
        <w:t xml:space="preserve">Nevertheless, the flaws were extreme. There were poor leadership and a lack of interest of the board in the patient safety issues. </w:t>
      </w:r>
      <w:r>
        <w:rPr>
          <w:rFonts w:ascii="Arial" w:cs="Arial" w:hAnsi="Arial"/>
        </w:rPr>
        <w:t xml:space="preserve">The leadership in a healthy culture expresses uncompromising determination about its values, such as respect and dignity of the patients and safety and quality </w:t>
      </w:r>
      <w:r>
        <w:rPr>
          <w:rFonts w:ascii="Arial" w:cs="Arial" w:hAnsi="Arial"/>
        </w:rPr>
        <w:t xml:space="preserve">(Dixon-Woods, 2024). </w:t>
      </w:r>
      <w:r>
        <w:rPr>
          <w:rFonts w:ascii="Arial" w:cs="Arial" w:hAnsi="Arial"/>
        </w:rPr>
        <w:t xml:space="preserve">There were extremely low levels of </w:t>
      </w:r>
      <w:r>
        <w:rPr>
          <w:rFonts w:ascii="Arial" w:cs="Arial" w:hAnsi="Arial"/>
        </w:rPr>
        <w:t>staffing</w:t>
      </w:r>
      <w:r>
        <w:rPr>
          <w:rFonts w:ascii="Arial" w:cs="Arial" w:hAnsi="Arial"/>
        </w:rPr>
        <w:t xml:space="preserve">. </w:t>
      </w:r>
      <w:r>
        <w:rPr>
          <w:rFonts w:ascii="Arial" w:cs="Arial" w:hAnsi="Arial"/>
        </w:rPr>
        <w:t xml:space="preserve">The culture of fear implied that employees were too afraid to report the issues. There were also weak clinical audits and a lack of an effective risk and mistake management system. </w:t>
      </w:r>
    </w:p>
    <w:p>
      <w:pPr>
        <w:pStyle w:val="style0"/>
        <w:rPr>
          <w:rFonts w:ascii="Arial" w:cs="Arial" w:hAnsi="Arial"/>
        </w:rPr>
      </w:pPr>
      <w:r>
        <w:rPr>
          <w:rFonts w:ascii="Arial" w:cs="Arial" w:hAnsi="Arial"/>
          <w:b/>
          <w:bCs/>
          <w:i/>
          <w:iCs/>
        </w:rPr>
        <w:t>Opportunities:</w:t>
      </w:r>
      <w:r>
        <w:rPr>
          <w:rFonts w:ascii="Arial" w:cs="Arial" w:hAnsi="Arial"/>
          <w:b/>
          <w:bCs/>
          <w:i/>
          <w:iCs/>
        </w:rPr>
        <w:t xml:space="preserve"> </w:t>
      </w:r>
      <w:r>
        <w:rPr>
          <w:rFonts w:ascii="Arial" w:cs="Arial" w:hAnsi="Arial"/>
        </w:rPr>
        <w:t>However, change was possible despite these challenges. Recommendations in The Francis Report were comprehensive</w:t>
      </w:r>
      <w:r>
        <w:rPr>
          <w:rFonts w:ascii="Arial" w:cs="Arial" w:hAnsi="Arial"/>
        </w:rPr>
        <w:t>, such as enhancing common values, simplifying regulation, monitoring of compliance and more (Francis, 2013b)</w:t>
      </w:r>
      <w:r>
        <w:rPr>
          <w:rFonts w:ascii="Arial" w:cs="Arial" w:hAnsi="Arial"/>
        </w:rPr>
        <w:t xml:space="preserve">. They can be utilised to restore trust and to make the environment safe. </w:t>
      </w:r>
    </w:p>
    <w:p>
      <w:pPr>
        <w:pStyle w:val="style0"/>
        <w:rPr>
          <w:rFonts w:ascii="Arial" w:cs="Arial" w:hAnsi="Arial"/>
        </w:rPr>
      </w:pPr>
      <w:r>
        <w:rPr>
          <w:rFonts w:ascii="Arial" w:cs="Arial" w:hAnsi="Arial"/>
          <w:b/>
          <w:bCs/>
          <w:i/>
          <w:iCs/>
        </w:rPr>
        <w:t>Threats:</w:t>
      </w:r>
      <w:r>
        <w:rPr>
          <w:rFonts w:ascii="Arial" w:cs="Arial" w:hAnsi="Arial"/>
          <w:b/>
          <w:bCs/>
          <w:i/>
          <w:iCs/>
        </w:rPr>
        <w:t xml:space="preserve"> </w:t>
      </w:r>
      <w:r>
        <w:rPr>
          <w:rFonts w:ascii="Arial" w:cs="Arial" w:hAnsi="Arial"/>
        </w:rPr>
        <w:t xml:space="preserve">Conversely, the </w:t>
      </w:r>
      <w:r>
        <w:rPr>
          <w:rFonts w:ascii="Arial" w:cs="Arial" w:hAnsi="Arial"/>
        </w:rPr>
        <w:t xml:space="preserve">Mid Staffordshire </w:t>
      </w:r>
      <w:r>
        <w:rPr>
          <w:rFonts w:ascii="Arial" w:cs="Arial" w:hAnsi="Arial"/>
        </w:rPr>
        <w:t xml:space="preserve">was under a severe threat. Its image was severely damaged, and people lost trust. </w:t>
      </w:r>
    </w:p>
    <w:bookmarkStart w:id="6" w:name="_Toc214964383"/>
    <w:p>
      <w:pPr>
        <w:pStyle w:val="style2"/>
        <w:rPr>
          <w:color w:val="ee0000"/>
        </w:rPr>
      </w:pPr>
      <w:r>
        <w:rPr>
          <w:color w:val="ee0000"/>
        </w:rPr>
        <w:t>2.5 Benchmark Table</w:t>
      </w:r>
      <w:bookmarkEnd w:id="6"/>
      <w:r>
        <w:rPr>
          <w:color w:val="ee0000"/>
        </w:rPr>
        <w:t xml:space="preserve"> </w:t>
      </w:r>
    </w:p>
    <w:tbl>
      <w:tblPr>
        <w:tblStyle w:val="style154"/>
        <w:tblW w:w="0" w:type="auto"/>
        <w:tblLook w:val="04A0" w:firstRow="1" w:lastRow="0" w:firstColumn="1" w:lastColumn="0" w:noHBand="0" w:noVBand="1"/>
      </w:tblPr>
      <w:tblGrid>
        <w:gridCol w:w="2263"/>
        <w:gridCol w:w="3261"/>
        <w:gridCol w:w="3492"/>
      </w:tblGrid>
      <w:tr>
        <w:trPr/>
        <w:tc>
          <w:tcPr>
            <w:tcW w:w="2263" w:type="dxa"/>
            <w:tcBorders/>
          </w:tcPr>
          <w:p>
            <w:pPr>
              <w:pStyle w:val="style0"/>
              <w:jc w:val="center"/>
              <w:rPr>
                <w:rFonts w:ascii="Arial" w:cs="Arial" w:hAnsi="Arial"/>
                <w:b/>
                <w:bCs/>
                <w:i/>
                <w:iCs/>
                <w:color w:val="ee0000"/>
              </w:rPr>
            </w:pPr>
            <w:r>
              <w:rPr>
                <w:rFonts w:ascii="Arial" w:cs="Arial" w:hAnsi="Arial"/>
                <w:b/>
                <w:bCs/>
                <w:i/>
                <w:iCs/>
                <w:color w:val="ee0000"/>
              </w:rPr>
              <w:t xml:space="preserve">Benchmark </w:t>
            </w:r>
            <w:r>
              <w:rPr>
                <w:rFonts w:ascii="Arial" w:cs="Arial" w:hAnsi="Arial"/>
                <w:b/>
                <w:bCs/>
                <w:i/>
                <w:iCs/>
                <w:color w:val="ee0000"/>
              </w:rPr>
              <w:t>Indicator</w:t>
            </w:r>
          </w:p>
        </w:tc>
        <w:tc>
          <w:tcPr>
            <w:tcW w:w="3261" w:type="dxa"/>
            <w:tcBorders/>
          </w:tcPr>
          <w:p>
            <w:pPr>
              <w:pStyle w:val="style0"/>
              <w:jc w:val="center"/>
              <w:rPr>
                <w:rFonts w:ascii="Arial" w:cs="Arial" w:hAnsi="Arial"/>
                <w:b/>
                <w:bCs/>
                <w:i/>
                <w:iCs/>
                <w:color w:val="ee0000"/>
              </w:rPr>
            </w:pPr>
            <w:r>
              <w:rPr>
                <w:rFonts w:ascii="Arial" w:cs="Arial" w:hAnsi="Arial"/>
                <w:b/>
                <w:bCs/>
                <w:i/>
                <w:iCs/>
                <w:color w:val="ee0000"/>
              </w:rPr>
              <w:t xml:space="preserve">Mid Staffordshire </w:t>
            </w:r>
            <w:r>
              <w:rPr>
                <w:rFonts w:ascii="Arial" w:cs="Arial" w:hAnsi="Arial"/>
                <w:b/>
                <w:bCs/>
                <w:i/>
                <w:iCs/>
                <w:color w:val="ee0000"/>
              </w:rPr>
              <w:t>Case</w:t>
            </w:r>
          </w:p>
        </w:tc>
        <w:tc>
          <w:tcPr>
            <w:tcW w:w="3492" w:type="dxa"/>
            <w:tcBorders/>
          </w:tcPr>
          <w:p>
            <w:pPr>
              <w:pStyle w:val="style0"/>
              <w:jc w:val="center"/>
              <w:rPr>
                <w:rFonts w:ascii="Arial" w:cs="Arial" w:hAnsi="Arial"/>
                <w:b/>
                <w:bCs/>
                <w:i/>
                <w:iCs/>
                <w:color w:val="ee0000"/>
              </w:rPr>
            </w:pPr>
            <w:r>
              <w:rPr>
                <w:rFonts w:ascii="Arial" w:cs="Arial" w:hAnsi="Arial"/>
                <w:b/>
                <w:bCs/>
                <w:i/>
                <w:iCs/>
                <w:color w:val="ee0000"/>
              </w:rPr>
              <w:t>NHS</w:t>
            </w:r>
          </w:p>
        </w:tc>
      </w:tr>
      <w:tr>
        <w:tblPrEx/>
        <w:trPr/>
        <w:tc>
          <w:tcPr>
            <w:tcW w:w="2263" w:type="dxa"/>
            <w:tcBorders/>
          </w:tcPr>
          <w:p>
            <w:pPr>
              <w:pStyle w:val="style0"/>
              <w:rPr>
                <w:rFonts w:ascii="Arial" w:cs="Arial" w:hAnsi="Arial"/>
                <w:color w:val="ee0000"/>
              </w:rPr>
            </w:pPr>
            <w:r>
              <w:rPr>
                <w:rFonts w:ascii="Arial" w:cs="Arial" w:hAnsi="Arial"/>
                <w:color w:val="ee0000"/>
              </w:rPr>
              <w:t xml:space="preserve">Leadership and Governance </w:t>
            </w:r>
          </w:p>
        </w:tc>
        <w:tc>
          <w:tcPr>
            <w:tcW w:w="3261" w:type="dxa"/>
            <w:tcBorders/>
          </w:tcPr>
          <w:p>
            <w:pPr>
              <w:pStyle w:val="style0"/>
              <w:rPr>
                <w:rFonts w:ascii="Arial" w:cs="Arial" w:hAnsi="Arial"/>
                <w:color w:val="ee0000"/>
              </w:rPr>
            </w:pPr>
            <w:r>
              <w:rPr>
                <w:rFonts w:ascii="Arial" w:cs="Arial" w:hAnsi="Arial"/>
                <w:color w:val="ee0000"/>
              </w:rPr>
              <w:t xml:space="preserve">Focus on the financial goal </w:t>
            </w:r>
            <w:r>
              <w:rPr>
                <w:rFonts w:ascii="Arial" w:cs="Arial" w:hAnsi="Arial"/>
                <w:color w:val="ee0000"/>
              </w:rPr>
              <w:t xml:space="preserve">and </w:t>
            </w:r>
            <w:r>
              <w:rPr>
                <w:rFonts w:ascii="Arial" w:cs="Arial" w:hAnsi="Arial"/>
                <w:color w:val="ee0000"/>
              </w:rPr>
              <w:t>Foundation Trust status</w:t>
            </w:r>
            <w:r>
              <w:rPr>
                <w:rFonts w:ascii="Arial" w:cs="Arial" w:hAnsi="Arial"/>
                <w:color w:val="ee0000"/>
              </w:rPr>
              <w:t xml:space="preserve"> (</w:t>
            </w:r>
            <w:r>
              <w:rPr>
                <w:rFonts w:ascii="Arial" w:cs="Arial" w:hAnsi="Arial"/>
                <w:color w:val="ee0000"/>
              </w:rPr>
              <w:t>Francis Report</w:t>
            </w:r>
            <w:r>
              <w:rPr>
                <w:rFonts w:ascii="Arial" w:cs="Arial" w:hAnsi="Arial"/>
                <w:color w:val="ee0000"/>
              </w:rPr>
              <w:t xml:space="preserve">, </w:t>
            </w:r>
            <w:r>
              <w:rPr>
                <w:rFonts w:ascii="Arial" w:cs="Arial" w:hAnsi="Arial"/>
                <w:color w:val="ee0000"/>
              </w:rPr>
              <w:t xml:space="preserve">2013a) </w:t>
            </w:r>
          </w:p>
        </w:tc>
        <w:tc>
          <w:tcPr>
            <w:tcW w:w="3492" w:type="dxa"/>
            <w:tcBorders/>
          </w:tcPr>
          <w:p>
            <w:pPr>
              <w:pStyle w:val="style0"/>
              <w:rPr>
                <w:rFonts w:ascii="Arial" w:cs="Arial" w:hAnsi="Arial"/>
                <w:color w:val="ee0000"/>
              </w:rPr>
            </w:pPr>
            <w:r>
              <w:rPr>
                <w:rFonts w:ascii="Arial" w:cs="Arial" w:hAnsi="Arial"/>
                <w:color w:val="ee0000"/>
              </w:rPr>
              <w:t xml:space="preserve">Prioritise </w:t>
            </w:r>
            <w:r>
              <w:rPr>
                <w:rFonts w:ascii="Arial" w:cs="Arial" w:hAnsi="Arial"/>
                <w:color w:val="ee0000"/>
              </w:rPr>
              <w:t>patient safety</w:t>
            </w:r>
            <w:r>
              <w:rPr>
                <w:rFonts w:ascii="Arial" w:cs="Arial" w:hAnsi="Arial"/>
                <w:color w:val="ee0000"/>
              </w:rPr>
              <w:t xml:space="preserve"> (</w:t>
            </w:r>
            <w:r>
              <w:rPr>
                <w:rFonts w:ascii="Arial" w:cs="Arial" w:hAnsi="Arial"/>
                <w:color w:val="ee0000"/>
              </w:rPr>
              <w:t>England NHS</w:t>
            </w:r>
            <w:r>
              <w:rPr>
                <w:rFonts w:ascii="Arial" w:cs="Arial" w:hAnsi="Arial"/>
                <w:color w:val="ee0000"/>
              </w:rPr>
              <w:t xml:space="preserve">, </w:t>
            </w:r>
            <w:r>
              <w:rPr>
                <w:rFonts w:ascii="Arial" w:cs="Arial" w:hAnsi="Arial"/>
                <w:color w:val="ee0000"/>
              </w:rPr>
              <w:t>2025</w:t>
            </w:r>
            <w:r>
              <w:rPr>
                <w:rFonts w:ascii="Arial" w:cs="Arial" w:hAnsi="Arial"/>
                <w:color w:val="ee0000"/>
              </w:rPr>
              <w:t>b</w:t>
            </w:r>
            <w:r>
              <w:rPr>
                <w:rFonts w:ascii="Arial" w:cs="Arial" w:hAnsi="Arial"/>
                <w:color w:val="ee0000"/>
              </w:rPr>
              <w:t>)</w:t>
            </w:r>
          </w:p>
        </w:tc>
      </w:tr>
      <w:tr>
        <w:tblPrEx/>
        <w:trPr/>
        <w:tc>
          <w:tcPr>
            <w:tcW w:w="2263" w:type="dxa"/>
            <w:tcBorders/>
          </w:tcPr>
          <w:p>
            <w:pPr>
              <w:pStyle w:val="style0"/>
              <w:rPr>
                <w:rFonts w:ascii="Arial" w:cs="Arial" w:hAnsi="Arial"/>
                <w:color w:val="ee0000"/>
              </w:rPr>
            </w:pPr>
            <w:r>
              <w:rPr>
                <w:rFonts w:ascii="Arial" w:cs="Arial" w:hAnsi="Arial"/>
                <w:color w:val="ee0000"/>
              </w:rPr>
              <w:t>Staffing and Culture</w:t>
            </w:r>
          </w:p>
        </w:tc>
        <w:tc>
          <w:tcPr>
            <w:tcW w:w="3261" w:type="dxa"/>
            <w:tcBorders/>
          </w:tcPr>
          <w:p>
            <w:pPr>
              <w:pStyle w:val="style0"/>
              <w:rPr>
                <w:rFonts w:ascii="Arial" w:cs="Arial" w:hAnsi="Arial"/>
                <w:color w:val="ee0000"/>
              </w:rPr>
            </w:pPr>
            <w:r>
              <w:rPr>
                <w:rFonts w:ascii="Arial" w:cs="Arial" w:hAnsi="Arial"/>
                <w:color w:val="ee0000"/>
              </w:rPr>
              <w:t xml:space="preserve">Culture of fear and Unsafe nursing ratio </w:t>
            </w:r>
            <w:r>
              <w:rPr>
                <w:rFonts w:ascii="Arial" w:cs="Arial" w:hAnsi="Arial"/>
                <w:color w:val="ee0000"/>
              </w:rPr>
              <w:t>(</w:t>
            </w:r>
            <w:r>
              <w:rPr>
                <w:rFonts w:ascii="Arial" w:cs="Arial" w:hAnsi="Arial"/>
                <w:color w:val="ee0000"/>
              </w:rPr>
              <w:t>Rafferty and Leary, 2023</w:t>
            </w:r>
            <w:r>
              <w:rPr>
                <w:rFonts w:ascii="Arial" w:cs="Arial" w:hAnsi="Arial"/>
                <w:color w:val="ee0000"/>
              </w:rPr>
              <w:t>)</w:t>
            </w:r>
          </w:p>
        </w:tc>
        <w:tc>
          <w:tcPr>
            <w:tcW w:w="3492" w:type="dxa"/>
            <w:tcBorders/>
          </w:tcPr>
          <w:p>
            <w:pPr>
              <w:pStyle w:val="style0"/>
              <w:rPr>
                <w:rFonts w:ascii="Arial" w:cs="Arial" w:hAnsi="Arial"/>
                <w:color w:val="ee0000"/>
              </w:rPr>
            </w:pPr>
            <w:r>
              <w:rPr>
                <w:rFonts w:ascii="Arial" w:cs="Arial" w:hAnsi="Arial"/>
                <w:color w:val="ee0000"/>
              </w:rPr>
              <w:t xml:space="preserve">Open reporting culture and Safe staffing </w:t>
            </w:r>
            <w:r>
              <w:rPr>
                <w:rFonts w:ascii="Arial" w:cs="Arial" w:hAnsi="Arial"/>
                <w:color w:val="ee0000"/>
              </w:rPr>
              <w:t>(</w:t>
            </w:r>
            <w:r>
              <w:rPr>
                <w:rFonts w:ascii="Arial" w:cs="Arial" w:hAnsi="Arial"/>
                <w:color w:val="ee0000"/>
              </w:rPr>
              <w:t>England NHS, 2025</w:t>
            </w:r>
            <w:r>
              <w:rPr>
                <w:rFonts w:ascii="Arial" w:cs="Arial" w:hAnsi="Arial"/>
                <w:color w:val="ee0000"/>
              </w:rPr>
              <w:t xml:space="preserve">c) </w:t>
            </w:r>
          </w:p>
        </w:tc>
      </w:tr>
      <w:tr>
        <w:tblPrEx/>
        <w:trPr/>
        <w:tc>
          <w:tcPr>
            <w:tcW w:w="2263" w:type="dxa"/>
            <w:tcBorders/>
          </w:tcPr>
          <w:p>
            <w:pPr>
              <w:pStyle w:val="style0"/>
              <w:rPr>
                <w:rFonts w:ascii="Arial" w:cs="Arial" w:hAnsi="Arial"/>
                <w:color w:val="ee0000"/>
              </w:rPr>
            </w:pPr>
            <w:r>
              <w:rPr>
                <w:rFonts w:ascii="Arial" w:cs="Arial" w:hAnsi="Arial"/>
                <w:color w:val="ee0000"/>
              </w:rPr>
              <w:t xml:space="preserve">Clinical Audits </w:t>
            </w:r>
          </w:p>
        </w:tc>
        <w:tc>
          <w:tcPr>
            <w:tcW w:w="3261" w:type="dxa"/>
            <w:tcBorders/>
          </w:tcPr>
          <w:p>
            <w:pPr>
              <w:pStyle w:val="style0"/>
              <w:rPr>
                <w:rFonts w:ascii="Arial" w:cs="Arial" w:hAnsi="Arial"/>
                <w:color w:val="ee0000"/>
              </w:rPr>
            </w:pPr>
            <w:r>
              <w:rPr>
                <w:rFonts w:ascii="Arial" w:cs="Arial" w:hAnsi="Arial"/>
                <w:color w:val="ee0000"/>
              </w:rPr>
              <w:t xml:space="preserve">Weak Monitoring </w:t>
            </w:r>
          </w:p>
        </w:tc>
        <w:tc>
          <w:tcPr>
            <w:tcW w:w="3492" w:type="dxa"/>
            <w:tcBorders/>
          </w:tcPr>
          <w:p>
            <w:pPr>
              <w:pStyle w:val="style0"/>
              <w:rPr>
                <w:rFonts w:ascii="Arial" w:cs="Arial" w:hAnsi="Arial"/>
                <w:color w:val="ee0000"/>
              </w:rPr>
            </w:pPr>
            <w:r>
              <w:rPr>
                <w:rFonts w:ascii="Arial" w:cs="Arial" w:hAnsi="Arial"/>
                <w:color w:val="ee0000"/>
              </w:rPr>
              <w:t xml:space="preserve">Risk management systems and regular audits </w:t>
            </w:r>
            <w:r>
              <w:rPr>
                <w:rFonts w:ascii="Arial" w:cs="Arial" w:hAnsi="Arial"/>
                <w:color w:val="ee0000"/>
              </w:rPr>
              <w:t>(</w:t>
            </w:r>
            <w:r>
              <w:rPr>
                <w:rFonts w:ascii="Arial" w:cs="Arial" w:hAnsi="Arial"/>
                <w:color w:val="ee0000"/>
              </w:rPr>
              <w:t xml:space="preserve">England NHS, </w:t>
            </w:r>
            <w:r>
              <w:rPr>
                <w:rFonts w:ascii="Arial" w:cs="Arial" w:hAnsi="Arial"/>
                <w:color w:val="ee0000"/>
              </w:rPr>
              <w:t>2024)</w:t>
            </w:r>
          </w:p>
        </w:tc>
      </w:tr>
      <w:tr>
        <w:tblPrEx/>
        <w:trPr/>
        <w:tc>
          <w:tcPr>
            <w:tcW w:w="2263" w:type="dxa"/>
            <w:tcBorders/>
          </w:tcPr>
          <w:p>
            <w:pPr>
              <w:pStyle w:val="style0"/>
              <w:rPr>
                <w:rFonts w:ascii="Arial" w:cs="Arial" w:hAnsi="Arial"/>
                <w:color w:val="ee0000"/>
              </w:rPr>
            </w:pPr>
            <w:r>
              <w:rPr>
                <w:rFonts w:ascii="Arial" w:cs="Arial" w:hAnsi="Arial"/>
                <w:color w:val="ee0000"/>
              </w:rPr>
              <w:t>P</w:t>
            </w:r>
            <w:r>
              <w:rPr>
                <w:rFonts w:ascii="Arial" w:cs="Arial" w:hAnsi="Arial"/>
                <w:color w:val="ee0000"/>
              </w:rPr>
              <w:t>atient</w:t>
            </w:r>
            <w:r>
              <w:rPr>
                <w:rFonts w:ascii="Arial" w:cs="Arial" w:hAnsi="Arial"/>
                <w:color w:val="ee0000"/>
              </w:rPr>
              <w:t xml:space="preserve"> engagement </w:t>
            </w:r>
          </w:p>
        </w:tc>
        <w:tc>
          <w:tcPr>
            <w:tcW w:w="3261" w:type="dxa"/>
            <w:tcBorders/>
          </w:tcPr>
          <w:p>
            <w:pPr>
              <w:pStyle w:val="style0"/>
              <w:rPr>
                <w:rFonts w:ascii="Arial" w:cs="Arial" w:hAnsi="Arial"/>
                <w:color w:val="ee0000"/>
              </w:rPr>
            </w:pPr>
            <w:r>
              <w:rPr>
                <w:rFonts w:ascii="Arial" w:cs="Arial" w:hAnsi="Arial"/>
                <w:color w:val="ee0000"/>
              </w:rPr>
              <w:t xml:space="preserve">Ignored patient feedback </w:t>
            </w:r>
            <w:r>
              <w:rPr>
                <w:rFonts w:ascii="Arial" w:cs="Arial" w:hAnsi="Arial"/>
                <w:color w:val="ee0000"/>
              </w:rPr>
              <w:t>(</w:t>
            </w:r>
            <w:r>
              <w:rPr>
                <w:rFonts w:ascii="Arial" w:cs="Arial" w:hAnsi="Arial"/>
                <w:color w:val="ee0000"/>
              </w:rPr>
              <w:t>EMAP, 2009</w:t>
            </w:r>
            <w:r>
              <w:rPr>
                <w:rFonts w:ascii="Arial" w:cs="Arial" w:hAnsi="Arial"/>
                <w:color w:val="ee0000"/>
              </w:rPr>
              <w:t xml:space="preserve">) </w:t>
            </w:r>
          </w:p>
        </w:tc>
        <w:tc>
          <w:tcPr>
            <w:tcW w:w="3492" w:type="dxa"/>
            <w:tcBorders/>
          </w:tcPr>
          <w:p>
            <w:pPr>
              <w:pStyle w:val="style0"/>
              <w:rPr>
                <w:rFonts w:ascii="Arial" w:cs="Arial" w:hAnsi="Arial"/>
                <w:color w:val="ee0000"/>
              </w:rPr>
            </w:pPr>
            <w:r>
              <w:rPr>
                <w:rFonts w:ascii="Arial" w:cs="Arial" w:hAnsi="Arial"/>
                <w:color w:val="ee0000"/>
              </w:rPr>
              <w:t>Prioritise</w:t>
            </w:r>
            <w:r>
              <w:rPr>
                <w:rFonts w:ascii="Arial" w:cs="Arial" w:hAnsi="Arial"/>
                <w:color w:val="ee0000"/>
              </w:rPr>
              <w:t xml:space="preserve"> patient </w:t>
            </w:r>
            <w:r>
              <w:rPr>
                <w:rFonts w:ascii="Arial" w:cs="Arial" w:hAnsi="Arial"/>
                <w:color w:val="ee0000"/>
              </w:rPr>
              <w:t xml:space="preserve">and responsive system </w:t>
            </w:r>
            <w:r>
              <w:rPr>
                <w:rFonts w:ascii="Arial" w:cs="Arial" w:hAnsi="Arial"/>
                <w:color w:val="ee0000"/>
              </w:rPr>
              <w:t>(</w:t>
            </w:r>
            <w:r>
              <w:rPr>
                <w:rFonts w:ascii="Arial" w:cs="Arial" w:hAnsi="Arial"/>
                <w:color w:val="ee0000"/>
              </w:rPr>
              <w:t xml:space="preserve">England NHS, </w:t>
            </w:r>
            <w:r>
              <w:rPr>
                <w:rFonts w:ascii="Arial" w:cs="Arial" w:hAnsi="Arial"/>
                <w:color w:val="ee0000"/>
              </w:rPr>
              <w:t>2018)</w:t>
            </w:r>
          </w:p>
        </w:tc>
      </w:tr>
      <w:tr>
        <w:tblPrEx/>
        <w:trPr/>
        <w:tc>
          <w:tcPr>
            <w:tcW w:w="2263" w:type="dxa"/>
            <w:tcBorders/>
          </w:tcPr>
          <w:p>
            <w:pPr>
              <w:pStyle w:val="style0"/>
              <w:rPr>
                <w:rFonts w:ascii="Arial" w:cs="Arial" w:hAnsi="Arial"/>
                <w:color w:val="ee0000"/>
              </w:rPr>
            </w:pPr>
            <w:r>
              <w:rPr>
                <w:rFonts w:ascii="Arial" w:cs="Arial" w:hAnsi="Arial"/>
                <w:color w:val="ee0000"/>
              </w:rPr>
              <w:t>Outcomes</w:t>
            </w:r>
          </w:p>
        </w:tc>
        <w:tc>
          <w:tcPr>
            <w:tcW w:w="3261" w:type="dxa"/>
            <w:tcBorders/>
          </w:tcPr>
          <w:p>
            <w:pPr>
              <w:pStyle w:val="style0"/>
              <w:rPr>
                <w:rFonts w:ascii="Arial" w:cs="Arial" w:hAnsi="Arial"/>
                <w:color w:val="ee0000"/>
              </w:rPr>
            </w:pPr>
            <w:r>
              <w:rPr>
                <w:rFonts w:ascii="Arial" w:cs="Arial" w:hAnsi="Arial"/>
                <w:color w:val="ee0000"/>
              </w:rPr>
              <w:t xml:space="preserve">Reputational damage and Death over 1,200 </w:t>
            </w:r>
            <w:r>
              <w:rPr>
                <w:rFonts w:ascii="Arial" w:cs="Arial" w:hAnsi="Arial"/>
                <w:color w:val="ee0000"/>
              </w:rPr>
              <w:t>(</w:t>
            </w:r>
            <w:r>
              <w:rPr>
                <w:rFonts w:ascii="Arial" w:cs="Arial" w:hAnsi="Arial"/>
                <w:color w:val="ee0000"/>
              </w:rPr>
              <w:t>Jones, 2015</w:t>
            </w:r>
            <w:r>
              <w:rPr>
                <w:rFonts w:ascii="Arial" w:cs="Arial" w:hAnsi="Arial"/>
                <w:color w:val="ee0000"/>
              </w:rPr>
              <w:t>)</w:t>
            </w:r>
          </w:p>
        </w:tc>
        <w:tc>
          <w:tcPr>
            <w:tcW w:w="3492" w:type="dxa"/>
            <w:tcBorders/>
          </w:tcPr>
          <w:p>
            <w:pPr>
              <w:pStyle w:val="style0"/>
              <w:rPr>
                <w:rFonts w:ascii="Arial" w:cs="Arial" w:hAnsi="Arial"/>
                <w:color w:val="ee0000"/>
              </w:rPr>
            </w:pPr>
            <w:r>
              <w:rPr>
                <w:rFonts w:ascii="Arial" w:cs="Arial" w:hAnsi="Arial"/>
                <w:color w:val="ee0000"/>
              </w:rPr>
              <w:t>Reduce harm, continue improvement</w:t>
            </w:r>
            <w:r>
              <w:rPr>
                <w:rFonts w:ascii="Arial" w:cs="Arial" w:hAnsi="Arial"/>
                <w:color w:val="ee0000"/>
              </w:rPr>
              <w:t xml:space="preserve"> (</w:t>
            </w:r>
            <w:r>
              <w:rPr>
                <w:rFonts w:ascii="Arial" w:cs="Arial" w:hAnsi="Arial"/>
                <w:color w:val="ee0000"/>
              </w:rPr>
              <w:t>England NHS, 2025</w:t>
            </w:r>
            <w:r>
              <w:rPr>
                <w:rFonts w:ascii="Arial" w:cs="Arial" w:hAnsi="Arial"/>
                <w:color w:val="ee0000"/>
              </w:rPr>
              <w:t xml:space="preserve">b) </w:t>
            </w:r>
            <w:r>
              <w:rPr>
                <w:rFonts w:ascii="Arial" w:cs="Arial" w:hAnsi="Arial"/>
                <w:color w:val="ee0000"/>
              </w:rPr>
              <w:t xml:space="preserve"> </w:t>
            </w:r>
          </w:p>
        </w:tc>
      </w:tr>
    </w:tbl>
    <w:p>
      <w:pPr>
        <w:pStyle w:val="style0"/>
        <w:jc w:val="center"/>
        <w:rPr>
          <w:rFonts w:ascii="Arial" w:cs="Arial" w:hAnsi="Arial"/>
          <w:b/>
          <w:bCs/>
          <w:color w:val="ee0000"/>
        </w:rPr>
      </w:pPr>
      <w:r>
        <w:rPr>
          <w:rFonts w:ascii="Arial" w:cs="Arial" w:hAnsi="Arial"/>
          <w:b/>
          <w:bCs/>
          <w:color w:val="ee0000"/>
        </w:rPr>
        <w:t>Table</w:t>
      </w:r>
      <w:r>
        <w:rPr>
          <w:rFonts w:ascii="Arial" w:cs="Arial" w:hAnsi="Arial"/>
          <w:b/>
          <w:bCs/>
          <w:color w:val="ee0000"/>
        </w:rPr>
        <w:t xml:space="preserve"> </w:t>
      </w:r>
      <w:r>
        <w:rPr>
          <w:rFonts w:ascii="Arial" w:cs="Arial" w:hAnsi="Arial"/>
          <w:b/>
          <w:bCs/>
          <w:color w:val="ee0000"/>
        </w:rPr>
        <w:t>1</w:t>
      </w:r>
      <w:r>
        <w:rPr>
          <w:rFonts w:ascii="Arial" w:cs="Arial" w:hAnsi="Arial"/>
          <w:b/>
          <w:bCs/>
          <w:color w:val="ee0000"/>
        </w:rPr>
        <w:t>: Benchmark Table</w:t>
      </w:r>
      <w:r>
        <w:rPr>
          <w:rFonts w:ascii="Arial" w:cs="Arial" w:hAnsi="Arial"/>
          <w:b/>
          <w:bCs/>
          <w:color w:val="ee0000"/>
        </w:rPr>
        <w:t xml:space="preserve"> </w:t>
      </w:r>
      <w:r>
        <w:rPr>
          <w:rFonts w:ascii="Arial" w:cs="Arial" w:hAnsi="Arial"/>
          <w:b/>
          <w:bCs/>
          <w:color w:val="ee0000"/>
        </w:rPr>
        <w:t xml:space="preserve"> </w:t>
      </w:r>
    </w:p>
    <w:p>
      <w:pPr>
        <w:pStyle w:val="style0"/>
        <w:jc w:val="center"/>
        <w:rPr>
          <w:rFonts w:ascii="Arial" w:cs="Arial" w:hAnsi="Arial"/>
          <w:color w:val="ee0000"/>
        </w:rPr>
      </w:pPr>
      <w:r>
        <w:rPr>
          <w:rFonts w:ascii="Arial" w:cs="Arial" w:hAnsi="Arial"/>
          <w:color w:val="ee0000"/>
        </w:rPr>
        <w:t xml:space="preserve">(Source: Self-Created) </w:t>
      </w:r>
    </w:p>
    <w:bookmarkStart w:id="7" w:name="_Toc214964384"/>
    <w:p>
      <w:pPr>
        <w:pStyle w:val="style2"/>
        <w:rPr/>
      </w:pPr>
      <w:r>
        <w:t>2.</w:t>
      </w:r>
      <w:r>
        <w:t>6</w:t>
      </w:r>
      <w:r>
        <w:t xml:space="preserve"> </w:t>
      </w:r>
      <w:r>
        <w:t>Change Management Framework</w:t>
      </w:r>
      <w:bookmarkEnd w:id="7"/>
    </w:p>
    <w:p>
      <w:pPr>
        <w:pStyle w:val="style0"/>
        <w:rPr>
          <w:rFonts w:ascii="Arial" w:cs="Arial" w:hAnsi="Arial"/>
        </w:rPr>
      </w:pPr>
      <w:r>
        <w:rPr>
          <w:rFonts w:ascii="Arial" w:cs="Arial" w:hAnsi="Arial"/>
        </w:rPr>
        <w:t xml:space="preserve">change 8-Step process by Kotter serves to make organisations successful in a world that is constantly changing (Laig and </w:t>
      </w:r>
      <w:r>
        <w:rPr>
          <w:rFonts w:ascii="Arial" w:cs="Arial" w:hAnsi="Arial"/>
        </w:rPr>
        <w:t>Abocejo</w:t>
      </w:r>
      <w:r>
        <w:rPr>
          <w:rFonts w:ascii="Arial" w:cs="Arial" w:hAnsi="Arial"/>
        </w:rPr>
        <w:t xml:space="preserve">, 2021). It assists in directing healthcare reforms by targeting leadership, communication, and staff engagement. </w:t>
      </w:r>
    </w:p>
    <w:p>
      <w:pPr>
        <w:pStyle w:val="style0"/>
        <w:jc w:val="center"/>
        <w:rPr>
          <w:rFonts w:ascii="Arial" w:cs="Arial" w:hAnsi="Arial"/>
        </w:rPr>
      </w:pPr>
      <w:r>
        <w:rPr>
          <w:rFonts w:ascii="Arial" w:cs="Arial" w:hAnsi="Arial"/>
        </w:rPr>
        <w:drawing>
          <wp:inline distL="0" distT="0" distB="0" distR="0">
            <wp:extent cx="5731510" cy="2957830"/>
            <wp:effectExtent l="0" t="0" r="2540" b="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0" cstate="print"/>
                    <a:srcRect l="0" t="0" r="0" b="0"/>
                    <a:stretch/>
                  </pic:blipFill>
                  <pic:spPr>
                    <a:xfrm rot="0">
                      <a:off x="0" y="0"/>
                      <a:ext cx="5731510" cy="2957830"/>
                    </a:xfrm>
                    <a:prstGeom prst="rect"/>
                  </pic:spPr>
                </pic:pic>
              </a:graphicData>
            </a:graphic>
          </wp:inline>
        </w:drawing>
      </w:r>
    </w:p>
    <w:p>
      <w:pPr>
        <w:pStyle w:val="style0"/>
        <w:jc w:val="center"/>
        <w:rPr>
          <w:rFonts w:ascii="Arial" w:cs="Arial" w:hAnsi="Arial"/>
          <w:b/>
          <w:bCs/>
        </w:rPr>
      </w:pPr>
      <w:r>
        <w:rPr>
          <w:rFonts w:ascii="Arial" w:cs="Arial" w:hAnsi="Arial"/>
          <w:b/>
          <w:bCs/>
        </w:rPr>
        <w:t>Figure</w:t>
      </w:r>
      <w:r>
        <w:rPr>
          <w:rFonts w:ascii="Arial" w:cs="Arial" w:hAnsi="Arial"/>
          <w:b/>
          <w:bCs/>
        </w:rPr>
        <w:t xml:space="preserve"> 4</w:t>
      </w:r>
      <w:r>
        <w:rPr>
          <w:rFonts w:ascii="Arial" w:cs="Arial" w:hAnsi="Arial"/>
          <w:b/>
          <w:bCs/>
        </w:rPr>
        <w:t>:  Kotter’s (2012) 8-Step Change Model</w:t>
      </w:r>
    </w:p>
    <w:p>
      <w:pPr>
        <w:pStyle w:val="style0"/>
        <w:jc w:val="center"/>
        <w:rPr>
          <w:rFonts w:ascii="Arial" w:cs="Arial" w:hAnsi="Arial"/>
        </w:rPr>
      </w:pPr>
      <w:r>
        <w:rPr>
          <w:rFonts w:ascii="Arial" w:cs="Arial" w:hAnsi="Arial"/>
        </w:rPr>
        <w:t>(Source:</w:t>
      </w:r>
      <w:r>
        <w:rPr>
          <w:rFonts w:ascii="Arial" w:cs="Arial" w:hAnsi="Arial"/>
        </w:rPr>
        <w:t xml:space="preserve"> Laig and </w:t>
      </w:r>
      <w:r>
        <w:rPr>
          <w:rFonts w:ascii="Arial" w:cs="Arial" w:hAnsi="Arial"/>
        </w:rPr>
        <w:t>Abocejo</w:t>
      </w:r>
      <w:r>
        <w:rPr>
          <w:rFonts w:ascii="Arial" w:cs="Arial" w:hAnsi="Arial"/>
        </w:rPr>
        <w:t>, 2021)</w:t>
      </w:r>
    </w:p>
    <w:p>
      <w:pPr>
        <w:pStyle w:val="style0"/>
        <w:rPr>
          <w:rFonts w:ascii="Arial" w:cs="Arial" w:hAnsi="Arial"/>
        </w:rPr>
      </w:pPr>
      <w:r>
        <w:rPr>
          <w:rFonts w:ascii="Arial" w:cs="Arial" w:hAnsi="Arial"/>
        </w:rPr>
        <w:t xml:space="preserve">To </w:t>
      </w:r>
      <w:r>
        <w:rPr>
          <w:rFonts w:ascii="Arial" w:cs="Arial" w:hAnsi="Arial"/>
          <w:b/>
          <w:bCs/>
          <w:i/>
          <w:iCs/>
        </w:rPr>
        <w:t>create a sense of urgency</w:t>
      </w:r>
      <w:r>
        <w:rPr>
          <w:rFonts w:ascii="Arial" w:cs="Arial" w:hAnsi="Arial"/>
        </w:rPr>
        <w:t>, t</w:t>
      </w:r>
      <w:r>
        <w:rPr>
          <w:rFonts w:ascii="Arial" w:cs="Arial" w:hAnsi="Arial"/>
        </w:rPr>
        <w:t>he Francis Report showed that there is serious harm to patients, and there was a sense of urgency that they should undertake prompt action and avoid future failures</w:t>
      </w:r>
      <w:r>
        <w:rPr>
          <w:rFonts w:ascii="Arial" w:cs="Arial" w:hAnsi="Arial"/>
        </w:rPr>
        <w:t xml:space="preserve"> (Francis, 2013b)</w:t>
      </w:r>
      <w:r>
        <w:rPr>
          <w:rFonts w:ascii="Arial" w:cs="Arial" w:hAnsi="Arial"/>
        </w:rPr>
        <w:t xml:space="preserve">. </w:t>
      </w:r>
      <w:r>
        <w:rPr>
          <w:rFonts w:ascii="Arial" w:cs="Arial" w:hAnsi="Arial"/>
        </w:rPr>
        <w:t>The</w:t>
      </w:r>
      <w:r>
        <w:rPr>
          <w:rFonts w:ascii="Arial" w:cs="Arial" w:hAnsi="Arial"/>
        </w:rPr>
        <w:t xml:space="preserve"> </w:t>
      </w:r>
      <w:r>
        <w:rPr>
          <w:rFonts w:ascii="Arial" w:cs="Arial" w:hAnsi="Arial"/>
          <w:b/>
          <w:bCs/>
          <w:i/>
          <w:iCs/>
        </w:rPr>
        <w:t xml:space="preserve">guiding </w:t>
      </w:r>
      <w:r>
        <w:rPr>
          <w:rFonts w:ascii="Arial" w:cs="Arial" w:hAnsi="Arial"/>
          <w:b/>
          <w:bCs/>
          <w:i/>
          <w:iCs/>
        </w:rPr>
        <w:t xml:space="preserve">coalition </w:t>
      </w:r>
      <w:r>
        <w:rPr>
          <w:rFonts w:ascii="Arial" w:cs="Arial" w:hAnsi="Arial"/>
        </w:rPr>
        <w:t>should be composed of a powerful leadership team, which includes clinical experts, patient advocates, and regulators, to facilitate change.</w:t>
      </w:r>
      <w:r>
        <w:rPr>
          <w:rFonts w:ascii="Arial" w:cs="Arial" w:hAnsi="Arial"/>
        </w:rPr>
        <w:t xml:space="preserve"> </w:t>
      </w:r>
      <w:r>
        <w:rPr>
          <w:rFonts w:ascii="Arial" w:cs="Arial" w:hAnsi="Arial"/>
        </w:rPr>
        <w:t xml:space="preserve">Safe, compassionate care should be a </w:t>
      </w:r>
      <w:r>
        <w:rPr>
          <w:rFonts w:ascii="Arial" w:cs="Arial" w:hAnsi="Arial"/>
          <w:b/>
          <w:bCs/>
          <w:i/>
          <w:iCs/>
        </w:rPr>
        <w:t>vision</w:t>
      </w:r>
      <w:r>
        <w:rPr>
          <w:rFonts w:ascii="Arial" w:cs="Arial" w:hAnsi="Arial"/>
        </w:rPr>
        <w:t xml:space="preserve"> with a clear objective, which includes better staffing, better audits and open communication.</w:t>
      </w:r>
      <w:r>
        <w:rPr>
          <w:rFonts w:ascii="Arial" w:cs="Arial" w:hAnsi="Arial"/>
        </w:rPr>
        <w:t xml:space="preserve"> L</w:t>
      </w:r>
      <w:r>
        <w:rPr>
          <w:rFonts w:ascii="Arial" w:cs="Arial" w:hAnsi="Arial"/>
        </w:rPr>
        <w:t xml:space="preserve">eaders should make the vision known to many people through meetings, newsletters, and training to ensure that </w:t>
      </w:r>
      <w:r>
        <w:rPr>
          <w:rFonts w:ascii="Arial" w:cs="Arial" w:hAnsi="Arial"/>
          <w:b/>
          <w:bCs/>
          <w:i/>
          <w:iCs/>
        </w:rPr>
        <w:t>staff members</w:t>
      </w:r>
      <w:r>
        <w:rPr>
          <w:rFonts w:ascii="Arial" w:cs="Arial" w:hAnsi="Arial"/>
          <w:b/>
          <w:bCs/>
          <w:i/>
          <w:iCs/>
        </w:rPr>
        <w:t xml:space="preserve"> know the mission</w:t>
      </w:r>
      <w:r>
        <w:rPr>
          <w:rFonts w:ascii="Arial" w:cs="Arial" w:hAnsi="Arial"/>
        </w:rPr>
        <w:t xml:space="preserve"> and </w:t>
      </w:r>
      <w:r>
        <w:rPr>
          <w:rFonts w:ascii="Arial" w:cs="Arial" w:hAnsi="Arial"/>
          <w:b/>
          <w:bCs/>
          <w:i/>
          <w:iCs/>
        </w:rPr>
        <w:t>take</w:t>
      </w:r>
      <w:r>
        <w:rPr>
          <w:rFonts w:ascii="Arial" w:cs="Arial" w:hAnsi="Arial"/>
          <w:b/>
          <w:bCs/>
          <w:i/>
          <w:iCs/>
        </w:rPr>
        <w:t xml:space="preserve"> part </w:t>
      </w:r>
      <w:r>
        <w:rPr>
          <w:rFonts w:ascii="Arial" w:cs="Arial" w:hAnsi="Arial"/>
          <w:b/>
          <w:bCs/>
          <w:i/>
          <w:iCs/>
        </w:rPr>
        <w:t>in</w:t>
      </w:r>
      <w:r>
        <w:rPr>
          <w:rFonts w:ascii="Arial" w:cs="Arial" w:hAnsi="Arial"/>
          <w:b/>
          <w:bCs/>
          <w:i/>
          <w:iCs/>
        </w:rPr>
        <w:t xml:space="preserve"> it</w:t>
      </w:r>
      <w:r>
        <w:rPr>
          <w:rFonts w:ascii="Arial" w:cs="Arial" w:hAnsi="Arial"/>
        </w:rPr>
        <w:t>.</w:t>
      </w:r>
      <w:r>
        <w:rPr>
          <w:rFonts w:ascii="Arial" w:cs="Arial" w:hAnsi="Arial"/>
        </w:rPr>
        <w:t xml:space="preserve"> </w:t>
      </w:r>
      <w:r>
        <w:rPr>
          <w:rFonts w:ascii="Arial" w:cs="Arial" w:hAnsi="Arial"/>
        </w:rPr>
        <w:t xml:space="preserve">The </w:t>
      </w:r>
      <w:r>
        <w:rPr>
          <w:rFonts w:ascii="Arial" w:cs="Arial" w:hAnsi="Arial"/>
          <w:b/>
          <w:bCs/>
          <w:i/>
          <w:iCs/>
        </w:rPr>
        <w:t>employees are to be empowered</w:t>
      </w:r>
      <w:r>
        <w:rPr>
          <w:rFonts w:ascii="Arial" w:cs="Arial" w:hAnsi="Arial"/>
        </w:rPr>
        <w:t xml:space="preserve"> to raise issues without any fear. </w:t>
      </w:r>
      <w:r>
        <w:rPr>
          <w:rFonts w:ascii="Arial" w:cs="Arial" w:hAnsi="Arial"/>
        </w:rPr>
        <w:t xml:space="preserve">Patient safety incident reporting should be encouraged by open communication and the safety culture </w:t>
      </w:r>
      <w:r>
        <w:rPr>
          <w:rFonts w:ascii="Arial" w:cs="Arial" w:hAnsi="Arial"/>
        </w:rPr>
        <w:t xml:space="preserve">(Poku </w:t>
      </w:r>
      <w:r>
        <w:rPr>
          <w:rFonts w:ascii="Arial" w:cs="Arial" w:hAnsi="Arial"/>
          <w:i/>
          <w:iCs/>
        </w:rPr>
        <w:t>et al.</w:t>
      </w:r>
      <w:r>
        <w:rPr>
          <w:rFonts w:ascii="Arial" w:cs="Arial" w:hAnsi="Arial"/>
        </w:rPr>
        <w:t>2023)</w:t>
      </w:r>
      <w:r>
        <w:rPr>
          <w:rFonts w:ascii="Arial" w:cs="Arial" w:hAnsi="Arial"/>
        </w:rPr>
        <w:t>.</w:t>
      </w:r>
      <w:r>
        <w:rPr>
          <w:rFonts w:ascii="Arial" w:cs="Arial" w:hAnsi="Arial"/>
        </w:rPr>
        <w:t xml:space="preserve"> </w:t>
      </w:r>
      <w:r>
        <w:rPr>
          <w:rFonts w:ascii="Arial" w:cs="Arial" w:hAnsi="Arial"/>
          <w:b/>
          <w:bCs/>
          <w:i/>
          <w:iCs/>
        </w:rPr>
        <w:t>Q</w:t>
      </w:r>
      <w:r>
        <w:rPr>
          <w:rFonts w:ascii="Arial" w:cs="Arial" w:hAnsi="Arial"/>
          <w:b/>
          <w:bCs/>
          <w:i/>
          <w:iCs/>
        </w:rPr>
        <w:t>uick fixes</w:t>
      </w:r>
      <w:r>
        <w:rPr>
          <w:rFonts w:ascii="Arial" w:cs="Arial" w:hAnsi="Arial"/>
        </w:rPr>
        <w:t xml:space="preserve">, such as safer nurse-to-patient ratios or improved complaint management, </w:t>
      </w:r>
      <w:r>
        <w:rPr>
          <w:rFonts w:ascii="Arial" w:cs="Arial" w:hAnsi="Arial"/>
          <w:b/>
          <w:bCs/>
          <w:i/>
          <w:iCs/>
        </w:rPr>
        <w:t>can be used to build confidence</w:t>
      </w:r>
      <w:r>
        <w:rPr>
          <w:rFonts w:ascii="Arial" w:cs="Arial" w:hAnsi="Arial"/>
        </w:rPr>
        <w:t>.</w:t>
      </w:r>
      <w:r>
        <w:rPr>
          <w:rFonts w:ascii="Arial" w:cs="Arial" w:hAnsi="Arial"/>
        </w:rPr>
        <w:t xml:space="preserve"> Also, there is a need to </w:t>
      </w:r>
      <w:r>
        <w:rPr>
          <w:rFonts w:ascii="Arial" w:cs="Arial" w:hAnsi="Arial"/>
        </w:rPr>
        <w:t xml:space="preserve">expand the reforms, </w:t>
      </w:r>
      <w:r>
        <w:rPr>
          <w:rFonts w:ascii="Arial" w:cs="Arial" w:hAnsi="Arial"/>
          <w:b/>
          <w:bCs/>
          <w:i/>
          <w:iCs/>
        </w:rPr>
        <w:t>invest in training, and strengthen the systems</w:t>
      </w:r>
      <w:r>
        <w:rPr>
          <w:rFonts w:ascii="Arial" w:cs="Arial" w:hAnsi="Arial"/>
        </w:rPr>
        <w:t xml:space="preserve"> of governance by success. </w:t>
      </w:r>
      <w:r>
        <w:rPr>
          <w:rFonts w:ascii="Arial" w:cs="Arial" w:hAnsi="Arial"/>
        </w:rPr>
        <w:t xml:space="preserve">Also, </w:t>
      </w:r>
      <w:r>
        <w:rPr>
          <w:rFonts w:ascii="Arial" w:cs="Arial" w:hAnsi="Arial"/>
          <w:b/>
          <w:bCs/>
          <w:i/>
          <w:iCs/>
        </w:rPr>
        <w:t>patient reviews</w:t>
      </w:r>
      <w:r>
        <w:rPr>
          <w:rFonts w:ascii="Arial" w:cs="Arial" w:hAnsi="Arial"/>
          <w:b/>
          <w:bCs/>
          <w:i/>
          <w:iCs/>
        </w:rPr>
        <w:t xml:space="preserve"> </w:t>
      </w:r>
      <w:r>
        <w:rPr>
          <w:rFonts w:ascii="Arial" w:cs="Arial" w:hAnsi="Arial"/>
        </w:rPr>
        <w:t>are needed to recommend doctors and generate generalised recommendations (</w:t>
      </w:r>
      <w:r>
        <w:rPr>
          <w:rFonts w:ascii="Arial" w:cs="Arial" w:hAnsi="Arial"/>
        </w:rPr>
        <w:t>Matloob</w:t>
      </w:r>
      <w:r>
        <w:rPr>
          <w:rFonts w:ascii="Arial" w:cs="Arial" w:hAnsi="Arial"/>
        </w:rPr>
        <w:t xml:space="preserve"> </w:t>
      </w:r>
      <w:r>
        <w:rPr>
          <w:rFonts w:ascii="Arial" w:cs="Arial" w:hAnsi="Arial"/>
          <w:i/>
          <w:iCs/>
        </w:rPr>
        <w:t>et al.</w:t>
      </w:r>
      <w:r>
        <w:rPr>
          <w:rFonts w:ascii="Arial" w:cs="Arial" w:hAnsi="Arial"/>
          <w:i/>
          <w:iCs/>
        </w:rPr>
        <w:t xml:space="preserve"> </w:t>
      </w:r>
      <w:r>
        <w:rPr>
          <w:rFonts w:ascii="Arial" w:cs="Arial" w:hAnsi="Arial"/>
        </w:rPr>
        <w:t>2025)</w:t>
      </w:r>
      <w:r>
        <w:rPr>
          <w:rFonts w:ascii="Arial" w:cs="Arial" w:hAnsi="Arial"/>
        </w:rPr>
        <w:t>.</w:t>
      </w:r>
      <w:r>
        <w:rPr>
          <w:rFonts w:ascii="Arial" w:cs="Arial" w:hAnsi="Arial"/>
        </w:rPr>
        <w:t xml:space="preserve"> M</w:t>
      </w:r>
      <w:r>
        <w:rPr>
          <w:rFonts w:ascii="Arial" w:cs="Arial" w:hAnsi="Arial"/>
        </w:rPr>
        <w:t xml:space="preserve">id Staffordshire and other trusts in a similar situation can transition to recovery by following the model suggested by Kotter, which will help to make healthcare settings safer and more attentive to the needs of the patients. </w:t>
      </w:r>
    </w:p>
    <w:bookmarkStart w:id="8" w:name="_Toc214964385"/>
    <w:p>
      <w:pPr>
        <w:pStyle w:val="style1"/>
        <w:rPr>
          <w:rFonts w:ascii="Arial" w:cs="Arial" w:hAnsi="Arial"/>
        </w:rPr>
      </w:pPr>
      <w:r>
        <w:rPr>
          <w:rFonts w:ascii="Arial" w:cs="Arial" w:hAnsi="Arial"/>
        </w:rPr>
        <w:t>3. Recommendations</w:t>
      </w:r>
      <w:bookmarkEnd w:id="8"/>
    </w:p>
    <w:bookmarkStart w:id="9" w:name="_Toc214964386"/>
    <w:p>
      <w:pPr>
        <w:pStyle w:val="style2"/>
        <w:rPr/>
      </w:pPr>
      <w:r>
        <w:t xml:space="preserve">3.1 </w:t>
      </w:r>
      <w:r>
        <w:t>Strategic Actions</w:t>
      </w:r>
      <w:bookmarkEnd w:id="9"/>
    </w:p>
    <w:p>
      <w:pPr>
        <w:pStyle w:val="style0"/>
        <w:rPr>
          <w:rFonts w:ascii="Arial" w:cs="Arial" w:hAnsi="Arial"/>
        </w:rPr>
      </w:pPr>
      <w:r>
        <w:rPr>
          <w:rFonts w:ascii="Arial" w:cs="Arial" w:hAnsi="Arial"/>
        </w:rPr>
        <w:t xml:space="preserve">In order to enhance the quality of care and patient safety at the Mid Staffordshire NHS Foundation Trust, a number of strategic measures are required. </w:t>
      </w:r>
    </w:p>
    <w:p>
      <w:pPr>
        <w:pStyle w:val="style0"/>
        <w:rPr>
          <w:rFonts w:ascii="Arial" w:cs="Arial" w:hAnsi="Arial"/>
        </w:rPr>
      </w:pPr>
      <w:r>
        <w:rPr>
          <w:rFonts w:ascii="Arial" w:cs="Arial" w:hAnsi="Arial"/>
          <w:b/>
          <w:bCs/>
          <w:i/>
          <w:iCs/>
        </w:rPr>
        <w:t>Improve leadership and governance</w:t>
      </w:r>
      <w:r>
        <w:rPr>
          <w:rFonts w:ascii="Arial" w:cs="Arial" w:hAnsi="Arial"/>
        </w:rPr>
        <w:t xml:space="preserve">. </w:t>
      </w:r>
      <w:r>
        <w:rPr>
          <w:rFonts w:ascii="Arial" w:cs="Arial" w:hAnsi="Arial"/>
        </w:rPr>
        <w:t xml:space="preserve">The governance of the health system is associated with determining the strategic direction, policy, with regulation formulation and decision-making </w:t>
      </w:r>
      <w:r>
        <w:rPr>
          <w:rFonts w:ascii="Arial" w:cs="Arial" w:hAnsi="Arial"/>
        </w:rPr>
        <w:t xml:space="preserve">(Effa </w:t>
      </w:r>
      <w:r>
        <w:rPr>
          <w:rFonts w:ascii="Arial" w:cs="Arial" w:hAnsi="Arial"/>
          <w:i/>
          <w:iCs/>
        </w:rPr>
        <w:t>et al.</w:t>
      </w:r>
      <w:r>
        <w:rPr>
          <w:rFonts w:ascii="Arial" w:cs="Arial" w:hAnsi="Arial"/>
        </w:rPr>
        <w:t xml:space="preserve">2021). </w:t>
      </w:r>
      <w:r>
        <w:rPr>
          <w:rFonts w:ascii="Arial" w:cs="Arial" w:hAnsi="Arial"/>
        </w:rPr>
        <w:t>C</w:t>
      </w:r>
      <w:r>
        <w:rPr>
          <w:rFonts w:ascii="Arial" w:cs="Arial" w:hAnsi="Arial"/>
        </w:rPr>
        <w:t xml:space="preserve">linical professionals and patient representatives should be invited to the board to be able to make decisions. The leaders should be seen, responsible and dedicated towards safety. Board meetings should include regular review of mortality data, complaints and audit results. </w:t>
      </w:r>
    </w:p>
    <w:p>
      <w:pPr>
        <w:pStyle w:val="style0"/>
        <w:rPr>
          <w:rFonts w:ascii="Arial" w:cs="Arial" w:hAnsi="Arial"/>
        </w:rPr>
      </w:pPr>
      <w:r>
        <w:rPr>
          <w:rFonts w:ascii="Arial" w:cs="Arial" w:hAnsi="Arial"/>
          <w:b/>
          <w:bCs/>
          <w:i/>
          <w:iCs/>
        </w:rPr>
        <w:t>Increasing Staff</w:t>
      </w:r>
      <w:r>
        <w:rPr>
          <w:rFonts w:ascii="Arial" w:cs="Arial" w:hAnsi="Arial"/>
          <w:b/>
          <w:bCs/>
          <w:i/>
          <w:iCs/>
        </w:rPr>
        <w:t xml:space="preserve"> and Providing Training</w:t>
      </w:r>
      <w:r>
        <w:rPr>
          <w:rFonts w:ascii="Arial" w:cs="Arial" w:hAnsi="Arial"/>
          <w:b/>
          <w:bCs/>
          <w:i/>
          <w:iCs/>
        </w:rPr>
        <w:t>:</w:t>
      </w:r>
      <w:r>
        <w:rPr>
          <w:rFonts w:ascii="Arial" w:cs="Arial" w:hAnsi="Arial"/>
          <w:b/>
          <w:bCs/>
          <w:i/>
          <w:iCs/>
        </w:rPr>
        <w:t xml:space="preserve"> </w:t>
      </w:r>
      <w:r>
        <w:rPr>
          <w:rFonts w:ascii="Arial" w:cs="Arial" w:hAnsi="Arial"/>
        </w:rPr>
        <w:t xml:space="preserve">Healthcare workers can be introduced to the management of patient care comprehensively, often in a single session, online </w:t>
      </w:r>
      <w:r>
        <w:rPr>
          <w:rFonts w:ascii="Arial" w:cs="Arial" w:hAnsi="Arial"/>
        </w:rPr>
        <w:t>training</w:t>
      </w:r>
      <w:r>
        <w:rPr>
          <w:rFonts w:ascii="Arial" w:cs="Arial" w:hAnsi="Arial"/>
        </w:rPr>
        <w:t xml:space="preserve">, face-to-face and virtual workshops, as well as onsite clinical training, and other supportive educational materials </w:t>
      </w:r>
      <w:r>
        <w:rPr>
          <w:rFonts w:ascii="Arial" w:cs="Arial" w:hAnsi="Arial"/>
        </w:rPr>
        <w:t xml:space="preserve">(Corcorran </w:t>
      </w:r>
      <w:r>
        <w:rPr>
          <w:rFonts w:ascii="Arial" w:cs="Arial" w:hAnsi="Arial"/>
          <w:i/>
          <w:iCs/>
        </w:rPr>
        <w:t>et al.</w:t>
      </w:r>
      <w:r>
        <w:rPr>
          <w:rFonts w:ascii="Arial" w:cs="Arial" w:hAnsi="Arial"/>
          <w:i/>
          <w:iCs/>
        </w:rPr>
        <w:t xml:space="preserve"> </w:t>
      </w:r>
      <w:r>
        <w:rPr>
          <w:rFonts w:ascii="Arial" w:cs="Arial" w:hAnsi="Arial"/>
        </w:rPr>
        <w:t xml:space="preserve">2023). </w:t>
      </w:r>
      <w:r>
        <w:rPr>
          <w:rFonts w:ascii="Arial" w:cs="Arial" w:hAnsi="Arial"/>
        </w:rPr>
        <w:t xml:space="preserve">The culture of support must be encouraged, whereby the </w:t>
      </w:r>
      <w:r>
        <w:rPr>
          <w:rFonts w:ascii="Arial" w:cs="Arial" w:hAnsi="Arial"/>
        </w:rPr>
        <w:t>staff</w:t>
      </w:r>
      <w:r>
        <w:rPr>
          <w:rFonts w:ascii="Arial" w:cs="Arial" w:hAnsi="Arial"/>
        </w:rPr>
        <w:t xml:space="preserve"> are</w:t>
      </w:r>
      <w:r>
        <w:rPr>
          <w:rFonts w:ascii="Arial" w:cs="Arial" w:hAnsi="Arial"/>
        </w:rPr>
        <w:t xml:space="preserve"> comfortable enough to report any issues without the fear of being blamed</w:t>
      </w:r>
      <w:r>
        <w:rPr>
          <w:rFonts w:ascii="Arial" w:cs="Arial" w:hAnsi="Arial"/>
        </w:rPr>
        <w:t xml:space="preserve"> (Martin, Stanford and Dixon-Woods, 2023)</w:t>
      </w:r>
      <w:r>
        <w:rPr>
          <w:rFonts w:ascii="Arial" w:cs="Arial" w:hAnsi="Arial"/>
        </w:rPr>
        <w:t>.</w:t>
      </w:r>
      <w:r>
        <w:rPr>
          <w:rFonts w:ascii="Arial" w:cs="Arial" w:hAnsi="Arial"/>
        </w:rPr>
        <w:t xml:space="preserve"> Patient-to-nurse ratios should be kept at safe levels, and the staff should be regularly trained on the issue of patient safety, communication, and escalation procedures. </w:t>
      </w:r>
    </w:p>
    <w:p>
      <w:pPr>
        <w:pStyle w:val="style0"/>
        <w:rPr>
          <w:rFonts w:ascii="Arial" w:cs="Arial" w:hAnsi="Arial"/>
        </w:rPr>
      </w:pPr>
      <w:r>
        <w:rPr>
          <w:rFonts w:ascii="Arial" w:cs="Arial" w:hAnsi="Arial"/>
          <w:b/>
          <w:bCs/>
          <w:i/>
          <w:iCs/>
        </w:rPr>
        <w:t>Improve Patient Engagement:</w:t>
      </w:r>
      <w:r>
        <w:rPr>
          <w:rFonts w:ascii="Arial" w:cs="Arial" w:hAnsi="Arial"/>
          <w:b/>
          <w:bCs/>
          <w:i/>
          <w:iCs/>
        </w:rPr>
        <w:t xml:space="preserve"> </w:t>
      </w:r>
      <w:r>
        <w:rPr>
          <w:rFonts w:ascii="Arial" w:cs="Arial" w:hAnsi="Arial"/>
        </w:rPr>
        <w:t xml:space="preserve">Feedback strategies offered a platform where patients could communicate and bring their concerns about safety to the staff throughout their care experience </w:t>
      </w:r>
      <w:r>
        <w:rPr>
          <w:rFonts w:ascii="Arial" w:cs="Arial" w:hAnsi="Arial"/>
        </w:rPr>
        <w:t xml:space="preserve">(Newman </w:t>
      </w:r>
      <w:r>
        <w:rPr>
          <w:rFonts w:ascii="Arial" w:cs="Arial" w:hAnsi="Arial"/>
          <w:i/>
          <w:iCs/>
        </w:rPr>
        <w:t>et al.</w:t>
      </w:r>
      <w:r>
        <w:rPr>
          <w:rFonts w:ascii="Arial" w:cs="Arial" w:hAnsi="Arial"/>
        </w:rPr>
        <w:t xml:space="preserve">2021). </w:t>
      </w:r>
      <w:r>
        <w:rPr>
          <w:rFonts w:ascii="Arial" w:cs="Arial" w:hAnsi="Arial"/>
        </w:rPr>
        <w:t xml:space="preserve">The feedback systems should also be user-friendly and reliable. Service design and safety reviews are to engage patients and families. This will assist in restoring trust, and care will be patient-centred. </w:t>
      </w:r>
    </w:p>
    <w:p>
      <w:pPr>
        <w:pStyle w:val="style0"/>
        <w:rPr>
          <w:rFonts w:ascii="Arial" w:cs="Arial" w:hAnsi="Arial"/>
        </w:rPr>
      </w:pPr>
      <w:r>
        <w:rPr>
          <w:rFonts w:ascii="Arial" w:cs="Arial" w:hAnsi="Arial"/>
          <w:b/>
          <w:bCs/>
          <w:i/>
          <w:iCs/>
        </w:rPr>
        <w:t>Align with National Safety Standards:</w:t>
      </w:r>
      <w:r>
        <w:rPr>
          <w:rFonts w:ascii="Arial" w:cs="Arial" w:hAnsi="Arial"/>
        </w:rPr>
        <w:t xml:space="preserve"> The </w:t>
      </w:r>
      <w:r>
        <w:rPr>
          <w:rFonts w:ascii="Arial" w:cs="Arial" w:hAnsi="Arial"/>
        </w:rPr>
        <w:t xml:space="preserve">Mid </w:t>
      </w:r>
      <w:r>
        <w:rPr>
          <w:rFonts w:ascii="Arial" w:cs="Arial" w:hAnsi="Arial"/>
        </w:rPr>
        <w:t>Staffordshire must</w:t>
      </w:r>
      <w:r>
        <w:rPr>
          <w:rFonts w:ascii="Arial" w:cs="Arial" w:hAnsi="Arial"/>
        </w:rPr>
        <w:t xml:space="preserve"> implement effective procedures of incident reporting, risk management, and clinical audits. </w:t>
      </w:r>
      <w:r>
        <w:rPr>
          <w:rFonts w:ascii="Arial" w:cs="Arial" w:hAnsi="Arial"/>
        </w:rPr>
        <w:t xml:space="preserve">There is also a need to comply with </w:t>
      </w:r>
      <w:r>
        <w:rPr>
          <w:rFonts w:ascii="Arial" w:cs="Arial" w:hAnsi="Arial"/>
        </w:rPr>
        <w:t>NatSSIPs</w:t>
      </w:r>
      <w:r>
        <w:rPr>
          <w:rFonts w:ascii="Arial" w:cs="Arial" w:hAnsi="Arial"/>
        </w:rPr>
        <w:t xml:space="preserve"> standards (CPOC, 2023). </w:t>
      </w:r>
      <w:r>
        <w:rPr>
          <w:rFonts w:ascii="Arial" w:cs="Arial" w:hAnsi="Arial"/>
        </w:rPr>
        <w:t>These are expected to be tracked regularly, and they must be associated with staff performance and organisational learning.</w:t>
      </w:r>
    </w:p>
    <w:p>
      <w:pPr>
        <w:pStyle w:val="style0"/>
        <w:rPr>
          <w:rFonts w:ascii="Arial" w:cs="Arial" w:hAnsi="Arial"/>
        </w:rPr>
      </w:pPr>
      <w:r>
        <w:rPr>
          <w:rFonts w:ascii="Arial" w:cs="Arial" w:hAnsi="Arial"/>
          <w:b/>
          <w:bCs/>
          <w:i/>
          <w:iCs/>
        </w:rPr>
        <w:t>Improve Open Communication and a Culture of Continuous Improvement</w:t>
      </w:r>
      <w:r>
        <w:rPr>
          <w:rFonts w:ascii="Arial" w:cs="Arial" w:hAnsi="Arial"/>
        </w:rPr>
        <w:t xml:space="preserve">: Open communication and a culture of continuous improvement will have to be included. </w:t>
      </w:r>
      <w:r>
        <w:rPr>
          <w:rFonts w:ascii="Arial" w:cs="Arial" w:hAnsi="Arial"/>
        </w:rPr>
        <w:t xml:space="preserve">The world is becoming more aware of the value of implementing continuous improvement strategies to transform services in hospitals </w:t>
      </w:r>
      <w:r>
        <w:rPr>
          <w:rFonts w:ascii="Arial" w:cs="Arial" w:hAnsi="Arial"/>
        </w:rPr>
        <w:t xml:space="preserve">(Benjamin and Chung, 2022). </w:t>
      </w:r>
      <w:r>
        <w:rPr>
          <w:rFonts w:ascii="Arial" w:cs="Arial" w:hAnsi="Arial"/>
        </w:rPr>
        <w:t xml:space="preserve">Good communication, goals and frequent evaluation should support strategic actions. </w:t>
      </w:r>
    </w:p>
    <w:bookmarkStart w:id="10" w:name="_Toc214964387"/>
    <w:p>
      <w:pPr>
        <w:pStyle w:val="style2"/>
        <w:rPr/>
      </w:pPr>
      <w:r>
        <w:t xml:space="preserve">3.2 </w:t>
      </w:r>
      <w:r>
        <w:t>Implementation Strategy</w:t>
      </w:r>
      <w:bookmarkEnd w:id="10"/>
    </w:p>
    <w:p>
      <w:pPr>
        <w:pStyle w:val="style0"/>
        <w:rPr>
          <w:rFonts w:ascii="Arial" w:cs="Arial" w:hAnsi="Arial"/>
        </w:rPr>
      </w:pPr>
      <w:r>
        <w:rPr>
          <w:rFonts w:ascii="Arial" w:cs="Arial" w:hAnsi="Arial"/>
        </w:rPr>
        <w:t>A basic technique of total quality management is the Plan-Do-Check-Act (PDCA) cycle or continuous improvement cycle that is designed to enhance processes, enhance efficiency, and provide steady quality (</w:t>
      </w:r>
      <w:r>
        <w:rPr>
          <w:rFonts w:ascii="Arial" w:cs="Arial" w:hAnsi="Arial"/>
        </w:rPr>
        <w:t>Realyvásquez</w:t>
      </w:r>
      <w:r>
        <w:rPr>
          <w:rFonts w:ascii="Arial" w:cs="Arial" w:hAnsi="Arial"/>
        </w:rPr>
        <w:t xml:space="preserve"> Vargas</w:t>
      </w:r>
      <w:r>
        <w:rPr>
          <w:rFonts w:ascii="Arial" w:cs="Arial" w:hAnsi="Arial"/>
        </w:rPr>
        <w:t xml:space="preserve"> </w:t>
      </w:r>
      <w:r>
        <w:rPr>
          <w:rFonts w:ascii="Arial" w:cs="Arial" w:hAnsi="Arial"/>
          <w:i/>
          <w:iCs/>
        </w:rPr>
        <w:t>et al.</w:t>
      </w:r>
      <w:r>
        <w:rPr>
          <w:rFonts w:ascii="Arial" w:cs="Arial" w:hAnsi="Arial"/>
        </w:rPr>
        <w:t>2024</w:t>
      </w:r>
      <w:r>
        <w:rPr>
          <w:rFonts w:ascii="Arial" w:cs="Arial" w:hAnsi="Arial"/>
        </w:rPr>
        <w:t xml:space="preserve">). The PDCA cycle is an effective change management tool that is used to control the improvement of healthcare services. </w:t>
      </w:r>
    </w:p>
    <w:p>
      <w:pPr>
        <w:pStyle w:val="style0"/>
        <w:jc w:val="center"/>
        <w:rPr>
          <w:rFonts w:ascii="Arial" w:cs="Arial" w:hAnsi="Arial"/>
        </w:rPr>
      </w:pPr>
      <w:r>
        <w:rPr>
          <w:rFonts w:ascii="Arial" w:cs="Arial" w:hAnsi="Arial"/>
        </w:rPr>
        <w:drawing>
          <wp:inline distL="0" distT="0" distB="0" distR="0">
            <wp:extent cx="4497660" cy="2461260"/>
            <wp:effectExtent l="0" t="0" r="17780" b="15240"/>
            <wp:docPr id="1031" name="Diagram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5" r:cs="rId16"/>
              </a:graphicData>
            </a:graphic>
          </wp:inline>
        </w:drawing>
      </w:r>
    </w:p>
    <w:p>
      <w:pPr>
        <w:pStyle w:val="style0"/>
        <w:jc w:val="center"/>
        <w:rPr>
          <w:rFonts w:ascii="Arial" w:cs="Arial" w:hAnsi="Arial"/>
          <w:b/>
          <w:bCs/>
        </w:rPr>
      </w:pPr>
      <w:r>
        <w:rPr>
          <w:rFonts w:ascii="Arial" w:cs="Arial" w:hAnsi="Arial"/>
          <w:b/>
          <w:bCs/>
        </w:rPr>
        <w:t>Figure</w:t>
      </w:r>
      <w:r>
        <w:rPr>
          <w:rFonts w:ascii="Arial" w:cs="Arial" w:hAnsi="Arial"/>
          <w:b/>
          <w:bCs/>
        </w:rPr>
        <w:t xml:space="preserve"> 5</w:t>
      </w:r>
      <w:r>
        <w:rPr>
          <w:rFonts w:ascii="Arial" w:cs="Arial" w:hAnsi="Arial"/>
          <w:b/>
          <w:bCs/>
        </w:rPr>
        <w:t>: PDCA</w:t>
      </w:r>
      <w:r>
        <w:rPr>
          <w:rFonts w:ascii="Arial" w:cs="Arial" w:hAnsi="Arial"/>
          <w:b/>
          <w:bCs/>
        </w:rPr>
        <w:t xml:space="preserve"> </w:t>
      </w:r>
      <w:r>
        <w:rPr>
          <w:rFonts w:ascii="Arial" w:cs="Arial" w:hAnsi="Arial"/>
          <w:b/>
          <w:bCs/>
        </w:rPr>
        <w:t>Cycle</w:t>
      </w:r>
    </w:p>
    <w:p>
      <w:pPr>
        <w:pStyle w:val="style0"/>
        <w:jc w:val="center"/>
        <w:rPr>
          <w:rFonts w:ascii="Arial" w:cs="Arial" w:hAnsi="Arial"/>
        </w:rPr>
      </w:pPr>
      <w:r>
        <w:rPr>
          <w:rFonts w:ascii="Arial" w:cs="Arial" w:hAnsi="Arial"/>
        </w:rPr>
        <w:t xml:space="preserve">(Source: Self-Created) </w:t>
      </w:r>
    </w:p>
    <w:p>
      <w:pPr>
        <w:pStyle w:val="style0"/>
        <w:rPr>
          <w:rFonts w:ascii="Arial" w:cs="Arial" w:hAnsi="Arial"/>
        </w:rPr>
      </w:pPr>
      <w:r>
        <w:rPr>
          <w:rFonts w:ascii="Arial" w:cs="Arial" w:hAnsi="Arial"/>
          <w:b/>
          <w:bCs/>
          <w:i/>
          <w:iCs/>
        </w:rPr>
        <w:t>Plan:</w:t>
      </w:r>
      <w:r>
        <w:rPr>
          <w:rFonts w:ascii="Arial" w:cs="Arial" w:hAnsi="Arial"/>
        </w:rPr>
        <w:t xml:space="preserve"> The initial and first step of the cycle is the plan. In the case of Mid Staffordshire, the identification of failure in leadership, unsafe staffing, absence of communication and ineffective governance </w:t>
      </w:r>
      <w:r>
        <w:rPr>
          <w:rFonts w:ascii="Arial" w:cs="Arial" w:hAnsi="Arial"/>
        </w:rPr>
        <w:t>is</w:t>
      </w:r>
      <w:r>
        <w:rPr>
          <w:rFonts w:ascii="Arial" w:cs="Arial" w:hAnsi="Arial"/>
        </w:rPr>
        <w:t xml:space="preserve"> involved. Strategic responses that must be incorporated in the plan include the hiring of additional nurses, enhancing accountability in the boards, the introduction of safety training, as well as the establishment of open feedback systems. </w:t>
      </w:r>
      <w:r>
        <w:rPr>
          <w:rFonts w:ascii="Arial" w:cs="Arial" w:hAnsi="Arial"/>
        </w:rPr>
        <w:t xml:space="preserve">In addition, effective safety learning systems such as incident reporting and management processes are necessary to enhance patient safety </w:t>
      </w:r>
      <w:r>
        <w:rPr>
          <w:rFonts w:ascii="Arial" w:cs="Arial" w:hAnsi="Arial"/>
        </w:rPr>
        <w:t xml:space="preserve">(Gillespie </w:t>
      </w:r>
      <w:r>
        <w:rPr>
          <w:rFonts w:ascii="Arial" w:cs="Arial" w:hAnsi="Arial"/>
          <w:i/>
          <w:iCs/>
        </w:rPr>
        <w:t>et al.</w:t>
      </w:r>
      <w:r>
        <w:rPr>
          <w:rFonts w:ascii="Arial" w:cs="Arial" w:hAnsi="Arial"/>
        </w:rPr>
        <w:t>2021)</w:t>
      </w:r>
      <w:r>
        <w:rPr>
          <w:rFonts w:ascii="Arial" w:cs="Arial" w:hAnsi="Arial"/>
        </w:rPr>
        <w:t xml:space="preserve">. All the stakeholders should support these goals, and they should be in line with the national safety standards. </w:t>
      </w:r>
    </w:p>
    <w:p>
      <w:pPr>
        <w:pStyle w:val="style0"/>
        <w:rPr>
          <w:rFonts w:ascii="Arial" w:cs="Arial" w:hAnsi="Arial"/>
        </w:rPr>
      </w:pPr>
      <w:r>
        <w:rPr>
          <w:rFonts w:ascii="Arial" w:cs="Arial" w:hAnsi="Arial"/>
          <w:b/>
          <w:bCs/>
          <w:i/>
          <w:iCs/>
        </w:rPr>
        <w:t>Do:</w:t>
      </w:r>
      <w:r>
        <w:rPr>
          <w:rFonts w:ascii="Arial" w:cs="Arial" w:hAnsi="Arial"/>
        </w:rPr>
        <w:t xml:space="preserve"> The phase is the implementation of the plan. The </w:t>
      </w:r>
      <w:r>
        <w:rPr>
          <w:rFonts w:ascii="Arial" w:cs="Arial" w:hAnsi="Arial"/>
        </w:rPr>
        <w:t xml:space="preserve">Mid </w:t>
      </w:r>
      <w:r>
        <w:rPr>
          <w:rFonts w:ascii="Arial" w:cs="Arial" w:hAnsi="Arial"/>
        </w:rPr>
        <w:t>Staffordshire can</w:t>
      </w:r>
      <w:r>
        <w:rPr>
          <w:rFonts w:ascii="Arial" w:cs="Arial" w:hAnsi="Arial"/>
        </w:rPr>
        <w:t xml:space="preserve"> </w:t>
      </w:r>
      <w:r>
        <w:rPr>
          <w:rFonts w:ascii="Arial" w:cs="Arial" w:hAnsi="Arial"/>
        </w:rPr>
        <w:t>start</w:t>
      </w:r>
      <w:r>
        <w:rPr>
          <w:rFonts w:ascii="Arial" w:cs="Arial" w:hAnsi="Arial"/>
        </w:rPr>
        <w:t xml:space="preserve"> by employing competent personnel and providing safe nurse-to-patient ratios. Regular meetings should be conducted by the leadership teams </w:t>
      </w:r>
      <w:r>
        <w:rPr>
          <w:rFonts w:ascii="Arial" w:cs="Arial" w:hAnsi="Arial"/>
        </w:rPr>
        <w:t>to improve service performance (</w:t>
      </w:r>
      <w:r>
        <w:rPr>
          <w:rFonts w:ascii="Arial" w:cs="Arial" w:hAnsi="Arial"/>
        </w:rPr>
        <w:t>Elnardy</w:t>
      </w:r>
      <w:r>
        <w:rPr>
          <w:rFonts w:ascii="Arial" w:cs="Arial" w:hAnsi="Arial"/>
        </w:rPr>
        <w:t xml:space="preserve"> </w:t>
      </w:r>
      <w:r>
        <w:rPr>
          <w:rFonts w:ascii="Arial" w:cs="Arial" w:hAnsi="Arial"/>
          <w:i/>
          <w:iCs/>
        </w:rPr>
        <w:t>et al.</w:t>
      </w:r>
      <w:r>
        <w:rPr>
          <w:rFonts w:ascii="Arial" w:cs="Arial" w:hAnsi="Arial"/>
        </w:rPr>
        <w:t>2024)</w:t>
      </w:r>
      <w:r>
        <w:rPr>
          <w:rFonts w:ascii="Arial" w:cs="Arial" w:hAnsi="Arial"/>
        </w:rPr>
        <w:t xml:space="preserve">. Employees ought to be trained on communication, </w:t>
      </w:r>
      <w:r>
        <w:rPr>
          <w:rFonts w:ascii="Arial" w:cs="Arial" w:hAnsi="Arial"/>
        </w:rPr>
        <w:t>growth</w:t>
      </w:r>
      <w:r>
        <w:rPr>
          <w:rFonts w:ascii="Arial" w:cs="Arial" w:hAnsi="Arial"/>
        </w:rPr>
        <w:t xml:space="preserve"> and patient-centred care</w:t>
      </w:r>
      <w:r>
        <w:rPr>
          <w:rFonts w:ascii="Arial" w:cs="Arial" w:hAnsi="Arial"/>
        </w:rPr>
        <w:t xml:space="preserve"> (PCC)</w:t>
      </w:r>
      <w:r>
        <w:rPr>
          <w:rFonts w:ascii="Arial" w:cs="Arial" w:hAnsi="Arial"/>
        </w:rPr>
        <w:t xml:space="preserve">. </w:t>
      </w:r>
      <w:r>
        <w:rPr>
          <w:rFonts w:ascii="Arial" w:cs="Arial" w:hAnsi="Arial"/>
        </w:rPr>
        <w:t xml:space="preserve">PCC is a change of disease-centred practices in favour of those that incorporate patient needs, experiences and perceptions in healthcare development and practice </w:t>
      </w:r>
      <w:r>
        <w:rPr>
          <w:rFonts w:ascii="Arial" w:cs="Arial" w:hAnsi="Arial"/>
        </w:rPr>
        <w:t xml:space="preserve">(Havana </w:t>
      </w:r>
      <w:r>
        <w:rPr>
          <w:rFonts w:ascii="Arial" w:cs="Arial" w:hAnsi="Arial"/>
          <w:i/>
          <w:iCs/>
        </w:rPr>
        <w:t>et al.</w:t>
      </w:r>
      <w:r>
        <w:rPr>
          <w:rFonts w:ascii="Arial" w:cs="Arial" w:hAnsi="Arial"/>
        </w:rPr>
        <w:t xml:space="preserve">2023). </w:t>
      </w:r>
      <w:r>
        <w:rPr>
          <w:rFonts w:ascii="Arial" w:cs="Arial" w:hAnsi="Arial"/>
        </w:rPr>
        <w:t>Emerging incident reporting and feedback collection tools must be offered. The service design and safety review should include a patient report to restore trust.</w:t>
      </w:r>
    </w:p>
    <w:p>
      <w:pPr>
        <w:pStyle w:val="style0"/>
        <w:rPr>
          <w:rFonts w:ascii="Arial" w:cs="Arial" w:hAnsi="Arial"/>
        </w:rPr>
      </w:pPr>
      <w:r>
        <w:rPr>
          <w:rFonts w:ascii="Arial" w:cs="Arial" w:hAnsi="Arial"/>
          <w:b/>
          <w:bCs/>
          <w:i/>
          <w:iCs/>
        </w:rPr>
        <w:t>Check:</w:t>
      </w:r>
      <w:r>
        <w:rPr>
          <w:rFonts w:ascii="Arial" w:cs="Arial" w:hAnsi="Arial"/>
        </w:rPr>
        <w:t xml:space="preserve"> The </w:t>
      </w:r>
      <w:r>
        <w:rPr>
          <w:rFonts w:ascii="Arial" w:cs="Arial" w:hAnsi="Arial"/>
        </w:rPr>
        <w:t xml:space="preserve">Mid </w:t>
      </w:r>
      <w:r>
        <w:rPr>
          <w:rFonts w:ascii="Arial" w:cs="Arial" w:hAnsi="Arial"/>
        </w:rPr>
        <w:t>Staffordshire should</w:t>
      </w:r>
      <w:r>
        <w:rPr>
          <w:rFonts w:ascii="Arial" w:cs="Arial" w:hAnsi="Arial"/>
        </w:rPr>
        <w:t xml:space="preserve"> track the progress once the changes have been made. </w:t>
      </w:r>
      <w:r>
        <w:rPr>
          <w:rFonts w:ascii="Arial" w:cs="Arial" w:hAnsi="Arial"/>
        </w:rPr>
        <w:t xml:space="preserve">The Internet of Things (IoT) has recently become one of the central spheres of development, </w:t>
      </w:r>
      <w:r>
        <w:rPr>
          <w:rFonts w:ascii="Arial" w:cs="Arial" w:hAnsi="Arial"/>
        </w:rPr>
        <w:t xml:space="preserve">which allows the development of healthcare-monitoring systems </w:t>
      </w:r>
      <w:r>
        <w:rPr>
          <w:rFonts w:ascii="Arial" w:cs="Arial" w:hAnsi="Arial"/>
        </w:rPr>
        <w:t xml:space="preserve">(Abdulmalek </w:t>
      </w:r>
      <w:r>
        <w:rPr>
          <w:rFonts w:ascii="Arial" w:cs="Arial" w:hAnsi="Arial"/>
          <w:i/>
          <w:iCs/>
        </w:rPr>
        <w:t>et al.</w:t>
      </w:r>
      <w:r>
        <w:rPr>
          <w:rFonts w:ascii="Arial" w:cs="Arial" w:hAnsi="Arial"/>
        </w:rPr>
        <w:t>2022)</w:t>
      </w:r>
      <w:r>
        <w:rPr>
          <w:rFonts w:ascii="Arial" w:cs="Arial" w:hAnsi="Arial"/>
        </w:rPr>
        <w:t xml:space="preserve">. The performance against the national benchmarks will be used to determine whether the improvements are working out. Surveys and reviews should be conducted regularly and help reveal areas that are yet to be addressed and maintain transparency. </w:t>
      </w:r>
    </w:p>
    <w:p>
      <w:pPr>
        <w:pStyle w:val="style0"/>
        <w:rPr>
          <w:rFonts w:ascii="Arial" w:cs="Arial" w:hAnsi="Arial"/>
        </w:rPr>
      </w:pPr>
      <w:r>
        <w:rPr>
          <w:rFonts w:ascii="Arial" w:cs="Arial" w:hAnsi="Arial"/>
          <w:b/>
          <w:bCs/>
          <w:i/>
          <w:iCs/>
        </w:rPr>
        <w:t>Act:</w:t>
      </w:r>
      <w:r>
        <w:rPr>
          <w:rFonts w:ascii="Arial" w:cs="Arial" w:hAnsi="Arial"/>
        </w:rPr>
        <w:t xml:space="preserve"> According to the findings, the </w:t>
      </w:r>
      <w:r>
        <w:rPr>
          <w:rFonts w:ascii="Arial" w:cs="Arial" w:hAnsi="Arial"/>
        </w:rPr>
        <w:t xml:space="preserve">Mid </w:t>
      </w:r>
      <w:r>
        <w:rPr>
          <w:rFonts w:ascii="Arial" w:cs="Arial" w:hAnsi="Arial"/>
        </w:rPr>
        <w:t>Staffordshire</w:t>
      </w:r>
      <w:r>
        <w:rPr>
          <w:rFonts w:ascii="Arial" w:cs="Arial" w:hAnsi="Arial"/>
        </w:rPr>
        <w:t xml:space="preserve"> to optimise its strategies. In case some of these objectives are not achieved, additional steps are to be taken. Good practices ought to be standardised in departments. </w:t>
      </w:r>
      <w:r>
        <w:rPr>
          <w:rFonts w:ascii="Arial" w:cs="Arial" w:hAnsi="Arial"/>
        </w:rPr>
        <w:t xml:space="preserve">Improvement and learning capabilities also play a significant role in ensuring high-quality care </w:t>
      </w:r>
      <w:r>
        <w:rPr>
          <w:rFonts w:ascii="Arial" w:cs="Arial" w:hAnsi="Arial"/>
        </w:rPr>
        <w:t xml:space="preserve">(de Kok </w:t>
      </w:r>
      <w:r>
        <w:rPr>
          <w:rFonts w:ascii="Arial" w:cs="Arial" w:hAnsi="Arial"/>
          <w:i/>
          <w:iCs/>
        </w:rPr>
        <w:t>et al.</w:t>
      </w:r>
      <w:r>
        <w:rPr>
          <w:rFonts w:ascii="Arial" w:cs="Arial" w:hAnsi="Arial"/>
        </w:rPr>
        <w:t>2023</w:t>
      </w:r>
      <w:r>
        <w:rPr>
          <w:rFonts w:ascii="Arial" w:cs="Arial" w:hAnsi="Arial"/>
          <w:color w:val="ee0000"/>
        </w:rPr>
        <w:t>)</w:t>
      </w:r>
      <w:r>
        <w:rPr>
          <w:rFonts w:ascii="Arial" w:cs="Arial" w:hAnsi="Arial"/>
          <w:color w:val="ee0000"/>
        </w:rPr>
        <w:t xml:space="preserve">. </w:t>
      </w:r>
      <w:r>
        <w:rPr>
          <w:rFonts w:ascii="Arial" w:cs="Arial" w:hAnsi="Arial"/>
        </w:rPr>
        <w:t xml:space="preserve">The lessons learned must be shared to avoid failure in the future. </w:t>
      </w:r>
    </w:p>
    <w:bookmarkStart w:id="11" w:name="_Toc214964388"/>
    <w:p>
      <w:pPr>
        <w:pStyle w:val="style1"/>
        <w:rPr>
          <w:rFonts w:ascii="Arial" w:cs="Arial" w:hAnsi="Arial"/>
        </w:rPr>
      </w:pPr>
      <w:r>
        <w:rPr>
          <w:rFonts w:ascii="Arial" w:cs="Arial" w:hAnsi="Arial"/>
        </w:rPr>
        <w:t>4. Conclusion</w:t>
      </w:r>
      <w:bookmarkEnd w:id="11"/>
    </w:p>
    <w:p>
      <w:pPr>
        <w:pStyle w:val="style0"/>
        <w:rPr>
          <w:rFonts w:ascii="Arial" w:cs="Arial" w:hAnsi="Arial"/>
        </w:rPr>
      </w:pPr>
      <w:r>
        <w:rPr>
          <w:rFonts w:ascii="Arial" w:cs="Arial" w:hAnsi="Arial"/>
        </w:rPr>
        <w:t xml:space="preserve">The </w:t>
      </w:r>
      <w:r>
        <w:rPr>
          <w:rFonts w:ascii="Arial" w:cs="Arial" w:hAnsi="Arial"/>
        </w:rPr>
        <w:t xml:space="preserve">Mid Staffordshire NHS Foundation Trust case has shown one of the most severe failures of patient safety and quality of healthcare in the UK. A systems-based safety approach of systemic failures was analysed in this report that relied on models, including the Fishbone Diagram, Donabedian Framework, and the 8-Step Change Model by Kotter. The results </w:t>
      </w:r>
      <w:r>
        <w:rPr>
          <w:rFonts w:ascii="Arial" w:cs="Arial" w:hAnsi="Arial"/>
        </w:rPr>
        <w:t>show</w:t>
      </w:r>
      <w:r>
        <w:rPr>
          <w:rFonts w:ascii="Arial" w:cs="Arial" w:hAnsi="Arial"/>
        </w:rPr>
        <w:t xml:space="preserve"> that the </w:t>
      </w:r>
      <w:r>
        <w:rPr>
          <w:rFonts w:ascii="Arial" w:cs="Arial" w:hAnsi="Arial"/>
        </w:rPr>
        <w:t>issue</w:t>
      </w:r>
      <w:r>
        <w:rPr>
          <w:rFonts w:ascii="Arial" w:cs="Arial" w:hAnsi="Arial"/>
        </w:rPr>
        <w:t xml:space="preserve"> was not </w:t>
      </w:r>
      <w:r>
        <w:rPr>
          <w:rFonts w:ascii="Arial" w:cs="Arial" w:hAnsi="Arial"/>
        </w:rPr>
        <w:t>carried</w:t>
      </w:r>
      <w:r>
        <w:rPr>
          <w:rFonts w:ascii="Arial" w:cs="Arial" w:hAnsi="Arial"/>
        </w:rPr>
        <w:t xml:space="preserve"> by a single </w:t>
      </w:r>
      <w:r>
        <w:rPr>
          <w:rFonts w:ascii="Arial" w:cs="Arial" w:hAnsi="Arial"/>
        </w:rPr>
        <w:t>fault</w:t>
      </w:r>
      <w:r>
        <w:rPr>
          <w:rFonts w:ascii="Arial" w:cs="Arial" w:hAnsi="Arial"/>
        </w:rPr>
        <w:t xml:space="preserve"> but by the </w:t>
      </w:r>
      <w:r>
        <w:rPr>
          <w:rFonts w:ascii="Arial" w:cs="Arial" w:hAnsi="Arial"/>
        </w:rPr>
        <w:t>numerous</w:t>
      </w:r>
      <w:r>
        <w:rPr>
          <w:rFonts w:ascii="Arial" w:cs="Arial" w:hAnsi="Arial"/>
        </w:rPr>
        <w:t xml:space="preserve"> </w:t>
      </w:r>
      <w:r>
        <w:rPr>
          <w:rFonts w:ascii="Arial" w:cs="Arial" w:hAnsi="Arial"/>
        </w:rPr>
        <w:t>disorganisations</w:t>
      </w:r>
      <w:r>
        <w:rPr>
          <w:rFonts w:ascii="Arial" w:cs="Arial" w:hAnsi="Arial"/>
        </w:rPr>
        <w:t xml:space="preserve"> in the leadership, staffing, governance, communication, and regulatory control. The root cause </w:t>
      </w:r>
      <w:r>
        <w:rPr>
          <w:rFonts w:ascii="Arial" w:cs="Arial" w:hAnsi="Arial"/>
        </w:rPr>
        <w:t>examination</w:t>
      </w:r>
      <w:r>
        <w:rPr>
          <w:rFonts w:ascii="Arial" w:cs="Arial" w:hAnsi="Arial"/>
        </w:rPr>
        <w:t xml:space="preserve"> has </w:t>
      </w:r>
      <w:r>
        <w:rPr>
          <w:rFonts w:ascii="Arial" w:cs="Arial" w:hAnsi="Arial"/>
        </w:rPr>
        <w:t>recognised</w:t>
      </w:r>
      <w:r>
        <w:rPr>
          <w:rFonts w:ascii="Arial" w:cs="Arial" w:hAnsi="Arial"/>
        </w:rPr>
        <w:t xml:space="preserve"> the lack of board-level accountability, unsafe nurse-to-patient ratios, poor </w:t>
      </w:r>
      <w:r>
        <w:rPr>
          <w:rFonts w:ascii="Arial" w:cs="Arial" w:hAnsi="Arial"/>
        </w:rPr>
        <w:t>medical</w:t>
      </w:r>
      <w:r>
        <w:rPr>
          <w:rFonts w:ascii="Arial" w:cs="Arial" w:hAnsi="Arial"/>
        </w:rPr>
        <w:t xml:space="preserve"> audits, and a fear culture that </w:t>
      </w:r>
      <w:r>
        <w:rPr>
          <w:rFonts w:ascii="Arial" w:cs="Arial" w:hAnsi="Arial"/>
        </w:rPr>
        <w:t>discouraged</w:t>
      </w:r>
      <w:r>
        <w:rPr>
          <w:rFonts w:ascii="Arial" w:cs="Arial" w:hAnsi="Arial"/>
        </w:rPr>
        <w:t xml:space="preserve"> the staff from reporting </w:t>
      </w:r>
      <w:r>
        <w:rPr>
          <w:rFonts w:ascii="Arial" w:cs="Arial" w:hAnsi="Arial"/>
        </w:rPr>
        <w:t>worries</w:t>
      </w:r>
      <w:r>
        <w:rPr>
          <w:rFonts w:ascii="Arial" w:cs="Arial" w:hAnsi="Arial"/>
        </w:rPr>
        <w:t xml:space="preserve">. The Donabedian Model </w:t>
      </w:r>
      <w:r>
        <w:rPr>
          <w:rFonts w:ascii="Arial" w:cs="Arial" w:hAnsi="Arial"/>
        </w:rPr>
        <w:t>established</w:t>
      </w:r>
      <w:r>
        <w:rPr>
          <w:rFonts w:ascii="Arial" w:cs="Arial" w:hAnsi="Arial"/>
        </w:rPr>
        <w:t xml:space="preserve"> that structural, </w:t>
      </w:r>
      <w:r>
        <w:rPr>
          <w:rFonts w:ascii="Arial" w:cs="Arial" w:hAnsi="Arial"/>
        </w:rPr>
        <w:t>unsuccessful</w:t>
      </w:r>
      <w:r>
        <w:rPr>
          <w:rFonts w:ascii="Arial" w:cs="Arial" w:hAnsi="Arial"/>
        </w:rPr>
        <w:t xml:space="preserve"> care processes and outcomes were </w:t>
      </w:r>
      <w:r>
        <w:rPr>
          <w:rFonts w:ascii="Arial" w:cs="Arial" w:hAnsi="Arial"/>
        </w:rPr>
        <w:t>linked</w:t>
      </w:r>
      <w:r>
        <w:rPr>
          <w:rFonts w:ascii="Arial" w:cs="Arial" w:hAnsi="Arial"/>
        </w:rPr>
        <w:t xml:space="preserve">. The SWOT analysis </w:t>
      </w:r>
      <w:r>
        <w:rPr>
          <w:rFonts w:ascii="Arial" w:cs="Arial" w:hAnsi="Arial"/>
        </w:rPr>
        <w:t>highlighted</w:t>
      </w:r>
      <w:r>
        <w:rPr>
          <w:rFonts w:ascii="Arial" w:cs="Arial" w:hAnsi="Arial"/>
        </w:rPr>
        <w:t xml:space="preserve"> that </w:t>
      </w:r>
      <w:r>
        <w:rPr>
          <w:rFonts w:ascii="Arial" w:cs="Arial" w:hAnsi="Arial"/>
        </w:rPr>
        <w:t>there were some strengths and opportunities, but they are not as strong as the weaknesses and threats</w:t>
      </w:r>
      <w:r>
        <w:rPr>
          <w:rFonts w:ascii="Arial" w:cs="Arial" w:hAnsi="Arial"/>
        </w:rPr>
        <w:t xml:space="preserve">. </w:t>
      </w:r>
      <w:r>
        <w:rPr>
          <w:rFonts w:ascii="Arial" w:cs="Arial" w:hAnsi="Arial"/>
        </w:rPr>
        <w:t>Implement strategic leadership, promote open communication, and remove the culture of fear are some recommendations</w:t>
      </w:r>
      <w:r>
        <w:rPr>
          <w:rFonts w:ascii="Arial" w:cs="Arial" w:hAnsi="Arial"/>
        </w:rPr>
        <w:t>.</w:t>
      </w:r>
      <w:r>
        <w:rPr>
          <w:rFonts w:ascii="Arial" w:cs="Arial" w:hAnsi="Arial"/>
          <w:color w:val="ff0000"/>
        </w:rPr>
        <w:t xml:space="preserve"> </w:t>
      </w:r>
      <w:r>
        <w:rPr>
          <w:rFonts w:ascii="Arial" w:cs="Arial" w:hAnsi="Arial"/>
        </w:rPr>
        <w:t xml:space="preserve">The PDCA cycle supported these to ensure that continuous improvement was made. The implementation of the </w:t>
      </w:r>
      <w:r>
        <w:rPr>
          <w:rFonts w:ascii="Arial" w:cs="Arial" w:hAnsi="Arial"/>
        </w:rPr>
        <w:t>Kotter</w:t>
      </w:r>
      <w:r>
        <w:rPr>
          <w:rFonts w:ascii="Arial" w:cs="Arial" w:hAnsi="Arial"/>
        </w:rPr>
        <w:t xml:space="preserve"> change model offered an effective way of cultural change and safe practice sustainability. To sum up, the case of Mid Staffordshire shows that the systems-based approach to healthcare safety is critical. It demonstrates that quality improvement should be enhanced with the help of effective leadership, open communication, and a supportive learning and accountability culture. </w:t>
      </w:r>
    </w:p>
    <w:p>
      <w:pPr>
        <w:pStyle w:val="style0"/>
        <w:jc w:val="left"/>
        <w:rPr>
          <w:rFonts w:ascii="Arial" w:cs="Arial" w:hAnsi="Arial"/>
          <w:b/>
          <w:bCs/>
          <w:sz w:val="28"/>
          <w:szCs w:val="28"/>
        </w:rPr>
      </w:pPr>
      <w:r>
        <w:rPr>
          <w:rFonts w:ascii="Arial" w:cs="Arial" w:hAnsi="Arial"/>
        </w:rPr>
        <w:br w:type="page"/>
      </w:r>
    </w:p>
    <w:bookmarkStart w:id="12" w:name="_Toc214964389"/>
    <w:p>
      <w:pPr>
        <w:pStyle w:val="style1"/>
        <w:rPr>
          <w:rFonts w:ascii="Arial" w:cs="Arial" w:hAnsi="Arial"/>
        </w:rPr>
      </w:pPr>
      <w:r>
        <w:rPr>
          <w:rFonts w:ascii="Arial" w:cs="Arial" w:hAnsi="Arial"/>
        </w:rPr>
        <w:t>Reference List</w:t>
      </w:r>
      <w:bookmarkEnd w:id="12"/>
    </w:p>
    <w:p>
      <w:pPr>
        <w:pStyle w:val="style0"/>
        <w:rPr>
          <w:rFonts w:ascii="Arial" w:cs="Arial" w:hAnsi="Arial"/>
        </w:rPr>
      </w:pPr>
      <w:r>
        <w:rPr>
          <w:rFonts w:ascii="Arial" w:cs="Arial" w:hAnsi="Arial"/>
        </w:rPr>
        <w:t xml:space="preserve">Abdulmalek, S., Nasir, A., Jabbar, W.A., </w:t>
      </w:r>
      <w:r>
        <w:rPr>
          <w:rFonts w:ascii="Arial" w:cs="Arial" w:hAnsi="Arial"/>
        </w:rPr>
        <w:t>Almuhaya</w:t>
      </w:r>
      <w:r>
        <w:rPr>
          <w:rFonts w:ascii="Arial" w:cs="Arial" w:hAnsi="Arial"/>
        </w:rPr>
        <w:t>, M.A., Bairagi, A.K., Khan, M.A.M. and Kee, S.H. (2022, October). IoT-based healthcare-monitoring system towards improving quality of life: A review. In </w:t>
      </w:r>
      <w:r>
        <w:rPr>
          <w:rFonts w:ascii="Arial" w:cs="Arial" w:hAnsi="Arial"/>
          <w:i/>
          <w:iCs/>
        </w:rPr>
        <w:t>Healthcare</w:t>
      </w:r>
      <w:r>
        <w:rPr>
          <w:rFonts w:ascii="Arial" w:cs="Arial" w:hAnsi="Arial"/>
        </w:rPr>
        <w:t xml:space="preserve"> (Vol. 10, No. 10, p. 1993). MDPI. </w:t>
      </w:r>
      <w:r>
        <w:rPr/>
        <w:fldChar w:fldCharType="begin"/>
      </w:r>
      <w:r>
        <w:instrText xml:space="preserve"> HYPERLINK "https://doi.org/10.3390/healthcare10101993" </w:instrText>
      </w:r>
      <w:r>
        <w:rPr/>
        <w:fldChar w:fldCharType="separate"/>
      </w:r>
      <w:r>
        <w:rPr>
          <w:rStyle w:val="style85"/>
          <w:rFonts w:ascii="Arial" w:cs="Arial" w:hAnsi="Arial"/>
        </w:rPr>
        <w:t>https://doi.org/10.3390/healthcare10101993</w:t>
      </w:r>
      <w:r>
        <w:rPr/>
        <w:fldChar w:fldCharType="end"/>
      </w:r>
    </w:p>
    <w:bookmarkStart w:id="13" w:name="_Hlk213694280"/>
    <w:p>
      <w:pPr>
        <w:pStyle w:val="style0"/>
        <w:rPr>
          <w:rFonts w:ascii="Arial" w:cs="Arial" w:hAnsi="Arial"/>
        </w:rPr>
      </w:pPr>
      <w:r>
        <w:rPr>
          <w:rFonts w:ascii="Arial" w:cs="Arial" w:hAnsi="Arial"/>
        </w:rPr>
        <w:t>Benjamin, C. and Chung, D. (2022</w:t>
      </w:r>
      <w:bookmarkEnd w:id="13"/>
      <w:r>
        <w:rPr>
          <w:rFonts w:ascii="Arial" w:cs="Arial" w:hAnsi="Arial"/>
        </w:rPr>
        <w:t>). Leadership practices and behaviours that enable and inhibit a continuous improvement culture in an NHS trust. </w:t>
      </w:r>
      <w:r>
        <w:rPr>
          <w:rFonts w:ascii="Arial" w:cs="Arial" w:hAnsi="Arial"/>
          <w:i/>
          <w:iCs/>
        </w:rPr>
        <w:t>BMJ leader</w:t>
      </w:r>
      <w:r>
        <w:rPr>
          <w:rFonts w:ascii="Arial" w:cs="Arial" w:hAnsi="Arial"/>
        </w:rPr>
        <w:t>, </w:t>
      </w:r>
      <w:r>
        <w:rPr>
          <w:rFonts w:ascii="Arial" w:cs="Arial" w:hAnsi="Arial"/>
          <w:i/>
          <w:iCs/>
        </w:rPr>
        <w:t>7</w:t>
      </w:r>
      <w:r>
        <w:rPr>
          <w:rFonts w:ascii="Arial" w:cs="Arial" w:hAnsi="Arial"/>
        </w:rPr>
        <w:t xml:space="preserve">(2), pp.117-121. </w:t>
      </w:r>
      <w:r>
        <w:rPr>
          <w:rFonts w:ascii="Arial" w:cs="Arial" w:hAnsi="Arial"/>
        </w:rPr>
        <w:t>doi</w:t>
      </w:r>
      <w:r>
        <w:rPr>
          <w:rFonts w:ascii="Arial" w:cs="Arial" w:hAnsi="Arial"/>
        </w:rPr>
        <w:t xml:space="preserve">: 10.1136/leader-2022-000624  </w:t>
      </w:r>
    </w:p>
    <w:bookmarkStart w:id="14" w:name="_Hlk213678384"/>
    <w:p>
      <w:pPr>
        <w:pStyle w:val="style0"/>
        <w:rPr>
          <w:rFonts w:ascii="Arial" w:cs="Arial" w:hAnsi="Arial"/>
        </w:rPr>
      </w:pPr>
      <w:r>
        <w:rPr>
          <w:rFonts w:ascii="Arial" w:cs="Arial" w:hAnsi="Arial"/>
        </w:rPr>
        <w:t>Benzaghta</w:t>
      </w:r>
      <w:r>
        <w:rPr>
          <w:rFonts w:ascii="Arial" w:cs="Arial" w:hAnsi="Arial"/>
        </w:rPr>
        <w:t>, M.A., Elwalda, A., Mousa, M.M., Erkan, I. and Rahman, M. (2021</w:t>
      </w:r>
      <w:bookmarkEnd w:id="14"/>
      <w:r>
        <w:rPr>
          <w:rFonts w:ascii="Arial" w:cs="Arial" w:hAnsi="Arial"/>
        </w:rPr>
        <w:t>). SWOT analysis applications: An integrative literature review. </w:t>
      </w:r>
      <w:r>
        <w:rPr>
          <w:rFonts w:ascii="Arial" w:cs="Arial" w:hAnsi="Arial"/>
          <w:i/>
          <w:iCs/>
        </w:rPr>
        <w:t>Journal of Global Business Insights</w:t>
      </w:r>
      <w:r>
        <w:rPr>
          <w:rFonts w:ascii="Arial" w:cs="Arial" w:hAnsi="Arial"/>
        </w:rPr>
        <w:t>, </w:t>
      </w:r>
      <w:r>
        <w:rPr>
          <w:rFonts w:ascii="Arial" w:cs="Arial" w:hAnsi="Arial"/>
          <w:i/>
          <w:iCs/>
        </w:rPr>
        <w:t>6</w:t>
      </w:r>
      <w:r>
        <w:rPr>
          <w:rFonts w:ascii="Arial" w:cs="Arial" w:hAnsi="Arial"/>
        </w:rPr>
        <w:t xml:space="preserve">(1), pp.54-72. </w:t>
      </w:r>
      <w:r>
        <w:rPr/>
        <w:fldChar w:fldCharType="begin"/>
      </w:r>
      <w:r>
        <w:instrText xml:space="preserve"> HYPERLINK "https://www.doi.org/10.5038/2640-6489.6.1.1148" </w:instrText>
      </w:r>
      <w:r>
        <w:rPr/>
        <w:fldChar w:fldCharType="separate"/>
      </w:r>
      <w:r>
        <w:rPr>
          <w:rStyle w:val="style85"/>
          <w:rFonts w:ascii="Arial" w:cs="Arial" w:hAnsi="Arial"/>
        </w:rPr>
        <w:t>https://www.doi.org/10.5038/2640-6489.6.1.1148</w:t>
      </w:r>
      <w:r>
        <w:rPr/>
        <w:fldChar w:fldCharType="end"/>
      </w:r>
    </w:p>
    <w:p>
      <w:pPr>
        <w:pStyle w:val="style0"/>
        <w:rPr>
          <w:rFonts w:ascii="Arial" w:cs="Arial" w:hAnsi="Arial"/>
        </w:rPr>
      </w:pPr>
      <w:r>
        <w:rPr>
          <w:rFonts w:ascii="Arial" w:cs="Arial" w:hAnsi="Arial"/>
        </w:rPr>
        <w:t xml:space="preserve">Corcorran, M.A., Thornton, K., </w:t>
      </w:r>
      <w:r>
        <w:rPr>
          <w:rFonts w:ascii="Arial" w:cs="Arial" w:hAnsi="Arial"/>
        </w:rPr>
        <w:t>Struminger</w:t>
      </w:r>
      <w:r>
        <w:rPr>
          <w:rFonts w:ascii="Arial" w:cs="Arial" w:hAnsi="Arial"/>
        </w:rPr>
        <w:t xml:space="preserve">, B., Easterbrook, P. and Scott, J.D. (2023). Training the healthcare workforce: the global experience with </w:t>
      </w:r>
      <w:r>
        <w:rPr>
          <w:rFonts w:ascii="Arial" w:cs="Arial" w:hAnsi="Arial"/>
        </w:rPr>
        <w:t>telementorship</w:t>
      </w:r>
      <w:r>
        <w:rPr>
          <w:rFonts w:ascii="Arial" w:cs="Arial" w:hAnsi="Arial"/>
        </w:rPr>
        <w:t xml:space="preserve"> for hepatitis B and hepatitis C. </w:t>
      </w:r>
      <w:r>
        <w:rPr>
          <w:rFonts w:ascii="Arial" w:cs="Arial" w:hAnsi="Arial"/>
          <w:i/>
          <w:iCs/>
        </w:rPr>
        <w:t>BMC Health Services Research</w:t>
      </w:r>
      <w:r>
        <w:rPr>
          <w:rFonts w:ascii="Arial" w:cs="Arial" w:hAnsi="Arial"/>
        </w:rPr>
        <w:t>, </w:t>
      </w:r>
      <w:r>
        <w:rPr>
          <w:rFonts w:ascii="Arial" w:cs="Arial" w:hAnsi="Arial"/>
          <w:i/>
          <w:iCs/>
        </w:rPr>
        <w:t>23</w:t>
      </w:r>
      <w:r>
        <w:rPr>
          <w:rFonts w:ascii="Arial" w:cs="Arial" w:hAnsi="Arial"/>
        </w:rPr>
        <w:t xml:space="preserve">(1), p.824. </w:t>
      </w:r>
      <w:r>
        <w:rPr/>
        <w:fldChar w:fldCharType="begin"/>
      </w:r>
      <w:r>
        <w:instrText xml:space="preserve"> HYPERLINK "https://doi.org/10.1186/s12913-023-09849-y" </w:instrText>
      </w:r>
      <w:r>
        <w:rPr/>
        <w:fldChar w:fldCharType="separate"/>
      </w:r>
      <w:r>
        <w:rPr>
          <w:rStyle w:val="style85"/>
          <w:rFonts w:ascii="Arial" w:cs="Arial" w:hAnsi="Arial"/>
        </w:rPr>
        <w:t>https://doi.org/10.1186/s12913-023-09849-y</w:t>
      </w:r>
      <w:r>
        <w:rPr/>
        <w:fldChar w:fldCharType="end"/>
      </w:r>
      <w:r>
        <w:rPr/>
        <w:fldChar w:fldCharType="begin"/>
      </w:r>
      <w:r>
        <w:instrText xml:space="preserve"> HYPERLINK "https://doi.org/10.1186/s12913-023-09849-y" </w:instrText>
      </w:r>
      <w:r>
        <w:rPr/>
        <w:fldChar w:fldCharType="separate"/>
      </w:r>
      <w:r>
        <w:rPr>
          <w:rStyle w:val="style85"/>
          <w:rFonts w:ascii="Arial" w:cs="Arial" w:hAnsi="Arial"/>
        </w:rPr>
        <w:t>https://doi.org/10.1186/s12913-023-09849-y</w:t>
      </w:r>
      <w:r>
        <w:rPr/>
        <w:fldChar w:fldCharType="end"/>
      </w:r>
    </w:p>
    <w:p>
      <w:pPr>
        <w:pStyle w:val="style0"/>
        <w:rPr>
          <w:rFonts w:ascii="Arial" w:cs="Arial" w:hAnsi="Arial"/>
        </w:rPr>
      </w:pPr>
      <w:r>
        <w:rPr>
          <w:rFonts w:ascii="Arial" w:cs="Arial" w:hAnsi="Arial"/>
        </w:rPr>
        <w:t xml:space="preserve">CPOC (2023). </w:t>
      </w:r>
      <w:r>
        <w:rPr>
          <w:rFonts w:ascii="Arial" w:cs="Arial" w:hAnsi="Arial"/>
          <w:i/>
          <w:iCs/>
        </w:rPr>
        <w:t>National Safety Standards for Invasive Procedures (</w:t>
      </w:r>
      <w:r>
        <w:rPr>
          <w:rFonts w:ascii="Arial" w:cs="Arial" w:hAnsi="Arial"/>
          <w:i/>
          <w:iCs/>
        </w:rPr>
        <w:t>NatSSIPs</w:t>
      </w:r>
      <w:r>
        <w:rPr>
          <w:rFonts w:ascii="Arial" w:cs="Arial" w:hAnsi="Arial"/>
          <w:i/>
          <w:iCs/>
        </w:rPr>
        <w:t xml:space="preserve"> 2)</w:t>
      </w:r>
      <w:r>
        <w:rPr>
          <w:rFonts w:ascii="Arial" w:cs="Arial" w:hAnsi="Arial"/>
        </w:rPr>
        <w:t xml:space="preserve">. [online] Available at:  </w:t>
      </w:r>
      <w:r>
        <w:rPr/>
        <w:fldChar w:fldCharType="begin"/>
      </w:r>
      <w:r>
        <w:instrText xml:space="preserve"> HYPERLINK "https://cpoc.org.uk/sites/cpoc/files/documents/2023-02/1.%20CPOC_NatSSIPs_FullVersion_2023_0.pdf" </w:instrText>
      </w:r>
      <w:r>
        <w:rPr/>
        <w:fldChar w:fldCharType="separate"/>
      </w:r>
      <w:r>
        <w:rPr>
          <w:rStyle w:val="style85"/>
          <w:rFonts w:ascii="Arial" w:cs="Arial" w:hAnsi="Arial"/>
        </w:rPr>
        <w:t>https://cpoc.org.uk/sites/cpoc/files/documents/2023-02/1.%20CPOC_NatSSIPs_FullVersion_2023_0.pdf</w:t>
      </w:r>
      <w:r>
        <w:rPr/>
        <w:fldChar w:fldCharType="end"/>
      </w:r>
      <w:r>
        <w:rPr>
          <w:rFonts w:ascii="Arial" w:cs="Arial" w:hAnsi="Arial"/>
        </w:rPr>
        <w:t xml:space="preserve"> [Accessed 10 Nov. 2025].</w:t>
      </w:r>
    </w:p>
    <w:p>
      <w:pPr>
        <w:pStyle w:val="style0"/>
        <w:rPr>
          <w:rFonts w:ascii="Arial" w:cs="Arial" w:hAnsi="Arial"/>
        </w:rPr>
      </w:pPr>
      <w:r>
        <w:rPr>
          <w:rFonts w:ascii="Arial" w:cs="Arial" w:hAnsi="Arial"/>
        </w:rPr>
        <w:t xml:space="preserve">de Kok, K., van der Scheer, W., </w:t>
      </w:r>
      <w:r>
        <w:rPr>
          <w:rFonts w:ascii="Arial" w:cs="Arial" w:hAnsi="Arial"/>
        </w:rPr>
        <w:t>Ketelaars</w:t>
      </w:r>
      <w:r>
        <w:rPr>
          <w:rFonts w:ascii="Arial" w:cs="Arial" w:hAnsi="Arial"/>
        </w:rPr>
        <w:t>, C. and Leistikow, I. (2023). Organizational attributes that contribute to the learning &amp; improvement capabilities of healthcare organizations: a scoping review. </w:t>
      </w:r>
      <w:r>
        <w:rPr>
          <w:rFonts w:ascii="Arial" w:cs="Arial" w:hAnsi="Arial"/>
          <w:i/>
          <w:iCs/>
        </w:rPr>
        <w:t>BMC Health Services Research</w:t>
      </w:r>
      <w:r>
        <w:rPr>
          <w:rFonts w:ascii="Arial" w:cs="Arial" w:hAnsi="Arial"/>
        </w:rPr>
        <w:t>, </w:t>
      </w:r>
      <w:r>
        <w:rPr>
          <w:rFonts w:ascii="Arial" w:cs="Arial" w:hAnsi="Arial"/>
          <w:i/>
          <w:iCs/>
        </w:rPr>
        <w:t>23</w:t>
      </w:r>
      <w:r>
        <w:rPr>
          <w:rFonts w:ascii="Arial" w:cs="Arial" w:hAnsi="Arial"/>
        </w:rPr>
        <w:t xml:space="preserve">(1), p.585. </w:t>
      </w:r>
      <w:r>
        <w:rPr/>
        <w:fldChar w:fldCharType="begin"/>
      </w:r>
      <w:r>
        <w:instrText xml:space="preserve"> HYPERLINK "https://doi.org/10.1186/s12913-023-09562-w" </w:instrText>
      </w:r>
      <w:r>
        <w:rPr/>
        <w:fldChar w:fldCharType="separate"/>
      </w:r>
      <w:r>
        <w:rPr>
          <w:rStyle w:val="style85"/>
          <w:rFonts w:ascii="Arial" w:cs="Arial" w:hAnsi="Arial"/>
        </w:rPr>
        <w:t>https://doi.org/10.1186/s12913-023-09562-w</w:t>
      </w:r>
      <w:r>
        <w:rPr/>
        <w:fldChar w:fldCharType="end"/>
      </w:r>
    </w:p>
    <w:bookmarkStart w:id="15" w:name="_Hlk213691713"/>
    <w:p>
      <w:pPr>
        <w:pStyle w:val="style0"/>
        <w:rPr>
          <w:rFonts w:ascii="Arial" w:cs="Arial" w:hAnsi="Arial"/>
        </w:rPr>
      </w:pPr>
      <w:r>
        <w:rPr>
          <w:rFonts w:ascii="Arial" w:cs="Arial" w:hAnsi="Arial"/>
        </w:rPr>
        <w:t>Dixon-Woods, M. (2024</w:t>
      </w:r>
      <w:bookmarkEnd w:id="15"/>
      <w:r>
        <w:rPr>
          <w:rFonts w:ascii="Arial" w:cs="Arial" w:hAnsi="Arial"/>
        </w:rPr>
        <w:t>). Report to the Thirlwall Inquiry: addressing Part C of the Terms of Reference. </w:t>
      </w:r>
      <w:r>
        <w:rPr>
          <w:rFonts w:ascii="Arial" w:cs="Arial" w:hAnsi="Arial"/>
          <w:i/>
          <w:iCs/>
        </w:rPr>
        <w:t>Expert report)</w:t>
      </w:r>
      <w:r>
        <w:rPr>
          <w:rFonts w:ascii="Arial" w:cs="Arial" w:hAnsi="Arial"/>
        </w:rPr>
        <w:t>, </w:t>
      </w:r>
      <w:r>
        <w:rPr>
          <w:rFonts w:ascii="Arial" w:cs="Arial" w:hAnsi="Arial"/>
          <w:i/>
          <w:iCs/>
        </w:rPr>
        <w:t>28</w:t>
      </w:r>
      <w:r>
        <w:rPr>
          <w:rFonts w:ascii="Arial" w:cs="Arial" w:hAnsi="Arial"/>
        </w:rPr>
        <w:t xml:space="preserve">. </w:t>
      </w:r>
      <w:r>
        <w:rPr/>
        <w:fldChar w:fldCharType="begin"/>
      </w:r>
      <w:r>
        <w:instrText xml:space="preserve"> HYPERLINK "https://thirlwall.public-inquiry.uk/wp-content/uploads/thirlwall-evidence/INQ0102624%20-%20Expert%20Report%20of%20Mary%20Dixon-Woods.pdf" </w:instrText>
      </w:r>
      <w:r>
        <w:rPr/>
        <w:fldChar w:fldCharType="separate"/>
      </w:r>
      <w:r>
        <w:rPr>
          <w:rStyle w:val="style85"/>
          <w:rFonts w:ascii="Arial" w:cs="Arial" w:hAnsi="Arial"/>
        </w:rPr>
        <w:t>https://thirlwall.public-inquiry.uk/wp-content/uploads/thirlwall-evidence/INQ0102624%20-%20Expert%20Report%20of%20Mary%20Dixon-Woods.pdf</w:t>
      </w:r>
      <w:r>
        <w:rPr/>
        <w:fldChar w:fldCharType="end"/>
      </w:r>
    </w:p>
    <w:bookmarkStart w:id="16" w:name="_Hlk213693430"/>
    <w:p>
      <w:pPr>
        <w:pStyle w:val="style0"/>
        <w:rPr>
          <w:rFonts w:ascii="Arial" w:cs="Arial" w:hAnsi="Arial"/>
        </w:rPr>
      </w:pPr>
      <w:r>
        <w:rPr>
          <w:rFonts w:ascii="Arial" w:cs="Arial" w:hAnsi="Arial"/>
        </w:rPr>
        <w:t xml:space="preserve">Effa, E., </w:t>
      </w:r>
      <w:r>
        <w:rPr>
          <w:rFonts w:ascii="Arial" w:cs="Arial" w:hAnsi="Arial"/>
        </w:rPr>
        <w:t>Arikpo</w:t>
      </w:r>
      <w:r>
        <w:rPr>
          <w:rFonts w:ascii="Arial" w:cs="Arial" w:hAnsi="Arial"/>
        </w:rPr>
        <w:t xml:space="preserve">, D., </w:t>
      </w:r>
      <w:r>
        <w:rPr>
          <w:rFonts w:ascii="Arial" w:cs="Arial" w:hAnsi="Arial"/>
        </w:rPr>
        <w:t>Oringanje</w:t>
      </w:r>
      <w:r>
        <w:rPr>
          <w:rFonts w:ascii="Arial" w:cs="Arial" w:hAnsi="Arial"/>
        </w:rPr>
        <w:t xml:space="preserve">, C., Udo, E., </w:t>
      </w:r>
      <w:r>
        <w:rPr>
          <w:rFonts w:ascii="Arial" w:cs="Arial" w:hAnsi="Arial"/>
        </w:rPr>
        <w:t>Esu</w:t>
      </w:r>
      <w:r>
        <w:rPr>
          <w:rFonts w:ascii="Arial" w:cs="Arial" w:hAnsi="Arial"/>
        </w:rPr>
        <w:t xml:space="preserve">, E., Sam, O., Okoroafor, S., Oyo-Ita, A. and </w:t>
      </w:r>
      <w:r>
        <w:rPr>
          <w:rFonts w:ascii="Arial" w:cs="Arial" w:hAnsi="Arial"/>
        </w:rPr>
        <w:t>Meremikwu</w:t>
      </w:r>
      <w:r>
        <w:rPr>
          <w:rFonts w:ascii="Arial" w:cs="Arial" w:hAnsi="Arial"/>
        </w:rPr>
        <w:t>, M. (2021</w:t>
      </w:r>
      <w:bookmarkEnd w:id="16"/>
      <w:r>
        <w:rPr>
          <w:rFonts w:ascii="Arial" w:cs="Arial" w:hAnsi="Arial"/>
        </w:rPr>
        <w:t>). Human resources for health governance and leadership strategies for improving health outcomes in low-and middle-income countries: a narrative review. </w:t>
      </w:r>
      <w:r>
        <w:rPr>
          <w:rFonts w:ascii="Arial" w:cs="Arial" w:hAnsi="Arial"/>
          <w:i/>
          <w:iCs/>
        </w:rPr>
        <w:t>Journal of Public Health</w:t>
      </w:r>
      <w:r>
        <w:rPr>
          <w:rFonts w:ascii="Arial" w:cs="Arial" w:hAnsi="Arial"/>
        </w:rPr>
        <w:t>, </w:t>
      </w:r>
      <w:r>
        <w:rPr>
          <w:rFonts w:ascii="Arial" w:cs="Arial" w:hAnsi="Arial"/>
          <w:i/>
          <w:iCs/>
        </w:rPr>
        <w:t>43</w:t>
      </w:r>
      <w:r>
        <w:rPr>
          <w:rFonts w:ascii="Arial" w:cs="Arial" w:hAnsi="Arial"/>
        </w:rPr>
        <w:t xml:space="preserve">(Supplement_1), </w:t>
      </w:r>
      <w:r>
        <w:rPr>
          <w:rFonts w:ascii="Arial" w:cs="Arial" w:hAnsi="Arial"/>
        </w:rPr>
        <w:t>pp.i</w:t>
      </w:r>
      <w:r>
        <w:rPr>
          <w:rFonts w:ascii="Arial" w:cs="Arial" w:hAnsi="Arial"/>
        </w:rPr>
        <w:t>67-i85. doi:10.1093/</w:t>
      </w:r>
      <w:r>
        <w:rPr>
          <w:rFonts w:ascii="Arial" w:cs="Arial" w:hAnsi="Arial"/>
        </w:rPr>
        <w:t>pubmed</w:t>
      </w:r>
      <w:r>
        <w:rPr>
          <w:rFonts w:ascii="Arial" w:cs="Arial" w:hAnsi="Arial"/>
        </w:rPr>
        <w:t xml:space="preserve">/fdaa264 </w:t>
      </w:r>
    </w:p>
    <w:bookmarkStart w:id="17" w:name="_Hlk213695061"/>
    <w:p>
      <w:pPr>
        <w:pStyle w:val="style0"/>
        <w:rPr>
          <w:rFonts w:ascii="Arial" w:cs="Arial" w:hAnsi="Arial"/>
        </w:rPr>
      </w:pPr>
      <w:r>
        <w:rPr>
          <w:rFonts w:ascii="Arial" w:cs="Arial" w:hAnsi="Arial"/>
        </w:rPr>
        <w:t>Elnardy</w:t>
      </w:r>
      <w:r>
        <w:rPr>
          <w:rFonts w:ascii="Arial" w:cs="Arial" w:hAnsi="Arial"/>
        </w:rPr>
        <w:t>, M.C., Lestari, S.I., Supriyadi, S. and Zaharuddin, Z. (2024</w:t>
      </w:r>
      <w:bookmarkEnd w:id="17"/>
      <w:r>
        <w:rPr>
          <w:rFonts w:ascii="Arial" w:cs="Arial" w:hAnsi="Arial"/>
        </w:rPr>
        <w:t>). The Role of Weekly One-on-One Meetings for Health Workers in Improving Patient Services in Quality Management. </w:t>
      </w:r>
      <w:r>
        <w:rPr>
          <w:rFonts w:ascii="Arial" w:cs="Arial" w:hAnsi="Arial"/>
          <w:i/>
          <w:iCs/>
        </w:rPr>
        <w:t>International Journal of Business, Law, and Education</w:t>
      </w:r>
      <w:r>
        <w:rPr>
          <w:rFonts w:ascii="Arial" w:cs="Arial" w:hAnsi="Arial"/>
        </w:rPr>
        <w:t>, </w:t>
      </w:r>
      <w:r>
        <w:rPr>
          <w:rFonts w:ascii="Arial" w:cs="Arial" w:hAnsi="Arial"/>
          <w:i/>
          <w:iCs/>
        </w:rPr>
        <w:t>5</w:t>
      </w:r>
      <w:r>
        <w:rPr>
          <w:rFonts w:ascii="Arial" w:cs="Arial" w:hAnsi="Arial"/>
        </w:rPr>
        <w:t xml:space="preserve">(2), pp.1671-1677. </w:t>
      </w:r>
      <w:r>
        <w:rPr/>
        <w:fldChar w:fldCharType="begin"/>
      </w:r>
      <w:r>
        <w:instrText xml:space="preserve"> HYPERLINK "https://ijble.com/index.php/journal/article/download/680/647" </w:instrText>
      </w:r>
      <w:r>
        <w:rPr/>
        <w:fldChar w:fldCharType="separate"/>
      </w:r>
      <w:r>
        <w:rPr>
          <w:rStyle w:val="style85"/>
          <w:rFonts w:ascii="Arial" w:cs="Arial" w:hAnsi="Arial"/>
        </w:rPr>
        <w:t>https://ijble.com/index.php/journal/article/download/680/647</w:t>
      </w:r>
      <w:r>
        <w:rPr/>
        <w:fldChar w:fldCharType="end"/>
      </w:r>
    </w:p>
    <w:p>
      <w:pPr>
        <w:pStyle w:val="style0"/>
        <w:rPr>
          <w:rFonts w:ascii="Arial" w:cs="Arial" w:hAnsi="Arial"/>
        </w:rPr>
      </w:pPr>
      <w:r>
        <w:rPr>
          <w:rFonts w:ascii="Arial" w:cs="Arial" w:hAnsi="Arial"/>
        </w:rPr>
        <w:t xml:space="preserve">EMAP (2009). </w:t>
      </w:r>
      <w:r>
        <w:rPr>
          <w:rFonts w:ascii="Arial" w:cs="Arial" w:hAnsi="Arial"/>
          <w:i/>
          <w:iCs/>
        </w:rPr>
        <w:t>Investigation into Mid Staffordshire NHS Foundation Trust</w:t>
      </w:r>
      <w:r>
        <w:rPr>
          <w:rFonts w:ascii="Arial" w:cs="Arial" w:hAnsi="Arial"/>
        </w:rPr>
        <w:t xml:space="preserve">. [online] Available at: </w:t>
      </w:r>
      <w:r>
        <w:rPr/>
        <w:fldChar w:fldCharType="begin"/>
      </w:r>
      <w:r>
        <w:instrText xml:space="preserve"> HYPERLINK "https://cdn.ps.emap.com/wp-content/uploads/sites/3/2009/06/Investigation_into_Mid_Staffordshire_NHS_Foundation_Trust.pdf" </w:instrText>
      </w:r>
      <w:r>
        <w:rPr/>
        <w:fldChar w:fldCharType="separate"/>
      </w:r>
      <w:r>
        <w:rPr>
          <w:rStyle w:val="style85"/>
          <w:rFonts w:ascii="Arial" w:cs="Arial" w:hAnsi="Arial"/>
        </w:rPr>
        <w:t>https://cdn.ps.emap.com/wp-content/uploads/sites/3/2009/06/Investigation_into_Mid_Staffordshire_NHS_Foundation_Trust.pdf</w:t>
      </w:r>
      <w:r>
        <w:rPr/>
        <w:fldChar w:fldCharType="end"/>
      </w:r>
      <w:r>
        <w:rPr>
          <w:rFonts w:ascii="Arial" w:cs="Arial" w:hAnsi="Arial"/>
        </w:rPr>
        <w:t xml:space="preserve"> [Accessed 8 Nov. 2025].</w:t>
      </w:r>
    </w:p>
    <w:p>
      <w:pPr>
        <w:pStyle w:val="style0"/>
        <w:rPr>
          <w:rFonts w:ascii="Arial" w:cs="Arial" w:hAnsi="Arial"/>
          <w:color w:val="ee0000"/>
        </w:rPr>
      </w:pPr>
      <w:r>
        <w:rPr>
          <w:rFonts w:ascii="Arial" w:cs="Arial" w:hAnsi="Arial"/>
          <w:color w:val="ee0000"/>
        </w:rPr>
        <w:t xml:space="preserve">England NHS (2018). </w:t>
      </w:r>
      <w:r>
        <w:rPr>
          <w:rFonts w:ascii="Arial" w:cs="Arial" w:hAnsi="Arial"/>
          <w:i/>
          <w:iCs/>
          <w:color w:val="ee0000"/>
        </w:rPr>
        <w:t>Patient experience improvement framework</w:t>
      </w:r>
      <w:r>
        <w:rPr>
          <w:rFonts w:ascii="Arial" w:cs="Arial" w:hAnsi="Arial"/>
          <w:color w:val="ee0000"/>
        </w:rPr>
        <w:t xml:space="preserve">. [online] Available at: </w:t>
      </w:r>
      <w:r>
        <w:rPr/>
        <w:fldChar w:fldCharType="begin"/>
      </w:r>
      <w:r>
        <w:instrText xml:space="preserve"> HYPERLINK "https://www.england.nhs.uk/wp-content/uploads/2021/04/nhsi-patient-experience-improvement-framework.pdf" </w:instrText>
      </w:r>
      <w:r>
        <w:rPr/>
        <w:fldChar w:fldCharType="separate"/>
      </w:r>
      <w:r>
        <w:rPr>
          <w:rStyle w:val="style85"/>
          <w:rFonts w:ascii="Arial" w:cs="Arial" w:hAnsi="Arial"/>
          <w:color w:val="ee0000"/>
        </w:rPr>
        <w:t>https://www.england.nhs.uk/wp-content/uploads/2021/04/nhsi-patient-experience-improvement-framework.pdf</w:t>
      </w:r>
      <w:r>
        <w:rPr/>
        <w:fldChar w:fldCharType="end"/>
      </w:r>
      <w:r>
        <w:rPr>
          <w:rFonts w:ascii="Arial" w:cs="Arial" w:hAnsi="Arial"/>
          <w:color w:val="ee0000"/>
        </w:rPr>
        <w:t xml:space="preserve"> [Accessed 25 Nov. 2025]. </w:t>
      </w:r>
    </w:p>
    <w:p>
      <w:pPr>
        <w:pStyle w:val="style0"/>
        <w:rPr>
          <w:rFonts w:ascii="Arial" w:cs="Arial" w:hAnsi="Arial"/>
          <w:color w:val="ee0000"/>
        </w:rPr>
      </w:pPr>
      <w:r>
        <w:rPr>
          <w:rFonts w:ascii="Arial" w:cs="Arial" w:hAnsi="Arial"/>
          <w:color w:val="ee0000"/>
        </w:rPr>
        <w:t xml:space="preserve">England NHS (2024). </w:t>
      </w:r>
      <w:r>
        <w:rPr>
          <w:rFonts w:ascii="Arial" w:cs="Arial" w:hAnsi="Arial"/>
          <w:i/>
          <w:iCs/>
          <w:color w:val="ee0000"/>
        </w:rPr>
        <w:t>Principles for assessing and managing risks across integrated care systems</w:t>
      </w:r>
      <w:r>
        <w:rPr>
          <w:rFonts w:ascii="Arial" w:cs="Arial" w:hAnsi="Arial"/>
          <w:color w:val="ee0000"/>
        </w:rPr>
        <w:t xml:space="preserve">. [online] Available at: </w:t>
      </w:r>
      <w:r>
        <w:rPr/>
        <w:fldChar w:fldCharType="begin"/>
      </w:r>
      <w:r>
        <w:instrText xml:space="preserve"> HYPERLINK "https://www.england.nhs.uk/long-read/principles-for-assessing-and-managing-risks-across-integrated-care-systems/" </w:instrText>
      </w:r>
      <w:r>
        <w:rPr/>
        <w:fldChar w:fldCharType="separate"/>
      </w:r>
      <w:r>
        <w:rPr>
          <w:rStyle w:val="style85"/>
          <w:rFonts w:ascii="Arial" w:cs="Arial" w:hAnsi="Arial"/>
          <w:color w:val="ee0000"/>
        </w:rPr>
        <w:t>https://www.england.nhs.uk/long-read/principles-for-assessing-and-managing-risks-across-integrated-care-systems/</w:t>
      </w:r>
      <w:r>
        <w:rPr/>
        <w:fldChar w:fldCharType="end"/>
      </w:r>
      <w:r>
        <w:rPr>
          <w:rFonts w:ascii="Arial" w:cs="Arial" w:hAnsi="Arial"/>
          <w:color w:val="ee0000"/>
        </w:rPr>
        <w:t xml:space="preserve"> [Accessed 25 Nov. 2025]. </w:t>
      </w:r>
    </w:p>
    <w:p>
      <w:pPr>
        <w:pStyle w:val="style0"/>
        <w:rPr>
          <w:rFonts w:ascii="Arial" w:cs="Arial" w:hAnsi="Arial"/>
        </w:rPr>
      </w:pPr>
      <w:r>
        <w:rPr>
          <w:rFonts w:ascii="Arial" w:cs="Arial" w:hAnsi="Arial"/>
        </w:rPr>
        <w:t xml:space="preserve">England NHS (2025a). </w:t>
      </w:r>
      <w:r>
        <w:rPr>
          <w:rFonts w:ascii="Arial" w:cs="Arial" w:hAnsi="Arial"/>
          <w:i/>
          <w:iCs/>
        </w:rPr>
        <w:t>Patient Safety Incident Response Framework</w:t>
      </w:r>
      <w:r>
        <w:rPr>
          <w:rFonts w:ascii="Arial" w:cs="Arial" w:hAnsi="Arial"/>
        </w:rPr>
        <w:t xml:space="preserve">. </w:t>
      </w:r>
      <w:bookmarkStart w:id="18" w:name="_Hlk214963463"/>
      <w:r>
        <w:rPr>
          <w:rFonts w:ascii="Arial" w:cs="Arial" w:hAnsi="Arial"/>
        </w:rPr>
        <w:t xml:space="preserve">[online] Available at: </w:t>
      </w:r>
      <w:bookmarkEnd w:id="18"/>
      <w:r>
        <w:rPr>
          <w:rFonts w:ascii="Arial" w:cs="Arial" w:hAnsi="Arial"/>
        </w:rPr>
        <w:fldChar w:fldCharType="begin"/>
      </w:r>
      <w:r>
        <w:rPr>
          <w:rFonts w:ascii="Arial" w:cs="Arial" w:hAnsi="Arial"/>
        </w:rPr>
        <w:instrText>HYPERLINK "https://www.england.nhs.uk/patient-safety/patient-safety-insight/incident-response-framework/"</w:instrText>
      </w:r>
      <w:r>
        <w:rPr>
          <w:rFonts w:ascii="Arial" w:cs="Arial" w:hAnsi="Arial"/>
        </w:rPr>
        <w:fldChar w:fldCharType="separate"/>
      </w:r>
      <w:r>
        <w:rPr>
          <w:rStyle w:val="style85"/>
          <w:rFonts w:ascii="Arial" w:cs="Arial" w:hAnsi="Arial"/>
        </w:rPr>
        <w:t>https://www.england.nhs.uk/patient-safety/patient-safety-insight/incident-response-framework/</w:t>
      </w:r>
      <w:r>
        <w:rPr>
          <w:rFonts w:ascii="Arial" w:cs="Arial" w:hAnsi="Arial"/>
        </w:rPr>
        <w:fldChar w:fldCharType="end"/>
      </w:r>
      <w:r>
        <w:rPr>
          <w:rFonts w:ascii="Arial" w:cs="Arial" w:hAnsi="Arial"/>
        </w:rPr>
        <w:t xml:space="preserve"> </w:t>
      </w:r>
      <w:bookmarkStart w:id="19" w:name="_Hlk214963474"/>
      <w:r>
        <w:rPr>
          <w:rFonts w:ascii="Arial" w:cs="Arial" w:hAnsi="Arial"/>
        </w:rPr>
        <w:t>[Accessed 10 Nov. 2025].</w:t>
      </w:r>
      <w:bookmarkEnd w:id="19"/>
    </w:p>
    <w:p>
      <w:pPr>
        <w:pStyle w:val="style0"/>
        <w:rPr>
          <w:rFonts w:ascii="Arial" w:cs="Arial" w:hAnsi="Arial"/>
          <w:color w:val="ee0000"/>
        </w:rPr>
      </w:pPr>
      <w:r>
        <w:rPr>
          <w:rFonts w:ascii="Arial" w:cs="Arial" w:hAnsi="Arial"/>
          <w:color w:val="ee0000"/>
        </w:rPr>
        <w:t xml:space="preserve">England NHS (2025b). </w:t>
      </w:r>
      <w:r>
        <w:rPr>
          <w:rFonts w:ascii="Arial" w:cs="Arial" w:hAnsi="Arial"/>
          <w:i/>
          <w:iCs/>
          <w:color w:val="ee0000"/>
        </w:rPr>
        <w:t>The NHS Patient Safety Strategy</w:t>
      </w:r>
      <w:r>
        <w:rPr>
          <w:rFonts w:ascii="Arial" w:cs="Arial" w:hAnsi="Arial"/>
          <w:color w:val="ee0000"/>
        </w:rPr>
        <w:t xml:space="preserve">. [online] Available at:  </w:t>
      </w:r>
      <w:r>
        <w:rPr/>
        <w:fldChar w:fldCharType="begin"/>
      </w:r>
      <w:r>
        <w:instrText xml:space="preserve"> HYPERLINK "https://www.england.nhs.uk/patient-safety/the-nhs-patient-safety-strategy/" </w:instrText>
      </w:r>
      <w:r>
        <w:rPr/>
        <w:fldChar w:fldCharType="separate"/>
      </w:r>
      <w:r>
        <w:rPr>
          <w:rStyle w:val="style85"/>
          <w:rFonts w:ascii="Arial" w:cs="Arial" w:hAnsi="Arial"/>
          <w:color w:val="ee0000"/>
        </w:rPr>
        <w:t>https://www.england.nhs.uk/patient-safety/the-nhs-patient-safety-strategy/</w:t>
      </w:r>
      <w:r>
        <w:rPr/>
        <w:fldChar w:fldCharType="end"/>
      </w:r>
      <w:r>
        <w:rPr>
          <w:rFonts w:ascii="Arial" w:cs="Arial" w:hAnsi="Arial"/>
          <w:color w:val="ee0000"/>
        </w:rPr>
        <w:t xml:space="preserve"> [Accessed 25 Nov. 2025]. </w:t>
      </w:r>
    </w:p>
    <w:p>
      <w:pPr>
        <w:pStyle w:val="style0"/>
        <w:rPr>
          <w:rFonts w:ascii="Arial" w:cs="Arial" w:hAnsi="Arial"/>
          <w:color w:val="ee0000"/>
        </w:rPr>
      </w:pPr>
      <w:r>
        <w:rPr>
          <w:rFonts w:ascii="Arial" w:cs="Arial" w:hAnsi="Arial"/>
          <w:color w:val="ee0000"/>
        </w:rPr>
        <w:t xml:space="preserve">England NHS (2025c). </w:t>
      </w:r>
      <w:r>
        <w:rPr>
          <w:rFonts w:ascii="Arial" w:cs="Arial" w:hAnsi="Arial"/>
          <w:i/>
          <w:iCs/>
          <w:color w:val="ee0000"/>
        </w:rPr>
        <w:t>Safety culture</w:t>
      </w:r>
      <w:r>
        <w:rPr>
          <w:rFonts w:ascii="Arial" w:cs="Arial" w:hAnsi="Arial"/>
          <w:color w:val="ee0000"/>
        </w:rPr>
        <w:t xml:space="preserve">. [online] Available at: </w:t>
      </w:r>
      <w:r>
        <w:rPr/>
        <w:fldChar w:fldCharType="begin"/>
      </w:r>
      <w:r>
        <w:instrText xml:space="preserve"> HYPERLINK "https://www.england.nhs.uk/patient-safety/patient-safety-culture/safety-culture/" </w:instrText>
      </w:r>
      <w:r>
        <w:rPr/>
        <w:fldChar w:fldCharType="separate"/>
      </w:r>
      <w:r>
        <w:rPr>
          <w:rStyle w:val="style85"/>
          <w:rFonts w:ascii="Arial" w:cs="Arial" w:hAnsi="Arial"/>
          <w:color w:val="ee0000"/>
        </w:rPr>
        <w:t>https://www.england.nhs.uk/patient-safety/patient-safety-culture/safety-culture/</w:t>
      </w:r>
      <w:r>
        <w:rPr/>
        <w:fldChar w:fldCharType="end"/>
      </w:r>
      <w:r>
        <w:rPr>
          <w:rFonts w:ascii="Arial" w:cs="Arial" w:hAnsi="Arial"/>
          <w:color w:val="ee0000"/>
        </w:rPr>
        <w:t xml:space="preserve"> [Accessed 25 Nov. 2025]. </w:t>
      </w:r>
    </w:p>
    <w:bookmarkStart w:id="20" w:name="_Hlk213690748"/>
    <w:p>
      <w:pPr>
        <w:pStyle w:val="style0"/>
        <w:rPr>
          <w:rFonts w:ascii="Arial" w:cs="Arial" w:hAnsi="Arial"/>
        </w:rPr>
      </w:pPr>
      <w:r>
        <w:rPr>
          <w:rFonts w:ascii="Arial" w:cs="Arial" w:hAnsi="Arial"/>
        </w:rPr>
        <w:t xml:space="preserve">Erjavec, K., Knavs, N. and </w:t>
      </w:r>
      <w:r>
        <w:rPr>
          <w:rFonts w:ascii="Arial" w:cs="Arial" w:hAnsi="Arial"/>
        </w:rPr>
        <w:t>Bedenčič</w:t>
      </w:r>
      <w:r>
        <w:rPr>
          <w:rFonts w:ascii="Arial" w:cs="Arial" w:hAnsi="Arial"/>
        </w:rPr>
        <w:t>, K. (2022</w:t>
      </w:r>
      <w:bookmarkEnd w:id="20"/>
      <w:r>
        <w:rPr>
          <w:rFonts w:ascii="Arial" w:cs="Arial" w:hAnsi="Arial"/>
        </w:rPr>
        <w:t>). Communication in interprofessional health care teams from the perspective of patients and staff. </w:t>
      </w:r>
      <w:r>
        <w:rPr>
          <w:rFonts w:ascii="Arial" w:cs="Arial" w:hAnsi="Arial"/>
          <w:i/>
          <w:iCs/>
        </w:rPr>
        <w:t>Journal of Health Sciences</w:t>
      </w:r>
      <w:r>
        <w:rPr>
          <w:rFonts w:ascii="Arial" w:cs="Arial" w:hAnsi="Arial"/>
        </w:rPr>
        <w:t>, </w:t>
      </w:r>
      <w:r>
        <w:rPr>
          <w:rFonts w:ascii="Arial" w:cs="Arial" w:hAnsi="Arial"/>
          <w:i/>
          <w:iCs/>
        </w:rPr>
        <w:t>12</w:t>
      </w:r>
      <w:r>
        <w:rPr>
          <w:rFonts w:ascii="Arial" w:cs="Arial" w:hAnsi="Arial"/>
        </w:rPr>
        <w:t xml:space="preserve">(1), pp.29-37. </w:t>
      </w:r>
      <w:r>
        <w:rPr/>
        <w:fldChar w:fldCharType="begin"/>
      </w:r>
      <w:r>
        <w:instrText xml:space="preserve"> HYPERLINK "https://doi.org/10.17532/jhsci.2022.1591" </w:instrText>
      </w:r>
      <w:r>
        <w:rPr/>
        <w:fldChar w:fldCharType="separate"/>
      </w:r>
      <w:r>
        <w:rPr>
          <w:rStyle w:val="style85"/>
          <w:rFonts w:ascii="Arial" w:cs="Arial" w:hAnsi="Arial"/>
        </w:rPr>
        <w:t>https://doi.org/10.17532/jhsci.2022.1591</w:t>
      </w:r>
      <w:r>
        <w:rPr/>
        <w:fldChar w:fldCharType="end"/>
      </w:r>
    </w:p>
    <w:p>
      <w:pPr>
        <w:pStyle w:val="style0"/>
        <w:rPr>
          <w:rFonts w:ascii="Arial" w:cs="Arial" w:hAnsi="Arial"/>
        </w:rPr>
      </w:pPr>
      <w:r>
        <w:rPr>
          <w:rFonts w:ascii="Arial" w:cs="Arial" w:hAnsi="Arial"/>
        </w:rPr>
        <w:t xml:space="preserve">Francis, R. (2013). </w:t>
      </w:r>
      <w:r>
        <w:rPr>
          <w:rFonts w:ascii="Arial" w:cs="Arial" w:hAnsi="Arial"/>
          <w:i/>
          <w:iCs/>
        </w:rPr>
        <w:t>The Mid Staffordshire NHS Foundation Trust Public Inquiry Report of the Mid Staffordshire NHS Foundation Trust Public Inquiry Volume 1: Analysis of evidence and lessons learned (part 1)</w:t>
      </w:r>
      <w:r>
        <w:rPr>
          <w:rFonts w:ascii="Arial" w:cs="Arial" w:hAnsi="Arial"/>
        </w:rPr>
        <w:t>. [online] Available at: https://assets.publishing.service.gov.uk/media/5a7c9bec40f0b65b3de09fde/0898_i.pdf.</w:t>
      </w:r>
    </w:p>
    <w:p>
      <w:pPr>
        <w:pStyle w:val="style0"/>
        <w:rPr>
          <w:rFonts w:ascii="Arial" w:cs="Arial" w:hAnsi="Arial"/>
        </w:rPr>
      </w:pPr>
      <w:r>
        <w:rPr>
          <w:rFonts w:ascii="Arial" w:cs="Arial" w:hAnsi="Arial"/>
        </w:rPr>
        <w:t xml:space="preserve">Francis, R. (2013a). </w:t>
      </w:r>
      <w:r>
        <w:rPr>
          <w:rFonts w:ascii="Arial" w:cs="Arial" w:hAnsi="Arial"/>
          <w:i/>
          <w:iCs/>
        </w:rPr>
        <w:t xml:space="preserve">Mid Staffordshire NHS Foundation Trust (Inquiry). </w:t>
      </w:r>
      <w:r>
        <w:rPr>
          <w:rFonts w:ascii="Arial" w:cs="Arial" w:hAnsi="Arial"/>
        </w:rPr>
        <w:t xml:space="preserve">[online] Available at: </w:t>
      </w:r>
      <w:r>
        <w:rPr/>
        <w:fldChar w:fldCharType="begin"/>
      </w:r>
      <w:r>
        <w:instrText xml:space="preserve"> HYPERLINK "https://hansard.parliament.uk/commons/2013-02-06/debates/13020677000003/MidStaffordshireNHSFoundationTrust(Inquiry)" </w:instrText>
      </w:r>
      <w:r>
        <w:rPr/>
        <w:fldChar w:fldCharType="separate"/>
      </w:r>
      <w:r>
        <w:rPr>
          <w:rStyle w:val="style85"/>
          <w:rFonts w:ascii="Arial" w:cs="Arial" w:hAnsi="Arial"/>
        </w:rPr>
        <w:t>https://hansard.parliament.uk/commons/2013-02-06/debates/13020677000003/MidStaffordshireNHSFoundationTrust(Inquiry)</w:t>
      </w:r>
      <w:r>
        <w:rPr/>
        <w:fldChar w:fldCharType="end"/>
      </w:r>
      <w:r>
        <w:rPr>
          <w:rFonts w:ascii="Arial" w:cs="Arial" w:hAnsi="Arial"/>
        </w:rPr>
        <w:t xml:space="preserve"> [Accessed 8 Nov. 2025].</w:t>
      </w:r>
    </w:p>
    <w:bookmarkStart w:id="21" w:name="_Hlk213692053"/>
    <w:p>
      <w:pPr>
        <w:pStyle w:val="style0"/>
        <w:rPr>
          <w:rFonts w:ascii="Arial" w:cs="Arial" w:hAnsi="Arial"/>
        </w:rPr>
      </w:pPr>
      <w:r>
        <w:rPr>
          <w:rFonts w:ascii="Arial" w:cs="Arial" w:hAnsi="Arial"/>
        </w:rPr>
        <w:t xml:space="preserve">Francis, R. (2013b). </w:t>
      </w:r>
      <w:bookmarkEnd w:id="21"/>
      <w:r>
        <w:rPr>
          <w:rFonts w:ascii="Arial" w:cs="Arial" w:hAnsi="Arial"/>
          <w:i/>
          <w:iCs/>
        </w:rPr>
        <w:t>Report of the Mid Staffordshire NHS Foundation Trust Public Inquiry</w:t>
      </w:r>
      <w:r>
        <w:rPr>
          <w:rFonts w:ascii="Arial" w:cs="Arial" w:hAnsi="Arial"/>
        </w:rPr>
        <w:t xml:space="preserve">. [online] Available at: </w:t>
      </w:r>
      <w:r>
        <w:rPr/>
        <w:fldChar w:fldCharType="begin"/>
      </w:r>
      <w:r>
        <w:instrText xml:space="preserve"> HYPERLINK "https://assets.publishing.service.gov.uk/media/5a7ba0faed915d13110607c8/0947.pdf" </w:instrText>
      </w:r>
      <w:r>
        <w:rPr/>
        <w:fldChar w:fldCharType="separate"/>
      </w:r>
      <w:r>
        <w:rPr>
          <w:rStyle w:val="style85"/>
          <w:rFonts w:ascii="Arial" w:cs="Arial" w:hAnsi="Arial"/>
        </w:rPr>
        <w:t>https://assets.publishing.service.gov.uk/media/5a7ba0faed915d13110607c8/0947.pdf</w:t>
      </w:r>
      <w:r>
        <w:rPr/>
        <w:fldChar w:fldCharType="end"/>
      </w:r>
      <w:r>
        <w:rPr>
          <w:rFonts w:ascii="Arial" w:cs="Arial" w:hAnsi="Arial"/>
        </w:rPr>
        <w:t xml:space="preserve"> [Accessed 8 Nov. 2025].</w:t>
      </w:r>
    </w:p>
    <w:bookmarkStart w:id="22" w:name="_Hlk213694966"/>
    <w:p>
      <w:pPr>
        <w:pStyle w:val="style0"/>
        <w:rPr>
          <w:rFonts w:ascii="Arial" w:cs="Arial" w:hAnsi="Arial"/>
        </w:rPr>
      </w:pPr>
      <w:r>
        <w:rPr>
          <w:rFonts w:ascii="Arial" w:cs="Arial" w:hAnsi="Arial"/>
        </w:rPr>
        <w:t xml:space="preserve">Gillespie, B.M., </w:t>
      </w:r>
      <w:r>
        <w:rPr>
          <w:rFonts w:ascii="Arial" w:cs="Arial" w:hAnsi="Arial"/>
        </w:rPr>
        <w:t>Chaboyer</w:t>
      </w:r>
      <w:r>
        <w:rPr>
          <w:rFonts w:ascii="Arial" w:cs="Arial" w:hAnsi="Arial"/>
        </w:rPr>
        <w:t xml:space="preserve">, W., Boorman, R.J., </w:t>
      </w:r>
      <w:r>
        <w:rPr>
          <w:rFonts w:ascii="Arial" w:cs="Arial" w:hAnsi="Arial"/>
        </w:rPr>
        <w:t>Sladdin</w:t>
      </w:r>
      <w:r>
        <w:rPr>
          <w:rFonts w:ascii="Arial" w:cs="Arial" w:hAnsi="Arial"/>
        </w:rPr>
        <w:t>, I., Withers, T. and de Wet, C. (2021</w:t>
      </w:r>
      <w:bookmarkEnd w:id="22"/>
      <w:r>
        <w:rPr>
          <w:rFonts w:ascii="Arial" w:cs="Arial" w:hAnsi="Arial"/>
        </w:rPr>
        <w:t>). Characterising the nature of clinical incidents reported across a tertiary health service: a retrospective audit. </w:t>
      </w:r>
      <w:r>
        <w:rPr>
          <w:rFonts w:ascii="Arial" w:cs="Arial" w:hAnsi="Arial"/>
          <w:i/>
          <w:iCs/>
        </w:rPr>
        <w:t>Australian Health Review</w:t>
      </w:r>
      <w:r>
        <w:rPr>
          <w:rFonts w:ascii="Arial" w:cs="Arial" w:hAnsi="Arial"/>
        </w:rPr>
        <w:t>, </w:t>
      </w:r>
      <w:r>
        <w:rPr>
          <w:rFonts w:ascii="Arial" w:cs="Arial" w:hAnsi="Arial"/>
          <w:i/>
          <w:iCs/>
        </w:rPr>
        <w:t>45</w:t>
      </w:r>
      <w:r>
        <w:rPr>
          <w:rFonts w:ascii="Arial" w:cs="Arial" w:hAnsi="Arial"/>
        </w:rPr>
        <w:t xml:space="preserve">(4), pp.447-454. </w:t>
      </w:r>
      <w:r>
        <w:rPr/>
        <w:fldChar w:fldCharType="begin"/>
      </w:r>
      <w:r>
        <w:instrText xml:space="preserve"> HYPERLINK "https://doi.org/10.1071/AH20271" </w:instrText>
      </w:r>
      <w:r>
        <w:rPr/>
        <w:fldChar w:fldCharType="separate"/>
      </w:r>
      <w:r>
        <w:rPr>
          <w:rStyle w:val="style85"/>
          <w:rFonts w:ascii="Arial" w:cs="Arial" w:hAnsi="Arial"/>
        </w:rPr>
        <w:t>https://doi.org/10.1071/AH20271</w:t>
      </w:r>
      <w:r>
        <w:rPr/>
        <w:fldChar w:fldCharType="end"/>
      </w:r>
    </w:p>
    <w:p>
      <w:pPr>
        <w:pStyle w:val="style0"/>
        <w:rPr>
          <w:rFonts w:ascii="Arial" w:cs="Arial" w:hAnsi="Arial"/>
        </w:rPr>
      </w:pPr>
      <w:r>
        <w:rPr>
          <w:rFonts w:ascii="Arial" w:cs="Arial" w:hAnsi="Arial"/>
        </w:rPr>
        <w:t xml:space="preserve">Ham, C. (2014). </w:t>
      </w:r>
      <w:r>
        <w:rPr>
          <w:rFonts w:ascii="Arial" w:cs="Arial" w:hAnsi="Arial"/>
          <w:i/>
          <w:iCs/>
        </w:rPr>
        <w:t>Reforming the NHS from within</w:t>
      </w:r>
      <w:r>
        <w:rPr>
          <w:rFonts w:ascii="Arial" w:cs="Arial" w:hAnsi="Arial"/>
        </w:rPr>
        <w:t>. [online] Available at: https://assets.kingsfund.org.uk/f/256914/x/9fdc9bb006/reforming_nhs_from_within_2014.pdf.</w:t>
      </w:r>
    </w:p>
    <w:bookmarkStart w:id="23" w:name="_Hlk213695216"/>
    <w:p>
      <w:pPr>
        <w:pStyle w:val="style0"/>
        <w:rPr>
          <w:rFonts w:ascii="Arial" w:cs="Arial" w:hAnsi="Arial"/>
        </w:rPr>
      </w:pPr>
      <w:r>
        <w:rPr>
          <w:rFonts w:ascii="Arial" w:cs="Arial" w:hAnsi="Arial"/>
        </w:rPr>
        <w:t xml:space="preserve">Havana, T., Kuha, S., </w:t>
      </w:r>
      <w:r>
        <w:rPr>
          <w:rFonts w:ascii="Arial" w:cs="Arial" w:hAnsi="Arial"/>
        </w:rPr>
        <w:t>Laukka</w:t>
      </w:r>
      <w:r>
        <w:rPr>
          <w:rFonts w:ascii="Arial" w:cs="Arial" w:hAnsi="Arial"/>
        </w:rPr>
        <w:t>, E. and Kanste, O. (2023</w:t>
      </w:r>
      <w:bookmarkEnd w:id="23"/>
      <w:r>
        <w:rPr>
          <w:rFonts w:ascii="Arial" w:cs="Arial" w:hAnsi="Arial"/>
        </w:rPr>
        <w:t>). Patients' experiences of patient</w:t>
      </w:r>
      <w:r>
        <w:rPr>
          <w:rFonts w:ascii="Cambria Math" w:cs="Cambria Math" w:hAnsi="Cambria Math"/>
        </w:rPr>
        <w:t>‐</w:t>
      </w:r>
      <w:r>
        <w:rPr>
          <w:rFonts w:ascii="Arial" w:cs="Arial" w:hAnsi="Arial"/>
        </w:rPr>
        <w:t>centred care in hospital setting: A systematic review of qualitative studies. </w:t>
      </w:r>
      <w:r>
        <w:rPr>
          <w:rFonts w:ascii="Arial" w:cs="Arial" w:hAnsi="Arial"/>
          <w:i/>
          <w:iCs/>
        </w:rPr>
        <w:t>Scandinavian journal of caring sciences</w:t>
      </w:r>
      <w:r>
        <w:rPr>
          <w:rFonts w:ascii="Arial" w:cs="Arial" w:hAnsi="Arial"/>
        </w:rPr>
        <w:t>, </w:t>
      </w:r>
      <w:r>
        <w:rPr>
          <w:rFonts w:ascii="Arial" w:cs="Arial" w:hAnsi="Arial"/>
          <w:i/>
          <w:iCs/>
        </w:rPr>
        <w:t>37</w:t>
      </w:r>
      <w:r>
        <w:rPr>
          <w:rFonts w:ascii="Arial" w:cs="Arial" w:hAnsi="Arial"/>
        </w:rPr>
        <w:t xml:space="preserve">(4), pp.1001-1015. DOI: 10.1111/scs.13174  </w:t>
      </w:r>
    </w:p>
    <w:p>
      <w:pPr>
        <w:pStyle w:val="style0"/>
        <w:rPr>
          <w:rFonts w:ascii="Arial" w:cs="Arial" w:hAnsi="Arial"/>
        </w:rPr>
      </w:pPr>
      <w:r>
        <w:rPr>
          <w:rFonts w:ascii="Arial" w:cs="Arial" w:hAnsi="Arial"/>
        </w:rPr>
        <w:t xml:space="preserve">Inquests &amp; Inquiries. (2025). </w:t>
      </w:r>
      <w:r>
        <w:rPr>
          <w:rFonts w:ascii="Arial" w:cs="Arial" w:hAnsi="Arial"/>
          <w:i/>
          <w:iCs/>
        </w:rPr>
        <w:t>Francis</w:t>
      </w:r>
      <w:r>
        <w:rPr>
          <w:rFonts w:ascii="Arial" w:cs="Arial" w:hAnsi="Arial"/>
          <w:i/>
          <w:iCs/>
        </w:rPr>
        <w:t xml:space="preserve"> report (Mid-Staffs) | Inquests &amp; Inquiries</w:t>
      </w:r>
      <w:r>
        <w:rPr>
          <w:rFonts w:ascii="Arial" w:cs="Arial" w:hAnsi="Arial"/>
        </w:rPr>
        <w:t>. [online] Available at: https://www.inquestsandinquiries.com/projects/midstaffs [Accessed 10 Nov. 2025].</w:t>
      </w:r>
    </w:p>
    <w:bookmarkStart w:id="24" w:name="_Hlk213690119"/>
    <w:p>
      <w:pPr>
        <w:pStyle w:val="style0"/>
        <w:rPr>
          <w:rFonts w:ascii="Arial" w:cs="Arial" w:hAnsi="Arial"/>
        </w:rPr>
      </w:pPr>
      <w:r>
        <w:rPr>
          <w:rFonts w:ascii="Arial" w:cs="Arial" w:hAnsi="Arial"/>
        </w:rPr>
        <w:t>Jones, R. (2015</w:t>
      </w:r>
      <w:bookmarkEnd w:id="24"/>
      <w:r>
        <w:rPr>
          <w:rFonts w:ascii="Arial" w:cs="Arial" w:hAnsi="Arial"/>
        </w:rPr>
        <w:t>). A ‘</w:t>
      </w:r>
      <w:r>
        <w:rPr>
          <w:rFonts w:ascii="Arial" w:cs="Arial" w:hAnsi="Arial"/>
        </w:rPr>
        <w:t>fatal’flaw</w:t>
      </w:r>
      <w:r>
        <w:rPr>
          <w:rFonts w:ascii="Arial" w:cs="Arial" w:hAnsi="Arial"/>
        </w:rPr>
        <w:t xml:space="preserve"> in hospital mortality models: How spatiotemporal variation in all-cause mortality invalidates hidden assumptions in the models. </w:t>
      </w:r>
      <w:r>
        <w:rPr>
          <w:rFonts w:ascii="Arial" w:cs="Arial" w:hAnsi="Arial"/>
          <w:i/>
          <w:iCs/>
        </w:rPr>
        <w:t>FGNAMB</w:t>
      </w:r>
      <w:r>
        <w:rPr>
          <w:rFonts w:ascii="Arial" w:cs="Arial" w:hAnsi="Arial"/>
        </w:rPr>
        <w:t>, </w:t>
      </w:r>
      <w:r>
        <w:rPr>
          <w:rFonts w:ascii="Arial" w:cs="Arial" w:hAnsi="Arial"/>
          <w:i/>
          <w:iCs/>
        </w:rPr>
        <w:t>1</w:t>
      </w:r>
      <w:r>
        <w:rPr>
          <w:rFonts w:ascii="Arial" w:cs="Arial" w:hAnsi="Arial"/>
        </w:rPr>
        <w:t xml:space="preserve">(3), pp.82-96. DOI: 10.15761/FGNAMB.1000116 </w:t>
      </w:r>
    </w:p>
    <w:bookmarkStart w:id="25" w:name="_Hlk213678602"/>
    <w:p>
      <w:pPr>
        <w:pStyle w:val="style0"/>
        <w:rPr>
          <w:rFonts w:ascii="Arial" w:cs="Arial" w:hAnsi="Arial"/>
        </w:rPr>
      </w:pPr>
      <w:r>
        <w:rPr>
          <w:rFonts w:ascii="Arial" w:cs="Arial" w:hAnsi="Arial"/>
        </w:rPr>
        <w:t xml:space="preserve">Laig, R.B.D. and </w:t>
      </w:r>
      <w:r>
        <w:rPr>
          <w:rFonts w:ascii="Arial" w:cs="Arial" w:hAnsi="Arial"/>
        </w:rPr>
        <w:t>Abocejo</w:t>
      </w:r>
      <w:r>
        <w:rPr>
          <w:rFonts w:ascii="Arial" w:cs="Arial" w:hAnsi="Arial"/>
        </w:rPr>
        <w:t>, F.T. (2021</w:t>
      </w:r>
      <w:bookmarkEnd w:id="25"/>
      <w:r>
        <w:rPr>
          <w:rFonts w:ascii="Arial" w:cs="Arial" w:hAnsi="Arial"/>
        </w:rPr>
        <w:t>). Change management process in a mining company: Kotter’s 8-step change model. </w:t>
      </w:r>
      <w:r>
        <w:rPr>
          <w:rFonts w:ascii="Arial" w:cs="Arial" w:hAnsi="Arial"/>
          <w:i/>
          <w:iCs/>
        </w:rPr>
        <w:t>Journal of Management, Economics, and Industrial Organization</w:t>
      </w:r>
      <w:r>
        <w:rPr>
          <w:rFonts w:ascii="Arial" w:cs="Arial" w:hAnsi="Arial"/>
        </w:rPr>
        <w:t>, </w:t>
      </w:r>
      <w:r>
        <w:rPr>
          <w:rFonts w:ascii="Arial" w:cs="Arial" w:hAnsi="Arial"/>
          <w:i/>
          <w:iCs/>
        </w:rPr>
        <w:t>5</w:t>
      </w:r>
      <w:r>
        <w:rPr>
          <w:rFonts w:ascii="Arial" w:cs="Arial" w:hAnsi="Arial"/>
        </w:rPr>
        <w:t xml:space="preserve">(3), pp.31-50. </w:t>
      </w:r>
      <w:r>
        <w:rPr/>
        <w:fldChar w:fldCharType="begin"/>
      </w:r>
      <w:r>
        <w:instrText xml:space="preserve"> HYPERLINK "http://doi.org/10.31039/jomeino.2021.5.3.3" </w:instrText>
      </w:r>
      <w:r>
        <w:rPr/>
        <w:fldChar w:fldCharType="separate"/>
      </w:r>
      <w:r>
        <w:rPr>
          <w:rStyle w:val="style85"/>
          <w:rFonts w:ascii="Arial" w:cs="Arial" w:hAnsi="Arial"/>
        </w:rPr>
        <w:t>http://doi.org/10.31039/jomeino.2021.5.3.3</w:t>
      </w:r>
      <w:r>
        <w:rPr/>
        <w:fldChar w:fldCharType="end"/>
      </w:r>
    </w:p>
    <w:bookmarkStart w:id="26" w:name="_Hlk213691846"/>
    <w:p>
      <w:pPr>
        <w:pStyle w:val="style0"/>
        <w:rPr>
          <w:rFonts w:ascii="Arial" w:cs="Arial" w:hAnsi="Arial"/>
        </w:rPr>
      </w:pPr>
      <w:r>
        <w:rPr>
          <w:rFonts w:ascii="Arial" w:cs="Arial" w:hAnsi="Arial"/>
        </w:rPr>
        <w:t>Martin, G., Stanford, S. and Dixon-Woods, M. (2023</w:t>
      </w:r>
      <w:bookmarkEnd w:id="26"/>
      <w:r>
        <w:rPr>
          <w:rFonts w:ascii="Arial" w:cs="Arial" w:hAnsi="Arial"/>
        </w:rPr>
        <w:t xml:space="preserve">). A decade after Francis: is the NHS safer and more </w:t>
      </w:r>
      <w:r>
        <w:rPr>
          <w:rFonts w:ascii="Arial" w:cs="Arial" w:hAnsi="Arial"/>
        </w:rPr>
        <w:t>open?.</w:t>
      </w:r>
      <w:r>
        <w:rPr>
          <w:rFonts w:ascii="Arial" w:cs="Arial" w:hAnsi="Arial"/>
        </w:rPr>
        <w:t> </w:t>
      </w:r>
      <w:r>
        <w:rPr>
          <w:rFonts w:ascii="Arial" w:cs="Arial" w:hAnsi="Arial"/>
          <w:i/>
          <w:iCs/>
        </w:rPr>
        <w:t>bmj</w:t>
      </w:r>
      <w:r>
        <w:rPr>
          <w:rFonts w:ascii="Arial" w:cs="Arial" w:hAnsi="Arial"/>
        </w:rPr>
        <w:t>, </w:t>
      </w:r>
      <w:r>
        <w:rPr>
          <w:rFonts w:ascii="Arial" w:cs="Arial" w:hAnsi="Arial"/>
          <w:i/>
          <w:iCs/>
        </w:rPr>
        <w:t>380</w:t>
      </w:r>
      <w:r>
        <w:rPr>
          <w:rFonts w:ascii="Arial" w:cs="Arial" w:hAnsi="Arial"/>
        </w:rPr>
        <w:t xml:space="preserve">. </w:t>
      </w:r>
      <w:r>
        <w:rPr/>
        <w:fldChar w:fldCharType="begin"/>
      </w:r>
      <w:r>
        <w:instrText xml:space="preserve"> HYPERLINK "https://doi.org/10.1136/bmj.p513" </w:instrText>
      </w:r>
      <w:r>
        <w:rPr/>
        <w:fldChar w:fldCharType="separate"/>
      </w:r>
      <w:r>
        <w:rPr>
          <w:rStyle w:val="style85"/>
          <w:rFonts w:ascii="Arial" w:cs="Arial" w:hAnsi="Arial"/>
        </w:rPr>
        <w:t>https://doi.org/10.1136/bmj.p513</w:t>
      </w:r>
      <w:r>
        <w:rPr/>
        <w:fldChar w:fldCharType="end"/>
      </w:r>
    </w:p>
    <w:bookmarkStart w:id="27" w:name="_Hlk213692547"/>
    <w:p>
      <w:pPr>
        <w:pStyle w:val="style0"/>
        <w:rPr>
          <w:rFonts w:ascii="Arial" w:cs="Arial" w:hAnsi="Arial"/>
        </w:rPr>
      </w:pPr>
      <w:r>
        <w:rPr>
          <w:rFonts w:ascii="Arial" w:cs="Arial" w:hAnsi="Arial"/>
        </w:rPr>
        <w:t xml:space="preserve">Matloob, I., Khan, S., Bashir, B., Rukaiya, R., Khan, J.A. and </w:t>
      </w:r>
      <w:r>
        <w:rPr>
          <w:rFonts w:ascii="Arial" w:cs="Arial" w:hAnsi="Arial"/>
        </w:rPr>
        <w:t>Alfraihi</w:t>
      </w:r>
      <w:r>
        <w:rPr>
          <w:rFonts w:ascii="Arial" w:cs="Arial" w:hAnsi="Arial"/>
        </w:rPr>
        <w:t>, H. (2025</w:t>
      </w:r>
      <w:bookmarkEnd w:id="27"/>
      <w:r>
        <w:rPr>
          <w:rFonts w:ascii="Arial" w:cs="Arial" w:hAnsi="Arial"/>
        </w:rPr>
        <w:t>). Data driven healthcare insurance system using machine learning and blockchain technologies. </w:t>
      </w:r>
      <w:r>
        <w:rPr>
          <w:rFonts w:ascii="Arial" w:cs="Arial" w:hAnsi="Arial"/>
          <w:i/>
          <w:iCs/>
        </w:rPr>
        <w:t>PeerJ</w:t>
      </w:r>
      <w:r>
        <w:rPr>
          <w:rFonts w:ascii="Arial" w:cs="Arial" w:hAnsi="Arial"/>
          <w:i/>
          <w:iCs/>
        </w:rPr>
        <w:t xml:space="preserve"> Computer Science</w:t>
      </w:r>
      <w:r>
        <w:rPr>
          <w:rFonts w:ascii="Arial" w:cs="Arial" w:hAnsi="Arial"/>
        </w:rPr>
        <w:t>, </w:t>
      </w:r>
      <w:r>
        <w:rPr>
          <w:rFonts w:ascii="Arial" w:cs="Arial" w:hAnsi="Arial"/>
          <w:i/>
          <w:iCs/>
        </w:rPr>
        <w:t>11</w:t>
      </w:r>
      <w:r>
        <w:rPr>
          <w:rFonts w:ascii="Arial" w:cs="Arial" w:hAnsi="Arial"/>
        </w:rPr>
        <w:t xml:space="preserve">, p.e2980. </w:t>
      </w:r>
      <w:r>
        <w:rPr/>
        <w:fldChar w:fldCharType="begin"/>
      </w:r>
      <w:r>
        <w:instrText xml:space="preserve"> HYPERLINK "http://dx.doi.org/10.7717/peerj-cs.2980" </w:instrText>
      </w:r>
      <w:r>
        <w:rPr/>
        <w:fldChar w:fldCharType="separate"/>
      </w:r>
      <w:r>
        <w:rPr>
          <w:rStyle w:val="style85"/>
          <w:rFonts w:ascii="Arial" w:cs="Arial" w:hAnsi="Arial"/>
        </w:rPr>
        <w:t>http://dx.doi.org/10.7717/peerj-cs.2980</w:t>
      </w:r>
      <w:r>
        <w:rPr/>
        <w:fldChar w:fldCharType="end"/>
      </w:r>
    </w:p>
    <w:bookmarkStart w:id="28" w:name="_Hlk213693919"/>
    <w:p>
      <w:pPr>
        <w:pStyle w:val="style0"/>
        <w:rPr>
          <w:rFonts w:ascii="Arial" w:cs="Arial" w:hAnsi="Arial"/>
        </w:rPr>
      </w:pPr>
      <w:r>
        <w:rPr>
          <w:rFonts w:ascii="Arial" w:cs="Arial" w:hAnsi="Arial"/>
        </w:rPr>
        <w:t>Newman, B., Joseph, K., Chauhan, A., Seale, H., Li, J., Manias, E., Walton, M., Mears, S., Jones, B. and Harrison, R. (2021</w:t>
      </w:r>
      <w:bookmarkEnd w:id="28"/>
      <w:r>
        <w:rPr>
          <w:rFonts w:ascii="Arial" w:cs="Arial" w:hAnsi="Arial"/>
        </w:rPr>
        <w:t>). Do patient engagement interventions work for all patients? A systematic review and realist synthesis of interventions to enhance patient safety. </w:t>
      </w:r>
      <w:r>
        <w:rPr>
          <w:rFonts w:ascii="Arial" w:cs="Arial" w:hAnsi="Arial"/>
          <w:i/>
          <w:iCs/>
        </w:rPr>
        <w:t>Health Expectations</w:t>
      </w:r>
      <w:r>
        <w:rPr>
          <w:rFonts w:ascii="Arial" w:cs="Arial" w:hAnsi="Arial"/>
        </w:rPr>
        <w:t>, </w:t>
      </w:r>
      <w:r>
        <w:rPr>
          <w:rFonts w:ascii="Arial" w:cs="Arial" w:hAnsi="Arial"/>
          <w:i/>
          <w:iCs/>
        </w:rPr>
        <w:t>24</w:t>
      </w:r>
      <w:r>
        <w:rPr>
          <w:rFonts w:ascii="Arial" w:cs="Arial" w:hAnsi="Arial"/>
        </w:rPr>
        <w:t xml:space="preserve">(6), pp.1905-1923. DOI: 10.1111/hex.13343  </w:t>
      </w:r>
    </w:p>
    <w:p>
      <w:pPr>
        <w:pStyle w:val="style0"/>
        <w:rPr>
          <w:rFonts w:ascii="Arial" w:cs="Arial" w:hAnsi="Arial"/>
        </w:rPr>
      </w:pPr>
      <w:r>
        <w:rPr>
          <w:rFonts w:ascii="Arial" w:cs="Arial" w:hAnsi="Arial"/>
        </w:rPr>
        <w:t>NHS England (2022). Governance, Patient Safety and Quality. Available at: https://www.england.nhs.uk/mat-transformation/matrons-handbook/governance-patient-safety-and-quality/ [Accessed 6 Nov. 2025].</w:t>
      </w:r>
    </w:p>
    <w:bookmarkStart w:id="29" w:name="_Hlk213692214"/>
    <w:p>
      <w:pPr>
        <w:pStyle w:val="style0"/>
        <w:rPr>
          <w:rFonts w:ascii="Arial" w:cs="Arial" w:hAnsi="Arial"/>
        </w:rPr>
      </w:pPr>
      <w:r>
        <w:rPr>
          <w:rFonts w:ascii="Arial" w:cs="Arial" w:hAnsi="Arial"/>
        </w:rPr>
        <w:t xml:space="preserve">Poku, C.A., </w:t>
      </w:r>
      <w:r>
        <w:rPr>
          <w:rFonts w:ascii="Arial" w:cs="Arial" w:hAnsi="Arial"/>
        </w:rPr>
        <w:t>Attafuah</w:t>
      </w:r>
      <w:r>
        <w:rPr>
          <w:rFonts w:ascii="Arial" w:cs="Arial" w:hAnsi="Arial"/>
        </w:rPr>
        <w:t xml:space="preserve">, P.Y.A., Anaba, E.A., Abor, P.A., </w:t>
      </w:r>
      <w:r>
        <w:rPr>
          <w:rFonts w:ascii="Arial" w:cs="Arial" w:hAnsi="Arial"/>
        </w:rPr>
        <w:t>Nketiah</w:t>
      </w:r>
      <w:r>
        <w:rPr>
          <w:rFonts w:ascii="Arial" w:cs="Arial" w:hAnsi="Arial"/>
        </w:rPr>
        <w:t>-Amponsah, E. and Abuosi, A.A. (2023</w:t>
      </w:r>
      <w:bookmarkEnd w:id="29"/>
      <w:r>
        <w:rPr>
          <w:rFonts w:ascii="Arial" w:cs="Arial" w:hAnsi="Arial"/>
        </w:rPr>
        <w:t xml:space="preserve">). Response to patient safety incidents in healthcare settings in Ghana: the role of </w:t>
      </w:r>
      <w:r>
        <w:rPr>
          <w:rFonts w:ascii="Arial" w:cs="Arial" w:hAnsi="Arial"/>
        </w:rPr>
        <w:t>teamwork, communication openness, and handoffs. </w:t>
      </w:r>
      <w:r>
        <w:rPr>
          <w:rFonts w:ascii="Arial" w:cs="Arial" w:hAnsi="Arial"/>
          <w:i/>
          <w:iCs/>
        </w:rPr>
        <w:t>BMC Health Services Research</w:t>
      </w:r>
      <w:r>
        <w:rPr>
          <w:rFonts w:ascii="Arial" w:cs="Arial" w:hAnsi="Arial"/>
        </w:rPr>
        <w:t>, </w:t>
      </w:r>
      <w:r>
        <w:rPr>
          <w:rFonts w:ascii="Arial" w:cs="Arial" w:hAnsi="Arial"/>
          <w:i/>
          <w:iCs/>
        </w:rPr>
        <w:t>23</w:t>
      </w:r>
      <w:r>
        <w:rPr>
          <w:rFonts w:ascii="Arial" w:cs="Arial" w:hAnsi="Arial"/>
        </w:rPr>
        <w:t xml:space="preserve">(1), p.1072. </w:t>
      </w:r>
      <w:r>
        <w:rPr/>
        <w:fldChar w:fldCharType="begin"/>
      </w:r>
      <w:r>
        <w:instrText xml:space="preserve"> HYPERLINK "https://doi.org/10.1186/s12913-023-10000-0" </w:instrText>
      </w:r>
      <w:r>
        <w:rPr/>
        <w:fldChar w:fldCharType="separate"/>
      </w:r>
      <w:r>
        <w:rPr>
          <w:rStyle w:val="style85"/>
          <w:rFonts w:ascii="Arial" w:cs="Arial" w:hAnsi="Arial"/>
        </w:rPr>
        <w:t>https://doi.org/10.1186/s12913-023-10000-0</w:t>
      </w:r>
      <w:r>
        <w:rPr/>
        <w:fldChar w:fldCharType="end"/>
      </w:r>
    </w:p>
    <w:bookmarkStart w:id="30" w:name="_Hlk213689443"/>
    <w:p>
      <w:pPr>
        <w:pStyle w:val="style0"/>
        <w:rPr>
          <w:rFonts w:ascii="Arial" w:cs="Arial" w:hAnsi="Arial"/>
        </w:rPr>
      </w:pPr>
      <w:r>
        <w:rPr>
          <w:rFonts w:ascii="Arial" w:cs="Arial" w:hAnsi="Arial"/>
        </w:rPr>
        <w:t>Rafferty, A.M. and Leary, A. (2023</w:t>
      </w:r>
      <w:bookmarkEnd w:id="30"/>
      <w:r>
        <w:rPr>
          <w:rFonts w:ascii="Arial" w:cs="Arial" w:hAnsi="Arial"/>
        </w:rPr>
        <w:t>). Nursing notes on a scandal. </w:t>
      </w:r>
      <w:r>
        <w:rPr>
          <w:rFonts w:ascii="Arial" w:cs="Arial" w:hAnsi="Arial"/>
          <w:i/>
          <w:iCs/>
        </w:rPr>
        <w:t>Future Healthcare Journal</w:t>
      </w:r>
      <w:r>
        <w:rPr>
          <w:rFonts w:ascii="Arial" w:cs="Arial" w:hAnsi="Arial"/>
        </w:rPr>
        <w:t>, </w:t>
      </w:r>
      <w:r>
        <w:rPr>
          <w:rFonts w:ascii="Arial" w:cs="Arial" w:hAnsi="Arial"/>
          <w:i/>
          <w:iCs/>
        </w:rPr>
        <w:t>10</w:t>
      </w:r>
      <w:r>
        <w:rPr>
          <w:rFonts w:ascii="Arial" w:cs="Arial" w:hAnsi="Arial"/>
        </w:rPr>
        <w:t xml:space="preserve">(1), pp.3-6. </w:t>
      </w:r>
      <w:r>
        <w:rPr/>
        <w:fldChar w:fldCharType="begin"/>
      </w:r>
      <w:r>
        <w:instrText xml:space="preserve"> HYPERLINK "https://doi.org/10.7861/fhj.2023-FR102" </w:instrText>
      </w:r>
      <w:r>
        <w:rPr/>
        <w:fldChar w:fldCharType="separate"/>
      </w:r>
      <w:r>
        <w:rPr>
          <w:rStyle w:val="style85"/>
          <w:rFonts w:ascii="Arial" w:cs="Arial" w:hAnsi="Arial"/>
        </w:rPr>
        <w:t>https://doi.org/10.7861/fhj.2023-FR102</w:t>
      </w:r>
      <w:r>
        <w:rPr/>
        <w:fldChar w:fldCharType="end"/>
      </w:r>
    </w:p>
    <w:bookmarkStart w:id="31" w:name="_Hlk213678703"/>
    <w:p>
      <w:pPr>
        <w:pStyle w:val="style0"/>
        <w:rPr>
          <w:rFonts w:ascii="Arial" w:cs="Arial" w:hAnsi="Arial"/>
        </w:rPr>
      </w:pPr>
      <w:r>
        <w:rPr>
          <w:rFonts w:ascii="Arial" w:cs="Arial" w:hAnsi="Arial"/>
        </w:rPr>
        <w:t>Realyvásquez</w:t>
      </w:r>
      <w:r>
        <w:rPr>
          <w:rFonts w:ascii="Arial" w:cs="Arial" w:hAnsi="Arial"/>
        </w:rPr>
        <w:t xml:space="preserve"> Vargas, A., García Alcaraz, J.L., Satapathy, S., Coraza, D.A. and Báez López, Y. (2024</w:t>
      </w:r>
      <w:bookmarkEnd w:id="31"/>
      <w:r>
        <w:rPr>
          <w:rFonts w:ascii="Arial" w:cs="Arial" w:hAnsi="Arial"/>
        </w:rPr>
        <w:t>). The PDCA (Plan-Do-Check-Act) Cycle. In </w:t>
      </w:r>
      <w:r>
        <w:rPr>
          <w:rFonts w:ascii="Arial" w:cs="Arial" w:hAnsi="Arial"/>
          <w:i/>
          <w:iCs/>
        </w:rPr>
        <w:t>Lean Manufacturing in Latin America: Concepts, Methodologies and Applications</w:t>
      </w:r>
      <w:r>
        <w:rPr>
          <w:rFonts w:ascii="Arial" w:cs="Arial" w:hAnsi="Arial"/>
        </w:rPr>
        <w:t xml:space="preserve"> (pp. 409-437). Cham: Springer Nature Switzerland. </w:t>
      </w:r>
      <w:r>
        <w:rPr/>
        <w:fldChar w:fldCharType="begin"/>
      </w:r>
      <w:r>
        <w:instrText xml:space="preserve"> HYPERLINK "https://doi.org/10.1007/978-3-031-70984-5_18" </w:instrText>
      </w:r>
      <w:r>
        <w:rPr/>
        <w:fldChar w:fldCharType="separate"/>
      </w:r>
      <w:r>
        <w:rPr>
          <w:rStyle w:val="style85"/>
          <w:rFonts w:ascii="Arial" w:cs="Arial" w:hAnsi="Arial"/>
        </w:rPr>
        <w:t>https://doi.org/10.1007/978-3-031-70984-5_18</w:t>
      </w:r>
      <w:r>
        <w:rPr/>
        <w:fldChar w:fldCharType="end"/>
      </w:r>
    </w:p>
    <w:bookmarkStart w:id="32" w:name="_Hlk213678146"/>
    <w:p>
      <w:pPr>
        <w:pStyle w:val="style0"/>
        <w:rPr>
          <w:rFonts w:ascii="Arial" w:cs="Arial" w:hAnsi="Arial"/>
        </w:rPr>
      </w:pPr>
      <w:r>
        <w:rPr>
          <w:rFonts w:ascii="Arial" w:cs="Arial" w:hAnsi="Arial"/>
        </w:rPr>
        <w:t>Sakdiyah</w:t>
      </w:r>
      <w:r>
        <w:rPr>
          <w:rFonts w:ascii="Arial" w:cs="Arial" w:hAnsi="Arial"/>
        </w:rPr>
        <w:t xml:space="preserve">, S.H., </w:t>
      </w:r>
      <w:r>
        <w:rPr>
          <w:rFonts w:ascii="Arial" w:cs="Arial" w:hAnsi="Arial"/>
        </w:rPr>
        <w:t>Eltivia</w:t>
      </w:r>
      <w:r>
        <w:rPr>
          <w:rFonts w:ascii="Arial" w:cs="Arial" w:hAnsi="Arial"/>
        </w:rPr>
        <w:t>, N. and Afandi, A. (2022</w:t>
      </w:r>
      <w:bookmarkEnd w:id="32"/>
      <w:r>
        <w:rPr>
          <w:rFonts w:ascii="Arial" w:cs="Arial" w:hAnsi="Arial"/>
        </w:rPr>
        <w:t>). Root cause analysis using fishbone diagram: company management decision making. </w:t>
      </w:r>
      <w:r>
        <w:rPr>
          <w:rFonts w:ascii="Arial" w:cs="Arial" w:hAnsi="Arial"/>
          <w:i/>
          <w:iCs/>
        </w:rPr>
        <w:t>Journal of Applied Business, Taxation and Economics Research</w:t>
      </w:r>
      <w:r>
        <w:rPr>
          <w:rFonts w:ascii="Arial" w:cs="Arial" w:hAnsi="Arial"/>
        </w:rPr>
        <w:t>, </w:t>
      </w:r>
      <w:r>
        <w:rPr>
          <w:rFonts w:ascii="Arial" w:cs="Arial" w:hAnsi="Arial"/>
          <w:i/>
          <w:iCs/>
        </w:rPr>
        <w:t>1</w:t>
      </w:r>
      <w:r>
        <w:rPr>
          <w:rFonts w:ascii="Arial" w:cs="Arial" w:hAnsi="Arial"/>
        </w:rPr>
        <w:t>(6), pp.566-576. DOI: 10.54408/</w:t>
      </w:r>
      <w:r>
        <w:rPr>
          <w:rFonts w:ascii="Arial" w:cs="Arial" w:hAnsi="Arial"/>
        </w:rPr>
        <w:t>jabter.v</w:t>
      </w:r>
      <w:r>
        <w:rPr>
          <w:rFonts w:ascii="Arial" w:cs="Arial" w:hAnsi="Arial"/>
        </w:rPr>
        <w:t xml:space="preserve">1i6.103 </w:t>
      </w:r>
    </w:p>
    <w:bookmarkStart w:id="33" w:name="_Hlk213691193"/>
    <w:p>
      <w:pPr>
        <w:pStyle w:val="style0"/>
        <w:rPr>
          <w:rFonts w:ascii="Arial" w:cs="Arial" w:hAnsi="Arial"/>
        </w:rPr>
      </w:pPr>
      <w:r>
        <w:rPr>
          <w:rFonts w:ascii="Arial" w:cs="Arial" w:hAnsi="Arial"/>
        </w:rPr>
        <w:t xml:space="preserve">The Guardian (2015) </w:t>
      </w:r>
      <w:bookmarkEnd w:id="33"/>
      <w:r>
        <w:rPr>
          <w:rFonts w:ascii="Arial" w:cs="Arial" w:hAnsi="Arial"/>
          <w:i/>
          <w:iCs/>
        </w:rPr>
        <w:t>Mid Staffs scandal: NHS trust fined £500,000 for 'basic' blunders</w:t>
      </w:r>
      <w:r>
        <w:rPr>
          <w:rFonts w:ascii="Arial" w:cs="Arial" w:hAnsi="Arial"/>
        </w:rPr>
        <w:t xml:space="preserve">. [online] Available at: </w:t>
      </w:r>
      <w:r>
        <w:rPr/>
        <w:fldChar w:fldCharType="begin"/>
      </w:r>
      <w:r>
        <w:instrText xml:space="preserve"> HYPERLINK "https://www.theguardian.com/society/2015/dec/16/mid-staffs-scandal-nhs-trust-fined-500000-for-basic-blunders" </w:instrText>
      </w:r>
      <w:r>
        <w:rPr/>
        <w:fldChar w:fldCharType="separate"/>
      </w:r>
      <w:r>
        <w:rPr>
          <w:rStyle w:val="style85"/>
          <w:rFonts w:ascii="Arial" w:cs="Arial" w:hAnsi="Arial"/>
        </w:rPr>
        <w:t>https://www.theguardian.com/society/2015/dec/16/mid-staffs-scandal-nhs-trust-fined-500000-for-basic-blunders</w:t>
      </w:r>
      <w:r>
        <w:rPr/>
        <w:fldChar w:fldCharType="end"/>
      </w:r>
      <w:r>
        <w:rPr>
          <w:rFonts w:ascii="Arial" w:cs="Arial" w:hAnsi="Arial"/>
        </w:rPr>
        <w:t xml:space="preserve"> [Accessed 10 Nov. 2025].</w:t>
      </w:r>
    </w:p>
    <w:bookmarkStart w:id="34" w:name="_Hlk213690867"/>
    <w:p>
      <w:pPr>
        <w:pStyle w:val="style0"/>
        <w:rPr>
          <w:rFonts w:ascii="Arial" w:cs="Arial" w:hAnsi="Arial"/>
        </w:rPr>
      </w:pPr>
      <w:r>
        <w:rPr>
          <w:rFonts w:ascii="Arial" w:cs="Arial" w:hAnsi="Arial"/>
        </w:rPr>
        <w:t>Wong, V., Hassan, N., Wong, Y.P., Chua, S.Y.N., Abdul Rahman, S., Mohamad, M.L. and Lim, S. (2025</w:t>
      </w:r>
      <w:bookmarkEnd w:id="34"/>
      <w:r>
        <w:rPr>
          <w:rFonts w:ascii="Arial" w:cs="Arial" w:hAnsi="Arial"/>
        </w:rPr>
        <w:t>). Nurses’ adherence to ethical principles–A qualitative study. </w:t>
      </w:r>
      <w:r>
        <w:rPr>
          <w:rFonts w:ascii="Arial" w:cs="Arial" w:hAnsi="Arial"/>
          <w:i/>
          <w:iCs/>
        </w:rPr>
        <w:t>Nursing ethics</w:t>
      </w:r>
      <w:r>
        <w:rPr>
          <w:rFonts w:ascii="Arial" w:cs="Arial" w:hAnsi="Arial"/>
        </w:rPr>
        <w:t>, </w:t>
      </w:r>
      <w:r>
        <w:rPr>
          <w:rFonts w:ascii="Arial" w:cs="Arial" w:hAnsi="Arial"/>
          <w:i/>
          <w:iCs/>
        </w:rPr>
        <w:t>32</w:t>
      </w:r>
      <w:r>
        <w:rPr>
          <w:rFonts w:ascii="Arial" w:cs="Arial" w:hAnsi="Arial"/>
        </w:rPr>
        <w:t xml:space="preserve">(4), pp.1162-1176. </w:t>
      </w:r>
      <w:r>
        <w:rPr/>
        <w:fldChar w:fldCharType="begin"/>
      </w:r>
      <w:r>
        <w:instrText xml:space="preserve"> HYPERLINK "https://doi.org/10.1177/09697330241291159" </w:instrText>
      </w:r>
      <w:r>
        <w:rPr/>
        <w:fldChar w:fldCharType="separate"/>
      </w:r>
      <w:r>
        <w:rPr>
          <w:rStyle w:val="style85"/>
          <w:rFonts w:ascii="Arial" w:cs="Arial" w:hAnsi="Arial"/>
        </w:rPr>
        <w:t>https://doi.org/10.1177/09697330241291159</w:t>
      </w:r>
      <w:r>
        <w:rPr/>
        <w:fldChar w:fldCharType="end"/>
      </w:r>
    </w:p>
    <w:p>
      <w:pPr>
        <w:pStyle w:val="style0"/>
        <w:rPr>
          <w:rFonts w:ascii="Arial" w:cs="Arial" w:hAnsi="Arial"/>
        </w:rPr>
      </w:pPr>
      <w:r>
        <w:rPr>
          <w:rFonts w:ascii="Arial" w:cs="Arial" w:hAnsi="Arial"/>
        </w:rPr>
        <w:t>Yang</w:t>
      </w:r>
      <w:bookmarkStart w:id="35" w:name="_Hlk213678288"/>
      <w:r>
        <w:rPr>
          <w:rFonts w:ascii="Arial" w:cs="Arial" w:hAnsi="Arial"/>
        </w:rPr>
        <w:t>, J., Liu, F., Yang, C., Wei, J., Ma, Y., Xu, L., Xie, J. and Wang, J. (2025</w:t>
      </w:r>
      <w:bookmarkEnd w:id="35"/>
      <w:r>
        <w:rPr>
          <w:rFonts w:ascii="Arial" w:cs="Arial" w:hAnsi="Arial"/>
        </w:rPr>
        <w:t>). Application of Donabedian Three</w:t>
      </w:r>
      <w:r>
        <w:rPr>
          <w:rFonts w:ascii="Cambria Math" w:cs="Cambria Math" w:hAnsi="Cambria Math"/>
        </w:rPr>
        <w:t>‐</w:t>
      </w:r>
      <w:r>
        <w:rPr>
          <w:rFonts w:ascii="Arial" w:cs="Arial" w:hAnsi="Arial"/>
        </w:rPr>
        <w:t>Dimensional Model in Outpatient Care Quality: A Scoping Review. </w:t>
      </w:r>
      <w:r>
        <w:rPr>
          <w:rFonts w:ascii="Arial" w:cs="Arial" w:hAnsi="Arial"/>
          <w:i/>
          <w:iCs/>
        </w:rPr>
        <w:t>Journal of Nursing Management</w:t>
      </w:r>
      <w:r>
        <w:rPr>
          <w:rFonts w:ascii="Arial" w:cs="Arial" w:hAnsi="Arial"/>
        </w:rPr>
        <w:t>, </w:t>
      </w:r>
      <w:r>
        <w:rPr>
          <w:rFonts w:ascii="Arial" w:cs="Arial" w:hAnsi="Arial"/>
          <w:i/>
          <w:iCs/>
        </w:rPr>
        <w:t>2025</w:t>
      </w:r>
      <w:r>
        <w:rPr>
          <w:rFonts w:ascii="Arial" w:cs="Arial" w:hAnsi="Arial"/>
        </w:rPr>
        <w:t xml:space="preserve">(1), p.6893336. </w:t>
      </w:r>
      <w:r>
        <w:rPr/>
        <w:fldChar w:fldCharType="begin"/>
      </w:r>
      <w:r>
        <w:instrText xml:space="preserve"> HYPERLINK "https://doi.org/10.1155/jonm/6893336" </w:instrText>
      </w:r>
      <w:r>
        <w:rPr/>
        <w:fldChar w:fldCharType="separate"/>
      </w:r>
      <w:r>
        <w:rPr>
          <w:rStyle w:val="style85"/>
          <w:rFonts w:ascii="Arial" w:cs="Arial" w:hAnsi="Arial"/>
        </w:rPr>
        <w:t>https://doi.org/10.1155/jonm/6893336</w:t>
      </w:r>
      <w:r>
        <w:rPr/>
        <w:fldChar w:fldCharType="end"/>
      </w:r>
    </w:p>
    <w:sectPr>
      <w:footerReference w:type="default" r:id="rId17"/>
      <w:pgSz w:w="11906" w:h="16838" w:orient="portrait"/>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2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15</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2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rPr>
    </w:rPrDefault>
    <w:pPrDefault>
      <w:pPr>
        <w:spacing w:after="160" w:lineRule="auto" w:line="259"/>
      </w:pPr>
    </w:pPrDefault>
  </w:docDefaults>
  <w:style w:type="paragraph" w:default="1" w:styleId="style0">
    <w:name w:val="Normal"/>
    <w:next w:val="style0"/>
    <w:qFormat/>
    <w:pPr>
      <w:spacing w:before="120" w:after="120" w:lineRule="auto" w:line="360"/>
      <w:jc w:val="both"/>
    </w:pPr>
    <w:rPr>
      <w:rFonts w:ascii="Times New Roman" w:cs="Times New Roman" w:hAnsi="Times New Roman"/>
      <w:color w:val="000000"/>
      <w:lang w:val="en-GB"/>
    </w:rPr>
  </w:style>
  <w:style w:type="paragraph" w:styleId="style1">
    <w:name w:val="heading 1"/>
    <w:basedOn w:val="style0"/>
    <w:next w:val="style0"/>
    <w:link w:val="style4097"/>
    <w:qFormat/>
    <w:uiPriority w:val="9"/>
    <w:pPr>
      <w:outlineLvl w:val="0"/>
    </w:pPr>
    <w:rPr>
      <w:b/>
      <w:bCs/>
      <w:sz w:val="28"/>
      <w:szCs w:val="28"/>
    </w:rPr>
  </w:style>
  <w:style w:type="paragraph" w:styleId="style2">
    <w:name w:val="heading 2"/>
    <w:basedOn w:val="style0"/>
    <w:next w:val="style0"/>
    <w:link w:val="style4098"/>
    <w:qFormat/>
    <w:uiPriority w:val="9"/>
    <w:pPr>
      <w:outlineLvl w:val="1"/>
    </w:pPr>
    <w:rPr>
      <w:rFonts w:ascii="Arial" w:cs="Arial" w:hAnsi="Arial"/>
      <w:b/>
      <w:bCs/>
      <w:sz w:val="26"/>
      <w:szCs w:val="26"/>
    </w:rPr>
  </w:style>
  <w:style w:type="paragraph" w:styleId="style3">
    <w:name w:val="heading 3"/>
    <w:basedOn w:val="style0"/>
    <w:next w:val="style0"/>
    <w:link w:val="style4099"/>
    <w:qFormat/>
    <w:uiPriority w:val="9"/>
    <w:pPr>
      <w:keepNext/>
      <w:keepLines/>
      <w:spacing w:before="160" w:after="80"/>
      <w:outlineLvl w:val="2"/>
    </w:pPr>
    <w:rPr>
      <w:rFonts w:ascii="Calibri" w:cs="宋体" w:eastAsia="宋体" w:hAnsi="Calibri"/>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ascii="Calibri" w:cs="宋体" w:eastAsia="宋体" w:hAnsi="Calibri"/>
      <w:i/>
      <w:iCs/>
      <w:color w:val="2f5496"/>
    </w:rPr>
  </w:style>
  <w:style w:type="paragraph" w:styleId="style5">
    <w:name w:val="heading 5"/>
    <w:basedOn w:val="style0"/>
    <w:next w:val="style0"/>
    <w:link w:val="style4101"/>
    <w:qFormat/>
    <w:uiPriority w:val="9"/>
    <w:pPr>
      <w:keepNext/>
      <w:keepLines/>
      <w:spacing w:before="80" w:after="40"/>
      <w:outlineLvl w:val="4"/>
    </w:pPr>
    <w:rPr>
      <w:rFonts w:ascii="Calibri" w:cs="宋体" w:eastAsia="宋体" w:hAnsi="Calibri"/>
      <w:color w:val="2f5496"/>
    </w:rPr>
  </w:style>
  <w:style w:type="paragraph" w:styleId="style6">
    <w:name w:val="heading 6"/>
    <w:basedOn w:val="style0"/>
    <w:next w:val="style0"/>
    <w:link w:val="style4102"/>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3"/>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4"/>
    <w:qFormat/>
    <w:uiPriority w:val="9"/>
    <w:pPr>
      <w:keepNext/>
      <w:keepLines/>
      <w:spacing w:after="0"/>
      <w:outlineLvl w:val="7"/>
    </w:pPr>
    <w:rPr>
      <w:rFonts w:ascii="Calibri" w:cs="宋体" w:eastAsia="宋体" w:hAnsi="Calibri"/>
      <w:i/>
      <w:iCs/>
      <w:color w:val="272727"/>
    </w:rPr>
  </w:style>
  <w:style w:type="paragraph" w:styleId="style9">
    <w:name w:val="heading 9"/>
    <w:basedOn w:val="style0"/>
    <w:next w:val="style0"/>
    <w:link w:val="style4105"/>
    <w:qFormat/>
    <w:uiPriority w:val="9"/>
    <w:pPr>
      <w:keepNext/>
      <w:keepLines/>
      <w:spacing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a3114688-0581-4469-9deb-309a6f23832e"/>
    <w:basedOn w:val="style65"/>
    <w:next w:val="style4097"/>
    <w:link w:val="style1"/>
    <w:uiPriority w:val="9"/>
    <w:rPr>
      <w:rFonts w:ascii="Times New Roman" w:cs="Times New Roman" w:hAnsi="Times New Roman"/>
      <w:b/>
      <w:bCs/>
      <w:sz w:val="28"/>
      <w:szCs w:val="28"/>
      <w:lang w:val="en-GB"/>
    </w:rPr>
  </w:style>
  <w:style w:type="character" w:customStyle="1" w:styleId="style4098">
    <w:name w:val="Heading 2 Char_853682c5-bcb8-41cb-bd75-3375770d3df4"/>
    <w:basedOn w:val="style65"/>
    <w:next w:val="style4098"/>
    <w:link w:val="style2"/>
    <w:uiPriority w:val="9"/>
    <w:rPr>
      <w:rFonts w:ascii="Arial" w:cs="Arial" w:hAnsi="Arial"/>
      <w:b/>
      <w:bCs/>
      <w:color w:val="000000"/>
      <w:sz w:val="26"/>
      <w:szCs w:val="26"/>
      <w:lang w:val="en-GB"/>
    </w:rPr>
  </w:style>
  <w:style w:type="character" w:customStyle="1" w:styleId="style4099">
    <w:name w:val="Heading 3 Char_be3a50e4-4687-4e28-84c6-06feabf4ffcd"/>
    <w:basedOn w:val="style65"/>
    <w:next w:val="style4099"/>
    <w:link w:val="style3"/>
    <w:uiPriority w:val="9"/>
    <w:rPr>
      <w:rFonts w:cs="宋体" w:eastAsia="宋体"/>
      <w:color w:val="2f5496"/>
      <w:sz w:val="28"/>
      <w:szCs w:val="28"/>
    </w:rPr>
  </w:style>
  <w:style w:type="character" w:customStyle="1" w:styleId="style4100">
    <w:name w:val="Heading 4 Char_d945fff6-5445-4ae3-8910-14202a1a9a9d"/>
    <w:basedOn w:val="style65"/>
    <w:next w:val="style4100"/>
    <w:link w:val="style4"/>
    <w:uiPriority w:val="9"/>
    <w:rPr>
      <w:rFonts w:cs="宋体" w:eastAsia="宋体"/>
      <w:i/>
      <w:iCs/>
      <w:color w:val="2f5496"/>
      <w:sz w:val="24"/>
      <w:szCs w:val="24"/>
    </w:rPr>
  </w:style>
  <w:style w:type="character" w:customStyle="1" w:styleId="style4101">
    <w:name w:val="Heading 5 Char_e1cd541a-f89c-4a99-adae-90f77ed29d06"/>
    <w:basedOn w:val="style65"/>
    <w:next w:val="style4101"/>
    <w:link w:val="style5"/>
    <w:uiPriority w:val="9"/>
    <w:rPr>
      <w:rFonts w:cs="宋体" w:eastAsia="宋体"/>
      <w:color w:val="2f5496"/>
      <w:sz w:val="24"/>
      <w:szCs w:val="24"/>
    </w:rPr>
  </w:style>
  <w:style w:type="character" w:customStyle="1" w:styleId="style4102">
    <w:name w:val="Heading 6 Char_2ae15988-d9ad-4b92-80ac-3488b64abd61"/>
    <w:basedOn w:val="style65"/>
    <w:next w:val="style4102"/>
    <w:link w:val="style6"/>
    <w:uiPriority w:val="9"/>
    <w:rPr>
      <w:rFonts w:cs="宋体" w:eastAsia="宋体"/>
      <w:i/>
      <w:iCs/>
      <w:color w:val="595959"/>
      <w:sz w:val="24"/>
      <w:szCs w:val="24"/>
    </w:rPr>
  </w:style>
  <w:style w:type="character" w:customStyle="1" w:styleId="style4103">
    <w:name w:val="Heading 7 Char_f3592830-b04e-4351-92d7-3c0aff30aabe"/>
    <w:basedOn w:val="style65"/>
    <w:next w:val="style4103"/>
    <w:link w:val="style7"/>
    <w:uiPriority w:val="9"/>
    <w:rPr>
      <w:rFonts w:cs="宋体" w:eastAsia="宋体"/>
      <w:color w:val="595959"/>
      <w:sz w:val="24"/>
      <w:szCs w:val="24"/>
    </w:rPr>
  </w:style>
  <w:style w:type="character" w:customStyle="1" w:styleId="style4104">
    <w:name w:val="Heading 8 Char_dc3231f6-74cb-4fe0-adce-19551f2ab5e6"/>
    <w:basedOn w:val="style65"/>
    <w:next w:val="style4104"/>
    <w:link w:val="style8"/>
    <w:uiPriority w:val="9"/>
    <w:rPr>
      <w:rFonts w:cs="宋体" w:eastAsia="宋体"/>
      <w:i/>
      <w:iCs/>
      <w:color w:val="272727"/>
      <w:sz w:val="24"/>
      <w:szCs w:val="24"/>
    </w:rPr>
  </w:style>
  <w:style w:type="character" w:customStyle="1" w:styleId="style4105">
    <w:name w:val="Heading 9 Char_3b2be3c9-d156-45c1-a866-1ce90d5748c1"/>
    <w:basedOn w:val="style65"/>
    <w:next w:val="style4105"/>
    <w:link w:val="style9"/>
    <w:uiPriority w:val="9"/>
    <w:rPr>
      <w:rFonts w:cs="宋体" w:eastAsia="宋体"/>
      <w:color w:val="272727"/>
      <w:sz w:val="24"/>
      <w:szCs w:val="24"/>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2567804f-62c1-4c74-8bab-10b0aeceb827"/>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ascii="Calibri" w:cs="宋体" w:eastAsia="宋体" w:hAnsi="Calibri"/>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12138c52-e9cc-44c1-8de8-355193f92d4f"/>
    <w:basedOn w:val="style65"/>
    <w:next w:val="style4108"/>
    <w:link w:val="style180"/>
    <w:uiPriority w:val="29"/>
    <w:rPr>
      <w:rFonts w:ascii="Times New Roman" w:cs="Times New Roman" w:hAnsi="Times New Roman"/>
      <w:i/>
      <w:iCs/>
      <w:color w:val="404040"/>
      <w:sz w:val="24"/>
      <w:szCs w:val="24"/>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77cac62f-543f-4d1d-9b39-fb3a2447c531"/>
    <w:basedOn w:val="style65"/>
    <w:next w:val="style4109"/>
    <w:link w:val="style181"/>
    <w:uiPriority w:val="30"/>
    <w:rPr>
      <w:rFonts w:ascii="Times New Roman" w:cs="Times New Roman" w:hAnsi="Times New Roman"/>
      <w:i/>
      <w:iCs/>
      <w:color w:val="2f5496"/>
      <w:sz w:val="24"/>
      <w:szCs w:val="24"/>
    </w:rPr>
  </w:style>
  <w:style w:type="character" w:styleId="style263">
    <w:name w:val="Intense Reference"/>
    <w:basedOn w:val="style65"/>
    <w:next w:val="style263"/>
    <w:qFormat/>
    <w:uiPriority w:val="32"/>
    <w:rPr>
      <w:b/>
      <w:bCs/>
      <w:smallCaps/>
      <w:color w:val="2f5496"/>
      <w:spacing w:val="5"/>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1">
    <w:name w:val="header"/>
    <w:basedOn w:val="style0"/>
    <w:next w:val="style31"/>
    <w:link w:val="style4110"/>
    <w:uiPriority w:val="99"/>
    <w:pPr>
      <w:tabs>
        <w:tab w:val="center" w:leader="none" w:pos="4513"/>
        <w:tab w:val="right" w:leader="none" w:pos="9026"/>
      </w:tabs>
      <w:spacing w:before="0" w:after="0" w:lineRule="auto" w:line="240"/>
    </w:pPr>
    <w:rPr/>
  </w:style>
  <w:style w:type="character" w:customStyle="1" w:styleId="style4110">
    <w:name w:val="Header Char_077cb8e7-6df0-4991-a910-70f8448a8e99"/>
    <w:basedOn w:val="style65"/>
    <w:next w:val="style4110"/>
    <w:link w:val="style31"/>
    <w:uiPriority w:val="99"/>
    <w:rPr>
      <w:rFonts w:ascii="Times New Roman" w:cs="Times New Roman" w:hAnsi="Times New Roman"/>
      <w:color w:val="000000"/>
      <w:lang w:val="en-GB"/>
    </w:rPr>
  </w:style>
  <w:style w:type="paragraph" w:styleId="style32">
    <w:name w:val="footer"/>
    <w:basedOn w:val="style0"/>
    <w:next w:val="style32"/>
    <w:link w:val="style4111"/>
    <w:uiPriority w:val="99"/>
    <w:pPr>
      <w:tabs>
        <w:tab w:val="center" w:leader="none" w:pos="4513"/>
        <w:tab w:val="right" w:leader="none" w:pos="9026"/>
      </w:tabs>
      <w:spacing w:before="0" w:after="0" w:lineRule="auto" w:line="240"/>
    </w:pPr>
    <w:rPr/>
  </w:style>
  <w:style w:type="character" w:customStyle="1" w:styleId="style4111">
    <w:name w:val="Footer Char_596621da-71e2-441a-8d20-994bc28a64f0"/>
    <w:basedOn w:val="style65"/>
    <w:next w:val="style4111"/>
    <w:link w:val="style32"/>
    <w:uiPriority w:val="99"/>
    <w:rPr>
      <w:rFonts w:ascii="Times New Roman" w:cs="Times New Roman" w:hAnsi="Times New Roman"/>
      <w:color w:val="000000"/>
      <w:lang w:val="en-GB"/>
    </w:rPr>
  </w:style>
  <w:style w:type="character" w:styleId="style85">
    <w:name w:val="Hyperlink"/>
    <w:basedOn w:val="style65"/>
    <w:next w:val="style85"/>
    <w:uiPriority w:val="99"/>
    <w:rPr>
      <w:color w:val="0563c1"/>
      <w:u w:val="single"/>
    </w:rPr>
  </w:style>
  <w:style w:type="paragraph" w:styleId="style266">
    <w:name w:val="TOC Heading"/>
    <w:basedOn w:val="style1"/>
    <w:next w:val="style0"/>
    <w:qFormat/>
    <w:uiPriority w:val="39"/>
    <w:pPr>
      <w:keepNext/>
      <w:keepLines/>
      <w:spacing w:before="240" w:after="0" w:lineRule="auto" w:line="259"/>
      <w:jc w:val="left"/>
      <w:outlineLvl w:val="9"/>
    </w:pPr>
    <w:rPr>
      <w:rFonts w:ascii="Calibri Light" w:cs="宋体" w:eastAsia="宋体" w:hAnsi="Calibri Light"/>
      <w:b w:val="false"/>
      <w:bCs w:val="false"/>
      <w:color w:val="2f5496"/>
      <w:kern w:val="0"/>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153">
    <w:name w:val="Balloon Text"/>
    <w:basedOn w:val="style0"/>
    <w:next w:val="style153"/>
    <w:link w:val="style4112"/>
    <w:uiPriority w:val="99"/>
    <w:pPr>
      <w:spacing w:before="0" w:after="0" w:lineRule="auto" w:line="240"/>
    </w:pPr>
    <w:rPr>
      <w:rFonts w:ascii="Tahoma" w:cs="Tahoma" w:hAnsi="Tahoma"/>
      <w:sz w:val="16"/>
      <w:szCs w:val="16"/>
    </w:rPr>
  </w:style>
  <w:style w:type="character" w:customStyle="1" w:styleId="style4112">
    <w:name w:val="Balloon Text Char"/>
    <w:basedOn w:val="style65"/>
    <w:next w:val="style4112"/>
    <w:link w:val="style153"/>
    <w:uiPriority w:val="99"/>
    <w:rPr>
      <w:rFonts w:ascii="Tahoma" w:cs="Tahoma" w:hAnsi="Tahoma"/>
      <w:color w:val="000000"/>
      <w:sz w:val="16"/>
      <w:szCs w:val="16"/>
      <w:lang w:val="en-GB"/>
    </w:rPr>
  </w:style>
</w:styles>
</file>

<file path=word/_rels/document.xml.rels><?xml version="1.0" encoding="UTF-8"?>
<Relationships xmlns="http://schemas.openxmlformats.org/package/2006/relationships"><Relationship Id="rId20" Type="http://schemas.microsoft.com/office/2007/relationships/diagramDrawing" Target="diagrams/drawing2.xml"/><Relationship Id="rId22" Type="http://schemas.openxmlformats.org/officeDocument/2006/relationships/theme" Target="theme/theme1.xml"/><Relationship Id="rId10" Type="http://schemas.openxmlformats.org/officeDocument/2006/relationships/image" Target="media/image4.png"/><Relationship Id="rId21" Type="http://schemas.openxmlformats.org/officeDocument/2006/relationships/settings" Target="settings.xml"/><Relationship Id="rId13" Type="http://schemas.openxmlformats.org/officeDocument/2006/relationships/diagramLayout" Target="diagrams/layout2.xml"/><Relationship Id="rId12" Type="http://schemas.openxmlformats.org/officeDocument/2006/relationships/diagramData" Target="diagrams/data2.xml"/><Relationship Id="rId23" Type="http://schemas.openxmlformats.org/officeDocument/2006/relationships/customXml" Target="../customXml/item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diagramColors" Target="diagrams/colors1.xml"/><Relationship Id="rId15" Type="http://schemas.openxmlformats.org/officeDocument/2006/relationships/diagramQuickStyle" Target="diagrams/quickStyle2.xml"/><Relationship Id="rId14" Type="http://schemas.microsoft.com/office/2007/relationships/diagramDrawing" Target="diagrams/drawing1.xml"/><Relationship Id="rId17" Type="http://schemas.openxmlformats.org/officeDocument/2006/relationships/footer" Target="footer1.xml"/><Relationship Id="rId16" Type="http://schemas.openxmlformats.org/officeDocument/2006/relationships/diagramColors" Target="diagrams/colors2.xml"/><Relationship Id="rId19" Type="http://schemas.openxmlformats.org/officeDocument/2006/relationships/fontTable" Target="fontTable.xml"/><Relationship Id="rId6" Type="http://schemas.openxmlformats.org/officeDocument/2006/relationships/diagramData" Target="diagrams/data1.xml"/><Relationship Id="rId18" Type="http://schemas.openxmlformats.org/officeDocument/2006/relationships/styles" Target="styles.xml"/><Relationship Id="rId7" Type="http://schemas.openxmlformats.org/officeDocument/2006/relationships/diagramLayout" Target="diagrams/layout1.xml"/><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4036B6-EE42-4953-93B5-30A491427C39}" type="doc">
      <dgm:prSet loTypeId="urn:microsoft.com/office/officeart/2005/8/layout/hierarchy1" loCatId="hierarchy" qsTypeId="urn:microsoft.com/office/officeart/2005/8/quickstyle/simple1" qsCatId="simple" csTypeId="urn:microsoft.com/office/officeart/2005/8/colors/colorful5" csCatId="colorful" phldr="1"/>
      <dgm:spPr/>
      <dgm:t>
        <a:bodyPr/>
        <a:lstStyle/>
        <a:p>
          <a:endParaRPr lang="en-IN"/>
        </a:p>
      </dgm:t>
    </dgm:pt>
    <dgm:pt modelId="{7120BB01-7BE6-425E-8C6C-A01CFF0F6851}">
      <dgm:prSet phldrT="[Text]" custT="1"/>
      <dgm:spPr/>
      <dgm:t>
        <a:bodyPr/>
        <a:lstStyle/>
        <a:p>
          <a:pPr>
            <a:buNone/>
          </a:pPr>
          <a:r>
            <a:rPr lang="en-GB" sz="1600" b="1"/>
            <a:t>SWOT Analysis </a:t>
          </a:r>
          <a:endParaRPr lang="en-IN" sz="1600" b="1"/>
        </a:p>
      </dgm:t>
    </dgm:pt>
    <dgm:pt modelId="{1001C838-CEE9-49C6-9DB6-EAAA4F22A4FA}" type="parTrans" cxnId="{CF5CE393-AEE1-4AD3-B713-89C2F4A2B7E1}">
      <dgm:prSet/>
      <dgm:spPr/>
      <dgm:t>
        <a:bodyPr/>
        <a:lstStyle/>
        <a:p>
          <a:endParaRPr lang="en-IN" sz="1400"/>
        </a:p>
      </dgm:t>
    </dgm:pt>
    <dgm:pt modelId="{E457CF7F-9CFF-46F6-9435-8C4C235B22DD}" type="sibTrans" cxnId="{CF5CE393-AEE1-4AD3-B713-89C2F4A2B7E1}">
      <dgm:prSet/>
      <dgm:spPr/>
      <dgm:t>
        <a:bodyPr/>
        <a:lstStyle/>
        <a:p>
          <a:endParaRPr lang="en-IN" sz="1400"/>
        </a:p>
      </dgm:t>
    </dgm:pt>
    <dgm:pt modelId="{B1E01235-110E-4525-B675-191FF1439CD8}">
      <dgm:prSet phldrT="[Text]" custT="1"/>
      <dgm:spPr/>
      <dgm:t>
        <a:bodyPr/>
        <a:lstStyle/>
        <a:p>
          <a:pPr>
            <a:buNone/>
          </a:pPr>
          <a:r>
            <a:rPr lang="en-GB" sz="1200" b="0" i="1"/>
            <a:t>Strengths</a:t>
          </a:r>
          <a:endParaRPr lang="en-IN" sz="1200" b="0"/>
        </a:p>
      </dgm:t>
    </dgm:pt>
    <dgm:pt modelId="{AEDB2501-8317-41BF-B8F0-65D0E99B796D}" type="parTrans" cxnId="{3BEB4C35-15E4-4455-A0AD-CAAA8A36BC1F}">
      <dgm:prSet/>
      <dgm:spPr/>
      <dgm:t>
        <a:bodyPr/>
        <a:lstStyle/>
        <a:p>
          <a:endParaRPr lang="en-IN" sz="1400" b="0"/>
        </a:p>
      </dgm:t>
    </dgm:pt>
    <dgm:pt modelId="{725DD104-CCC0-4695-BF9E-F0390024FCB6}" type="sibTrans" cxnId="{3BEB4C35-15E4-4455-A0AD-CAAA8A36BC1F}">
      <dgm:prSet/>
      <dgm:spPr/>
      <dgm:t>
        <a:bodyPr/>
        <a:lstStyle/>
        <a:p>
          <a:endParaRPr lang="en-IN" sz="1400"/>
        </a:p>
      </dgm:t>
    </dgm:pt>
    <dgm:pt modelId="{40D3135C-C4E7-4E92-A677-1CB8D286A456}">
      <dgm:prSet phldrT="[Text]" custT="1"/>
      <dgm:spPr/>
      <dgm:t>
        <a:bodyPr/>
        <a:lstStyle/>
        <a:p>
          <a:pPr>
            <a:buNone/>
          </a:pPr>
          <a:r>
            <a:rPr lang="en-GB" sz="1200" b="0"/>
            <a:t>Weaknesses</a:t>
          </a:r>
          <a:endParaRPr lang="en-IN" sz="1200" b="0"/>
        </a:p>
      </dgm:t>
    </dgm:pt>
    <dgm:pt modelId="{93144673-F0E1-4B36-871E-A1C8D7A60C08}" type="parTrans" cxnId="{A2317CDE-F1AC-4710-A501-2FBA2E387117}">
      <dgm:prSet/>
      <dgm:spPr/>
      <dgm:t>
        <a:bodyPr/>
        <a:lstStyle/>
        <a:p>
          <a:endParaRPr lang="en-IN" sz="1400" b="0"/>
        </a:p>
      </dgm:t>
    </dgm:pt>
    <dgm:pt modelId="{CB212ED0-7AFE-46A0-9322-D3007A55BC84}" type="sibTrans" cxnId="{A2317CDE-F1AC-4710-A501-2FBA2E387117}">
      <dgm:prSet/>
      <dgm:spPr/>
      <dgm:t>
        <a:bodyPr/>
        <a:lstStyle/>
        <a:p>
          <a:endParaRPr lang="en-IN" sz="1400"/>
        </a:p>
      </dgm:t>
    </dgm:pt>
    <dgm:pt modelId="{52CA1DE1-6A70-48A6-B7EA-E3C7E7180F10}">
      <dgm:prSet phldrT="[Text]" custT="1"/>
      <dgm:spPr/>
      <dgm:t>
        <a:bodyPr/>
        <a:lstStyle/>
        <a:p>
          <a:pPr>
            <a:buNone/>
          </a:pPr>
          <a:r>
            <a:rPr lang="en-GB" sz="1200" b="0"/>
            <a:t>Opportunities</a:t>
          </a:r>
          <a:endParaRPr lang="en-IN" sz="1200" b="0"/>
        </a:p>
      </dgm:t>
    </dgm:pt>
    <dgm:pt modelId="{04C1D744-5073-4BDF-92DE-F726C27B7CDB}" type="parTrans" cxnId="{8C6F443A-3E9A-4733-91BB-0C76EBA6A1A1}">
      <dgm:prSet/>
      <dgm:spPr/>
      <dgm:t>
        <a:bodyPr/>
        <a:lstStyle/>
        <a:p>
          <a:endParaRPr lang="en-IN" sz="1400" b="0"/>
        </a:p>
      </dgm:t>
    </dgm:pt>
    <dgm:pt modelId="{3ABAB3E9-3FA0-485F-B7E2-09629A20D518}" type="sibTrans" cxnId="{8C6F443A-3E9A-4733-91BB-0C76EBA6A1A1}">
      <dgm:prSet/>
      <dgm:spPr/>
      <dgm:t>
        <a:bodyPr/>
        <a:lstStyle/>
        <a:p>
          <a:endParaRPr lang="en-IN" sz="1400"/>
        </a:p>
      </dgm:t>
    </dgm:pt>
    <dgm:pt modelId="{35864880-E47A-4538-808D-BD0866EB8A3F}">
      <dgm:prSet phldrT="[Text]" custT="1"/>
      <dgm:spPr/>
      <dgm:t>
        <a:bodyPr/>
        <a:lstStyle/>
        <a:p>
          <a:pPr>
            <a:buNone/>
          </a:pPr>
          <a:r>
            <a:rPr lang="en-GB" sz="1200" b="0"/>
            <a:t>Threats </a:t>
          </a:r>
          <a:endParaRPr lang="en-IN" sz="1200" b="0"/>
        </a:p>
      </dgm:t>
    </dgm:pt>
    <dgm:pt modelId="{7CBF0374-5A53-4AF9-BC34-743F35682B9E}" type="parTrans" cxnId="{F45C10B7-AE2C-443B-9F8F-346D9FEA2C64}">
      <dgm:prSet/>
      <dgm:spPr/>
      <dgm:t>
        <a:bodyPr/>
        <a:lstStyle/>
        <a:p>
          <a:endParaRPr lang="en-IN" sz="1400" b="0"/>
        </a:p>
      </dgm:t>
    </dgm:pt>
    <dgm:pt modelId="{D96FD3C8-6A02-4700-B770-AB0B06B652D0}" type="sibTrans" cxnId="{F45C10B7-AE2C-443B-9F8F-346D9FEA2C64}">
      <dgm:prSet/>
      <dgm:spPr/>
      <dgm:t>
        <a:bodyPr/>
        <a:lstStyle/>
        <a:p>
          <a:endParaRPr lang="en-IN" sz="1400"/>
        </a:p>
      </dgm:t>
    </dgm:pt>
    <dgm:pt modelId="{44D871E7-3D81-4D59-B847-ED675140BBA7}" type="pres">
      <dgm:prSet presAssocID="{5E4036B6-EE42-4953-93B5-30A491427C39}" presName="hierChild1" presStyleCnt="0">
        <dgm:presLayoutVars>
          <dgm:chPref val="1"/>
          <dgm:dir/>
          <dgm:animOne val="branch"/>
          <dgm:animLvl val="lvl"/>
          <dgm:resizeHandles/>
        </dgm:presLayoutVars>
      </dgm:prSet>
      <dgm:spPr/>
    </dgm:pt>
    <dgm:pt modelId="{EA665F15-0E5C-4297-83DC-4001914B4FF9}" type="pres">
      <dgm:prSet presAssocID="{7120BB01-7BE6-425E-8C6C-A01CFF0F6851}" presName="hierRoot1" presStyleCnt="0"/>
      <dgm:spPr/>
    </dgm:pt>
    <dgm:pt modelId="{BD37E1EE-E0A3-493F-9922-CBEBEF29F757}" type="pres">
      <dgm:prSet presAssocID="{7120BB01-7BE6-425E-8C6C-A01CFF0F6851}" presName="composite" presStyleCnt="0"/>
      <dgm:spPr/>
    </dgm:pt>
    <dgm:pt modelId="{850CEB9B-4567-4ABB-9155-4CBC56C8C6D4}" type="pres">
      <dgm:prSet presAssocID="{7120BB01-7BE6-425E-8C6C-A01CFF0F6851}" presName="background" presStyleLbl="node0" presStyleIdx="0" presStyleCnt="1"/>
      <dgm:spPr/>
    </dgm:pt>
    <dgm:pt modelId="{D0085B11-C59F-46F9-A41A-2B0A65CF7283}" type="pres">
      <dgm:prSet presAssocID="{7120BB01-7BE6-425E-8C6C-A01CFF0F6851}" presName="text" presStyleLbl="fgAcc0" presStyleIdx="0" presStyleCnt="1">
        <dgm:presLayoutVars>
          <dgm:chPref val="3"/>
        </dgm:presLayoutVars>
      </dgm:prSet>
      <dgm:spPr/>
    </dgm:pt>
    <dgm:pt modelId="{66494A02-DF9C-4C66-9F9D-1A81DB4E1789}" type="pres">
      <dgm:prSet presAssocID="{7120BB01-7BE6-425E-8C6C-A01CFF0F6851}" presName="hierChild2" presStyleCnt="0"/>
      <dgm:spPr/>
    </dgm:pt>
    <dgm:pt modelId="{ABC72B4C-BFCC-4732-9A6A-BFBAD03DBB53}" type="pres">
      <dgm:prSet presAssocID="{AEDB2501-8317-41BF-B8F0-65D0E99B796D}" presName="Name10" presStyleLbl="parChTrans1D2" presStyleIdx="0" presStyleCnt="4"/>
      <dgm:spPr/>
    </dgm:pt>
    <dgm:pt modelId="{1A28AD10-2A91-40E7-B94C-EE7FE8F485F8}" type="pres">
      <dgm:prSet presAssocID="{B1E01235-110E-4525-B675-191FF1439CD8}" presName="hierRoot2" presStyleCnt="0"/>
      <dgm:spPr/>
    </dgm:pt>
    <dgm:pt modelId="{16A3C91D-7C96-46B5-AD1D-F13DDFF8C292}" type="pres">
      <dgm:prSet presAssocID="{B1E01235-110E-4525-B675-191FF1439CD8}" presName="composite2" presStyleCnt="0"/>
      <dgm:spPr/>
    </dgm:pt>
    <dgm:pt modelId="{F0C0D214-670F-492A-92DF-D7FEC8435DED}" type="pres">
      <dgm:prSet presAssocID="{B1E01235-110E-4525-B675-191FF1439CD8}" presName="background2" presStyleLbl="node2" presStyleIdx="0" presStyleCnt="4"/>
      <dgm:spPr/>
    </dgm:pt>
    <dgm:pt modelId="{21159D29-D1DE-4DE3-B196-2402781930DD}" type="pres">
      <dgm:prSet presAssocID="{B1E01235-110E-4525-B675-191FF1439CD8}" presName="text2" presStyleLbl="fgAcc2" presStyleIdx="0" presStyleCnt="4">
        <dgm:presLayoutVars>
          <dgm:chPref val="3"/>
        </dgm:presLayoutVars>
      </dgm:prSet>
      <dgm:spPr/>
    </dgm:pt>
    <dgm:pt modelId="{7ADE2B9F-C13F-4ECC-AE0B-CA879FCF2914}" type="pres">
      <dgm:prSet presAssocID="{B1E01235-110E-4525-B675-191FF1439CD8}" presName="hierChild3" presStyleCnt="0"/>
      <dgm:spPr/>
    </dgm:pt>
    <dgm:pt modelId="{C6CEB8A4-2EC1-4B80-B607-A051DEA9BAD2}" type="pres">
      <dgm:prSet presAssocID="{93144673-F0E1-4B36-871E-A1C8D7A60C08}" presName="Name10" presStyleLbl="parChTrans1D2" presStyleIdx="1" presStyleCnt="4"/>
      <dgm:spPr/>
    </dgm:pt>
    <dgm:pt modelId="{935F6F9F-469E-42F3-A193-4C382879DE51}" type="pres">
      <dgm:prSet presAssocID="{40D3135C-C4E7-4E92-A677-1CB8D286A456}" presName="hierRoot2" presStyleCnt="0"/>
      <dgm:spPr/>
    </dgm:pt>
    <dgm:pt modelId="{157C9796-348B-4960-AB6B-CDB37F40FA03}" type="pres">
      <dgm:prSet presAssocID="{40D3135C-C4E7-4E92-A677-1CB8D286A456}" presName="composite2" presStyleCnt="0"/>
      <dgm:spPr/>
    </dgm:pt>
    <dgm:pt modelId="{00E60B8D-5EC5-465B-B339-FB12AC18A4AD}" type="pres">
      <dgm:prSet presAssocID="{40D3135C-C4E7-4E92-A677-1CB8D286A456}" presName="background2" presStyleLbl="node2" presStyleIdx="1" presStyleCnt="4"/>
      <dgm:spPr/>
    </dgm:pt>
    <dgm:pt modelId="{7639253E-776D-42AC-B07B-6749CE7E391A}" type="pres">
      <dgm:prSet presAssocID="{40D3135C-C4E7-4E92-A677-1CB8D286A456}" presName="text2" presStyleLbl="fgAcc2" presStyleIdx="1" presStyleCnt="4">
        <dgm:presLayoutVars>
          <dgm:chPref val="3"/>
        </dgm:presLayoutVars>
      </dgm:prSet>
      <dgm:spPr/>
    </dgm:pt>
    <dgm:pt modelId="{4AB481FA-B7B6-4ED5-9D15-360FF4C62CBC}" type="pres">
      <dgm:prSet presAssocID="{40D3135C-C4E7-4E92-A677-1CB8D286A456}" presName="hierChild3" presStyleCnt="0"/>
      <dgm:spPr/>
    </dgm:pt>
    <dgm:pt modelId="{85FB15A0-986A-45B7-8905-CBA3C7185121}" type="pres">
      <dgm:prSet presAssocID="{04C1D744-5073-4BDF-92DE-F726C27B7CDB}" presName="Name10" presStyleLbl="parChTrans1D2" presStyleIdx="2" presStyleCnt="4"/>
      <dgm:spPr/>
    </dgm:pt>
    <dgm:pt modelId="{15097EC7-EDF6-457E-AB94-0276BED79E8C}" type="pres">
      <dgm:prSet presAssocID="{52CA1DE1-6A70-48A6-B7EA-E3C7E7180F10}" presName="hierRoot2" presStyleCnt="0"/>
      <dgm:spPr/>
    </dgm:pt>
    <dgm:pt modelId="{E0EB81B3-8D9E-4451-9443-8B71D1FB326A}" type="pres">
      <dgm:prSet presAssocID="{52CA1DE1-6A70-48A6-B7EA-E3C7E7180F10}" presName="composite2" presStyleCnt="0"/>
      <dgm:spPr/>
    </dgm:pt>
    <dgm:pt modelId="{AAE33D89-7E2B-45A1-801F-44E94FE62285}" type="pres">
      <dgm:prSet presAssocID="{52CA1DE1-6A70-48A6-B7EA-E3C7E7180F10}" presName="background2" presStyleLbl="node2" presStyleIdx="2" presStyleCnt="4"/>
      <dgm:spPr/>
    </dgm:pt>
    <dgm:pt modelId="{BFA399C7-97D3-4BC8-943E-730FB2D56070}" type="pres">
      <dgm:prSet presAssocID="{52CA1DE1-6A70-48A6-B7EA-E3C7E7180F10}" presName="text2" presStyleLbl="fgAcc2" presStyleIdx="2" presStyleCnt="4">
        <dgm:presLayoutVars>
          <dgm:chPref val="3"/>
        </dgm:presLayoutVars>
      </dgm:prSet>
      <dgm:spPr/>
    </dgm:pt>
    <dgm:pt modelId="{FE68932C-77D5-4B7F-8F5C-F8C684520613}" type="pres">
      <dgm:prSet presAssocID="{52CA1DE1-6A70-48A6-B7EA-E3C7E7180F10}" presName="hierChild3" presStyleCnt="0"/>
      <dgm:spPr/>
    </dgm:pt>
    <dgm:pt modelId="{A3EE81A4-FB3D-486A-8CD7-8A83DA5FB34A}" type="pres">
      <dgm:prSet presAssocID="{7CBF0374-5A53-4AF9-BC34-743F35682B9E}" presName="Name10" presStyleLbl="parChTrans1D2" presStyleIdx="3" presStyleCnt="4"/>
      <dgm:spPr/>
    </dgm:pt>
    <dgm:pt modelId="{AB6F2B95-363B-41A8-BCC5-318000F5F8D2}" type="pres">
      <dgm:prSet presAssocID="{35864880-E47A-4538-808D-BD0866EB8A3F}" presName="hierRoot2" presStyleCnt="0"/>
      <dgm:spPr/>
    </dgm:pt>
    <dgm:pt modelId="{118C924E-A995-4B67-9CFE-F2BE3548E597}" type="pres">
      <dgm:prSet presAssocID="{35864880-E47A-4538-808D-BD0866EB8A3F}" presName="composite2" presStyleCnt="0"/>
      <dgm:spPr/>
    </dgm:pt>
    <dgm:pt modelId="{2D815EFA-6CA3-4C29-B760-12ED0CFC9D50}" type="pres">
      <dgm:prSet presAssocID="{35864880-E47A-4538-808D-BD0866EB8A3F}" presName="background2" presStyleLbl="node2" presStyleIdx="3" presStyleCnt="4"/>
      <dgm:spPr/>
    </dgm:pt>
    <dgm:pt modelId="{757498D2-FCF1-4B42-8854-302DD77F1D57}" type="pres">
      <dgm:prSet presAssocID="{35864880-E47A-4538-808D-BD0866EB8A3F}" presName="text2" presStyleLbl="fgAcc2" presStyleIdx="3" presStyleCnt="4">
        <dgm:presLayoutVars>
          <dgm:chPref val="3"/>
        </dgm:presLayoutVars>
      </dgm:prSet>
      <dgm:spPr/>
    </dgm:pt>
    <dgm:pt modelId="{7E421639-CF36-46AC-BA1B-D440AA3A0544}" type="pres">
      <dgm:prSet presAssocID="{35864880-E47A-4538-808D-BD0866EB8A3F}" presName="hierChild3" presStyleCnt="0"/>
      <dgm:spPr/>
    </dgm:pt>
  </dgm:ptLst>
  <dgm:cxnLst>
    <dgm:cxn modelId="{3BEB4C35-15E4-4455-A0AD-CAAA8A36BC1F}" srcId="{7120BB01-7BE6-425E-8C6C-A01CFF0F6851}" destId="{B1E01235-110E-4525-B675-191FF1439CD8}" srcOrd="0" destOrd="0" parTransId="{AEDB2501-8317-41BF-B8F0-65D0E99B796D}" sibTransId="{725DD104-CCC0-4695-BF9E-F0390024FCB6}"/>
    <dgm:cxn modelId="{8C6F443A-3E9A-4733-91BB-0C76EBA6A1A1}" srcId="{7120BB01-7BE6-425E-8C6C-A01CFF0F6851}" destId="{52CA1DE1-6A70-48A6-B7EA-E3C7E7180F10}" srcOrd="2" destOrd="0" parTransId="{04C1D744-5073-4BDF-92DE-F726C27B7CDB}" sibTransId="{3ABAB3E9-3FA0-485F-B7E2-09629A20D518}"/>
    <dgm:cxn modelId="{5B62E85B-268D-40D0-A60D-9C1A6ABCE302}" type="presOf" srcId="{7120BB01-7BE6-425E-8C6C-A01CFF0F6851}" destId="{D0085B11-C59F-46F9-A41A-2B0A65CF7283}" srcOrd="0" destOrd="0" presId="urn:microsoft.com/office/officeart/2005/8/layout/hierarchy1"/>
    <dgm:cxn modelId="{783C815E-FC10-40E8-9770-0BB7C91BBEF7}" type="presOf" srcId="{40D3135C-C4E7-4E92-A677-1CB8D286A456}" destId="{7639253E-776D-42AC-B07B-6749CE7E391A}" srcOrd="0" destOrd="0" presId="urn:microsoft.com/office/officeart/2005/8/layout/hierarchy1"/>
    <dgm:cxn modelId="{6EE9FC70-2AED-4E2B-B03F-7BB46BBA2AD2}" type="presOf" srcId="{52CA1DE1-6A70-48A6-B7EA-E3C7E7180F10}" destId="{BFA399C7-97D3-4BC8-943E-730FB2D56070}" srcOrd="0" destOrd="0" presId="urn:microsoft.com/office/officeart/2005/8/layout/hierarchy1"/>
    <dgm:cxn modelId="{6F289653-5B39-4935-8AE0-72987FA46664}" type="presOf" srcId="{B1E01235-110E-4525-B675-191FF1439CD8}" destId="{21159D29-D1DE-4DE3-B196-2402781930DD}" srcOrd="0" destOrd="0" presId="urn:microsoft.com/office/officeart/2005/8/layout/hierarchy1"/>
    <dgm:cxn modelId="{31FC827B-FA31-433A-B6BF-6B3D78C77D9E}" type="presOf" srcId="{93144673-F0E1-4B36-871E-A1C8D7A60C08}" destId="{C6CEB8A4-2EC1-4B80-B607-A051DEA9BAD2}" srcOrd="0" destOrd="0" presId="urn:microsoft.com/office/officeart/2005/8/layout/hierarchy1"/>
    <dgm:cxn modelId="{CF5CE393-AEE1-4AD3-B713-89C2F4A2B7E1}" srcId="{5E4036B6-EE42-4953-93B5-30A491427C39}" destId="{7120BB01-7BE6-425E-8C6C-A01CFF0F6851}" srcOrd="0" destOrd="0" parTransId="{1001C838-CEE9-49C6-9DB6-EAAA4F22A4FA}" sibTransId="{E457CF7F-9CFF-46F6-9435-8C4C235B22DD}"/>
    <dgm:cxn modelId="{20F5D4AD-EB4D-4B05-8696-438EA98EA455}" type="presOf" srcId="{7CBF0374-5A53-4AF9-BC34-743F35682B9E}" destId="{A3EE81A4-FB3D-486A-8CD7-8A83DA5FB34A}" srcOrd="0" destOrd="0" presId="urn:microsoft.com/office/officeart/2005/8/layout/hierarchy1"/>
    <dgm:cxn modelId="{F45C10B7-AE2C-443B-9F8F-346D9FEA2C64}" srcId="{7120BB01-7BE6-425E-8C6C-A01CFF0F6851}" destId="{35864880-E47A-4538-808D-BD0866EB8A3F}" srcOrd="3" destOrd="0" parTransId="{7CBF0374-5A53-4AF9-BC34-743F35682B9E}" sibTransId="{D96FD3C8-6A02-4700-B770-AB0B06B652D0}"/>
    <dgm:cxn modelId="{DEA97DB7-C6F3-4576-9AF3-9B6BDEE3E35F}" type="presOf" srcId="{04C1D744-5073-4BDF-92DE-F726C27B7CDB}" destId="{85FB15A0-986A-45B7-8905-CBA3C7185121}" srcOrd="0" destOrd="0" presId="urn:microsoft.com/office/officeart/2005/8/layout/hierarchy1"/>
    <dgm:cxn modelId="{722D39C8-93EB-4AE9-89EF-0D27F17D40C6}" type="presOf" srcId="{35864880-E47A-4538-808D-BD0866EB8A3F}" destId="{757498D2-FCF1-4B42-8854-302DD77F1D57}" srcOrd="0" destOrd="0" presId="urn:microsoft.com/office/officeart/2005/8/layout/hierarchy1"/>
    <dgm:cxn modelId="{35CF43D2-E4D4-4DD9-AB88-E7CF096D6C90}" type="presOf" srcId="{AEDB2501-8317-41BF-B8F0-65D0E99B796D}" destId="{ABC72B4C-BFCC-4732-9A6A-BFBAD03DBB53}" srcOrd="0" destOrd="0" presId="urn:microsoft.com/office/officeart/2005/8/layout/hierarchy1"/>
    <dgm:cxn modelId="{E53EADD2-C74D-4CB0-AD7C-3FDEF032ADF8}" type="presOf" srcId="{5E4036B6-EE42-4953-93B5-30A491427C39}" destId="{44D871E7-3D81-4D59-B847-ED675140BBA7}" srcOrd="0" destOrd="0" presId="urn:microsoft.com/office/officeart/2005/8/layout/hierarchy1"/>
    <dgm:cxn modelId="{A2317CDE-F1AC-4710-A501-2FBA2E387117}" srcId="{7120BB01-7BE6-425E-8C6C-A01CFF0F6851}" destId="{40D3135C-C4E7-4E92-A677-1CB8D286A456}" srcOrd="1" destOrd="0" parTransId="{93144673-F0E1-4B36-871E-A1C8D7A60C08}" sibTransId="{CB212ED0-7AFE-46A0-9322-D3007A55BC84}"/>
    <dgm:cxn modelId="{0D7CEDE9-0BFF-4110-9BE5-3B2E7123778B}" type="presParOf" srcId="{44D871E7-3D81-4D59-B847-ED675140BBA7}" destId="{EA665F15-0E5C-4297-83DC-4001914B4FF9}" srcOrd="0" destOrd="0" presId="urn:microsoft.com/office/officeart/2005/8/layout/hierarchy1"/>
    <dgm:cxn modelId="{4056A663-5B96-4A81-835F-9277D3BAEEFF}" type="presParOf" srcId="{EA665F15-0E5C-4297-83DC-4001914B4FF9}" destId="{BD37E1EE-E0A3-493F-9922-CBEBEF29F757}" srcOrd="0" destOrd="0" presId="urn:microsoft.com/office/officeart/2005/8/layout/hierarchy1"/>
    <dgm:cxn modelId="{ADF0E0B7-5013-4CF5-BDB1-F2F4791864A3}" type="presParOf" srcId="{BD37E1EE-E0A3-493F-9922-CBEBEF29F757}" destId="{850CEB9B-4567-4ABB-9155-4CBC56C8C6D4}" srcOrd="0" destOrd="0" presId="urn:microsoft.com/office/officeart/2005/8/layout/hierarchy1"/>
    <dgm:cxn modelId="{41BB4AD1-1836-4347-94C2-C37396D6BDA1}" type="presParOf" srcId="{BD37E1EE-E0A3-493F-9922-CBEBEF29F757}" destId="{D0085B11-C59F-46F9-A41A-2B0A65CF7283}" srcOrd="1" destOrd="0" presId="urn:microsoft.com/office/officeart/2005/8/layout/hierarchy1"/>
    <dgm:cxn modelId="{01B5D170-5831-4DEF-8DA9-1BD20364B3C4}" type="presParOf" srcId="{EA665F15-0E5C-4297-83DC-4001914B4FF9}" destId="{66494A02-DF9C-4C66-9F9D-1A81DB4E1789}" srcOrd="1" destOrd="0" presId="urn:microsoft.com/office/officeart/2005/8/layout/hierarchy1"/>
    <dgm:cxn modelId="{753285C8-7FB8-49F5-A4F5-E98994FAF583}" type="presParOf" srcId="{66494A02-DF9C-4C66-9F9D-1A81DB4E1789}" destId="{ABC72B4C-BFCC-4732-9A6A-BFBAD03DBB53}" srcOrd="0" destOrd="0" presId="urn:microsoft.com/office/officeart/2005/8/layout/hierarchy1"/>
    <dgm:cxn modelId="{776672FE-77AF-4C97-8B53-07BF0D8B52BB}" type="presParOf" srcId="{66494A02-DF9C-4C66-9F9D-1A81DB4E1789}" destId="{1A28AD10-2A91-40E7-B94C-EE7FE8F485F8}" srcOrd="1" destOrd="0" presId="urn:microsoft.com/office/officeart/2005/8/layout/hierarchy1"/>
    <dgm:cxn modelId="{FFA32E36-AFE6-4D47-A12F-C93262964FA4}" type="presParOf" srcId="{1A28AD10-2A91-40E7-B94C-EE7FE8F485F8}" destId="{16A3C91D-7C96-46B5-AD1D-F13DDFF8C292}" srcOrd="0" destOrd="0" presId="urn:microsoft.com/office/officeart/2005/8/layout/hierarchy1"/>
    <dgm:cxn modelId="{7667FEF0-0164-4442-9D23-697A98557678}" type="presParOf" srcId="{16A3C91D-7C96-46B5-AD1D-F13DDFF8C292}" destId="{F0C0D214-670F-492A-92DF-D7FEC8435DED}" srcOrd="0" destOrd="0" presId="urn:microsoft.com/office/officeart/2005/8/layout/hierarchy1"/>
    <dgm:cxn modelId="{BD8A66E7-82DD-4F6F-8F8F-96CAA63FF1EC}" type="presParOf" srcId="{16A3C91D-7C96-46B5-AD1D-F13DDFF8C292}" destId="{21159D29-D1DE-4DE3-B196-2402781930DD}" srcOrd="1" destOrd="0" presId="urn:microsoft.com/office/officeart/2005/8/layout/hierarchy1"/>
    <dgm:cxn modelId="{BED00EF8-BE45-45E0-B6F4-D56A76EB3565}" type="presParOf" srcId="{1A28AD10-2A91-40E7-B94C-EE7FE8F485F8}" destId="{7ADE2B9F-C13F-4ECC-AE0B-CA879FCF2914}" srcOrd="1" destOrd="0" presId="urn:microsoft.com/office/officeart/2005/8/layout/hierarchy1"/>
    <dgm:cxn modelId="{DDD9E510-F38E-4284-955A-89B3D7D74B7F}" type="presParOf" srcId="{66494A02-DF9C-4C66-9F9D-1A81DB4E1789}" destId="{C6CEB8A4-2EC1-4B80-B607-A051DEA9BAD2}" srcOrd="2" destOrd="0" presId="urn:microsoft.com/office/officeart/2005/8/layout/hierarchy1"/>
    <dgm:cxn modelId="{91F3D8F0-5272-4600-8F0B-EF86C2A5C0B8}" type="presParOf" srcId="{66494A02-DF9C-4C66-9F9D-1A81DB4E1789}" destId="{935F6F9F-469E-42F3-A193-4C382879DE51}" srcOrd="3" destOrd="0" presId="urn:microsoft.com/office/officeart/2005/8/layout/hierarchy1"/>
    <dgm:cxn modelId="{868F3F9B-87EF-4E76-814F-3AC0ECB2A27A}" type="presParOf" srcId="{935F6F9F-469E-42F3-A193-4C382879DE51}" destId="{157C9796-348B-4960-AB6B-CDB37F40FA03}" srcOrd="0" destOrd="0" presId="urn:microsoft.com/office/officeart/2005/8/layout/hierarchy1"/>
    <dgm:cxn modelId="{648E8BD1-305F-4249-B4C0-EC6AAC24F000}" type="presParOf" srcId="{157C9796-348B-4960-AB6B-CDB37F40FA03}" destId="{00E60B8D-5EC5-465B-B339-FB12AC18A4AD}" srcOrd="0" destOrd="0" presId="urn:microsoft.com/office/officeart/2005/8/layout/hierarchy1"/>
    <dgm:cxn modelId="{8CC36FC7-BBA1-4D95-923B-BE33D313C934}" type="presParOf" srcId="{157C9796-348B-4960-AB6B-CDB37F40FA03}" destId="{7639253E-776D-42AC-B07B-6749CE7E391A}" srcOrd="1" destOrd="0" presId="urn:microsoft.com/office/officeart/2005/8/layout/hierarchy1"/>
    <dgm:cxn modelId="{6AF5D813-B9AF-451D-95F3-ABF78A598AB7}" type="presParOf" srcId="{935F6F9F-469E-42F3-A193-4C382879DE51}" destId="{4AB481FA-B7B6-4ED5-9D15-360FF4C62CBC}" srcOrd="1" destOrd="0" presId="urn:microsoft.com/office/officeart/2005/8/layout/hierarchy1"/>
    <dgm:cxn modelId="{378BFEE1-FEA9-4DB8-BA6F-F9125E9BF1A9}" type="presParOf" srcId="{66494A02-DF9C-4C66-9F9D-1A81DB4E1789}" destId="{85FB15A0-986A-45B7-8905-CBA3C7185121}" srcOrd="4" destOrd="0" presId="urn:microsoft.com/office/officeart/2005/8/layout/hierarchy1"/>
    <dgm:cxn modelId="{91D70E6A-7F09-48F5-A7D0-3D723B9753E9}" type="presParOf" srcId="{66494A02-DF9C-4C66-9F9D-1A81DB4E1789}" destId="{15097EC7-EDF6-457E-AB94-0276BED79E8C}" srcOrd="5" destOrd="0" presId="urn:microsoft.com/office/officeart/2005/8/layout/hierarchy1"/>
    <dgm:cxn modelId="{BA196CBD-E59D-4462-B970-937464D7456A}" type="presParOf" srcId="{15097EC7-EDF6-457E-AB94-0276BED79E8C}" destId="{E0EB81B3-8D9E-4451-9443-8B71D1FB326A}" srcOrd="0" destOrd="0" presId="urn:microsoft.com/office/officeart/2005/8/layout/hierarchy1"/>
    <dgm:cxn modelId="{EED37E06-122C-4A80-B4DA-86ACEEEA5938}" type="presParOf" srcId="{E0EB81B3-8D9E-4451-9443-8B71D1FB326A}" destId="{AAE33D89-7E2B-45A1-801F-44E94FE62285}" srcOrd="0" destOrd="0" presId="urn:microsoft.com/office/officeart/2005/8/layout/hierarchy1"/>
    <dgm:cxn modelId="{B9445571-0983-4F45-9806-328318F5A8E3}" type="presParOf" srcId="{E0EB81B3-8D9E-4451-9443-8B71D1FB326A}" destId="{BFA399C7-97D3-4BC8-943E-730FB2D56070}" srcOrd="1" destOrd="0" presId="urn:microsoft.com/office/officeart/2005/8/layout/hierarchy1"/>
    <dgm:cxn modelId="{F6FBDA54-A8ED-4989-85D3-CF33BA79D0A8}" type="presParOf" srcId="{15097EC7-EDF6-457E-AB94-0276BED79E8C}" destId="{FE68932C-77D5-4B7F-8F5C-F8C684520613}" srcOrd="1" destOrd="0" presId="urn:microsoft.com/office/officeart/2005/8/layout/hierarchy1"/>
    <dgm:cxn modelId="{8F829CDA-32BB-4278-A4FE-5078285A887D}" type="presParOf" srcId="{66494A02-DF9C-4C66-9F9D-1A81DB4E1789}" destId="{A3EE81A4-FB3D-486A-8CD7-8A83DA5FB34A}" srcOrd="6" destOrd="0" presId="urn:microsoft.com/office/officeart/2005/8/layout/hierarchy1"/>
    <dgm:cxn modelId="{E09A9679-6ADB-4940-BFE0-86412118ECFE}" type="presParOf" srcId="{66494A02-DF9C-4C66-9F9D-1A81DB4E1789}" destId="{AB6F2B95-363B-41A8-BCC5-318000F5F8D2}" srcOrd="7" destOrd="0" presId="urn:microsoft.com/office/officeart/2005/8/layout/hierarchy1"/>
    <dgm:cxn modelId="{A048590B-F30F-4FD8-9563-329BCD1BAE9C}" type="presParOf" srcId="{AB6F2B95-363B-41A8-BCC5-318000F5F8D2}" destId="{118C924E-A995-4B67-9CFE-F2BE3548E597}" srcOrd="0" destOrd="0" presId="urn:microsoft.com/office/officeart/2005/8/layout/hierarchy1"/>
    <dgm:cxn modelId="{9FB98773-0BCB-462B-8386-F4760AB6FF54}" type="presParOf" srcId="{118C924E-A995-4B67-9CFE-F2BE3548E597}" destId="{2D815EFA-6CA3-4C29-B760-12ED0CFC9D50}" srcOrd="0" destOrd="0" presId="urn:microsoft.com/office/officeart/2005/8/layout/hierarchy1"/>
    <dgm:cxn modelId="{57925C26-3379-4A72-B33A-DD92BB724452}" type="presParOf" srcId="{118C924E-A995-4B67-9CFE-F2BE3548E597}" destId="{757498D2-FCF1-4B42-8854-302DD77F1D57}" srcOrd="1" destOrd="0" presId="urn:microsoft.com/office/officeart/2005/8/layout/hierarchy1"/>
    <dgm:cxn modelId="{9CD7AA17-0396-44CD-A7B1-CA840D0CFF39}" type="presParOf" srcId="{AB6F2B95-363B-41A8-BCC5-318000F5F8D2}" destId="{7E421639-CF36-46AC-BA1B-D440AA3A0544}" srcOrd="1" destOrd="0" presId="urn:microsoft.com/office/officeart/2005/8/layout/hierarchy1"/>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21DAC19-972A-45E8-919C-47F4C3D26041}" type="doc">
      <dgm:prSet loTypeId="urn:microsoft.com/office/officeart/2005/8/layout/cycle1" loCatId="cycle" qsTypeId="urn:microsoft.com/office/officeart/2005/8/quickstyle/simple1" qsCatId="simple" csTypeId="urn:microsoft.com/office/officeart/2005/8/colors/colorful4" csCatId="colorful" phldr="1"/>
      <dgm:spPr/>
      <dgm:t>
        <a:bodyPr/>
        <a:lstStyle/>
        <a:p>
          <a:endParaRPr lang="en-IN"/>
        </a:p>
      </dgm:t>
    </dgm:pt>
    <dgm:pt modelId="{6BB8CFC0-D721-4E89-8B00-2D673965A5DD}">
      <dgm:prSet phldrT="[Text]" custT="1"/>
      <dgm:spPr/>
      <dgm:t>
        <a:bodyPr/>
        <a:lstStyle/>
        <a:p>
          <a:pPr>
            <a:buNone/>
          </a:pPr>
          <a:r>
            <a:rPr lang="en-GB" sz="1600">
              <a:latin typeface="Arial" panose="020B0604020202020204" pitchFamily="34" charset="0"/>
              <a:cs typeface="Arial" panose="020B0604020202020204" pitchFamily="34" charset="0"/>
            </a:rPr>
            <a:t>Plan</a:t>
          </a:r>
          <a:endParaRPr lang="en-IN" sz="1600">
            <a:latin typeface="Arial" panose="020B0604020202020204" pitchFamily="34" charset="0"/>
            <a:cs typeface="Arial" panose="020B0604020202020204" pitchFamily="34" charset="0"/>
          </a:endParaRPr>
        </a:p>
      </dgm:t>
    </dgm:pt>
    <dgm:pt modelId="{56D95ECA-32C6-4206-AEA3-997DFCA1F890}" type="parTrans" cxnId="{ACCA0593-84B0-42CC-AB8E-E599CB671BD9}">
      <dgm:prSet/>
      <dgm:spPr/>
      <dgm:t>
        <a:bodyPr/>
        <a:lstStyle/>
        <a:p>
          <a:endParaRPr lang="en-IN" sz="1600"/>
        </a:p>
      </dgm:t>
    </dgm:pt>
    <dgm:pt modelId="{7C912676-F2A3-459D-B682-6A8680AD2B85}" type="sibTrans" cxnId="{ACCA0593-84B0-42CC-AB8E-E599CB671BD9}">
      <dgm:prSet/>
      <dgm:spPr/>
      <dgm:t>
        <a:bodyPr/>
        <a:lstStyle/>
        <a:p>
          <a:endParaRPr lang="en-IN" sz="1600">
            <a:latin typeface="Arial" panose="020B0604020202020204" pitchFamily="34" charset="0"/>
            <a:cs typeface="Arial" panose="020B0604020202020204" pitchFamily="34" charset="0"/>
          </a:endParaRPr>
        </a:p>
      </dgm:t>
    </dgm:pt>
    <dgm:pt modelId="{C02AEADD-7D72-4894-B3C1-545A8225F6E4}">
      <dgm:prSet phldrT="[Text]" custT="1"/>
      <dgm:spPr/>
      <dgm:t>
        <a:bodyPr/>
        <a:lstStyle/>
        <a:p>
          <a:pPr>
            <a:buNone/>
          </a:pPr>
          <a:r>
            <a:rPr lang="en-GB" sz="1600">
              <a:latin typeface="Arial" panose="020B0604020202020204" pitchFamily="34" charset="0"/>
              <a:cs typeface="Arial" panose="020B0604020202020204" pitchFamily="34" charset="0"/>
            </a:rPr>
            <a:t>Do</a:t>
          </a:r>
          <a:endParaRPr lang="en-IN" sz="1600">
            <a:latin typeface="Arial" panose="020B0604020202020204" pitchFamily="34" charset="0"/>
            <a:cs typeface="Arial" panose="020B0604020202020204" pitchFamily="34" charset="0"/>
          </a:endParaRPr>
        </a:p>
      </dgm:t>
    </dgm:pt>
    <dgm:pt modelId="{24FE1238-7368-4AB7-8273-4430A7CAF04F}" type="parTrans" cxnId="{4610F158-E12B-4CFF-8F18-DF38C228E7F9}">
      <dgm:prSet/>
      <dgm:spPr/>
      <dgm:t>
        <a:bodyPr/>
        <a:lstStyle/>
        <a:p>
          <a:endParaRPr lang="en-IN" sz="1600"/>
        </a:p>
      </dgm:t>
    </dgm:pt>
    <dgm:pt modelId="{6EE58EEF-EE3C-487B-936B-47A447C2438C}" type="sibTrans" cxnId="{4610F158-E12B-4CFF-8F18-DF38C228E7F9}">
      <dgm:prSet/>
      <dgm:spPr/>
      <dgm:t>
        <a:bodyPr/>
        <a:lstStyle/>
        <a:p>
          <a:endParaRPr lang="en-IN" sz="1600">
            <a:latin typeface="Arial" panose="020B0604020202020204" pitchFamily="34" charset="0"/>
            <a:cs typeface="Arial" panose="020B0604020202020204" pitchFamily="34" charset="0"/>
          </a:endParaRPr>
        </a:p>
      </dgm:t>
    </dgm:pt>
    <dgm:pt modelId="{27A893D1-979B-4325-8C2C-6E90D4ED8EF6}">
      <dgm:prSet phldrT="[Text]" custT="1"/>
      <dgm:spPr/>
      <dgm:t>
        <a:bodyPr/>
        <a:lstStyle/>
        <a:p>
          <a:pPr>
            <a:buNone/>
          </a:pPr>
          <a:r>
            <a:rPr lang="en-GB" sz="1600">
              <a:latin typeface="Arial" panose="020B0604020202020204" pitchFamily="34" charset="0"/>
              <a:cs typeface="Arial" panose="020B0604020202020204" pitchFamily="34" charset="0"/>
            </a:rPr>
            <a:t>Check</a:t>
          </a:r>
          <a:endParaRPr lang="en-IN" sz="1600">
            <a:latin typeface="Arial" panose="020B0604020202020204" pitchFamily="34" charset="0"/>
            <a:cs typeface="Arial" panose="020B0604020202020204" pitchFamily="34" charset="0"/>
          </a:endParaRPr>
        </a:p>
      </dgm:t>
    </dgm:pt>
    <dgm:pt modelId="{17D99636-E9D4-4256-A486-6BE969D472AF}" type="parTrans" cxnId="{AFE1508E-5237-4202-A8E6-0E427A3CFA95}">
      <dgm:prSet/>
      <dgm:spPr/>
      <dgm:t>
        <a:bodyPr/>
        <a:lstStyle/>
        <a:p>
          <a:endParaRPr lang="en-IN" sz="1600"/>
        </a:p>
      </dgm:t>
    </dgm:pt>
    <dgm:pt modelId="{1E44B4D4-9907-4C57-B56E-326D87EAC65D}" type="sibTrans" cxnId="{AFE1508E-5237-4202-A8E6-0E427A3CFA95}">
      <dgm:prSet/>
      <dgm:spPr/>
      <dgm:t>
        <a:bodyPr/>
        <a:lstStyle/>
        <a:p>
          <a:endParaRPr lang="en-IN" sz="1600">
            <a:latin typeface="Arial" panose="020B0604020202020204" pitchFamily="34" charset="0"/>
            <a:cs typeface="Arial" panose="020B0604020202020204" pitchFamily="34" charset="0"/>
          </a:endParaRPr>
        </a:p>
      </dgm:t>
    </dgm:pt>
    <dgm:pt modelId="{12F82127-688A-4ACE-832D-EB06E54FC963}">
      <dgm:prSet phldrT="[Text]" custT="1"/>
      <dgm:spPr/>
      <dgm:t>
        <a:bodyPr/>
        <a:lstStyle/>
        <a:p>
          <a:pPr>
            <a:buNone/>
          </a:pPr>
          <a:r>
            <a:rPr lang="en-GB" sz="1600">
              <a:latin typeface="Arial" panose="020B0604020202020204" pitchFamily="34" charset="0"/>
              <a:cs typeface="Arial" panose="020B0604020202020204" pitchFamily="34" charset="0"/>
            </a:rPr>
            <a:t>Act </a:t>
          </a:r>
          <a:endParaRPr lang="en-IN" sz="1600">
            <a:latin typeface="Arial" panose="020B0604020202020204" pitchFamily="34" charset="0"/>
            <a:cs typeface="Arial" panose="020B0604020202020204" pitchFamily="34" charset="0"/>
          </a:endParaRPr>
        </a:p>
      </dgm:t>
    </dgm:pt>
    <dgm:pt modelId="{9E23CC5E-3054-4659-A1A4-C9721161348B}" type="parTrans" cxnId="{85ED35A5-1D4C-4C58-B73D-E56A3B2A169E}">
      <dgm:prSet/>
      <dgm:spPr/>
      <dgm:t>
        <a:bodyPr/>
        <a:lstStyle/>
        <a:p>
          <a:endParaRPr lang="en-IN" sz="1600"/>
        </a:p>
      </dgm:t>
    </dgm:pt>
    <dgm:pt modelId="{6DAB8AEF-4CFA-4241-919B-668E502C400C}" type="sibTrans" cxnId="{85ED35A5-1D4C-4C58-B73D-E56A3B2A169E}">
      <dgm:prSet/>
      <dgm:spPr/>
      <dgm:t>
        <a:bodyPr/>
        <a:lstStyle/>
        <a:p>
          <a:endParaRPr lang="en-IN" sz="1600">
            <a:latin typeface="Arial" panose="020B0604020202020204" pitchFamily="34" charset="0"/>
            <a:cs typeface="Arial" panose="020B0604020202020204" pitchFamily="34" charset="0"/>
          </a:endParaRPr>
        </a:p>
      </dgm:t>
    </dgm:pt>
    <dgm:pt modelId="{8A7F6625-3C1F-4CF5-8588-7AF9D563AF1A}" type="pres">
      <dgm:prSet presAssocID="{821DAC19-972A-45E8-919C-47F4C3D26041}" presName="cycle" presStyleCnt="0">
        <dgm:presLayoutVars>
          <dgm:dir/>
          <dgm:resizeHandles val="exact"/>
        </dgm:presLayoutVars>
      </dgm:prSet>
      <dgm:spPr/>
    </dgm:pt>
    <dgm:pt modelId="{DBBA0B57-DDB2-45DB-804C-DAA85F8F16FD}" type="pres">
      <dgm:prSet presAssocID="{6BB8CFC0-D721-4E89-8B00-2D673965A5DD}" presName="dummy" presStyleCnt="0"/>
      <dgm:spPr/>
    </dgm:pt>
    <dgm:pt modelId="{1849E01D-8B1E-4E75-80F7-C396399FE5BC}" type="pres">
      <dgm:prSet presAssocID="{6BB8CFC0-D721-4E89-8B00-2D673965A5DD}" presName="node" presStyleLbl="revTx" presStyleIdx="0" presStyleCnt="4">
        <dgm:presLayoutVars>
          <dgm:bulletEnabled val="1"/>
        </dgm:presLayoutVars>
      </dgm:prSet>
      <dgm:spPr/>
    </dgm:pt>
    <dgm:pt modelId="{FE0F8CD7-2456-4CAF-B3A9-508FE873CE98}" type="pres">
      <dgm:prSet presAssocID="{7C912676-F2A3-459D-B682-6A8680AD2B85}" presName="sibTrans" presStyleLbl="node1" presStyleIdx="0" presStyleCnt="4"/>
      <dgm:spPr/>
    </dgm:pt>
    <dgm:pt modelId="{4D3D31FD-D7A5-48C6-8F81-C3468E9A1A66}" type="pres">
      <dgm:prSet presAssocID="{C02AEADD-7D72-4894-B3C1-545A8225F6E4}" presName="dummy" presStyleCnt="0"/>
      <dgm:spPr/>
    </dgm:pt>
    <dgm:pt modelId="{D4333A2C-4D31-4E4F-A698-DB8044FD7FCF}" type="pres">
      <dgm:prSet presAssocID="{C02AEADD-7D72-4894-B3C1-545A8225F6E4}" presName="node" presStyleLbl="revTx" presStyleIdx="1" presStyleCnt="4">
        <dgm:presLayoutVars>
          <dgm:bulletEnabled val="1"/>
        </dgm:presLayoutVars>
      </dgm:prSet>
      <dgm:spPr/>
    </dgm:pt>
    <dgm:pt modelId="{BEA12937-8BDE-4089-B230-66619D2F9227}" type="pres">
      <dgm:prSet presAssocID="{6EE58EEF-EE3C-487B-936B-47A447C2438C}" presName="sibTrans" presStyleLbl="node1" presStyleIdx="1" presStyleCnt="4"/>
      <dgm:spPr/>
    </dgm:pt>
    <dgm:pt modelId="{44068152-2212-40EF-B854-BF66F4BDD9B8}" type="pres">
      <dgm:prSet presAssocID="{27A893D1-979B-4325-8C2C-6E90D4ED8EF6}" presName="dummy" presStyleCnt="0"/>
      <dgm:spPr/>
    </dgm:pt>
    <dgm:pt modelId="{5A070707-097C-4745-B388-8D9A916B3E16}" type="pres">
      <dgm:prSet presAssocID="{27A893D1-979B-4325-8C2C-6E90D4ED8EF6}" presName="node" presStyleLbl="revTx" presStyleIdx="2" presStyleCnt="4">
        <dgm:presLayoutVars>
          <dgm:bulletEnabled val="1"/>
        </dgm:presLayoutVars>
      </dgm:prSet>
      <dgm:spPr/>
    </dgm:pt>
    <dgm:pt modelId="{A1D5377C-8A83-415E-A3B0-9E0523239E21}" type="pres">
      <dgm:prSet presAssocID="{1E44B4D4-9907-4C57-B56E-326D87EAC65D}" presName="sibTrans" presStyleLbl="node1" presStyleIdx="2" presStyleCnt="4"/>
      <dgm:spPr/>
    </dgm:pt>
    <dgm:pt modelId="{2A94537E-157A-4BAB-8B11-6EC41E369A30}" type="pres">
      <dgm:prSet presAssocID="{12F82127-688A-4ACE-832D-EB06E54FC963}" presName="dummy" presStyleCnt="0"/>
      <dgm:spPr/>
    </dgm:pt>
    <dgm:pt modelId="{9857ED14-DC6E-4688-A11B-DBD52A4DEFFF}" type="pres">
      <dgm:prSet presAssocID="{12F82127-688A-4ACE-832D-EB06E54FC963}" presName="node" presStyleLbl="revTx" presStyleIdx="3" presStyleCnt="4">
        <dgm:presLayoutVars>
          <dgm:bulletEnabled val="1"/>
        </dgm:presLayoutVars>
      </dgm:prSet>
      <dgm:spPr/>
    </dgm:pt>
    <dgm:pt modelId="{E0EA96EF-2BA1-46B6-98D0-A9CF57F51A87}" type="pres">
      <dgm:prSet presAssocID="{6DAB8AEF-4CFA-4241-919B-668E502C400C}" presName="sibTrans" presStyleLbl="node1" presStyleIdx="3" presStyleCnt="4"/>
      <dgm:spPr/>
    </dgm:pt>
  </dgm:ptLst>
  <dgm:cxnLst>
    <dgm:cxn modelId="{E9650303-916E-4616-8907-8B8D84E17EFA}" type="presOf" srcId="{7C912676-F2A3-459D-B682-6A8680AD2B85}" destId="{FE0F8CD7-2456-4CAF-B3A9-508FE873CE98}" srcOrd="0" destOrd="0" presId="urn:microsoft.com/office/officeart/2005/8/layout/cycle1"/>
    <dgm:cxn modelId="{E747E70B-3FF4-4505-B0E5-0A7D0ADF6BA5}" type="presOf" srcId="{27A893D1-979B-4325-8C2C-6E90D4ED8EF6}" destId="{5A070707-097C-4745-B388-8D9A916B3E16}" srcOrd="0" destOrd="0" presId="urn:microsoft.com/office/officeart/2005/8/layout/cycle1"/>
    <dgm:cxn modelId="{4D6B4326-AA71-4B79-83D5-5E50F9E95A3A}" type="presOf" srcId="{6EE58EEF-EE3C-487B-936B-47A447C2438C}" destId="{BEA12937-8BDE-4089-B230-66619D2F9227}" srcOrd="0" destOrd="0" presId="urn:microsoft.com/office/officeart/2005/8/layout/cycle1"/>
    <dgm:cxn modelId="{93055A3B-B500-4B5A-ABB6-5B31E39B8394}" type="presOf" srcId="{C02AEADD-7D72-4894-B3C1-545A8225F6E4}" destId="{D4333A2C-4D31-4E4F-A698-DB8044FD7FCF}" srcOrd="0" destOrd="0" presId="urn:microsoft.com/office/officeart/2005/8/layout/cycle1"/>
    <dgm:cxn modelId="{B74CC846-FEAE-4E28-A6C1-32D58F59376B}" type="presOf" srcId="{6BB8CFC0-D721-4E89-8B00-2D673965A5DD}" destId="{1849E01D-8B1E-4E75-80F7-C396399FE5BC}" srcOrd="0" destOrd="0" presId="urn:microsoft.com/office/officeart/2005/8/layout/cycle1"/>
    <dgm:cxn modelId="{BDB15057-C606-4FF4-936D-B099251FE64F}" type="presOf" srcId="{821DAC19-972A-45E8-919C-47F4C3D26041}" destId="{8A7F6625-3C1F-4CF5-8588-7AF9D563AF1A}" srcOrd="0" destOrd="0" presId="urn:microsoft.com/office/officeart/2005/8/layout/cycle1"/>
    <dgm:cxn modelId="{4610F158-E12B-4CFF-8F18-DF38C228E7F9}" srcId="{821DAC19-972A-45E8-919C-47F4C3D26041}" destId="{C02AEADD-7D72-4894-B3C1-545A8225F6E4}" srcOrd="1" destOrd="0" parTransId="{24FE1238-7368-4AB7-8273-4430A7CAF04F}" sibTransId="{6EE58EEF-EE3C-487B-936B-47A447C2438C}"/>
    <dgm:cxn modelId="{1BA1B289-D8AA-4015-9E1B-FB9E38784FD2}" type="presOf" srcId="{6DAB8AEF-4CFA-4241-919B-668E502C400C}" destId="{E0EA96EF-2BA1-46B6-98D0-A9CF57F51A87}" srcOrd="0" destOrd="0" presId="urn:microsoft.com/office/officeart/2005/8/layout/cycle1"/>
    <dgm:cxn modelId="{AFE1508E-5237-4202-A8E6-0E427A3CFA95}" srcId="{821DAC19-972A-45E8-919C-47F4C3D26041}" destId="{27A893D1-979B-4325-8C2C-6E90D4ED8EF6}" srcOrd="2" destOrd="0" parTransId="{17D99636-E9D4-4256-A486-6BE969D472AF}" sibTransId="{1E44B4D4-9907-4C57-B56E-326D87EAC65D}"/>
    <dgm:cxn modelId="{ACCA0593-84B0-42CC-AB8E-E599CB671BD9}" srcId="{821DAC19-972A-45E8-919C-47F4C3D26041}" destId="{6BB8CFC0-D721-4E89-8B00-2D673965A5DD}" srcOrd="0" destOrd="0" parTransId="{56D95ECA-32C6-4206-AEA3-997DFCA1F890}" sibTransId="{7C912676-F2A3-459D-B682-6A8680AD2B85}"/>
    <dgm:cxn modelId="{85ED35A5-1D4C-4C58-B73D-E56A3B2A169E}" srcId="{821DAC19-972A-45E8-919C-47F4C3D26041}" destId="{12F82127-688A-4ACE-832D-EB06E54FC963}" srcOrd="3" destOrd="0" parTransId="{9E23CC5E-3054-4659-A1A4-C9721161348B}" sibTransId="{6DAB8AEF-4CFA-4241-919B-668E502C400C}"/>
    <dgm:cxn modelId="{7FF34CAC-D388-43AE-9291-154239FD2A0E}" type="presOf" srcId="{12F82127-688A-4ACE-832D-EB06E54FC963}" destId="{9857ED14-DC6E-4688-A11B-DBD52A4DEFFF}" srcOrd="0" destOrd="0" presId="urn:microsoft.com/office/officeart/2005/8/layout/cycle1"/>
    <dgm:cxn modelId="{DB2899B3-F17B-484F-88F2-F205D2AE1B5A}" type="presOf" srcId="{1E44B4D4-9907-4C57-B56E-326D87EAC65D}" destId="{A1D5377C-8A83-415E-A3B0-9E0523239E21}" srcOrd="0" destOrd="0" presId="urn:microsoft.com/office/officeart/2005/8/layout/cycle1"/>
    <dgm:cxn modelId="{4BF0ADB8-3C75-4511-9111-108C0F03F39B}" type="presParOf" srcId="{8A7F6625-3C1F-4CF5-8588-7AF9D563AF1A}" destId="{DBBA0B57-DDB2-45DB-804C-DAA85F8F16FD}" srcOrd="0" destOrd="0" presId="urn:microsoft.com/office/officeart/2005/8/layout/cycle1"/>
    <dgm:cxn modelId="{53BEF77C-5C05-420E-994D-A88AF91A3331}" type="presParOf" srcId="{8A7F6625-3C1F-4CF5-8588-7AF9D563AF1A}" destId="{1849E01D-8B1E-4E75-80F7-C396399FE5BC}" srcOrd="1" destOrd="0" presId="urn:microsoft.com/office/officeart/2005/8/layout/cycle1"/>
    <dgm:cxn modelId="{40E58AF7-3F85-4F0B-887C-5E3E2C6DCBE9}" type="presParOf" srcId="{8A7F6625-3C1F-4CF5-8588-7AF9D563AF1A}" destId="{FE0F8CD7-2456-4CAF-B3A9-508FE873CE98}" srcOrd="2" destOrd="0" presId="urn:microsoft.com/office/officeart/2005/8/layout/cycle1"/>
    <dgm:cxn modelId="{E1722A5C-346F-4461-A7DD-C1E396D823EC}" type="presParOf" srcId="{8A7F6625-3C1F-4CF5-8588-7AF9D563AF1A}" destId="{4D3D31FD-D7A5-48C6-8F81-C3468E9A1A66}" srcOrd="3" destOrd="0" presId="urn:microsoft.com/office/officeart/2005/8/layout/cycle1"/>
    <dgm:cxn modelId="{B7A5B336-1A00-43F6-8A79-B05DA5131DC1}" type="presParOf" srcId="{8A7F6625-3C1F-4CF5-8588-7AF9D563AF1A}" destId="{D4333A2C-4D31-4E4F-A698-DB8044FD7FCF}" srcOrd="4" destOrd="0" presId="urn:microsoft.com/office/officeart/2005/8/layout/cycle1"/>
    <dgm:cxn modelId="{EC19CF21-51D2-413C-8D3E-494BDF5658ED}" type="presParOf" srcId="{8A7F6625-3C1F-4CF5-8588-7AF9D563AF1A}" destId="{BEA12937-8BDE-4089-B230-66619D2F9227}" srcOrd="5" destOrd="0" presId="urn:microsoft.com/office/officeart/2005/8/layout/cycle1"/>
    <dgm:cxn modelId="{5E804E31-B611-44D9-9483-9C847DC8CF67}" type="presParOf" srcId="{8A7F6625-3C1F-4CF5-8588-7AF9D563AF1A}" destId="{44068152-2212-40EF-B854-BF66F4BDD9B8}" srcOrd="6" destOrd="0" presId="urn:microsoft.com/office/officeart/2005/8/layout/cycle1"/>
    <dgm:cxn modelId="{CC8F4D05-8A00-4D53-8A05-F3D375A56B29}" type="presParOf" srcId="{8A7F6625-3C1F-4CF5-8588-7AF9D563AF1A}" destId="{5A070707-097C-4745-B388-8D9A916B3E16}" srcOrd="7" destOrd="0" presId="urn:microsoft.com/office/officeart/2005/8/layout/cycle1"/>
    <dgm:cxn modelId="{C26358ED-CD61-4522-8857-BC341570E48B}" type="presParOf" srcId="{8A7F6625-3C1F-4CF5-8588-7AF9D563AF1A}" destId="{A1D5377C-8A83-415E-A3B0-9E0523239E21}" srcOrd="8" destOrd="0" presId="urn:microsoft.com/office/officeart/2005/8/layout/cycle1"/>
    <dgm:cxn modelId="{7D0EFC73-117F-44D3-BE76-136AE8021F9D}" type="presParOf" srcId="{8A7F6625-3C1F-4CF5-8588-7AF9D563AF1A}" destId="{2A94537E-157A-4BAB-8B11-6EC41E369A30}" srcOrd="9" destOrd="0" presId="urn:microsoft.com/office/officeart/2005/8/layout/cycle1"/>
    <dgm:cxn modelId="{AAB9DF47-AF4C-4E1C-875B-AFB4F0931862}" type="presParOf" srcId="{8A7F6625-3C1F-4CF5-8588-7AF9D563AF1A}" destId="{9857ED14-DC6E-4688-A11B-DBD52A4DEFFF}" srcOrd="10" destOrd="0" presId="urn:microsoft.com/office/officeart/2005/8/layout/cycle1"/>
    <dgm:cxn modelId="{F2059DB6-17B3-4F4A-9751-66B279EDC8F1}" type="presParOf" srcId="{8A7F6625-3C1F-4CF5-8588-7AF9D563AF1A}" destId="{E0EA96EF-2BA1-46B6-98D0-A9CF57F51A87}" srcOrd="11" destOrd="0" presId="urn:microsoft.com/office/officeart/2005/8/layout/cycle1"/>
  </dgm:cxnLst>
  <dgm:bg/>
  <dgm:whole>
    <a:ln>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EE81A4-FB3D-486A-8CD7-8A83DA5FB34A}">
      <dsp:nvSpPr>
        <dsp:cNvPr id="0" name=""/>
        <dsp:cNvSpPr/>
      </dsp:nvSpPr>
      <dsp:spPr>
        <a:xfrm>
          <a:off x="2436432" y="1039042"/>
          <a:ext cx="1913191" cy="303501"/>
        </a:xfrm>
        <a:custGeom>
          <a:avLst/>
          <a:gdLst/>
          <a:ahLst/>
          <a:cxnLst/>
          <a:rect l="0" t="0" r="0" b="0"/>
          <a:pathLst>
            <a:path>
              <a:moveTo>
                <a:pt x="0" y="0"/>
              </a:moveTo>
              <a:lnTo>
                <a:pt x="0" y="206827"/>
              </a:lnTo>
              <a:lnTo>
                <a:pt x="1913191" y="206827"/>
              </a:lnTo>
              <a:lnTo>
                <a:pt x="1913191" y="30350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FB15A0-986A-45B7-8905-CBA3C7185121}">
      <dsp:nvSpPr>
        <dsp:cNvPr id="0" name=""/>
        <dsp:cNvSpPr/>
      </dsp:nvSpPr>
      <dsp:spPr>
        <a:xfrm>
          <a:off x="2436432" y="1039042"/>
          <a:ext cx="637730" cy="303501"/>
        </a:xfrm>
        <a:custGeom>
          <a:avLst/>
          <a:gdLst/>
          <a:ahLst/>
          <a:cxnLst/>
          <a:rect l="0" t="0" r="0" b="0"/>
          <a:pathLst>
            <a:path>
              <a:moveTo>
                <a:pt x="0" y="0"/>
              </a:moveTo>
              <a:lnTo>
                <a:pt x="0" y="206827"/>
              </a:lnTo>
              <a:lnTo>
                <a:pt x="637730" y="206827"/>
              </a:lnTo>
              <a:lnTo>
                <a:pt x="637730" y="30350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CEB8A4-2EC1-4B80-B607-A051DEA9BAD2}">
      <dsp:nvSpPr>
        <dsp:cNvPr id="0" name=""/>
        <dsp:cNvSpPr/>
      </dsp:nvSpPr>
      <dsp:spPr>
        <a:xfrm>
          <a:off x="1798702" y="1039042"/>
          <a:ext cx="637730" cy="303501"/>
        </a:xfrm>
        <a:custGeom>
          <a:avLst/>
          <a:gdLst/>
          <a:ahLst/>
          <a:cxnLst/>
          <a:rect l="0" t="0" r="0" b="0"/>
          <a:pathLst>
            <a:path>
              <a:moveTo>
                <a:pt x="637730" y="0"/>
              </a:moveTo>
              <a:lnTo>
                <a:pt x="637730" y="206827"/>
              </a:lnTo>
              <a:lnTo>
                <a:pt x="0" y="206827"/>
              </a:lnTo>
              <a:lnTo>
                <a:pt x="0" y="30350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C72B4C-BFCC-4732-9A6A-BFBAD03DBB53}">
      <dsp:nvSpPr>
        <dsp:cNvPr id="0" name=""/>
        <dsp:cNvSpPr/>
      </dsp:nvSpPr>
      <dsp:spPr>
        <a:xfrm>
          <a:off x="523241" y="1039042"/>
          <a:ext cx="1913191" cy="303501"/>
        </a:xfrm>
        <a:custGeom>
          <a:avLst/>
          <a:gdLst/>
          <a:ahLst/>
          <a:cxnLst/>
          <a:rect l="0" t="0" r="0" b="0"/>
          <a:pathLst>
            <a:path>
              <a:moveTo>
                <a:pt x="1913191" y="0"/>
              </a:moveTo>
              <a:lnTo>
                <a:pt x="1913191" y="206827"/>
              </a:lnTo>
              <a:lnTo>
                <a:pt x="0" y="206827"/>
              </a:lnTo>
              <a:lnTo>
                <a:pt x="0" y="30350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0CEB9B-4567-4ABB-9155-4CBC56C8C6D4}">
      <dsp:nvSpPr>
        <dsp:cNvPr id="0" name=""/>
        <dsp:cNvSpPr/>
      </dsp:nvSpPr>
      <dsp:spPr>
        <a:xfrm>
          <a:off x="1914653" y="376382"/>
          <a:ext cx="1043558" cy="6626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085B11-C59F-46F9-A41A-2B0A65CF7283}">
      <dsp:nvSpPr>
        <dsp:cNvPr id="0" name=""/>
        <dsp:cNvSpPr/>
      </dsp:nvSpPr>
      <dsp:spPr>
        <a:xfrm>
          <a:off x="2030604" y="486535"/>
          <a:ext cx="1043558" cy="66265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SWOT Analysis </a:t>
          </a:r>
          <a:endParaRPr lang="en-IN" sz="1600" b="1" kern="1200"/>
        </a:p>
      </dsp:txBody>
      <dsp:txXfrm>
        <a:off x="2050013" y="505944"/>
        <a:ext cx="1004740" cy="623841"/>
      </dsp:txXfrm>
    </dsp:sp>
    <dsp:sp modelId="{F0C0D214-670F-492A-92DF-D7FEC8435DED}">
      <dsp:nvSpPr>
        <dsp:cNvPr id="0" name=""/>
        <dsp:cNvSpPr/>
      </dsp:nvSpPr>
      <dsp:spPr>
        <a:xfrm>
          <a:off x="1461" y="1342544"/>
          <a:ext cx="1043558" cy="662659"/>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159D29-D1DE-4DE3-B196-2402781930DD}">
      <dsp:nvSpPr>
        <dsp:cNvPr id="0" name=""/>
        <dsp:cNvSpPr/>
      </dsp:nvSpPr>
      <dsp:spPr>
        <a:xfrm>
          <a:off x="117412" y="1452697"/>
          <a:ext cx="1043558" cy="66265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1" kern="1200"/>
            <a:t>Strengths</a:t>
          </a:r>
          <a:endParaRPr lang="en-IN" sz="1200" b="0" kern="1200"/>
        </a:p>
      </dsp:txBody>
      <dsp:txXfrm>
        <a:off x="136821" y="1472106"/>
        <a:ext cx="1004740" cy="623841"/>
      </dsp:txXfrm>
    </dsp:sp>
    <dsp:sp modelId="{00E60B8D-5EC5-465B-B339-FB12AC18A4AD}">
      <dsp:nvSpPr>
        <dsp:cNvPr id="0" name=""/>
        <dsp:cNvSpPr/>
      </dsp:nvSpPr>
      <dsp:spPr>
        <a:xfrm>
          <a:off x="1276922" y="1342544"/>
          <a:ext cx="1043558" cy="662659"/>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9253E-776D-42AC-B07B-6749CE7E391A}">
      <dsp:nvSpPr>
        <dsp:cNvPr id="0" name=""/>
        <dsp:cNvSpPr/>
      </dsp:nvSpPr>
      <dsp:spPr>
        <a:xfrm>
          <a:off x="1392873" y="1452697"/>
          <a:ext cx="1043558" cy="66265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t>Weaknesses</a:t>
          </a:r>
          <a:endParaRPr lang="en-IN" sz="1200" b="0" kern="1200"/>
        </a:p>
      </dsp:txBody>
      <dsp:txXfrm>
        <a:off x="1412282" y="1472106"/>
        <a:ext cx="1004740" cy="623841"/>
      </dsp:txXfrm>
    </dsp:sp>
    <dsp:sp modelId="{AAE33D89-7E2B-45A1-801F-44E94FE62285}">
      <dsp:nvSpPr>
        <dsp:cNvPr id="0" name=""/>
        <dsp:cNvSpPr/>
      </dsp:nvSpPr>
      <dsp:spPr>
        <a:xfrm>
          <a:off x="2552383" y="1342544"/>
          <a:ext cx="1043558" cy="662659"/>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A399C7-97D3-4BC8-943E-730FB2D56070}">
      <dsp:nvSpPr>
        <dsp:cNvPr id="0" name=""/>
        <dsp:cNvSpPr/>
      </dsp:nvSpPr>
      <dsp:spPr>
        <a:xfrm>
          <a:off x="2668334" y="1452697"/>
          <a:ext cx="1043558" cy="66265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t>Opportunities</a:t>
          </a:r>
          <a:endParaRPr lang="en-IN" sz="1200" b="0" kern="1200"/>
        </a:p>
      </dsp:txBody>
      <dsp:txXfrm>
        <a:off x="2687743" y="1472106"/>
        <a:ext cx="1004740" cy="623841"/>
      </dsp:txXfrm>
    </dsp:sp>
    <dsp:sp modelId="{2D815EFA-6CA3-4C29-B760-12ED0CFC9D50}">
      <dsp:nvSpPr>
        <dsp:cNvPr id="0" name=""/>
        <dsp:cNvSpPr/>
      </dsp:nvSpPr>
      <dsp:spPr>
        <a:xfrm>
          <a:off x="3827844" y="1342544"/>
          <a:ext cx="1043558" cy="662659"/>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7498D2-FCF1-4B42-8854-302DD77F1D57}">
      <dsp:nvSpPr>
        <dsp:cNvPr id="0" name=""/>
        <dsp:cNvSpPr/>
      </dsp:nvSpPr>
      <dsp:spPr>
        <a:xfrm>
          <a:off x="3943795" y="1452697"/>
          <a:ext cx="1043558" cy="662659"/>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kern="1200"/>
            <a:t>Threats </a:t>
          </a:r>
          <a:endParaRPr lang="en-IN" sz="1200" b="0" kern="1200"/>
        </a:p>
      </dsp:txBody>
      <dsp:txXfrm>
        <a:off x="3963204" y="1472106"/>
        <a:ext cx="1004740" cy="6238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49E01D-8B1E-4E75-80F7-C396399FE5BC}">
      <dsp:nvSpPr>
        <dsp:cNvPr id="0" name=""/>
        <dsp:cNvSpPr/>
      </dsp:nvSpPr>
      <dsp:spPr>
        <a:xfrm>
          <a:off x="2553148" y="54450"/>
          <a:ext cx="871860" cy="8718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Plan</a:t>
          </a:r>
          <a:endParaRPr lang="en-IN" sz="1600" kern="1200">
            <a:latin typeface="Arial" panose="020B0604020202020204" pitchFamily="34" charset="0"/>
            <a:cs typeface="Arial" panose="020B0604020202020204" pitchFamily="34" charset="0"/>
          </a:endParaRPr>
        </a:p>
      </dsp:txBody>
      <dsp:txXfrm>
        <a:off x="2553148" y="54450"/>
        <a:ext cx="871860" cy="871860"/>
      </dsp:txXfrm>
    </dsp:sp>
    <dsp:sp modelId="{FE0F8CD7-2456-4CAF-B3A9-508FE873CE98}">
      <dsp:nvSpPr>
        <dsp:cNvPr id="0" name=""/>
        <dsp:cNvSpPr/>
      </dsp:nvSpPr>
      <dsp:spPr>
        <a:xfrm>
          <a:off x="1017779" y="-420"/>
          <a:ext cx="2462100" cy="2462100"/>
        </a:xfrm>
        <a:prstGeom prst="circularArrow">
          <a:avLst>
            <a:gd name="adj1" fmla="val 6905"/>
            <a:gd name="adj2" fmla="val 465601"/>
            <a:gd name="adj3" fmla="val 548368"/>
            <a:gd name="adj4" fmla="val 20586031"/>
            <a:gd name="adj5" fmla="val 8056"/>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333A2C-4D31-4E4F-A698-DB8044FD7FCF}">
      <dsp:nvSpPr>
        <dsp:cNvPr id="0" name=""/>
        <dsp:cNvSpPr/>
      </dsp:nvSpPr>
      <dsp:spPr>
        <a:xfrm>
          <a:off x="2553148" y="1534948"/>
          <a:ext cx="871860" cy="8718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Do</a:t>
          </a:r>
          <a:endParaRPr lang="en-IN" sz="1600" kern="1200">
            <a:latin typeface="Arial" panose="020B0604020202020204" pitchFamily="34" charset="0"/>
            <a:cs typeface="Arial" panose="020B0604020202020204" pitchFamily="34" charset="0"/>
          </a:endParaRPr>
        </a:p>
      </dsp:txBody>
      <dsp:txXfrm>
        <a:off x="2553148" y="1534948"/>
        <a:ext cx="871860" cy="871860"/>
      </dsp:txXfrm>
    </dsp:sp>
    <dsp:sp modelId="{BEA12937-8BDE-4089-B230-66619D2F9227}">
      <dsp:nvSpPr>
        <dsp:cNvPr id="0" name=""/>
        <dsp:cNvSpPr/>
      </dsp:nvSpPr>
      <dsp:spPr>
        <a:xfrm>
          <a:off x="1017779" y="-420"/>
          <a:ext cx="2462100" cy="2462100"/>
        </a:xfrm>
        <a:prstGeom prst="circularArrow">
          <a:avLst>
            <a:gd name="adj1" fmla="val 6905"/>
            <a:gd name="adj2" fmla="val 465601"/>
            <a:gd name="adj3" fmla="val 5948368"/>
            <a:gd name="adj4" fmla="val 4386031"/>
            <a:gd name="adj5" fmla="val 8056"/>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070707-097C-4745-B388-8D9A916B3E16}">
      <dsp:nvSpPr>
        <dsp:cNvPr id="0" name=""/>
        <dsp:cNvSpPr/>
      </dsp:nvSpPr>
      <dsp:spPr>
        <a:xfrm>
          <a:off x="1072650" y="1534948"/>
          <a:ext cx="871860" cy="8718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Check</a:t>
          </a:r>
          <a:endParaRPr lang="en-IN" sz="1600" kern="1200">
            <a:latin typeface="Arial" panose="020B0604020202020204" pitchFamily="34" charset="0"/>
            <a:cs typeface="Arial" panose="020B0604020202020204" pitchFamily="34" charset="0"/>
          </a:endParaRPr>
        </a:p>
      </dsp:txBody>
      <dsp:txXfrm>
        <a:off x="1072650" y="1534948"/>
        <a:ext cx="871860" cy="871860"/>
      </dsp:txXfrm>
    </dsp:sp>
    <dsp:sp modelId="{A1D5377C-8A83-415E-A3B0-9E0523239E21}">
      <dsp:nvSpPr>
        <dsp:cNvPr id="0" name=""/>
        <dsp:cNvSpPr/>
      </dsp:nvSpPr>
      <dsp:spPr>
        <a:xfrm>
          <a:off x="1017779" y="-420"/>
          <a:ext cx="2462100" cy="2462100"/>
        </a:xfrm>
        <a:prstGeom prst="circularArrow">
          <a:avLst>
            <a:gd name="adj1" fmla="val 6905"/>
            <a:gd name="adj2" fmla="val 465601"/>
            <a:gd name="adj3" fmla="val 11348368"/>
            <a:gd name="adj4" fmla="val 9786031"/>
            <a:gd name="adj5" fmla="val 8056"/>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57ED14-DC6E-4688-A11B-DBD52A4DEFFF}">
      <dsp:nvSpPr>
        <dsp:cNvPr id="0" name=""/>
        <dsp:cNvSpPr/>
      </dsp:nvSpPr>
      <dsp:spPr>
        <a:xfrm>
          <a:off x="1072650" y="54450"/>
          <a:ext cx="871860" cy="8718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Act </a:t>
          </a:r>
          <a:endParaRPr lang="en-IN" sz="1600" kern="1200">
            <a:latin typeface="Arial" panose="020B0604020202020204" pitchFamily="34" charset="0"/>
            <a:cs typeface="Arial" panose="020B0604020202020204" pitchFamily="34" charset="0"/>
          </a:endParaRPr>
        </a:p>
      </dsp:txBody>
      <dsp:txXfrm>
        <a:off x="1072650" y="54450"/>
        <a:ext cx="871860" cy="871860"/>
      </dsp:txXfrm>
    </dsp:sp>
    <dsp:sp modelId="{E0EA96EF-2BA1-46B6-98D0-A9CF57F51A87}">
      <dsp:nvSpPr>
        <dsp:cNvPr id="0" name=""/>
        <dsp:cNvSpPr/>
      </dsp:nvSpPr>
      <dsp:spPr>
        <a:xfrm>
          <a:off x="1017779" y="-420"/>
          <a:ext cx="2462100" cy="2462100"/>
        </a:xfrm>
        <a:prstGeom prst="circularArrow">
          <a:avLst>
            <a:gd name="adj1" fmla="val 6905"/>
            <a:gd name="adj2" fmla="val 465601"/>
            <a:gd name="adj3" fmla="val 16748368"/>
            <a:gd name="adj4" fmla="val 15186031"/>
            <a:gd name="adj5" fmla="val 8056"/>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42EBC-2699-4DC4-B423-ADF0D9960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3919</Words>
  <Pages>16</Pages>
  <Characters>24845</Characters>
  <Application>WPS Office</Application>
  <DocSecurity>0</DocSecurity>
  <Paragraphs>165</Paragraphs>
  <ScaleCrop>false</ScaleCrop>
  <LinksUpToDate>false</LinksUpToDate>
  <CharactersWithSpaces>28692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2025-11-25T21:03:35Z</dcterms:created>
  <dc:creator>WPS Office</dc:creator>
  <lastModifiedBy>SM-A325F</lastModifiedBy>
  <dcterms:modified xsi:type="dcterms:W3CDTF">2025-11-25T21:03:36Z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940be0f6-8d4f-4266-b7ef-88edced80c74</vt:lpwstr>
  </property>
  <property fmtid="{D5CDD505-2E9C-101B-9397-08002B2CF9AE}" pid="3" name="ICV">
    <vt:lpwstr>aa50f301739e4e93b05dc4a69a1edd0e</vt:lpwstr>
  </property>
</Properties>
</file>