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4C0D2" w14:textId="772F66BA" w:rsidR="00026B88" w:rsidRPr="00026B88" w:rsidRDefault="00026B88" w:rsidP="00026B88">
      <w:pPr>
        <w:pStyle w:val="NormalWeb"/>
        <w:spacing w:line="360" w:lineRule="auto"/>
        <w:jc w:val="both"/>
        <w:rPr>
          <w:color w:val="0E101A"/>
          <w:sz w:val="22"/>
          <w:szCs w:val="22"/>
          <w:u w:val="single"/>
        </w:rPr>
      </w:pPr>
      <w:r w:rsidRPr="00026B88">
        <w:rPr>
          <w:color w:val="0E101A"/>
          <w:sz w:val="22"/>
          <w:szCs w:val="22"/>
          <w:u w:val="single"/>
        </w:rPr>
        <w:t xml:space="preserve">Reference List </w:t>
      </w:r>
    </w:p>
    <w:p w14:paraId="4DAF9326" w14:textId="5FA327BC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t>Alchin</w:t>
      </w:r>
      <w:proofErr w:type="spellEnd"/>
      <w:r w:rsidRPr="00026B88">
        <w:rPr>
          <w:sz w:val="22"/>
          <w:szCs w:val="22"/>
        </w:rPr>
        <w:t xml:space="preserve">, L. (2017) </w:t>
      </w:r>
      <w:r w:rsidRPr="00026B88">
        <w:rPr>
          <w:i/>
          <w:iCs/>
          <w:sz w:val="22"/>
          <w:szCs w:val="22"/>
        </w:rPr>
        <w:t xml:space="preserve">Nursery Rhyme lyrics and </w:t>
      </w:r>
      <w:proofErr w:type="gramStart"/>
      <w:r w:rsidRPr="00026B88">
        <w:rPr>
          <w:i/>
          <w:iCs/>
          <w:sz w:val="22"/>
          <w:szCs w:val="22"/>
        </w:rPr>
        <w:t>origins</w:t>
      </w:r>
      <w:r w:rsidR="00551A2A">
        <w:rPr>
          <w:i/>
          <w:iCs/>
          <w:sz w:val="22"/>
          <w:szCs w:val="22"/>
        </w:rPr>
        <w:t>.</w:t>
      </w:r>
      <w:r w:rsidRPr="00026B88">
        <w:rPr>
          <w:i/>
          <w:iCs/>
          <w:sz w:val="22"/>
          <w:szCs w:val="22"/>
        </w:rPr>
        <w:t>.</w:t>
      </w:r>
      <w:proofErr w:type="gramEnd"/>
      <w:r w:rsidRPr="00026B88">
        <w:rPr>
          <w:sz w:val="22"/>
          <w:szCs w:val="22"/>
        </w:rPr>
        <w:t xml:space="preserve"> Available at: </w:t>
      </w:r>
      <w:hyperlink r:id="rId6" w:history="1">
        <w:r w:rsidRPr="00026B88">
          <w:rPr>
            <w:rStyle w:val="Hyperlink"/>
            <w:sz w:val="22"/>
            <w:szCs w:val="22"/>
          </w:rPr>
          <w:t>http://www.rhymes.org.uk/there_was_an_old_lady.htm</w:t>
        </w:r>
      </w:hyperlink>
      <w:r w:rsidRPr="00026B88">
        <w:rPr>
          <w:sz w:val="22"/>
          <w:szCs w:val="22"/>
        </w:rPr>
        <w:t xml:space="preserve"> (Accessed: 10</w:t>
      </w:r>
      <w:r w:rsidRPr="00026B88">
        <w:rPr>
          <w:sz w:val="22"/>
          <w:szCs w:val="22"/>
          <w:vertAlign w:val="superscript"/>
        </w:rPr>
        <w:t>th</w:t>
      </w:r>
      <w:r w:rsidRPr="00026B88">
        <w:rPr>
          <w:sz w:val="22"/>
          <w:szCs w:val="22"/>
        </w:rPr>
        <w:t xml:space="preserve"> November 2020). </w:t>
      </w:r>
    </w:p>
    <w:p w14:paraId="54D96CB9" w14:textId="77777777" w:rsidR="00A35CBE" w:rsidRPr="00026B88" w:rsidRDefault="00A35CBE" w:rsidP="00026B88">
      <w:pPr>
        <w:spacing w:line="360" w:lineRule="auto"/>
        <w:jc w:val="both"/>
        <w:rPr>
          <w:sz w:val="22"/>
          <w:szCs w:val="22"/>
        </w:rPr>
      </w:pPr>
    </w:p>
    <w:p w14:paraId="63ACF15E" w14:textId="1CCA4A35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Barratt-Pugh, C. and </w:t>
      </w:r>
      <w:proofErr w:type="spellStart"/>
      <w:r w:rsidRPr="00026B88">
        <w:rPr>
          <w:sz w:val="22"/>
          <w:szCs w:val="22"/>
        </w:rPr>
        <w:t>Rohl</w:t>
      </w:r>
      <w:proofErr w:type="spellEnd"/>
      <w:r w:rsidRPr="00026B88">
        <w:rPr>
          <w:sz w:val="22"/>
          <w:szCs w:val="22"/>
        </w:rPr>
        <w:t xml:space="preserve">, M. (2015) ‘Better Beginnings had made me make reading part of our everyday routine: Mother’s Perceptions of a Family Literacy Program Over Four Years’, </w:t>
      </w:r>
      <w:r w:rsidRPr="00026B88">
        <w:rPr>
          <w:i/>
          <w:iCs/>
          <w:sz w:val="22"/>
          <w:szCs w:val="22"/>
        </w:rPr>
        <w:t>Australasian Journal of Early Childhood</w:t>
      </w:r>
      <w:r w:rsidRPr="00026B88">
        <w:rPr>
          <w:sz w:val="22"/>
          <w:szCs w:val="22"/>
        </w:rPr>
        <w:t>, 40(4), pp. 4-12.</w:t>
      </w:r>
      <w:r w:rsidR="00551A2A">
        <w:rPr>
          <w:sz w:val="22"/>
          <w:szCs w:val="22"/>
        </w:rPr>
        <w:t xml:space="preserve"> DOI</w:t>
      </w:r>
      <w:r w:rsidRPr="00026B88">
        <w:rPr>
          <w:sz w:val="22"/>
          <w:szCs w:val="22"/>
        </w:rPr>
        <w:t xml:space="preserve"> </w:t>
      </w:r>
      <w:hyperlink r:id="rId7" w:history="1">
        <w:r w:rsidRPr="00026B88">
          <w:rPr>
            <w:rStyle w:val="Hyperlink"/>
            <w:sz w:val="22"/>
            <w:szCs w:val="22"/>
            <w:shd w:val="clear" w:color="auto" w:fill="FFFFFF"/>
          </w:rPr>
          <w:t>https://doi.org/10.1177/183693911504000402</w:t>
        </w:r>
      </w:hyperlink>
      <w:r w:rsidRPr="00026B88">
        <w:rPr>
          <w:sz w:val="22"/>
          <w:szCs w:val="22"/>
        </w:rPr>
        <w:t xml:space="preserve"> </w:t>
      </w:r>
    </w:p>
    <w:p w14:paraId="47A07AA3" w14:textId="77777777" w:rsidR="00551A2A" w:rsidRPr="00026B88" w:rsidRDefault="00551A2A" w:rsidP="00026B88">
      <w:pPr>
        <w:spacing w:line="360" w:lineRule="auto"/>
        <w:jc w:val="both"/>
        <w:rPr>
          <w:sz w:val="22"/>
          <w:szCs w:val="22"/>
        </w:rPr>
      </w:pPr>
    </w:p>
    <w:p w14:paraId="7CB497CF" w14:textId="774B133A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Ben. (2012) </w:t>
      </w:r>
      <w:r w:rsidRPr="00026B88">
        <w:rPr>
          <w:i/>
          <w:iCs/>
          <w:sz w:val="22"/>
          <w:szCs w:val="22"/>
        </w:rPr>
        <w:t>Storytelling Techniques – Using Tone and Emphasis</w:t>
      </w:r>
      <w:r w:rsidRPr="00026B88">
        <w:rPr>
          <w:sz w:val="22"/>
          <w:szCs w:val="22"/>
        </w:rPr>
        <w:t xml:space="preserve">. Available at: </w:t>
      </w:r>
      <w:hyperlink r:id="rId8" w:history="1">
        <w:r w:rsidR="00551A2A" w:rsidRPr="002662D6">
          <w:rPr>
            <w:rStyle w:val="Hyperlink"/>
            <w:sz w:val="22"/>
            <w:szCs w:val="22"/>
          </w:rPr>
          <w:t>http://kidmunication.com/telling-stories/story_telling_training/storytelling-techniques-using-tone-and-emphasis/</w:t>
        </w:r>
      </w:hyperlink>
      <w:r w:rsidR="00551A2A">
        <w:rPr>
          <w:sz w:val="22"/>
          <w:szCs w:val="22"/>
        </w:rPr>
        <w:t xml:space="preserve"> </w:t>
      </w:r>
      <w:r w:rsidRPr="00026B88">
        <w:rPr>
          <w:sz w:val="22"/>
          <w:szCs w:val="22"/>
        </w:rPr>
        <w:t xml:space="preserve"> (Accessed: 25th November 2020).</w:t>
      </w:r>
    </w:p>
    <w:p w14:paraId="3B55755B" w14:textId="77777777" w:rsidR="00551A2A" w:rsidRPr="00026B88" w:rsidRDefault="00551A2A" w:rsidP="00026B88">
      <w:pPr>
        <w:spacing w:line="360" w:lineRule="auto"/>
        <w:jc w:val="both"/>
        <w:rPr>
          <w:sz w:val="22"/>
          <w:szCs w:val="22"/>
        </w:rPr>
      </w:pPr>
    </w:p>
    <w:p w14:paraId="3730D949" w14:textId="3C0FB8E4" w:rsidR="00026B88" w:rsidRP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British Council (2020) </w:t>
      </w:r>
      <w:r w:rsidRPr="00026B88">
        <w:rPr>
          <w:i/>
          <w:iCs/>
          <w:sz w:val="22"/>
          <w:szCs w:val="22"/>
        </w:rPr>
        <w:t>Using intonation</w:t>
      </w:r>
      <w:r w:rsidRPr="00026B88">
        <w:rPr>
          <w:sz w:val="22"/>
          <w:szCs w:val="22"/>
        </w:rPr>
        <w:t xml:space="preserve">. Available at: </w:t>
      </w:r>
      <w:hyperlink r:id="rId9" w:history="1">
        <w:r w:rsidRPr="00026B88">
          <w:rPr>
            <w:rStyle w:val="Hyperlink"/>
            <w:sz w:val="22"/>
            <w:szCs w:val="22"/>
          </w:rPr>
          <w:t>https://www.teachingenglish.org.uk/article</w:t>
        </w:r>
        <w:r w:rsidRPr="00026B88">
          <w:rPr>
            <w:rStyle w:val="Hyperlink"/>
            <w:sz w:val="22"/>
            <w:szCs w:val="22"/>
          </w:rPr>
          <w:t>/</w:t>
        </w:r>
        <w:r w:rsidRPr="00026B88">
          <w:rPr>
            <w:rStyle w:val="Hyperlink"/>
            <w:sz w:val="22"/>
            <w:szCs w:val="22"/>
          </w:rPr>
          <w:t>using-intonation</w:t>
        </w:r>
      </w:hyperlink>
      <w:r w:rsidRPr="00026B88">
        <w:rPr>
          <w:sz w:val="22"/>
          <w:szCs w:val="22"/>
        </w:rPr>
        <w:t xml:space="preserve"> (Accessed: 25</w:t>
      </w:r>
      <w:r w:rsidRPr="00026B88">
        <w:rPr>
          <w:sz w:val="22"/>
          <w:szCs w:val="22"/>
          <w:vertAlign w:val="superscript"/>
        </w:rPr>
        <w:t>th</w:t>
      </w:r>
      <w:r w:rsidRPr="00026B88">
        <w:rPr>
          <w:sz w:val="22"/>
          <w:szCs w:val="22"/>
        </w:rPr>
        <w:t xml:space="preserve"> November 2020). </w:t>
      </w:r>
    </w:p>
    <w:p w14:paraId="5230FABB" w14:textId="77777777" w:rsidR="00551A2A" w:rsidRDefault="00551A2A" w:rsidP="00026B88">
      <w:pPr>
        <w:spacing w:line="360" w:lineRule="auto"/>
        <w:jc w:val="both"/>
        <w:rPr>
          <w:sz w:val="22"/>
          <w:szCs w:val="22"/>
        </w:rPr>
      </w:pPr>
    </w:p>
    <w:p w14:paraId="680C8D60" w14:textId="4FC84CA3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Bruce, T., McNair, L. and </w:t>
      </w:r>
      <w:proofErr w:type="spellStart"/>
      <w:r w:rsidRPr="00026B88">
        <w:rPr>
          <w:sz w:val="22"/>
          <w:szCs w:val="22"/>
        </w:rPr>
        <w:t>Whinnett</w:t>
      </w:r>
      <w:proofErr w:type="spellEnd"/>
      <w:r w:rsidRPr="00026B88">
        <w:rPr>
          <w:sz w:val="22"/>
          <w:szCs w:val="22"/>
        </w:rPr>
        <w:t xml:space="preserve">, J. (2020) </w:t>
      </w:r>
      <w:r w:rsidRPr="00026B88">
        <w:rPr>
          <w:i/>
          <w:iCs/>
          <w:sz w:val="22"/>
          <w:szCs w:val="22"/>
        </w:rPr>
        <w:t>Putting Storytelling at the Heart of Early Childhood Practice. A Reflective Guide for Early Years Practitioners</w:t>
      </w:r>
      <w:r w:rsidRPr="00026B88">
        <w:rPr>
          <w:sz w:val="22"/>
          <w:szCs w:val="22"/>
        </w:rPr>
        <w:t xml:space="preserve">. Routledge: </w:t>
      </w:r>
      <w:proofErr w:type="spellStart"/>
      <w:r w:rsidRPr="00026B88">
        <w:rPr>
          <w:sz w:val="22"/>
          <w:szCs w:val="22"/>
        </w:rPr>
        <w:t>ebook</w:t>
      </w:r>
      <w:proofErr w:type="spellEnd"/>
      <w:r w:rsidRPr="00026B88">
        <w:rPr>
          <w:sz w:val="22"/>
          <w:szCs w:val="22"/>
        </w:rPr>
        <w:t xml:space="preserve">. </w:t>
      </w:r>
    </w:p>
    <w:p w14:paraId="6D18141B" w14:textId="77777777" w:rsidR="00551A2A" w:rsidRPr="00026B88" w:rsidRDefault="00551A2A" w:rsidP="00026B88">
      <w:pPr>
        <w:spacing w:line="360" w:lineRule="auto"/>
        <w:jc w:val="both"/>
        <w:rPr>
          <w:sz w:val="22"/>
          <w:szCs w:val="22"/>
        </w:rPr>
      </w:pPr>
    </w:p>
    <w:p w14:paraId="021A1AFE" w14:textId="2C0A28C1" w:rsidR="00026B88" w:rsidRPr="00026B88" w:rsidRDefault="00026B88" w:rsidP="00026B88">
      <w:pPr>
        <w:shd w:val="clear" w:color="auto" w:fill="FFFFFF"/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color w:val="000000" w:themeColor="text1"/>
          <w:sz w:val="22"/>
          <w:szCs w:val="22"/>
        </w:rPr>
        <w:t>Çakıroğlu</w:t>
      </w:r>
      <w:proofErr w:type="spellEnd"/>
      <w:r w:rsidRPr="00026B88">
        <w:rPr>
          <w:color w:val="000000" w:themeColor="text1"/>
          <w:sz w:val="22"/>
          <w:szCs w:val="22"/>
        </w:rPr>
        <w:t xml:space="preserve">, A. (2018) ‘The Language Acquisition Approaches and the Development of Literacy Skills in Children’, </w:t>
      </w:r>
      <w:r w:rsidRPr="00026B88">
        <w:rPr>
          <w:i/>
          <w:iCs/>
          <w:color w:val="000000" w:themeColor="text1"/>
          <w:sz w:val="22"/>
          <w:szCs w:val="22"/>
        </w:rPr>
        <w:t>International Electronic Journal of Elementary Education</w:t>
      </w:r>
      <w:r w:rsidRPr="00026B88">
        <w:rPr>
          <w:color w:val="000000" w:themeColor="text1"/>
          <w:sz w:val="22"/>
          <w:szCs w:val="22"/>
        </w:rPr>
        <w:t xml:space="preserve">, 11(2), pp. 201-206. </w:t>
      </w:r>
      <w:r w:rsidRPr="00026B88">
        <w:rPr>
          <w:sz w:val="22"/>
          <w:szCs w:val="22"/>
        </w:rPr>
        <w:t xml:space="preserve">DOI: 10.26822/iejee.2019248600 </w:t>
      </w:r>
    </w:p>
    <w:p w14:paraId="44987D22" w14:textId="3E8A3AEB" w:rsidR="00026B88" w:rsidRPr="00026B88" w:rsidRDefault="00026B88" w:rsidP="00026B88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 </w:t>
      </w:r>
    </w:p>
    <w:p w14:paraId="2905525A" w14:textId="1B5D9326" w:rsidR="00026B88" w:rsidRDefault="00026B88" w:rsidP="00026B88">
      <w:pPr>
        <w:spacing w:line="360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026B88">
        <w:rPr>
          <w:color w:val="000000" w:themeColor="text1"/>
          <w:sz w:val="22"/>
          <w:szCs w:val="22"/>
        </w:rPr>
        <w:t>Cologon</w:t>
      </w:r>
      <w:proofErr w:type="spellEnd"/>
      <w:r w:rsidRPr="00026B88">
        <w:rPr>
          <w:color w:val="000000" w:themeColor="text1"/>
          <w:sz w:val="22"/>
          <w:szCs w:val="22"/>
        </w:rPr>
        <w:t>, K. (2014)</w:t>
      </w:r>
      <w:r w:rsidRPr="00026B88">
        <w:rPr>
          <w:i/>
          <w:iCs/>
          <w:color w:val="000000" w:themeColor="text1"/>
          <w:sz w:val="22"/>
          <w:szCs w:val="22"/>
        </w:rPr>
        <w:t xml:space="preserve"> Inclusive Education in Early Years: Right from the Start. </w:t>
      </w:r>
      <w:r w:rsidRPr="00026B88">
        <w:rPr>
          <w:color w:val="000000" w:themeColor="text1"/>
          <w:sz w:val="22"/>
          <w:szCs w:val="22"/>
        </w:rPr>
        <w:t>Oxford University Press</w:t>
      </w:r>
      <w:r w:rsidR="00551A2A">
        <w:rPr>
          <w:color w:val="000000" w:themeColor="text1"/>
          <w:sz w:val="22"/>
          <w:szCs w:val="22"/>
        </w:rPr>
        <w:t xml:space="preserve">: </w:t>
      </w:r>
      <w:proofErr w:type="spellStart"/>
      <w:r w:rsidRPr="00026B88">
        <w:rPr>
          <w:color w:val="000000" w:themeColor="text1"/>
          <w:sz w:val="22"/>
          <w:szCs w:val="22"/>
        </w:rPr>
        <w:t>Ebook</w:t>
      </w:r>
      <w:proofErr w:type="spellEnd"/>
      <w:r w:rsidRPr="00026B88">
        <w:rPr>
          <w:color w:val="000000" w:themeColor="text1"/>
          <w:sz w:val="22"/>
          <w:szCs w:val="22"/>
        </w:rPr>
        <w:t xml:space="preserve"> Central. </w:t>
      </w:r>
    </w:p>
    <w:p w14:paraId="1B1B0768" w14:textId="77777777" w:rsidR="00551A2A" w:rsidRPr="00026B88" w:rsidRDefault="00551A2A" w:rsidP="00026B88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4C3507BC" w14:textId="27477BD0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Cornerstone Learning </w:t>
      </w:r>
      <w:proofErr w:type="spellStart"/>
      <w:r w:rsidRPr="00026B88">
        <w:rPr>
          <w:sz w:val="22"/>
          <w:szCs w:val="22"/>
        </w:rPr>
        <w:t>Center</w:t>
      </w:r>
      <w:proofErr w:type="spellEnd"/>
      <w:r w:rsidRPr="00026B88">
        <w:rPr>
          <w:sz w:val="22"/>
          <w:szCs w:val="22"/>
        </w:rPr>
        <w:t xml:space="preserve"> (2019) </w:t>
      </w:r>
      <w:r w:rsidRPr="00026B88">
        <w:rPr>
          <w:i/>
          <w:iCs/>
          <w:sz w:val="22"/>
          <w:szCs w:val="22"/>
        </w:rPr>
        <w:t>8 Amazing Benefits of Storytelling for Kids</w:t>
      </w:r>
      <w:r w:rsidRPr="00026B88">
        <w:rPr>
          <w:sz w:val="22"/>
          <w:szCs w:val="22"/>
        </w:rPr>
        <w:t xml:space="preserve">. Available at: </w:t>
      </w:r>
      <w:hyperlink r:id="rId10" w:history="1">
        <w:r w:rsidRPr="00026B88">
          <w:rPr>
            <w:rStyle w:val="Hyperlink"/>
            <w:sz w:val="22"/>
            <w:szCs w:val="22"/>
          </w:rPr>
          <w:t>https://learnatcornerstone.com/benefits-of</w:t>
        </w:r>
        <w:r w:rsidRPr="00026B88">
          <w:rPr>
            <w:rStyle w:val="Hyperlink"/>
            <w:sz w:val="22"/>
            <w:szCs w:val="22"/>
          </w:rPr>
          <w:t>-</w:t>
        </w:r>
        <w:r w:rsidRPr="00026B88">
          <w:rPr>
            <w:rStyle w:val="Hyperlink"/>
            <w:sz w:val="22"/>
            <w:szCs w:val="22"/>
          </w:rPr>
          <w:t>storytelling-for-kids/</w:t>
        </w:r>
      </w:hyperlink>
      <w:r w:rsidRPr="00026B88">
        <w:rPr>
          <w:sz w:val="22"/>
          <w:szCs w:val="22"/>
        </w:rPr>
        <w:t xml:space="preserve"> (Accessed: 22</w:t>
      </w:r>
      <w:r w:rsidRPr="00026B88">
        <w:rPr>
          <w:sz w:val="22"/>
          <w:szCs w:val="22"/>
          <w:vertAlign w:val="superscript"/>
        </w:rPr>
        <w:t>nd</w:t>
      </w:r>
      <w:r w:rsidRPr="00026B88">
        <w:rPr>
          <w:sz w:val="22"/>
          <w:szCs w:val="22"/>
        </w:rPr>
        <w:t xml:space="preserve"> November 2020). </w:t>
      </w:r>
    </w:p>
    <w:p w14:paraId="01049151" w14:textId="77777777" w:rsidR="00551A2A" w:rsidRPr="00026B88" w:rsidRDefault="00551A2A" w:rsidP="00026B88">
      <w:pPr>
        <w:spacing w:line="360" w:lineRule="auto"/>
        <w:jc w:val="both"/>
        <w:rPr>
          <w:sz w:val="22"/>
          <w:szCs w:val="22"/>
        </w:rPr>
      </w:pPr>
    </w:p>
    <w:p w14:paraId="29768440" w14:textId="759A21BA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Donaldson, G. (2015) </w:t>
      </w:r>
      <w:r w:rsidRPr="00026B88">
        <w:rPr>
          <w:i/>
          <w:iCs/>
          <w:color w:val="0E101A"/>
          <w:sz w:val="22"/>
          <w:szCs w:val="22"/>
        </w:rPr>
        <w:t xml:space="preserve">Successful Futures; Independent review of Curriculum and Assessment Arrangements in Wales. </w:t>
      </w:r>
      <w:r w:rsidRPr="00026B88">
        <w:rPr>
          <w:color w:val="0E101A"/>
          <w:sz w:val="22"/>
          <w:szCs w:val="22"/>
        </w:rPr>
        <w:t xml:space="preserve">Available at: </w:t>
      </w:r>
      <w:hyperlink r:id="rId11" w:history="1">
        <w:r w:rsidRPr="00026B88">
          <w:rPr>
            <w:rStyle w:val="Hyperlink"/>
            <w:sz w:val="22"/>
            <w:szCs w:val="22"/>
          </w:rPr>
          <w:t>https://gov.wales/sites/default/files/publications/2018-03/successful-futures.pdf</w:t>
        </w:r>
      </w:hyperlink>
      <w:r w:rsidRPr="00026B88">
        <w:rPr>
          <w:color w:val="0E101A"/>
          <w:sz w:val="22"/>
          <w:szCs w:val="22"/>
        </w:rPr>
        <w:t xml:space="preserve"> (Accessed: 24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</w:t>
      </w:r>
    </w:p>
    <w:p w14:paraId="350CC28C" w14:textId="77777777" w:rsidR="00A27E02" w:rsidRDefault="00A27E02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</w:p>
    <w:p w14:paraId="6001078E" w14:textId="77777777" w:rsidR="00551A2A" w:rsidRPr="00026B88" w:rsidRDefault="00551A2A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</w:p>
    <w:p w14:paraId="42BC53A2" w14:textId="110EDBC8" w:rsidR="00026B88" w:rsidRDefault="00026B88" w:rsidP="00026B88">
      <w:pPr>
        <w:spacing w:line="360" w:lineRule="auto"/>
        <w:jc w:val="both"/>
        <w:rPr>
          <w:color w:val="0E101A"/>
          <w:sz w:val="22"/>
          <w:szCs w:val="22"/>
        </w:rPr>
      </w:pPr>
      <w:proofErr w:type="spellStart"/>
      <w:r w:rsidRPr="00026B88">
        <w:rPr>
          <w:color w:val="0E101A"/>
          <w:sz w:val="22"/>
          <w:szCs w:val="22"/>
        </w:rPr>
        <w:t>Grunloc</w:t>
      </w:r>
      <w:proofErr w:type="spellEnd"/>
      <w:r w:rsidRPr="00026B88">
        <w:rPr>
          <w:color w:val="0E101A"/>
          <w:sz w:val="22"/>
          <w:szCs w:val="22"/>
        </w:rPr>
        <w:t xml:space="preserve">, T. (2017) </w:t>
      </w:r>
      <w:r w:rsidRPr="00026B88">
        <w:rPr>
          <w:i/>
          <w:iCs/>
          <w:sz w:val="22"/>
          <w:szCs w:val="22"/>
        </w:rPr>
        <w:t>Intonation in Language Acquisition Evidence from German</w:t>
      </w:r>
      <w:r w:rsidRPr="00026B88">
        <w:rPr>
          <w:color w:val="0E101A"/>
          <w:sz w:val="22"/>
          <w:szCs w:val="22"/>
        </w:rPr>
        <w:t xml:space="preserve">. </w:t>
      </w:r>
      <w:r w:rsidR="00A27E02">
        <w:rPr>
          <w:color w:val="0E101A"/>
          <w:sz w:val="22"/>
          <w:szCs w:val="22"/>
        </w:rPr>
        <w:t xml:space="preserve">Unpublished PhD thesis. </w:t>
      </w:r>
      <w:r w:rsidRPr="00026B88">
        <w:rPr>
          <w:color w:val="0E101A"/>
          <w:sz w:val="22"/>
          <w:szCs w:val="22"/>
        </w:rPr>
        <w:t xml:space="preserve">Available at: </w:t>
      </w:r>
      <w:hyperlink r:id="rId12" w:history="1">
        <w:r w:rsidRPr="00026B88">
          <w:rPr>
            <w:rStyle w:val="Hyperlink"/>
            <w:sz w:val="22"/>
            <w:szCs w:val="22"/>
          </w:rPr>
          <w:t>https://d-nb.info/1037982894/34</w:t>
        </w:r>
      </w:hyperlink>
      <w:r w:rsidRPr="00026B88">
        <w:rPr>
          <w:color w:val="0E101A"/>
          <w:sz w:val="22"/>
          <w:szCs w:val="22"/>
        </w:rPr>
        <w:t xml:space="preserve"> (Accessed: 25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 </w:t>
      </w:r>
    </w:p>
    <w:p w14:paraId="4D642C79" w14:textId="77777777" w:rsidR="00A27E02" w:rsidRPr="00026B88" w:rsidRDefault="00A27E02" w:rsidP="00026B88">
      <w:pPr>
        <w:spacing w:line="360" w:lineRule="auto"/>
        <w:jc w:val="both"/>
        <w:rPr>
          <w:color w:val="0E101A"/>
          <w:sz w:val="22"/>
          <w:szCs w:val="22"/>
        </w:rPr>
      </w:pPr>
    </w:p>
    <w:p w14:paraId="4DE13329" w14:textId="43E10F06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lastRenderedPageBreak/>
        <w:t>Hedemark</w:t>
      </w:r>
      <w:proofErr w:type="spellEnd"/>
      <w:r w:rsidRPr="00026B88">
        <w:rPr>
          <w:sz w:val="22"/>
          <w:szCs w:val="22"/>
        </w:rPr>
        <w:t xml:space="preserve">, A and Lindberg, J. (2018) ‘Babies, Bodies, and Books—Librarians' Work for Early Literacy’, </w:t>
      </w:r>
      <w:r w:rsidRPr="00026B88">
        <w:rPr>
          <w:i/>
          <w:iCs/>
          <w:sz w:val="22"/>
          <w:szCs w:val="22"/>
        </w:rPr>
        <w:t xml:space="preserve">Research </w:t>
      </w:r>
      <w:proofErr w:type="gramStart"/>
      <w:r w:rsidRPr="00026B88">
        <w:rPr>
          <w:i/>
          <w:iCs/>
          <w:sz w:val="22"/>
          <w:szCs w:val="22"/>
        </w:rPr>
        <w:t>Gate</w:t>
      </w:r>
      <w:r w:rsidRPr="00026B88">
        <w:rPr>
          <w:sz w:val="22"/>
          <w:szCs w:val="22"/>
        </w:rPr>
        <w:t>,  66</w:t>
      </w:r>
      <w:proofErr w:type="gramEnd"/>
      <w:r w:rsidRPr="00026B88">
        <w:rPr>
          <w:sz w:val="22"/>
          <w:szCs w:val="22"/>
        </w:rPr>
        <w:t xml:space="preserve">(4), pp. 422-441 DOI: 10.1353/lib.2018.0011 </w:t>
      </w:r>
      <w:r w:rsidR="000D514E">
        <w:rPr>
          <w:sz w:val="22"/>
          <w:szCs w:val="22"/>
        </w:rPr>
        <w:t xml:space="preserve"> </w:t>
      </w:r>
    </w:p>
    <w:p w14:paraId="1200072E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53748668" w14:textId="2620297C" w:rsidR="00026B88" w:rsidRDefault="00026B88" w:rsidP="00026B88">
      <w:pPr>
        <w:spacing w:line="360" w:lineRule="auto"/>
        <w:jc w:val="both"/>
        <w:rPr>
          <w:color w:val="0E101A"/>
          <w:sz w:val="22"/>
          <w:szCs w:val="22"/>
        </w:rPr>
      </w:pPr>
      <w:r w:rsidRPr="00026B88">
        <w:rPr>
          <w:sz w:val="22"/>
          <w:szCs w:val="22"/>
        </w:rPr>
        <w:t>Imray, S. and Clements, K. (2020) ‘</w:t>
      </w:r>
      <w:r w:rsidRPr="00026B88">
        <w:rPr>
          <w:i/>
          <w:iCs/>
          <w:sz w:val="22"/>
          <w:szCs w:val="22"/>
        </w:rPr>
        <w:t>How regular storytelling helps to develop creativity and narrative role-play</w:t>
      </w:r>
      <w:r w:rsidRPr="00026B88">
        <w:rPr>
          <w:sz w:val="22"/>
          <w:szCs w:val="22"/>
        </w:rPr>
        <w:t xml:space="preserve">’, in </w:t>
      </w:r>
      <w:r w:rsidRPr="00026B88">
        <w:rPr>
          <w:color w:val="0E101A"/>
          <w:sz w:val="22"/>
          <w:szCs w:val="22"/>
        </w:rPr>
        <w:t xml:space="preserve">Bruce, T., McNair, L. and </w:t>
      </w:r>
      <w:proofErr w:type="spellStart"/>
      <w:r w:rsidRPr="00026B88">
        <w:rPr>
          <w:color w:val="0E101A"/>
          <w:sz w:val="22"/>
          <w:szCs w:val="22"/>
        </w:rPr>
        <w:t>Whinnet</w:t>
      </w:r>
      <w:proofErr w:type="spellEnd"/>
      <w:r w:rsidRPr="00026B88">
        <w:rPr>
          <w:color w:val="0E101A"/>
          <w:sz w:val="22"/>
          <w:szCs w:val="22"/>
        </w:rPr>
        <w:t xml:space="preserve">, J. (ed.) </w:t>
      </w:r>
      <w:r w:rsidRPr="00026B88">
        <w:rPr>
          <w:i/>
          <w:iCs/>
          <w:color w:val="0E101A"/>
          <w:sz w:val="22"/>
          <w:szCs w:val="22"/>
        </w:rPr>
        <w:t>Putting Storytelling at the Heart of Early Childhood Practice: A Reflective Guide for Early Years Practitioners.</w:t>
      </w:r>
      <w:r w:rsidRPr="00026B88">
        <w:rPr>
          <w:color w:val="0E101A"/>
          <w:sz w:val="22"/>
          <w:szCs w:val="22"/>
        </w:rPr>
        <w:t xml:space="preserve"> Taylor and Francis: Kindle Edition.</w:t>
      </w:r>
    </w:p>
    <w:p w14:paraId="3AE44640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38552DCE" w14:textId="4456B901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Kumon (2016) </w:t>
      </w:r>
      <w:r w:rsidRPr="00026B88">
        <w:rPr>
          <w:i/>
          <w:iCs/>
          <w:sz w:val="22"/>
          <w:szCs w:val="22"/>
        </w:rPr>
        <w:t>The benefits of storytelling</w:t>
      </w:r>
      <w:r w:rsidRPr="00026B88">
        <w:rPr>
          <w:sz w:val="22"/>
          <w:szCs w:val="22"/>
        </w:rPr>
        <w:t xml:space="preserve">. Available at: </w:t>
      </w:r>
      <w:hyperlink r:id="rId13" w:history="1">
        <w:r w:rsidRPr="00026B88">
          <w:rPr>
            <w:rStyle w:val="Hyperlink"/>
            <w:sz w:val="22"/>
            <w:szCs w:val="22"/>
          </w:rPr>
          <w:t>https://www.kumon.co.uk/blog/the-benefits-of-storytelling/</w:t>
        </w:r>
      </w:hyperlink>
      <w:r w:rsidRPr="00026B88">
        <w:rPr>
          <w:sz w:val="22"/>
          <w:szCs w:val="22"/>
        </w:rPr>
        <w:t xml:space="preserve"> (Accessed: 23</w:t>
      </w:r>
      <w:r w:rsidRPr="00026B88">
        <w:rPr>
          <w:sz w:val="22"/>
          <w:szCs w:val="22"/>
          <w:vertAlign w:val="superscript"/>
        </w:rPr>
        <w:t>rd</w:t>
      </w:r>
      <w:r w:rsidRPr="00026B88">
        <w:rPr>
          <w:sz w:val="22"/>
          <w:szCs w:val="22"/>
        </w:rPr>
        <w:t xml:space="preserve"> November 2020). </w:t>
      </w:r>
    </w:p>
    <w:p w14:paraId="4E043221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36CB1280" w14:textId="04C07E47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t>Laevers</w:t>
      </w:r>
      <w:proofErr w:type="spellEnd"/>
      <w:r w:rsidRPr="00026B88">
        <w:rPr>
          <w:sz w:val="22"/>
          <w:szCs w:val="22"/>
        </w:rPr>
        <w:t xml:space="preserve">, F. et al. (2011) </w:t>
      </w:r>
      <w:r w:rsidR="00A27E02">
        <w:rPr>
          <w:sz w:val="22"/>
          <w:szCs w:val="22"/>
        </w:rPr>
        <w:t>‘</w:t>
      </w:r>
      <w:r w:rsidRPr="00026B88">
        <w:rPr>
          <w:sz w:val="22"/>
          <w:szCs w:val="22"/>
        </w:rPr>
        <w:t>Promoting language in under 3s. Assessing language development and the quality of adult intervention</w:t>
      </w:r>
      <w:r w:rsidR="00A27E02">
        <w:rPr>
          <w:sz w:val="22"/>
          <w:szCs w:val="22"/>
        </w:rPr>
        <w:t>’</w:t>
      </w:r>
      <w:r w:rsidRPr="00026B88">
        <w:rPr>
          <w:sz w:val="22"/>
          <w:szCs w:val="22"/>
        </w:rPr>
        <w:t xml:space="preserve">, </w:t>
      </w:r>
      <w:r w:rsidRPr="00026B88">
        <w:rPr>
          <w:i/>
          <w:iCs/>
          <w:sz w:val="22"/>
          <w:szCs w:val="22"/>
        </w:rPr>
        <w:t>European Early Childhood Education Research Journal,</w:t>
      </w:r>
      <w:r w:rsidRPr="00026B88">
        <w:rPr>
          <w:sz w:val="22"/>
          <w:szCs w:val="22"/>
        </w:rPr>
        <w:t xml:space="preserve"> 19(2). </w:t>
      </w:r>
      <w:r w:rsidR="000D514E">
        <w:rPr>
          <w:sz w:val="22"/>
          <w:szCs w:val="22"/>
        </w:rPr>
        <w:t xml:space="preserve">DOI: </w:t>
      </w:r>
      <w:hyperlink r:id="rId14" w:history="1">
        <w:r w:rsidR="000D514E" w:rsidRPr="002662D6">
          <w:rPr>
            <w:rStyle w:val="Hyperlink"/>
            <w:sz w:val="22"/>
            <w:szCs w:val="22"/>
          </w:rPr>
          <w:t>https://doi.org/10.1080/1350293X.2011.574415</w:t>
        </w:r>
      </w:hyperlink>
      <w:r w:rsidRPr="00026B88">
        <w:rPr>
          <w:sz w:val="22"/>
          <w:szCs w:val="22"/>
        </w:rPr>
        <w:t xml:space="preserve"> </w:t>
      </w:r>
    </w:p>
    <w:p w14:paraId="4BCB6FB9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27918A19" w14:textId="5689F7BA" w:rsidR="00026B88" w:rsidRDefault="00026B88" w:rsidP="00026B88">
      <w:pPr>
        <w:spacing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Lawman, D. (2017) </w:t>
      </w:r>
      <w:r w:rsidRPr="00026B88">
        <w:rPr>
          <w:i/>
          <w:iCs/>
          <w:color w:val="0E101A"/>
          <w:sz w:val="22"/>
          <w:szCs w:val="22"/>
        </w:rPr>
        <w:t>Why Does Repetition Improve Memory</w:t>
      </w:r>
      <w:r w:rsidRPr="00026B88">
        <w:rPr>
          <w:color w:val="0E101A"/>
          <w:sz w:val="22"/>
          <w:szCs w:val="22"/>
        </w:rPr>
        <w:t xml:space="preserve">? Available at: </w:t>
      </w:r>
      <w:hyperlink r:id="rId15" w:anchor=":~:text=Repetition%20works%20well%20because%20it,are%20used%20to%20recall%20memories.&amp;text=These%20new%20connections%20allow%20for,your%20memory%20recall%20in%20general" w:history="1">
        <w:r w:rsidRPr="00026B88">
          <w:rPr>
            <w:rStyle w:val="Hyperlink"/>
            <w:sz w:val="22"/>
            <w:szCs w:val="22"/>
          </w:rPr>
          <w:t>https://noocube.com/blog/repetition-improve-memory/#:~:text=Repetition%20works%20well%20because%20it,are%20used%20to%20recall%20memories.&amp;text=These%20new%20connections%20allow%20for,your%20memory%20recall%20in%20general</w:t>
        </w:r>
      </w:hyperlink>
      <w:r w:rsidRPr="00026B88">
        <w:rPr>
          <w:color w:val="0E101A"/>
          <w:sz w:val="22"/>
          <w:szCs w:val="22"/>
        </w:rPr>
        <w:t>. (Accessed: 25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</w:t>
      </w:r>
    </w:p>
    <w:p w14:paraId="05F18D84" w14:textId="77777777" w:rsidR="00A27E02" w:rsidRPr="00026B88" w:rsidRDefault="00A27E02" w:rsidP="00026B88">
      <w:pPr>
        <w:spacing w:line="360" w:lineRule="auto"/>
        <w:jc w:val="both"/>
        <w:rPr>
          <w:color w:val="0E101A"/>
          <w:sz w:val="22"/>
          <w:szCs w:val="22"/>
        </w:rPr>
      </w:pPr>
    </w:p>
    <w:p w14:paraId="156BB382" w14:textId="359443BE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rStyle w:val="Hyperlink"/>
          <w:sz w:val="22"/>
          <w:szCs w:val="22"/>
        </w:rPr>
      </w:pPr>
      <w:proofErr w:type="spellStart"/>
      <w:r w:rsidRPr="00026B88">
        <w:rPr>
          <w:color w:val="0E101A"/>
          <w:sz w:val="22"/>
          <w:szCs w:val="22"/>
        </w:rPr>
        <w:t>McLoed</w:t>
      </w:r>
      <w:proofErr w:type="spellEnd"/>
      <w:r w:rsidRPr="00026B88">
        <w:rPr>
          <w:color w:val="0E101A"/>
          <w:sz w:val="22"/>
          <w:szCs w:val="22"/>
        </w:rPr>
        <w:t xml:space="preserve">, S., et al (2015) ‘Multilingualism and speech-language competence in early childhood: Impact on academic and social-emotional outcomes at school’ </w:t>
      </w:r>
      <w:r w:rsidRPr="00026B88">
        <w:rPr>
          <w:i/>
          <w:iCs/>
          <w:color w:val="0E101A"/>
          <w:sz w:val="22"/>
          <w:szCs w:val="22"/>
        </w:rPr>
        <w:t>Early Childhood Research Quarterly</w:t>
      </w:r>
      <w:r w:rsidRPr="00026B88">
        <w:rPr>
          <w:color w:val="0E101A"/>
          <w:sz w:val="22"/>
          <w:szCs w:val="22"/>
        </w:rPr>
        <w:t>, 34, pp. 53-66.</w:t>
      </w:r>
      <w:r w:rsidR="00A27E02">
        <w:rPr>
          <w:color w:val="0E101A"/>
          <w:sz w:val="22"/>
          <w:szCs w:val="22"/>
        </w:rPr>
        <w:t xml:space="preserve"> DOI</w:t>
      </w:r>
      <w:r w:rsidRPr="00026B88">
        <w:rPr>
          <w:color w:val="0E101A"/>
          <w:sz w:val="22"/>
          <w:szCs w:val="22"/>
        </w:rPr>
        <w:t xml:space="preserve"> </w:t>
      </w:r>
      <w:hyperlink r:id="rId16" w:history="1">
        <w:r w:rsidRPr="00026B88">
          <w:rPr>
            <w:rStyle w:val="Hyperlink"/>
            <w:sz w:val="22"/>
            <w:szCs w:val="22"/>
          </w:rPr>
          <w:t>http://dx.doi.org/10.1016/j.ecresq.2015.08.005</w:t>
        </w:r>
      </w:hyperlink>
    </w:p>
    <w:p w14:paraId="13F79423" w14:textId="77777777" w:rsidR="00A27E02" w:rsidRPr="00026B88" w:rsidRDefault="00A27E02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</w:p>
    <w:p w14:paraId="5FD22E35" w14:textId="5E4B779C" w:rsidR="00026B88" w:rsidRDefault="00026B88" w:rsidP="00026B88">
      <w:pPr>
        <w:spacing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Mullen, G. (2017) ‘More than words: Using Nursery Rhymes and Songs to Support Domains of Child Development’, </w:t>
      </w:r>
      <w:r w:rsidRPr="00026B88">
        <w:rPr>
          <w:i/>
          <w:iCs/>
          <w:color w:val="0E101A"/>
          <w:sz w:val="22"/>
          <w:szCs w:val="22"/>
        </w:rPr>
        <w:t xml:space="preserve">The Canadian Association For Young Children Journal of Childhood Studies, </w:t>
      </w:r>
      <w:r w:rsidRPr="00026B88">
        <w:rPr>
          <w:color w:val="0E101A"/>
          <w:sz w:val="22"/>
          <w:szCs w:val="22"/>
        </w:rPr>
        <w:t xml:space="preserve">42(2), DOI: </w:t>
      </w:r>
      <w:hyperlink r:id="rId17" w:history="1">
        <w:r w:rsidRPr="00026B88">
          <w:rPr>
            <w:rStyle w:val="Hyperlink"/>
            <w:sz w:val="22"/>
            <w:szCs w:val="22"/>
          </w:rPr>
          <w:t>https://doi.org/10.18357/jcs.v42i2.17841</w:t>
        </w:r>
      </w:hyperlink>
      <w:r w:rsidRPr="00026B88">
        <w:rPr>
          <w:color w:val="0E101A"/>
          <w:sz w:val="22"/>
          <w:szCs w:val="22"/>
        </w:rPr>
        <w:t xml:space="preserve"> </w:t>
      </w:r>
    </w:p>
    <w:p w14:paraId="7CD02019" w14:textId="77777777" w:rsidR="00A27E02" w:rsidRPr="00026B88" w:rsidRDefault="00A27E02" w:rsidP="00026B88">
      <w:pPr>
        <w:spacing w:line="360" w:lineRule="auto"/>
        <w:jc w:val="both"/>
        <w:rPr>
          <w:color w:val="0E101A"/>
          <w:sz w:val="22"/>
          <w:szCs w:val="22"/>
        </w:rPr>
      </w:pPr>
    </w:p>
    <w:p w14:paraId="1D4398FF" w14:textId="576C5A1D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t>Neaum</w:t>
      </w:r>
      <w:proofErr w:type="spellEnd"/>
      <w:r w:rsidRPr="00026B88">
        <w:rPr>
          <w:sz w:val="22"/>
          <w:szCs w:val="22"/>
        </w:rPr>
        <w:t xml:space="preserve">, S. (2012). </w:t>
      </w:r>
      <w:r w:rsidRPr="00026B88">
        <w:rPr>
          <w:i/>
          <w:iCs/>
          <w:sz w:val="22"/>
          <w:szCs w:val="22"/>
        </w:rPr>
        <w:t>Language and literacy for the early years (Early Christian studies series).</w:t>
      </w:r>
      <w:r w:rsidRPr="00026B88">
        <w:rPr>
          <w:sz w:val="22"/>
          <w:szCs w:val="22"/>
        </w:rPr>
        <w:t xml:space="preserve"> Exeter: Learning Matters.</w:t>
      </w:r>
    </w:p>
    <w:p w14:paraId="72C9EE43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45513E23" w14:textId="47C6777A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t>Neaum</w:t>
      </w:r>
      <w:proofErr w:type="spellEnd"/>
      <w:r w:rsidRPr="00026B88">
        <w:rPr>
          <w:sz w:val="22"/>
          <w:szCs w:val="22"/>
        </w:rPr>
        <w:t xml:space="preserve">, S. (2014) </w:t>
      </w:r>
      <w:r w:rsidRPr="00026B88">
        <w:rPr>
          <w:i/>
          <w:iCs/>
          <w:sz w:val="22"/>
          <w:szCs w:val="22"/>
        </w:rPr>
        <w:t>Creating Literate Environments in Early Years Settings,</w:t>
      </w:r>
      <w:r w:rsidRPr="00026B88">
        <w:rPr>
          <w:sz w:val="22"/>
          <w:szCs w:val="22"/>
        </w:rPr>
        <w:t xml:space="preserve"> Learning and Development- Teach Early Years. Available at: </w:t>
      </w:r>
      <w:hyperlink r:id="rId18" w:history="1">
        <w:r w:rsidRPr="00026B88">
          <w:rPr>
            <w:rStyle w:val="Hyperlink"/>
            <w:sz w:val="22"/>
            <w:szCs w:val="22"/>
          </w:rPr>
          <w:t>https://www.teachearlyyears.com/learning-and-development/view/literate-environments</w:t>
        </w:r>
      </w:hyperlink>
      <w:r w:rsidRPr="00026B88">
        <w:rPr>
          <w:sz w:val="22"/>
          <w:szCs w:val="22"/>
        </w:rPr>
        <w:t xml:space="preserve"> (Accessed 22nd November 2020). </w:t>
      </w:r>
    </w:p>
    <w:p w14:paraId="23E255F8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58C993D7" w14:textId="15864191" w:rsidR="00026B88" w:rsidRDefault="00026B88" w:rsidP="00026B88">
      <w:pPr>
        <w:spacing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Public Health Grey Bruce (2020) </w:t>
      </w:r>
      <w:r w:rsidRPr="00026B88">
        <w:rPr>
          <w:i/>
          <w:iCs/>
          <w:color w:val="0E101A"/>
          <w:sz w:val="22"/>
          <w:szCs w:val="22"/>
        </w:rPr>
        <w:t>Physical Literacy.</w:t>
      </w:r>
      <w:r w:rsidRPr="00026B88">
        <w:rPr>
          <w:color w:val="0E101A"/>
          <w:sz w:val="22"/>
          <w:szCs w:val="22"/>
        </w:rPr>
        <w:t xml:space="preserve"> Available at: </w:t>
      </w:r>
      <w:hyperlink r:id="rId19" w:anchor=":~:text=The%20benefits%20of%20physical%20literacy,skills%20and%20develop%20physical%20literacy" w:history="1">
        <w:r w:rsidRPr="00026B88">
          <w:rPr>
            <w:rStyle w:val="Hyperlink"/>
            <w:sz w:val="22"/>
            <w:szCs w:val="22"/>
          </w:rPr>
          <w:t>https://www.publichealthgreybruce.on.ca/Your-Health/Active-Living/Physical-Literacy#:~:text=The%20benefits%20of%20physical%20literacy,skills%20and%20develop%20physical%20literacy</w:t>
        </w:r>
      </w:hyperlink>
      <w:r w:rsidRPr="00026B88">
        <w:rPr>
          <w:color w:val="0E101A"/>
          <w:sz w:val="22"/>
          <w:szCs w:val="22"/>
        </w:rPr>
        <w:t>. (Accessed:24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</w:t>
      </w:r>
    </w:p>
    <w:p w14:paraId="5A8E01EF" w14:textId="77777777" w:rsidR="00A27E02" w:rsidRPr="00026B88" w:rsidRDefault="00A27E02" w:rsidP="00026B88">
      <w:pPr>
        <w:spacing w:line="360" w:lineRule="auto"/>
        <w:jc w:val="both"/>
        <w:rPr>
          <w:color w:val="0E101A"/>
          <w:sz w:val="22"/>
          <w:szCs w:val="22"/>
        </w:rPr>
      </w:pPr>
    </w:p>
    <w:p w14:paraId="5ECDBA00" w14:textId="14ED18C0" w:rsidR="00026B88" w:rsidRDefault="00026B88" w:rsidP="00026B88">
      <w:pPr>
        <w:spacing w:line="360" w:lineRule="auto"/>
        <w:jc w:val="both"/>
        <w:rPr>
          <w:sz w:val="22"/>
          <w:szCs w:val="22"/>
        </w:rPr>
      </w:pPr>
      <w:proofErr w:type="spellStart"/>
      <w:r w:rsidRPr="00026B88">
        <w:rPr>
          <w:sz w:val="22"/>
          <w:szCs w:val="22"/>
        </w:rPr>
        <w:lastRenderedPageBreak/>
        <w:t>Saer</w:t>
      </w:r>
      <w:proofErr w:type="spellEnd"/>
      <w:r w:rsidRPr="00026B88">
        <w:rPr>
          <w:sz w:val="22"/>
          <w:szCs w:val="22"/>
        </w:rPr>
        <w:t>, S. (2020) Week Four Lectures on Language and Literacy in the Early Years (EAEE5004) [video]. 23</w:t>
      </w:r>
      <w:r w:rsidRPr="00026B88">
        <w:rPr>
          <w:sz w:val="22"/>
          <w:szCs w:val="22"/>
          <w:vertAlign w:val="superscript"/>
        </w:rPr>
        <w:t>rd</w:t>
      </w:r>
      <w:r w:rsidRPr="00026B88">
        <w:rPr>
          <w:sz w:val="22"/>
          <w:szCs w:val="22"/>
        </w:rPr>
        <w:t xml:space="preserve"> November. Available at: </w:t>
      </w:r>
      <w:hyperlink r:id="rId20" w:history="1">
        <w:r w:rsidRPr="00026B88">
          <w:rPr>
            <w:rStyle w:val="Hyperlink"/>
            <w:sz w:val="22"/>
            <w:szCs w:val="22"/>
          </w:rPr>
          <w:t>https://web.microsoftstream.com/video/c108c79c-2999-449c-bed1-465ff93195d8</w:t>
        </w:r>
      </w:hyperlink>
      <w:r w:rsidRPr="00026B88">
        <w:rPr>
          <w:sz w:val="22"/>
          <w:szCs w:val="22"/>
        </w:rPr>
        <w:t xml:space="preserve"> (Accessed: 23</w:t>
      </w:r>
      <w:r w:rsidRPr="00026B88">
        <w:rPr>
          <w:sz w:val="22"/>
          <w:szCs w:val="22"/>
          <w:vertAlign w:val="superscript"/>
        </w:rPr>
        <w:t>rd</w:t>
      </w:r>
      <w:r w:rsidRPr="00026B88">
        <w:rPr>
          <w:sz w:val="22"/>
          <w:szCs w:val="22"/>
        </w:rPr>
        <w:t xml:space="preserve"> November 2020). </w:t>
      </w:r>
    </w:p>
    <w:p w14:paraId="66DB38F1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15657762" w14:textId="6F1A4810" w:rsidR="00026B88" w:rsidRDefault="00026B88" w:rsidP="00026B88">
      <w:pPr>
        <w:spacing w:line="360" w:lineRule="auto"/>
        <w:jc w:val="both"/>
        <w:rPr>
          <w:rFonts w:eastAsiaTheme="minorEastAsia"/>
          <w:sz w:val="22"/>
          <w:szCs w:val="22"/>
        </w:rPr>
      </w:pPr>
      <w:proofErr w:type="spellStart"/>
      <w:r w:rsidRPr="00026B88">
        <w:rPr>
          <w:rFonts w:eastAsiaTheme="minorEastAsia"/>
          <w:sz w:val="22"/>
          <w:szCs w:val="22"/>
        </w:rPr>
        <w:t>Shedlock</w:t>
      </w:r>
      <w:proofErr w:type="spellEnd"/>
      <w:r w:rsidRPr="00026B88">
        <w:rPr>
          <w:rFonts w:eastAsiaTheme="minorEastAsia"/>
          <w:sz w:val="22"/>
          <w:szCs w:val="22"/>
        </w:rPr>
        <w:t xml:space="preserve">, M. T. (1917) </w:t>
      </w:r>
      <w:r w:rsidRPr="00026B88">
        <w:rPr>
          <w:rFonts w:eastAsiaTheme="minorEastAsia"/>
          <w:i/>
          <w:iCs/>
          <w:sz w:val="22"/>
          <w:szCs w:val="22"/>
        </w:rPr>
        <w:t xml:space="preserve">The art of the </w:t>
      </w:r>
      <w:proofErr w:type="gramStart"/>
      <w:r w:rsidRPr="00026B88">
        <w:rPr>
          <w:rFonts w:eastAsiaTheme="minorEastAsia"/>
          <w:i/>
          <w:iCs/>
          <w:sz w:val="22"/>
          <w:szCs w:val="22"/>
        </w:rPr>
        <w:t>story-teller</w:t>
      </w:r>
      <w:proofErr w:type="gramEnd"/>
      <w:r w:rsidRPr="00026B88">
        <w:rPr>
          <w:rFonts w:eastAsiaTheme="minorEastAsia"/>
          <w:i/>
          <w:iCs/>
          <w:sz w:val="22"/>
          <w:szCs w:val="22"/>
        </w:rPr>
        <w:t xml:space="preserve">. </w:t>
      </w:r>
      <w:r w:rsidRPr="00026B88">
        <w:rPr>
          <w:rFonts w:eastAsiaTheme="minorEastAsia"/>
          <w:sz w:val="22"/>
          <w:szCs w:val="22"/>
        </w:rPr>
        <w:t>New York: D. Appleton and Company.</w:t>
      </w:r>
    </w:p>
    <w:p w14:paraId="6272835C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3CB7A96A" w14:textId="460AE9C9" w:rsidR="00A27E02" w:rsidRPr="00026B88" w:rsidRDefault="00026B88" w:rsidP="00026B88">
      <w:pPr>
        <w:pStyle w:val="NormalWeb"/>
        <w:spacing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Siraj-Blatchford, I. et al. (2002) </w:t>
      </w:r>
      <w:r w:rsidRPr="00026B88">
        <w:rPr>
          <w:i/>
          <w:iCs/>
          <w:color w:val="0E101A"/>
          <w:sz w:val="22"/>
          <w:szCs w:val="22"/>
        </w:rPr>
        <w:t>Researching Effective Pedagogy in the Early Years</w:t>
      </w:r>
      <w:r w:rsidRPr="00026B88">
        <w:rPr>
          <w:color w:val="0E101A"/>
          <w:sz w:val="22"/>
          <w:szCs w:val="22"/>
        </w:rPr>
        <w:t xml:space="preserve">. University of Oxford: Department of Educational Studies. </w:t>
      </w:r>
    </w:p>
    <w:p w14:paraId="01D8A6D9" w14:textId="12824F7B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Smidt, S. (2016) </w:t>
      </w:r>
      <w:r w:rsidRPr="00026B88">
        <w:rPr>
          <w:i/>
          <w:iCs/>
          <w:color w:val="0E101A"/>
          <w:sz w:val="22"/>
          <w:szCs w:val="22"/>
        </w:rPr>
        <w:t>Multilingualism in the Early Years: Extending the limits of our world.</w:t>
      </w:r>
      <w:r w:rsidR="00A27E02">
        <w:rPr>
          <w:color w:val="0E101A"/>
          <w:sz w:val="22"/>
          <w:szCs w:val="22"/>
        </w:rPr>
        <w:t xml:space="preserve"> </w:t>
      </w:r>
      <w:r w:rsidRPr="00026B88">
        <w:rPr>
          <w:color w:val="0E101A"/>
          <w:sz w:val="22"/>
          <w:szCs w:val="22"/>
        </w:rPr>
        <w:t>London.</w:t>
      </w:r>
      <w:r w:rsidR="00A27E02">
        <w:rPr>
          <w:color w:val="0E101A"/>
          <w:sz w:val="22"/>
          <w:szCs w:val="22"/>
        </w:rPr>
        <w:t>:</w:t>
      </w:r>
      <w:r w:rsidRPr="00026B88">
        <w:rPr>
          <w:color w:val="0E101A"/>
          <w:sz w:val="22"/>
          <w:szCs w:val="22"/>
        </w:rPr>
        <w:t xml:space="preserve"> </w:t>
      </w:r>
      <w:r w:rsidR="00A27E02" w:rsidRPr="00026B88">
        <w:rPr>
          <w:color w:val="0E101A"/>
          <w:sz w:val="22"/>
          <w:szCs w:val="22"/>
        </w:rPr>
        <w:t>Taylor and Francis Group</w:t>
      </w:r>
      <w:r w:rsidR="00A27E02">
        <w:rPr>
          <w:color w:val="0E101A"/>
          <w:sz w:val="22"/>
          <w:szCs w:val="22"/>
        </w:rPr>
        <w:t>.</w:t>
      </w:r>
    </w:p>
    <w:p w14:paraId="2C2FEFAF" w14:textId="77777777" w:rsidR="00A27E02" w:rsidRPr="00026B88" w:rsidRDefault="00A27E02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</w:p>
    <w:p w14:paraId="6F858E19" w14:textId="2E2EA4CC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sz w:val="22"/>
          <w:szCs w:val="22"/>
        </w:rPr>
        <w:t xml:space="preserve">State Government of Victoria (2020) Literacy rich environment, Education and training. Available at: </w:t>
      </w:r>
      <w:hyperlink r:id="rId21" w:history="1">
        <w:r w:rsidRPr="00026B88">
          <w:rPr>
            <w:rStyle w:val="Hyperlink"/>
            <w:sz w:val="22"/>
            <w:szCs w:val="22"/>
          </w:rPr>
          <w:t>https://www.education.vic.gov.au/childhood/professionals/learning/ecliteracy/emergentliteracy/Pages/literacyrichenvironment.aspx</w:t>
        </w:r>
      </w:hyperlink>
      <w:r w:rsidRPr="00026B88">
        <w:rPr>
          <w:sz w:val="22"/>
          <w:szCs w:val="22"/>
        </w:rPr>
        <w:t xml:space="preserve"> (Accessed: 22</w:t>
      </w:r>
      <w:r w:rsidRPr="00026B88">
        <w:rPr>
          <w:sz w:val="22"/>
          <w:szCs w:val="22"/>
          <w:vertAlign w:val="superscript"/>
        </w:rPr>
        <w:t>nd</w:t>
      </w:r>
      <w:r w:rsidRPr="00026B88">
        <w:rPr>
          <w:sz w:val="22"/>
          <w:szCs w:val="22"/>
        </w:rPr>
        <w:t xml:space="preserve"> November 2020). </w:t>
      </w:r>
    </w:p>
    <w:p w14:paraId="3DF6552E" w14:textId="77777777" w:rsidR="00A27E02" w:rsidRPr="00026B88" w:rsidRDefault="00A27E02" w:rsidP="00026B88">
      <w:pPr>
        <w:spacing w:line="360" w:lineRule="auto"/>
        <w:jc w:val="both"/>
        <w:rPr>
          <w:sz w:val="22"/>
          <w:szCs w:val="22"/>
        </w:rPr>
      </w:pPr>
    </w:p>
    <w:p w14:paraId="71A948EC" w14:textId="1EDBBE25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  <w:proofErr w:type="spellStart"/>
      <w:r w:rsidRPr="00026B88">
        <w:rPr>
          <w:color w:val="0E101A"/>
          <w:sz w:val="22"/>
          <w:szCs w:val="22"/>
        </w:rPr>
        <w:t>Stinton</w:t>
      </w:r>
      <w:proofErr w:type="spellEnd"/>
      <w:r w:rsidRPr="00026B88">
        <w:rPr>
          <w:color w:val="0E101A"/>
          <w:sz w:val="22"/>
          <w:szCs w:val="22"/>
        </w:rPr>
        <w:t>, K. (2018) ‘Supporting Children’s Speech, Language and Communication Skills’, Foundation Stage Forum Articles</w:t>
      </w:r>
      <w:r w:rsidR="00A27E02">
        <w:rPr>
          <w:color w:val="0E101A"/>
          <w:sz w:val="22"/>
          <w:szCs w:val="22"/>
        </w:rPr>
        <w:t>,</w:t>
      </w:r>
      <w:r w:rsidRPr="00026B88">
        <w:rPr>
          <w:color w:val="0E101A"/>
          <w:sz w:val="22"/>
          <w:szCs w:val="22"/>
        </w:rPr>
        <w:t xml:space="preserve"> </w:t>
      </w:r>
      <w:r w:rsidR="00A27E02" w:rsidRPr="00A27E02">
        <w:rPr>
          <w:color w:val="0E101A"/>
          <w:sz w:val="22"/>
          <w:szCs w:val="22"/>
        </w:rPr>
        <w:t>March 15</w:t>
      </w:r>
      <w:r w:rsidR="000D514E">
        <w:rPr>
          <w:color w:val="0E101A"/>
          <w:sz w:val="22"/>
          <w:szCs w:val="22"/>
          <w:vertAlign w:val="superscript"/>
        </w:rPr>
        <w:t>th</w:t>
      </w:r>
      <w:r w:rsidR="000D514E">
        <w:rPr>
          <w:color w:val="0E101A"/>
          <w:sz w:val="22"/>
          <w:szCs w:val="22"/>
        </w:rPr>
        <w:t xml:space="preserve">. </w:t>
      </w:r>
      <w:r w:rsidRPr="00026B88">
        <w:rPr>
          <w:color w:val="0E101A"/>
          <w:sz w:val="22"/>
          <w:szCs w:val="22"/>
        </w:rPr>
        <w:t xml:space="preserve">(Available at: </w:t>
      </w:r>
      <w:hyperlink r:id="rId22" w:history="1">
        <w:r w:rsidRPr="00026B88">
          <w:rPr>
            <w:rStyle w:val="Hyperlink"/>
            <w:sz w:val="22"/>
            <w:szCs w:val="22"/>
          </w:rPr>
          <w:t>https://eyfs.info/</w:t>
        </w:r>
        <w:r w:rsidRPr="00026B88">
          <w:rPr>
            <w:rStyle w:val="Hyperlink"/>
            <w:sz w:val="22"/>
            <w:szCs w:val="22"/>
          </w:rPr>
          <w:t>a</w:t>
        </w:r>
        <w:r w:rsidRPr="00026B88">
          <w:rPr>
            <w:rStyle w:val="Hyperlink"/>
            <w:sz w:val="22"/>
            <w:szCs w:val="22"/>
          </w:rPr>
          <w:t>rticles.html/teaching-and-learning/supporting-children%E2%80%99s-speech-language-and-communication-skills-r234/</w:t>
        </w:r>
      </w:hyperlink>
      <w:r w:rsidRPr="00026B88">
        <w:rPr>
          <w:color w:val="0E101A"/>
          <w:sz w:val="22"/>
          <w:szCs w:val="22"/>
        </w:rPr>
        <w:t xml:space="preserve"> ) Accessed: 25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</w:t>
      </w:r>
    </w:p>
    <w:p w14:paraId="04C9FD22" w14:textId="77777777" w:rsidR="000D514E" w:rsidRPr="00026B88" w:rsidRDefault="000D514E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</w:p>
    <w:p w14:paraId="065F6F9D" w14:textId="58514DF9" w:rsidR="00026B88" w:rsidRP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Thomas, A and Jones, C. (2020)’Exploring young children’s levels of involvement with numeracy and literacy- do schemas make a difference?’ </w:t>
      </w:r>
      <w:r w:rsidRPr="00026B88">
        <w:rPr>
          <w:i/>
          <w:iCs/>
          <w:color w:val="0E101A"/>
          <w:sz w:val="22"/>
          <w:szCs w:val="22"/>
        </w:rPr>
        <w:t>International Journal of Primary, Elementary and Early Years Education</w:t>
      </w:r>
      <w:r w:rsidRPr="00026B88">
        <w:rPr>
          <w:color w:val="0E101A"/>
          <w:sz w:val="22"/>
          <w:szCs w:val="22"/>
        </w:rPr>
        <w:t>,</w:t>
      </w:r>
      <w:r w:rsidR="000D514E">
        <w:rPr>
          <w:color w:val="0E101A"/>
          <w:sz w:val="22"/>
          <w:szCs w:val="22"/>
        </w:rPr>
        <w:t xml:space="preserve"> 3(13). DOI:</w:t>
      </w:r>
      <w:r w:rsidRPr="00026B88">
        <w:rPr>
          <w:color w:val="0E101A"/>
          <w:sz w:val="22"/>
          <w:szCs w:val="22"/>
        </w:rPr>
        <w:t xml:space="preserve"> </w:t>
      </w:r>
      <w:r w:rsidRPr="00026B88">
        <w:rPr>
          <w:sz w:val="22"/>
          <w:szCs w:val="22"/>
        </w:rPr>
        <w:fldChar w:fldCharType="begin"/>
      </w:r>
      <w:r w:rsidRPr="00026B88">
        <w:rPr>
          <w:sz w:val="22"/>
          <w:szCs w:val="22"/>
        </w:rPr>
        <w:instrText xml:space="preserve"> HYPERLINK "https://doi.org/10.1080/03004279.2020.1716034" </w:instrText>
      </w:r>
      <w:r w:rsidRPr="00026B88">
        <w:rPr>
          <w:sz w:val="22"/>
          <w:szCs w:val="22"/>
        </w:rPr>
        <w:fldChar w:fldCharType="separate"/>
      </w:r>
      <w:r w:rsidRPr="00026B88">
        <w:rPr>
          <w:rStyle w:val="Hyperlink"/>
          <w:color w:val="006DB4"/>
          <w:sz w:val="22"/>
          <w:szCs w:val="22"/>
        </w:rPr>
        <w:t>https://doi.org/10.1080/03004279.2020.1716034</w:t>
      </w:r>
      <w:r w:rsidRPr="00026B88">
        <w:rPr>
          <w:rStyle w:val="Hyperlink"/>
          <w:color w:val="006DB4"/>
          <w:sz w:val="22"/>
          <w:szCs w:val="22"/>
        </w:rPr>
        <w:fldChar w:fldCharType="end"/>
      </w:r>
      <w:r w:rsidRPr="00026B88">
        <w:rPr>
          <w:sz w:val="22"/>
          <w:szCs w:val="22"/>
        </w:rPr>
        <w:t xml:space="preserve"> </w:t>
      </w:r>
    </w:p>
    <w:p w14:paraId="1649807A" w14:textId="42293FFE" w:rsidR="00026B88" w:rsidRDefault="00026B88" w:rsidP="00026B88">
      <w:pPr>
        <w:spacing w:line="360" w:lineRule="auto"/>
        <w:jc w:val="both"/>
        <w:rPr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Welsh Government (2013) </w:t>
      </w:r>
      <w:r w:rsidRPr="00026B88">
        <w:rPr>
          <w:i/>
          <w:iCs/>
          <w:color w:val="0E101A"/>
          <w:sz w:val="22"/>
          <w:szCs w:val="22"/>
        </w:rPr>
        <w:t>The National Literacy and Numeracy Framework,</w:t>
      </w:r>
      <w:r w:rsidRPr="00026B88">
        <w:rPr>
          <w:i/>
          <w:iCs/>
          <w:sz w:val="22"/>
          <w:szCs w:val="22"/>
        </w:rPr>
        <w:t xml:space="preserve"> </w:t>
      </w:r>
      <w:proofErr w:type="gramStart"/>
      <w:r w:rsidRPr="00026B88">
        <w:rPr>
          <w:i/>
          <w:iCs/>
          <w:sz w:val="22"/>
          <w:szCs w:val="22"/>
        </w:rPr>
        <w:t>To</w:t>
      </w:r>
      <w:proofErr w:type="gramEnd"/>
      <w:r w:rsidRPr="00026B88">
        <w:rPr>
          <w:i/>
          <w:iCs/>
          <w:sz w:val="22"/>
          <w:szCs w:val="22"/>
        </w:rPr>
        <w:t xml:space="preserve"> support schools in introducing the National Literacy and Numeracy Framework</w:t>
      </w:r>
      <w:r w:rsidRPr="00026B88">
        <w:rPr>
          <w:sz w:val="22"/>
          <w:szCs w:val="22"/>
        </w:rPr>
        <w:t xml:space="preserve">. Available at: </w:t>
      </w:r>
      <w:hyperlink r:id="rId23" w:history="1">
        <w:r w:rsidRPr="00026B88">
          <w:rPr>
            <w:rStyle w:val="Hyperlink"/>
            <w:sz w:val="22"/>
            <w:szCs w:val="22"/>
          </w:rPr>
          <w:t>https://hwb.gov.wales/api/storage/64812b0e-3d20-4d10-94e8-68221e47a38d/to-support-schools-in-introducing-the-national-literacy-and-numeracy-framework.pdf</w:t>
        </w:r>
      </w:hyperlink>
      <w:r w:rsidRPr="00026B88">
        <w:rPr>
          <w:sz w:val="22"/>
          <w:szCs w:val="22"/>
        </w:rPr>
        <w:t xml:space="preserve"> (Accessed: 25</w:t>
      </w:r>
      <w:r w:rsidRPr="00026B88">
        <w:rPr>
          <w:sz w:val="22"/>
          <w:szCs w:val="22"/>
          <w:vertAlign w:val="superscript"/>
        </w:rPr>
        <w:t>th</w:t>
      </w:r>
      <w:r w:rsidRPr="00026B88">
        <w:rPr>
          <w:sz w:val="22"/>
          <w:szCs w:val="22"/>
        </w:rPr>
        <w:t xml:space="preserve"> November 2020). </w:t>
      </w:r>
    </w:p>
    <w:p w14:paraId="4388DAC0" w14:textId="77777777" w:rsidR="000D514E" w:rsidRPr="00026B88" w:rsidRDefault="000D514E" w:rsidP="00026B88">
      <w:pPr>
        <w:spacing w:line="360" w:lineRule="auto"/>
        <w:jc w:val="both"/>
        <w:rPr>
          <w:sz w:val="22"/>
          <w:szCs w:val="22"/>
        </w:rPr>
      </w:pPr>
    </w:p>
    <w:p w14:paraId="1CD282C4" w14:textId="77777777" w:rsidR="00026B88" w:rsidRP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  <w:sz w:val="22"/>
          <w:szCs w:val="22"/>
        </w:rPr>
      </w:pPr>
      <w:r w:rsidRPr="00026B88">
        <w:rPr>
          <w:color w:val="0E101A"/>
          <w:sz w:val="22"/>
          <w:szCs w:val="22"/>
        </w:rPr>
        <w:t xml:space="preserve">Welsh Government (2014) </w:t>
      </w:r>
      <w:r w:rsidRPr="00026B88">
        <w:rPr>
          <w:i/>
          <w:iCs/>
          <w:color w:val="0E101A"/>
          <w:sz w:val="22"/>
          <w:szCs w:val="22"/>
        </w:rPr>
        <w:t xml:space="preserve">A review of research evidence on the effectiveness of different approaches to promoting early speech and language development. </w:t>
      </w:r>
      <w:r w:rsidRPr="00026B88">
        <w:rPr>
          <w:color w:val="0E101A"/>
          <w:sz w:val="22"/>
          <w:szCs w:val="22"/>
        </w:rPr>
        <w:t xml:space="preserve">Available at: </w:t>
      </w:r>
      <w:hyperlink r:id="rId24" w:history="1">
        <w:r w:rsidRPr="00026B88">
          <w:rPr>
            <w:rStyle w:val="Hyperlink"/>
            <w:sz w:val="22"/>
            <w:szCs w:val="22"/>
          </w:rPr>
          <w:t>https://dera.ioe.ac.uk/20176/1/140528-evidence-effectiveness-different-approaches-promoting-early-speech-language-development-en.pdf</w:t>
        </w:r>
      </w:hyperlink>
      <w:r w:rsidRPr="00026B88">
        <w:rPr>
          <w:color w:val="0E101A"/>
          <w:sz w:val="22"/>
          <w:szCs w:val="22"/>
        </w:rPr>
        <w:t xml:space="preserve"> (Accessed: 25</w:t>
      </w:r>
      <w:r w:rsidRPr="00026B88">
        <w:rPr>
          <w:color w:val="0E101A"/>
          <w:sz w:val="22"/>
          <w:szCs w:val="22"/>
          <w:vertAlign w:val="superscript"/>
        </w:rPr>
        <w:t>th</w:t>
      </w:r>
      <w:r w:rsidRPr="00026B88">
        <w:rPr>
          <w:color w:val="0E101A"/>
          <w:sz w:val="22"/>
          <w:szCs w:val="22"/>
        </w:rPr>
        <w:t xml:space="preserve"> November 2020). </w:t>
      </w:r>
    </w:p>
    <w:p w14:paraId="22634511" w14:textId="77777777" w:rsidR="00026B88" w:rsidRPr="00096DDB" w:rsidRDefault="00026B88" w:rsidP="00026B88">
      <w:pPr>
        <w:pStyle w:val="NormalWeb"/>
        <w:spacing w:line="360" w:lineRule="auto"/>
        <w:jc w:val="both"/>
        <w:rPr>
          <w:color w:val="0E101A"/>
        </w:rPr>
      </w:pPr>
    </w:p>
    <w:p w14:paraId="555D5F90" w14:textId="77777777" w:rsidR="00026B88" w:rsidRPr="001C7595" w:rsidRDefault="00026B88" w:rsidP="00026B88">
      <w:pPr>
        <w:rPr>
          <w:color w:val="0E101A"/>
        </w:rPr>
      </w:pPr>
    </w:p>
    <w:p w14:paraId="7A27EE9A" w14:textId="77777777" w:rsidR="00026B88" w:rsidRPr="001C7595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</w:rPr>
      </w:pPr>
    </w:p>
    <w:p w14:paraId="68F97B3C" w14:textId="77777777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</w:rPr>
      </w:pPr>
    </w:p>
    <w:p w14:paraId="45F99F36" w14:textId="77777777" w:rsidR="00026B88" w:rsidRDefault="00026B88" w:rsidP="00026B88">
      <w:pPr>
        <w:pStyle w:val="NormalWeb"/>
        <w:spacing w:before="0" w:beforeAutospacing="0" w:after="0" w:afterAutospacing="0" w:line="360" w:lineRule="auto"/>
        <w:jc w:val="both"/>
        <w:rPr>
          <w:color w:val="0E101A"/>
        </w:rPr>
      </w:pPr>
    </w:p>
    <w:p w14:paraId="145DC279" w14:textId="77777777" w:rsidR="00026B88" w:rsidRPr="00FA6F49" w:rsidRDefault="00026B88" w:rsidP="00026B88">
      <w:pPr>
        <w:rPr>
          <w:i/>
          <w:iCs/>
          <w:color w:val="0E101A"/>
        </w:rPr>
      </w:pPr>
    </w:p>
    <w:p w14:paraId="01618079" w14:textId="77777777" w:rsidR="008E6C98" w:rsidRDefault="008E6C98"/>
    <w:sectPr w:rsidR="008E6C98" w:rsidSect="00327EB6">
      <w:head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0866A" w14:textId="77777777" w:rsidR="00A27E02" w:rsidRDefault="00A27E02" w:rsidP="00026B88">
      <w:r>
        <w:separator/>
      </w:r>
    </w:p>
  </w:endnote>
  <w:endnote w:type="continuationSeparator" w:id="0">
    <w:p w14:paraId="3FAA94F1" w14:textId="77777777" w:rsidR="00A27E02" w:rsidRDefault="00A27E02" w:rsidP="0002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137C7C" w14:textId="77777777" w:rsidR="00A27E02" w:rsidRDefault="00A27E02" w:rsidP="00026B88">
      <w:r>
        <w:separator/>
      </w:r>
    </w:p>
  </w:footnote>
  <w:footnote w:type="continuationSeparator" w:id="0">
    <w:p w14:paraId="69743603" w14:textId="77777777" w:rsidR="00A27E02" w:rsidRDefault="00A27E02" w:rsidP="00026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A45FD" w14:textId="77777777" w:rsidR="00A27E02" w:rsidRDefault="00A27E02">
    <w:pPr>
      <w:pStyle w:val="Header"/>
    </w:pPr>
    <w:r>
      <w:t xml:space="preserve">1905066 </w:t>
    </w:r>
  </w:p>
  <w:p w14:paraId="7B5BF74A" w14:textId="2D327C90" w:rsidR="00A27E02" w:rsidRDefault="00A27E02">
    <w:pPr>
      <w:pStyle w:val="Header"/>
    </w:pPr>
    <w:r>
      <w:t>EAEE5004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B88"/>
    <w:rsid w:val="00026B88"/>
    <w:rsid w:val="000D514E"/>
    <w:rsid w:val="00327EB6"/>
    <w:rsid w:val="00551A2A"/>
    <w:rsid w:val="008E6C98"/>
    <w:rsid w:val="00A27E02"/>
    <w:rsid w:val="00A3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196ABA"/>
  <w15:chartTrackingRefBased/>
  <w15:docId w15:val="{C40F2485-6ACC-8C46-982F-CC56DE33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8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B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B88"/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26B8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26B88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026B88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26B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B88"/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51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9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dmunication.com/telling-stories/story_telling_training/storytelling-techniques-using-tone-and-emphasis/" TargetMode="External"/><Relationship Id="rId13" Type="http://schemas.openxmlformats.org/officeDocument/2006/relationships/hyperlink" Target="https://www.kumon.co.uk/blog/the-benefits-of-storytelling/" TargetMode="External"/><Relationship Id="rId18" Type="http://schemas.openxmlformats.org/officeDocument/2006/relationships/hyperlink" Target="https://www.teachearlyyears.com/learning-and-development/view/literate-environment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education.vic.gov.au/childhood/professionals/learning/ecliteracy/emergentliteracy/Pages/literacyrichenvironment.aspx" TargetMode="External"/><Relationship Id="rId7" Type="http://schemas.openxmlformats.org/officeDocument/2006/relationships/hyperlink" Target="https://doi.org/10.1177/183693911504000402" TargetMode="External"/><Relationship Id="rId12" Type="http://schemas.openxmlformats.org/officeDocument/2006/relationships/hyperlink" Target="https://d-nb.info/1037982894/34" TargetMode="External"/><Relationship Id="rId17" Type="http://schemas.openxmlformats.org/officeDocument/2006/relationships/hyperlink" Target="https://doi.org/10.18357/jcs.v42i2.17841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dx.doi.org/10.1016/j.ecresq.2015.08.005" TargetMode="External"/><Relationship Id="rId20" Type="http://schemas.openxmlformats.org/officeDocument/2006/relationships/hyperlink" Target="https://web.microsoftstream.com/video/c108c79c-2999-449c-bed1-465ff93195d8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hymes.org.uk/there_was_an_old_lady.htm" TargetMode="Externa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s://dera.ioe.ac.uk/20176/1/140528-evidence-effectiveness-different-approaches-promoting-early-speech-language-development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oocube.com/blog/repetition-improve-memory/" TargetMode="External"/><Relationship Id="rId23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10" Type="http://schemas.openxmlformats.org/officeDocument/2006/relationships/hyperlink" Target="https://learnatcornerstone.com/benefits-of-storytelling-for-kids/" TargetMode="External"/><Relationship Id="rId19" Type="http://schemas.openxmlformats.org/officeDocument/2006/relationships/hyperlink" Target="https://www.publichealthgreybruce.on.ca/Your-Health/Active-Living/Physical-Literac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eachingenglish.org.uk/article/using-intonation" TargetMode="External"/><Relationship Id="rId14" Type="http://schemas.openxmlformats.org/officeDocument/2006/relationships/hyperlink" Target="https://doi.org/10.1080/1350293X.2011.574415" TargetMode="External"/><Relationship Id="rId22" Type="http://schemas.openxmlformats.org/officeDocument/2006/relationships/hyperlink" Target="https://eyfs.info/articles.html/teaching-and-learning/supporting-children%E2%80%99s-speech-language-and-communication-skills-r234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Michelle Owen (1905066)</dc:creator>
  <cp:keywords/>
  <dc:description/>
  <cp:lastModifiedBy>Linda Michelle Owen (1905066)</cp:lastModifiedBy>
  <cp:revision>1</cp:revision>
  <dcterms:created xsi:type="dcterms:W3CDTF">2020-11-27T20:10:00Z</dcterms:created>
  <dcterms:modified xsi:type="dcterms:W3CDTF">2020-11-27T21:34:00Z</dcterms:modified>
</cp:coreProperties>
</file>