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B20D20" w14:textId="4C0D3183" w:rsidR="00B35367" w:rsidRDefault="00B35367" w:rsidP="00B35367">
      <w:pPr>
        <w:jc w:val="center"/>
      </w:pPr>
      <w:r>
        <w:rPr>
          <w:noProof/>
        </w:rPr>
        <w:drawing>
          <wp:inline distT="0" distB="0" distL="0" distR="0" wp14:anchorId="31314655" wp14:editId="35257F8A">
            <wp:extent cx="3200400" cy="1367336"/>
            <wp:effectExtent l="228600" t="228600" r="228600" b="233045"/>
            <wp:docPr id="1233995702" name="Picture 1" descr="Picture 638942447,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995702" name="Picture 1233995702" descr="Picture 638942447, Picture"/>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205543" cy="1369533"/>
                    </a:xfrm>
                    <a:prstGeom prst="rect">
                      <a:avLst/>
                    </a:prstGeom>
                    <a:effectLst>
                      <a:glow rad="228600">
                        <a:schemeClr val="accent6">
                          <a:satMod val="175000"/>
                          <a:alpha val="40000"/>
                        </a:schemeClr>
                      </a:glow>
                    </a:effectLst>
                  </pic:spPr>
                </pic:pic>
              </a:graphicData>
            </a:graphic>
          </wp:inline>
        </w:drawing>
      </w:r>
    </w:p>
    <w:p w14:paraId="3940315F" w14:textId="77777777" w:rsidR="00B35367" w:rsidRDefault="00B35367" w:rsidP="00B35367">
      <w:pPr>
        <w:jc w:val="center"/>
      </w:pPr>
    </w:p>
    <w:p w14:paraId="2F0A9B38" w14:textId="3B5FA69A" w:rsidR="004424B8" w:rsidRPr="002C4830" w:rsidRDefault="00B35367" w:rsidP="00B35367">
      <w:pPr>
        <w:jc w:val="center"/>
        <w:rPr>
          <w:b/>
          <w:bCs/>
          <w:color w:val="EE0000"/>
          <w:sz w:val="32"/>
          <w:szCs w:val="32"/>
          <w:u w:val="single"/>
        </w:rPr>
      </w:pPr>
      <w:r w:rsidRPr="002C4830">
        <w:rPr>
          <w:b/>
          <w:bCs/>
          <w:color w:val="EE0000"/>
          <w:sz w:val="32"/>
          <w:szCs w:val="32"/>
          <w:u w:val="single"/>
        </w:rPr>
        <w:t>Leadership and Management</w:t>
      </w:r>
    </w:p>
    <w:p w14:paraId="6B49A504" w14:textId="73E7D0F2" w:rsidR="00B35367" w:rsidRPr="00B35367" w:rsidRDefault="00B35367" w:rsidP="00B35367">
      <w:pPr>
        <w:jc w:val="center"/>
        <w:rPr>
          <w:b/>
          <w:bCs/>
          <w:sz w:val="28"/>
          <w:szCs w:val="28"/>
        </w:rPr>
      </w:pPr>
      <w:r w:rsidRPr="00B35367">
        <w:rPr>
          <w:b/>
          <w:bCs/>
          <w:sz w:val="28"/>
          <w:szCs w:val="28"/>
        </w:rPr>
        <w:t xml:space="preserve">Module: LCLM 5005 – Organisational </w:t>
      </w:r>
      <w:r w:rsidR="002C4830" w:rsidRPr="00B35367">
        <w:rPr>
          <w:b/>
          <w:bCs/>
          <w:sz w:val="28"/>
          <w:szCs w:val="28"/>
        </w:rPr>
        <w:t>Culture</w:t>
      </w:r>
      <w:r w:rsidR="002C4830">
        <w:rPr>
          <w:b/>
          <w:bCs/>
          <w:sz w:val="28"/>
          <w:szCs w:val="28"/>
        </w:rPr>
        <w:t xml:space="preserve"> (BIRM)</w:t>
      </w:r>
    </w:p>
    <w:p w14:paraId="6204C014" w14:textId="77777777" w:rsidR="00B35367" w:rsidRPr="00B35367" w:rsidRDefault="00B35367" w:rsidP="00B35367">
      <w:pPr>
        <w:jc w:val="center"/>
        <w:rPr>
          <w:b/>
          <w:bCs/>
          <w:sz w:val="32"/>
          <w:szCs w:val="32"/>
        </w:rPr>
      </w:pPr>
    </w:p>
    <w:p w14:paraId="7DFC4132" w14:textId="5941E1AA" w:rsidR="004424B8" w:rsidRDefault="004424B8" w:rsidP="00B35367">
      <w:pPr>
        <w:jc w:val="center"/>
        <w:rPr>
          <w:rFonts w:ascii="Georgia Pro" w:hAnsi="Georgia Pro"/>
          <w:b/>
          <w:bCs/>
          <w:sz w:val="28"/>
          <w:szCs w:val="28"/>
        </w:rPr>
      </w:pPr>
      <w:r w:rsidRPr="002C4830">
        <w:rPr>
          <w:rFonts w:ascii="Georgia Pro" w:hAnsi="Georgia Pro"/>
          <w:b/>
          <w:bCs/>
          <w:sz w:val="28"/>
          <w:szCs w:val="28"/>
        </w:rPr>
        <w:t xml:space="preserve">Assessment Component 1 </w:t>
      </w:r>
      <w:r w:rsidR="00B35367" w:rsidRPr="002C4830">
        <w:rPr>
          <w:rFonts w:ascii="Georgia Pro" w:hAnsi="Georgia Pro"/>
          <w:b/>
          <w:bCs/>
          <w:sz w:val="28"/>
          <w:szCs w:val="28"/>
        </w:rPr>
        <w:t>/ Individual Report (3000 words)</w:t>
      </w:r>
    </w:p>
    <w:p w14:paraId="6B36CE55" w14:textId="218D0D83" w:rsidR="00E92FE1" w:rsidRPr="00E92FE1" w:rsidRDefault="00E92FE1" w:rsidP="00B35367">
      <w:pPr>
        <w:jc w:val="center"/>
        <w:rPr>
          <w:rFonts w:ascii="Georgia Pro" w:hAnsi="Georgia Pro"/>
          <w:b/>
          <w:bCs/>
          <w:sz w:val="40"/>
          <w:szCs w:val="40"/>
        </w:rPr>
      </w:pPr>
      <w:r w:rsidRPr="00E92FE1">
        <w:rPr>
          <w:rFonts w:ascii="Georgia Pro" w:hAnsi="Georgia Pro"/>
          <w:b/>
          <w:bCs/>
          <w:sz w:val="40"/>
          <w:szCs w:val="40"/>
        </w:rPr>
        <w:t>Organisational Culture</w:t>
      </w:r>
    </w:p>
    <w:p w14:paraId="22C57177" w14:textId="77777777" w:rsidR="004424B8" w:rsidRDefault="004424B8" w:rsidP="00B35367">
      <w:pPr>
        <w:jc w:val="center"/>
      </w:pPr>
    </w:p>
    <w:p w14:paraId="6595A151" w14:textId="1ED9DC6D" w:rsidR="00E92FE1" w:rsidRDefault="00E92FE1" w:rsidP="00B35367">
      <w:pPr>
        <w:jc w:val="center"/>
        <w:rPr>
          <w:b/>
          <w:bCs/>
          <w:sz w:val="32"/>
          <w:szCs w:val="32"/>
        </w:rPr>
      </w:pPr>
      <w:r>
        <w:rPr>
          <w:b/>
          <w:bCs/>
          <w:sz w:val="32"/>
          <w:szCs w:val="32"/>
        </w:rPr>
        <w:t xml:space="preserve">Tutor: </w:t>
      </w:r>
      <w:r w:rsidR="00D51717">
        <w:rPr>
          <w:b/>
          <w:bCs/>
          <w:sz w:val="32"/>
          <w:szCs w:val="32"/>
        </w:rPr>
        <w:t>David O</w:t>
      </w:r>
      <w:r w:rsidR="00E27F46">
        <w:rPr>
          <w:b/>
          <w:bCs/>
          <w:sz w:val="32"/>
          <w:szCs w:val="32"/>
        </w:rPr>
        <w:t>yebisi</w:t>
      </w:r>
    </w:p>
    <w:p w14:paraId="34CB951C" w14:textId="5CC3FB89" w:rsidR="005D44EA" w:rsidRPr="00B35367" w:rsidRDefault="00AB345F" w:rsidP="00B35367">
      <w:pPr>
        <w:jc w:val="center"/>
        <w:rPr>
          <w:b/>
          <w:bCs/>
          <w:sz w:val="32"/>
          <w:szCs w:val="32"/>
        </w:rPr>
      </w:pPr>
      <w:r w:rsidRPr="00B35367">
        <w:rPr>
          <w:b/>
          <w:bCs/>
          <w:sz w:val="32"/>
          <w:szCs w:val="32"/>
        </w:rPr>
        <w:t xml:space="preserve">Student Name: </w:t>
      </w:r>
      <w:r w:rsidR="00ED1B77" w:rsidRPr="00B35367">
        <w:rPr>
          <w:b/>
          <w:bCs/>
          <w:sz w:val="32"/>
          <w:szCs w:val="32"/>
        </w:rPr>
        <w:t xml:space="preserve">Qasim </w:t>
      </w:r>
      <w:r w:rsidR="00E92FE1" w:rsidRPr="00B35367">
        <w:rPr>
          <w:b/>
          <w:bCs/>
          <w:sz w:val="32"/>
          <w:szCs w:val="32"/>
        </w:rPr>
        <w:t>Ali</w:t>
      </w:r>
      <w:r w:rsidR="00E92FE1">
        <w:rPr>
          <w:b/>
          <w:bCs/>
          <w:sz w:val="32"/>
          <w:szCs w:val="32"/>
        </w:rPr>
        <w:t xml:space="preserve"> (</w:t>
      </w:r>
      <w:r w:rsidR="00E92FE1" w:rsidRPr="00B35367">
        <w:rPr>
          <w:b/>
          <w:bCs/>
          <w:sz w:val="32"/>
          <w:szCs w:val="32"/>
        </w:rPr>
        <w:t>2309098</w:t>
      </w:r>
      <w:r w:rsidR="00E92FE1">
        <w:rPr>
          <w:b/>
          <w:bCs/>
          <w:sz w:val="32"/>
          <w:szCs w:val="32"/>
        </w:rPr>
        <w:t>)</w:t>
      </w:r>
    </w:p>
    <w:p w14:paraId="40C25D89" w14:textId="77777777" w:rsidR="00B35367" w:rsidRDefault="00B35367" w:rsidP="00B35367">
      <w:pPr>
        <w:jc w:val="center"/>
      </w:pPr>
    </w:p>
    <w:p w14:paraId="019862EE" w14:textId="668B2F63" w:rsidR="005D44EA" w:rsidRPr="002C4830" w:rsidRDefault="00AB345F" w:rsidP="00B35367">
      <w:pPr>
        <w:jc w:val="center"/>
        <w:rPr>
          <w:b/>
          <w:bCs/>
          <w:sz w:val="24"/>
          <w:szCs w:val="24"/>
        </w:rPr>
      </w:pPr>
      <w:r w:rsidRPr="002C4830">
        <w:rPr>
          <w:b/>
          <w:bCs/>
          <w:sz w:val="24"/>
          <w:szCs w:val="24"/>
        </w:rPr>
        <w:t>Submission Date:</w:t>
      </w:r>
      <w:r w:rsidR="002C4830">
        <w:rPr>
          <w:b/>
          <w:bCs/>
          <w:sz w:val="24"/>
          <w:szCs w:val="24"/>
        </w:rPr>
        <w:t xml:space="preserve"> 20/07/2026</w:t>
      </w:r>
    </w:p>
    <w:p w14:paraId="6CE8C176" w14:textId="77777777" w:rsidR="004424B8" w:rsidRDefault="004424B8"/>
    <w:p w14:paraId="58AE3FD7" w14:textId="77777777" w:rsidR="004424B8" w:rsidRDefault="004424B8"/>
    <w:p w14:paraId="7399405D" w14:textId="77777777" w:rsidR="004424B8" w:rsidRDefault="004424B8"/>
    <w:p w14:paraId="1B452BDE" w14:textId="77777777" w:rsidR="004424B8" w:rsidRDefault="004424B8"/>
    <w:p w14:paraId="218610D5" w14:textId="77777777" w:rsidR="004424B8" w:rsidRDefault="004424B8"/>
    <w:p w14:paraId="3C0AB100" w14:textId="77777777" w:rsidR="004424B8" w:rsidRDefault="004424B8"/>
    <w:p w14:paraId="572729D4" w14:textId="77777777" w:rsidR="00E92FE1" w:rsidRDefault="00E92FE1" w:rsidP="00E11FD3"/>
    <w:p w14:paraId="4E7DBC2A" w14:textId="1E6D0360" w:rsidR="004424B8" w:rsidRPr="00E92FE1" w:rsidRDefault="00AB345F" w:rsidP="00E11FD3">
      <w:pPr>
        <w:rPr>
          <w:rFonts w:asciiTheme="majorHAnsi" w:hAnsiTheme="majorHAnsi" w:cstheme="majorHAnsi"/>
          <w:b/>
          <w:bCs/>
          <w:sz w:val="32"/>
          <w:szCs w:val="32"/>
        </w:rPr>
      </w:pPr>
      <w:r w:rsidRPr="00E92FE1">
        <w:rPr>
          <w:rFonts w:asciiTheme="majorHAnsi" w:hAnsiTheme="majorHAnsi" w:cstheme="majorHAnsi"/>
          <w:b/>
          <w:bCs/>
          <w:sz w:val="32"/>
          <w:szCs w:val="32"/>
        </w:rPr>
        <w:lastRenderedPageBreak/>
        <w:t>Table of Content</w:t>
      </w:r>
      <w:r w:rsidR="00E11FD3" w:rsidRPr="00E92FE1">
        <w:rPr>
          <w:rFonts w:asciiTheme="majorHAnsi" w:hAnsiTheme="majorHAnsi" w:cstheme="majorHAnsi"/>
          <w:b/>
          <w:bCs/>
          <w:sz w:val="32"/>
          <w:szCs w:val="32"/>
        </w:rPr>
        <w:t>s</w:t>
      </w:r>
    </w:p>
    <w:p w14:paraId="712BC74B" w14:textId="16897547" w:rsidR="00E11FD3" w:rsidRPr="00E27F46" w:rsidRDefault="00E11FD3" w:rsidP="00E11FD3">
      <w:pPr>
        <w:rPr>
          <w:rFonts w:ascii="Arial" w:hAnsi="Arial" w:cs="Arial"/>
          <w:b/>
          <w:bCs/>
        </w:rPr>
      </w:pPr>
      <w:r w:rsidRPr="00E27F46">
        <w:rPr>
          <w:rFonts w:ascii="Arial" w:hAnsi="Arial" w:cs="Arial"/>
          <w:b/>
          <w:bCs/>
        </w:rPr>
        <w:t>Introduction-------------------------------------------------------------------------------------------------04</w:t>
      </w:r>
    </w:p>
    <w:p w14:paraId="08C7E92C" w14:textId="61540C37" w:rsidR="00E11FD3" w:rsidRPr="00E27F46" w:rsidRDefault="00E11FD3" w:rsidP="00E11FD3">
      <w:pPr>
        <w:rPr>
          <w:rFonts w:ascii="Arial" w:hAnsi="Arial" w:cs="Arial"/>
          <w:b/>
          <w:bCs/>
          <w:lang w:val="en-GB"/>
        </w:rPr>
      </w:pPr>
      <w:r w:rsidRPr="00E27F46">
        <w:rPr>
          <w:rFonts w:ascii="Arial" w:hAnsi="Arial" w:cs="Arial"/>
          <w:b/>
          <w:bCs/>
          <w:lang w:val="en-GB"/>
        </w:rPr>
        <w:t>Organisational Culture of Toyota-------------------------------------------------------------------05</w:t>
      </w:r>
    </w:p>
    <w:p w14:paraId="2FF75D80" w14:textId="4E0C4B0D" w:rsidR="00E11FD3" w:rsidRPr="00E27F46" w:rsidRDefault="00E11FD3" w:rsidP="00E11FD3">
      <w:pPr>
        <w:rPr>
          <w:rFonts w:ascii="Arial" w:hAnsi="Arial" w:cs="Arial"/>
          <w:b/>
          <w:bCs/>
          <w:lang w:val="en-GB"/>
        </w:rPr>
      </w:pPr>
      <w:r w:rsidRPr="00E27F46">
        <w:rPr>
          <w:rFonts w:ascii="Arial" w:hAnsi="Arial" w:cs="Arial"/>
          <w:b/>
          <w:bCs/>
          <w:lang w:val="en-GB"/>
        </w:rPr>
        <w:t>Influence of Culture on Structure and Decision-Making------------------------------------06</w:t>
      </w:r>
    </w:p>
    <w:p w14:paraId="279AD37D" w14:textId="7B2D6066" w:rsidR="00E11FD3" w:rsidRPr="00E27F46" w:rsidRDefault="00E11FD3" w:rsidP="00E11FD3">
      <w:pPr>
        <w:rPr>
          <w:rFonts w:ascii="Arial" w:hAnsi="Arial" w:cs="Arial"/>
          <w:b/>
          <w:bCs/>
          <w:lang w:val="en-GB"/>
        </w:rPr>
      </w:pPr>
      <w:r w:rsidRPr="00E27F46">
        <w:rPr>
          <w:rFonts w:ascii="Arial" w:hAnsi="Arial" w:cs="Arial"/>
          <w:b/>
          <w:bCs/>
          <w:lang w:val="en-GB"/>
        </w:rPr>
        <w:t>Identifying Cultural Types: Models and Frameworks----------------------------------------07</w:t>
      </w:r>
    </w:p>
    <w:p w14:paraId="26DD9549" w14:textId="708FFC7B" w:rsidR="00E11FD3" w:rsidRPr="00E27F46" w:rsidRDefault="00E11FD3" w:rsidP="00E11FD3">
      <w:pPr>
        <w:rPr>
          <w:rFonts w:ascii="Arial" w:hAnsi="Arial" w:cs="Arial"/>
          <w:b/>
          <w:bCs/>
          <w:lang w:val="en-GB"/>
        </w:rPr>
      </w:pPr>
      <w:r w:rsidRPr="00E27F46">
        <w:rPr>
          <w:rFonts w:ascii="Arial" w:hAnsi="Arial" w:cs="Arial"/>
          <w:b/>
          <w:bCs/>
          <w:lang w:val="en-GB"/>
        </w:rPr>
        <w:t>Culture and the External Environment--------------------------------------</w:t>
      </w:r>
      <w:r w:rsidR="00DB1AC6">
        <w:rPr>
          <w:rFonts w:ascii="Arial" w:hAnsi="Arial" w:cs="Arial"/>
          <w:b/>
          <w:bCs/>
          <w:lang w:val="en-GB"/>
        </w:rPr>
        <w:t>-</w:t>
      </w:r>
      <w:r w:rsidRPr="00E27F46">
        <w:rPr>
          <w:rFonts w:ascii="Arial" w:hAnsi="Arial" w:cs="Arial"/>
          <w:b/>
          <w:bCs/>
          <w:lang w:val="en-GB"/>
        </w:rPr>
        <w:t>---------------------10</w:t>
      </w:r>
    </w:p>
    <w:p w14:paraId="67579131" w14:textId="76E164DA" w:rsidR="00E11FD3" w:rsidRPr="00E27F46" w:rsidRDefault="00E11FD3" w:rsidP="00E11FD3">
      <w:pPr>
        <w:rPr>
          <w:rFonts w:ascii="Arial" w:hAnsi="Arial" w:cs="Arial"/>
          <w:b/>
          <w:bCs/>
          <w:lang w:val="en-GB"/>
        </w:rPr>
      </w:pPr>
      <w:r w:rsidRPr="00E27F46">
        <w:rPr>
          <w:rFonts w:ascii="Arial" w:hAnsi="Arial" w:cs="Arial"/>
          <w:b/>
          <w:bCs/>
          <w:lang w:val="en-GB"/>
        </w:rPr>
        <w:t>Organisational Culture as a Barrier----------------------------------------------------------------11</w:t>
      </w:r>
    </w:p>
    <w:p w14:paraId="1B1D366A" w14:textId="62D09C9C" w:rsidR="00E11FD3" w:rsidRPr="00E27F46" w:rsidRDefault="00E11FD3" w:rsidP="00E11FD3">
      <w:pPr>
        <w:rPr>
          <w:rFonts w:ascii="Arial" w:hAnsi="Arial" w:cs="Arial"/>
          <w:b/>
          <w:bCs/>
          <w:lang w:val="en-GB"/>
        </w:rPr>
      </w:pPr>
      <w:r w:rsidRPr="00E27F46">
        <w:rPr>
          <w:rFonts w:ascii="Arial" w:hAnsi="Arial" w:cs="Arial"/>
          <w:b/>
          <w:bCs/>
          <w:lang w:val="en-GB"/>
        </w:rPr>
        <w:t>Impact of Culture on Organisational Performance--------------------------------------------13</w:t>
      </w:r>
    </w:p>
    <w:p w14:paraId="167E5120" w14:textId="7814E5E9" w:rsidR="00E11FD3" w:rsidRPr="00E27F46" w:rsidRDefault="00E11FD3" w:rsidP="00E11FD3">
      <w:pPr>
        <w:rPr>
          <w:rFonts w:ascii="Arial" w:hAnsi="Arial" w:cs="Arial"/>
          <w:b/>
          <w:bCs/>
          <w:lang w:val="en-GB"/>
        </w:rPr>
      </w:pPr>
      <w:r w:rsidRPr="00E27F46">
        <w:rPr>
          <w:rFonts w:ascii="Arial" w:hAnsi="Arial" w:cs="Arial"/>
          <w:b/>
          <w:bCs/>
          <w:lang w:val="en-GB"/>
        </w:rPr>
        <w:t>Conclusion--------------------------------------------------------------------------------------------------14</w:t>
      </w:r>
    </w:p>
    <w:p w14:paraId="3AF5A72A" w14:textId="54C5024C" w:rsidR="00E11FD3" w:rsidRPr="00E27F46" w:rsidRDefault="00E11FD3" w:rsidP="00E11FD3">
      <w:pPr>
        <w:rPr>
          <w:rFonts w:ascii="Arial" w:hAnsi="Arial" w:cs="Arial"/>
          <w:b/>
          <w:bCs/>
          <w:lang w:val="en-GB"/>
        </w:rPr>
      </w:pPr>
      <w:r w:rsidRPr="00E27F46">
        <w:rPr>
          <w:rFonts w:ascii="Arial" w:hAnsi="Arial" w:cs="Arial"/>
          <w:b/>
          <w:bCs/>
          <w:lang w:val="en-GB"/>
        </w:rPr>
        <w:t>References--------------------------------------------------------------------------------------------------16</w:t>
      </w:r>
    </w:p>
    <w:p w14:paraId="21B4B3E4" w14:textId="77777777" w:rsidR="00E11FD3" w:rsidRPr="00E11FD3" w:rsidRDefault="00E11FD3" w:rsidP="00E11FD3">
      <w:pPr>
        <w:rPr>
          <w:rFonts w:asciiTheme="majorHAnsi" w:hAnsiTheme="majorHAnsi" w:cstheme="majorHAnsi"/>
          <w:b/>
          <w:bCs/>
          <w:sz w:val="24"/>
          <w:szCs w:val="24"/>
          <w:lang w:val="en-GB"/>
        </w:rPr>
      </w:pPr>
    </w:p>
    <w:p w14:paraId="3662A999" w14:textId="77777777" w:rsidR="00E11FD3" w:rsidRPr="00E11FD3" w:rsidRDefault="00E11FD3" w:rsidP="00E11FD3">
      <w:pPr>
        <w:rPr>
          <w:rFonts w:asciiTheme="majorHAnsi" w:hAnsiTheme="majorHAnsi" w:cstheme="majorHAnsi"/>
          <w:sz w:val="24"/>
          <w:szCs w:val="24"/>
          <w:lang w:val="en-GB"/>
        </w:rPr>
      </w:pPr>
    </w:p>
    <w:p w14:paraId="7D2933AE" w14:textId="7F7A44C6" w:rsidR="00E11FD3" w:rsidRPr="00E11FD3" w:rsidRDefault="00E11FD3" w:rsidP="00E11FD3">
      <w:pPr>
        <w:rPr>
          <w:rFonts w:asciiTheme="majorHAnsi" w:hAnsiTheme="majorHAnsi" w:cstheme="majorHAnsi"/>
          <w:b/>
          <w:bCs/>
          <w:sz w:val="24"/>
          <w:szCs w:val="24"/>
          <w:lang w:val="en-GB"/>
        </w:rPr>
      </w:pPr>
    </w:p>
    <w:p w14:paraId="46A23FF4" w14:textId="77777777" w:rsidR="00E11FD3" w:rsidRPr="00E11FD3" w:rsidRDefault="00E11FD3" w:rsidP="00E11FD3">
      <w:pPr>
        <w:rPr>
          <w:rFonts w:asciiTheme="majorHAnsi" w:hAnsiTheme="majorHAnsi" w:cstheme="majorHAnsi"/>
          <w:b/>
          <w:bCs/>
          <w:sz w:val="24"/>
          <w:szCs w:val="24"/>
          <w:lang w:val="en-GB"/>
        </w:rPr>
      </w:pPr>
    </w:p>
    <w:p w14:paraId="2A792568" w14:textId="77777777" w:rsidR="00E11FD3" w:rsidRPr="00E11FD3" w:rsidRDefault="00E11FD3" w:rsidP="00E11FD3">
      <w:pPr>
        <w:rPr>
          <w:rFonts w:asciiTheme="majorHAnsi" w:hAnsiTheme="majorHAnsi" w:cstheme="majorHAnsi"/>
          <w:b/>
          <w:bCs/>
          <w:sz w:val="24"/>
          <w:szCs w:val="24"/>
          <w:lang w:val="en-GB"/>
        </w:rPr>
      </w:pPr>
    </w:p>
    <w:p w14:paraId="6BD68FF4" w14:textId="77777777" w:rsidR="00E11FD3" w:rsidRPr="00E11FD3" w:rsidRDefault="00E11FD3" w:rsidP="00E11FD3">
      <w:pPr>
        <w:rPr>
          <w:rFonts w:asciiTheme="majorHAnsi" w:hAnsiTheme="majorHAnsi" w:cstheme="majorHAnsi"/>
          <w:b/>
          <w:bCs/>
          <w:sz w:val="24"/>
          <w:szCs w:val="24"/>
          <w:lang w:val="en-GB"/>
        </w:rPr>
      </w:pPr>
    </w:p>
    <w:p w14:paraId="0BF8306E" w14:textId="77777777" w:rsidR="00E11FD3" w:rsidRPr="00E11FD3" w:rsidRDefault="00E11FD3" w:rsidP="00E11FD3">
      <w:pPr>
        <w:rPr>
          <w:rFonts w:asciiTheme="majorHAnsi" w:hAnsiTheme="majorHAnsi" w:cstheme="majorHAnsi"/>
          <w:b/>
          <w:bCs/>
          <w:sz w:val="24"/>
          <w:szCs w:val="24"/>
          <w:lang w:val="en-GB"/>
        </w:rPr>
      </w:pPr>
    </w:p>
    <w:p w14:paraId="60C40C81" w14:textId="77777777" w:rsidR="00E11FD3" w:rsidRPr="00E11FD3" w:rsidRDefault="00E11FD3" w:rsidP="00E11FD3">
      <w:pPr>
        <w:rPr>
          <w:rFonts w:asciiTheme="majorHAnsi" w:hAnsiTheme="majorHAnsi" w:cstheme="majorHAnsi"/>
          <w:b/>
          <w:bCs/>
          <w:sz w:val="24"/>
          <w:szCs w:val="24"/>
        </w:rPr>
      </w:pPr>
    </w:p>
    <w:p w14:paraId="022FB070" w14:textId="77777777" w:rsidR="004424B8" w:rsidRDefault="004424B8" w:rsidP="004424B8">
      <w:pPr>
        <w:pStyle w:val="ListNumber"/>
        <w:numPr>
          <w:ilvl w:val="0"/>
          <w:numId w:val="0"/>
        </w:numPr>
        <w:ind w:left="360" w:hanging="360"/>
      </w:pPr>
    </w:p>
    <w:p w14:paraId="11223DFB" w14:textId="77777777" w:rsidR="004424B8" w:rsidRDefault="004424B8" w:rsidP="004424B8">
      <w:pPr>
        <w:pStyle w:val="ListNumber"/>
        <w:numPr>
          <w:ilvl w:val="0"/>
          <w:numId w:val="0"/>
        </w:numPr>
        <w:ind w:left="360" w:hanging="360"/>
      </w:pPr>
    </w:p>
    <w:p w14:paraId="30F068D0" w14:textId="77777777" w:rsidR="004424B8" w:rsidRDefault="004424B8" w:rsidP="004424B8">
      <w:pPr>
        <w:pStyle w:val="ListNumber"/>
        <w:numPr>
          <w:ilvl w:val="0"/>
          <w:numId w:val="0"/>
        </w:numPr>
        <w:ind w:left="360" w:hanging="360"/>
      </w:pPr>
    </w:p>
    <w:p w14:paraId="7FFAECC8" w14:textId="77777777" w:rsidR="004424B8" w:rsidRDefault="004424B8" w:rsidP="004424B8">
      <w:pPr>
        <w:pStyle w:val="ListNumber"/>
        <w:numPr>
          <w:ilvl w:val="0"/>
          <w:numId w:val="0"/>
        </w:numPr>
        <w:ind w:left="360" w:hanging="360"/>
      </w:pPr>
    </w:p>
    <w:p w14:paraId="2B68E734" w14:textId="77777777" w:rsidR="004424B8" w:rsidRDefault="004424B8" w:rsidP="004424B8">
      <w:pPr>
        <w:pStyle w:val="ListNumber"/>
        <w:numPr>
          <w:ilvl w:val="0"/>
          <w:numId w:val="0"/>
        </w:numPr>
        <w:ind w:left="360" w:hanging="360"/>
      </w:pPr>
    </w:p>
    <w:p w14:paraId="61C0B7ED" w14:textId="77777777" w:rsidR="004424B8" w:rsidRDefault="004424B8" w:rsidP="004424B8">
      <w:pPr>
        <w:pStyle w:val="ListNumber"/>
        <w:numPr>
          <w:ilvl w:val="0"/>
          <w:numId w:val="0"/>
        </w:numPr>
        <w:ind w:left="360" w:hanging="360"/>
      </w:pPr>
    </w:p>
    <w:p w14:paraId="3A4BBD3D" w14:textId="77777777" w:rsidR="004424B8" w:rsidRDefault="004424B8" w:rsidP="004424B8">
      <w:pPr>
        <w:pStyle w:val="ListNumber"/>
        <w:numPr>
          <w:ilvl w:val="0"/>
          <w:numId w:val="0"/>
        </w:numPr>
        <w:ind w:left="360" w:hanging="360"/>
      </w:pPr>
    </w:p>
    <w:p w14:paraId="68A1BDF7" w14:textId="3BD81ADA" w:rsidR="004424B8" w:rsidRDefault="004424B8" w:rsidP="004424B8">
      <w:pPr>
        <w:pStyle w:val="ListNumber"/>
        <w:numPr>
          <w:ilvl w:val="0"/>
          <w:numId w:val="0"/>
        </w:numPr>
        <w:ind w:left="360" w:hanging="360"/>
      </w:pPr>
    </w:p>
    <w:p w14:paraId="2850FBAB" w14:textId="77777777" w:rsidR="004424B8" w:rsidRDefault="004424B8" w:rsidP="004424B8">
      <w:pPr>
        <w:pStyle w:val="ListNumber"/>
        <w:numPr>
          <w:ilvl w:val="0"/>
          <w:numId w:val="0"/>
        </w:numPr>
        <w:ind w:left="360" w:hanging="360"/>
      </w:pPr>
    </w:p>
    <w:p w14:paraId="451B6A1B" w14:textId="1D063FBB" w:rsidR="002C4830" w:rsidRPr="00E11FD3" w:rsidRDefault="002C4830" w:rsidP="00E11FD3">
      <w:pPr>
        <w:spacing w:line="360" w:lineRule="auto"/>
        <w:jc w:val="center"/>
        <w:rPr>
          <w:rFonts w:ascii="Segoe UI Emoji" w:hAnsi="Segoe UI Emoji" w:cs="Arial"/>
          <w:b/>
          <w:bCs/>
          <w:sz w:val="52"/>
          <w:szCs w:val="52"/>
        </w:rPr>
      </w:pPr>
      <w:r w:rsidRPr="00E11FD3">
        <w:rPr>
          <w:rFonts w:ascii="Segoe UI Emoji" w:hAnsi="Segoe UI Emoji" w:cs="Arial"/>
          <w:b/>
          <w:bCs/>
          <w:sz w:val="52"/>
          <w:szCs w:val="52"/>
        </w:rPr>
        <w:lastRenderedPageBreak/>
        <w:t>Organisational Culture and Its Impact on Organisational Performance: Toyota Motor Corporation</w:t>
      </w:r>
    </w:p>
    <w:p w14:paraId="0788030F" w14:textId="0D450D7D" w:rsidR="002C4830" w:rsidRDefault="002C4830" w:rsidP="002C4830">
      <w:pPr>
        <w:spacing w:line="360" w:lineRule="auto"/>
        <w:jc w:val="center"/>
        <w:rPr>
          <w:rFonts w:ascii="Arial" w:hAnsi="Arial" w:cs="Arial"/>
          <w:b/>
          <w:bCs/>
          <w:sz w:val="32"/>
          <w:szCs w:val="32"/>
        </w:rPr>
      </w:pPr>
      <w:r>
        <w:rPr>
          <w:noProof/>
        </w:rPr>
        <w:drawing>
          <wp:inline distT="0" distB="0" distL="0" distR="0" wp14:anchorId="5DDFF6FE" wp14:editId="621DA003">
            <wp:extent cx="4251012" cy="1583055"/>
            <wp:effectExtent l="0" t="0" r="0" b="0"/>
            <wp:docPr id="1565739675" name="Picture 1" descr="Logo Toyota Png - Free Transparent P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Toyota Png - Free Transparent PNG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60529" cy="1586599"/>
                    </a:xfrm>
                    <a:prstGeom prst="rect">
                      <a:avLst/>
                    </a:prstGeom>
                    <a:noFill/>
                    <a:ln>
                      <a:noFill/>
                    </a:ln>
                  </pic:spPr>
                </pic:pic>
              </a:graphicData>
            </a:graphic>
          </wp:inline>
        </w:drawing>
      </w:r>
    </w:p>
    <w:p w14:paraId="38C23850" w14:textId="77777777" w:rsidR="002C4830" w:rsidRDefault="002C4830" w:rsidP="00DD6FEB">
      <w:pPr>
        <w:spacing w:line="360" w:lineRule="auto"/>
        <w:jc w:val="both"/>
        <w:rPr>
          <w:rFonts w:ascii="Arial" w:hAnsi="Arial" w:cs="Arial"/>
          <w:b/>
          <w:bCs/>
          <w:sz w:val="32"/>
          <w:szCs w:val="32"/>
        </w:rPr>
      </w:pPr>
    </w:p>
    <w:p w14:paraId="5E818914" w14:textId="77777777" w:rsidR="002C4830" w:rsidRDefault="002C4830" w:rsidP="00DD6FEB">
      <w:pPr>
        <w:spacing w:line="360" w:lineRule="auto"/>
        <w:jc w:val="both"/>
        <w:rPr>
          <w:rFonts w:ascii="Arial" w:hAnsi="Arial" w:cs="Arial"/>
          <w:b/>
          <w:bCs/>
          <w:sz w:val="32"/>
          <w:szCs w:val="32"/>
        </w:rPr>
      </w:pPr>
    </w:p>
    <w:p w14:paraId="5BFE28A3" w14:textId="77777777" w:rsidR="002C4830" w:rsidRDefault="002C4830" w:rsidP="00DD6FEB">
      <w:pPr>
        <w:spacing w:line="360" w:lineRule="auto"/>
        <w:jc w:val="both"/>
        <w:rPr>
          <w:rFonts w:ascii="Arial" w:hAnsi="Arial" w:cs="Arial"/>
          <w:b/>
          <w:bCs/>
          <w:sz w:val="32"/>
          <w:szCs w:val="32"/>
        </w:rPr>
      </w:pPr>
    </w:p>
    <w:p w14:paraId="36DCF663" w14:textId="77777777" w:rsidR="002C4830" w:rsidRDefault="002C4830" w:rsidP="00DD6FEB">
      <w:pPr>
        <w:spacing w:line="360" w:lineRule="auto"/>
        <w:jc w:val="both"/>
        <w:rPr>
          <w:rFonts w:ascii="Arial" w:hAnsi="Arial" w:cs="Arial"/>
          <w:b/>
          <w:bCs/>
          <w:sz w:val="32"/>
          <w:szCs w:val="32"/>
        </w:rPr>
      </w:pPr>
    </w:p>
    <w:p w14:paraId="4E89126E" w14:textId="77777777" w:rsidR="002C4830" w:rsidRDefault="002C4830" w:rsidP="00DD6FEB">
      <w:pPr>
        <w:spacing w:line="360" w:lineRule="auto"/>
        <w:jc w:val="both"/>
        <w:rPr>
          <w:rFonts w:ascii="Arial" w:hAnsi="Arial" w:cs="Arial"/>
          <w:b/>
          <w:bCs/>
          <w:sz w:val="32"/>
          <w:szCs w:val="32"/>
        </w:rPr>
      </w:pPr>
    </w:p>
    <w:p w14:paraId="1BA7D2A3" w14:textId="77777777" w:rsidR="002C4830" w:rsidRDefault="002C4830" w:rsidP="00DD6FEB">
      <w:pPr>
        <w:spacing w:line="360" w:lineRule="auto"/>
        <w:jc w:val="both"/>
        <w:rPr>
          <w:rFonts w:ascii="Arial" w:hAnsi="Arial" w:cs="Arial"/>
          <w:b/>
          <w:bCs/>
          <w:sz w:val="32"/>
          <w:szCs w:val="32"/>
        </w:rPr>
      </w:pPr>
    </w:p>
    <w:p w14:paraId="4503DC0B" w14:textId="77777777" w:rsidR="002C4830" w:rsidRDefault="002C4830" w:rsidP="00DD6FEB">
      <w:pPr>
        <w:spacing w:line="360" w:lineRule="auto"/>
        <w:jc w:val="both"/>
        <w:rPr>
          <w:rFonts w:ascii="Arial" w:hAnsi="Arial" w:cs="Arial"/>
          <w:b/>
          <w:bCs/>
          <w:sz w:val="32"/>
          <w:szCs w:val="32"/>
        </w:rPr>
      </w:pPr>
    </w:p>
    <w:p w14:paraId="420F95D0" w14:textId="77777777" w:rsidR="002C4830" w:rsidRDefault="002C4830" w:rsidP="00DD6FEB">
      <w:pPr>
        <w:spacing w:line="360" w:lineRule="auto"/>
        <w:jc w:val="both"/>
        <w:rPr>
          <w:rFonts w:ascii="Arial" w:hAnsi="Arial" w:cs="Arial"/>
          <w:b/>
          <w:bCs/>
          <w:sz w:val="32"/>
          <w:szCs w:val="32"/>
        </w:rPr>
      </w:pPr>
    </w:p>
    <w:p w14:paraId="2D90F1AC" w14:textId="77777777" w:rsidR="00E11FD3" w:rsidRDefault="00E11FD3" w:rsidP="00DD6FEB">
      <w:pPr>
        <w:spacing w:line="360" w:lineRule="auto"/>
        <w:jc w:val="both"/>
        <w:rPr>
          <w:rFonts w:ascii="Arial" w:hAnsi="Arial" w:cs="Arial"/>
          <w:b/>
          <w:bCs/>
          <w:sz w:val="32"/>
          <w:szCs w:val="32"/>
        </w:rPr>
      </w:pPr>
    </w:p>
    <w:p w14:paraId="786DD36B" w14:textId="6C3AF9E0" w:rsidR="005D44EA" w:rsidRDefault="00AB345F" w:rsidP="00DD6FEB">
      <w:pPr>
        <w:spacing w:line="360" w:lineRule="auto"/>
        <w:jc w:val="both"/>
        <w:rPr>
          <w:rFonts w:ascii="Arial" w:hAnsi="Arial" w:cs="Arial"/>
          <w:b/>
          <w:bCs/>
          <w:sz w:val="32"/>
          <w:szCs w:val="32"/>
        </w:rPr>
      </w:pPr>
      <w:r w:rsidRPr="00B35367">
        <w:rPr>
          <w:rFonts w:ascii="Arial" w:hAnsi="Arial" w:cs="Arial"/>
          <w:b/>
          <w:bCs/>
          <w:sz w:val="32"/>
          <w:szCs w:val="32"/>
        </w:rPr>
        <w:lastRenderedPageBreak/>
        <w:t>Introduction</w:t>
      </w:r>
    </w:p>
    <w:p w14:paraId="3073AABC" w14:textId="77777777" w:rsidR="008C3EED" w:rsidRDefault="008C3EED" w:rsidP="008C3EED">
      <w:pPr>
        <w:spacing w:line="360" w:lineRule="auto"/>
        <w:jc w:val="both"/>
        <w:rPr>
          <w:kern w:val="2"/>
          <w:lang w:val="en-GB" w:eastAsia="en-GB"/>
          <w14:ligatures w14:val="standardContextual"/>
        </w:rPr>
      </w:pPr>
      <w:r>
        <w:rPr>
          <w:rFonts w:ascii="Arial" w:hAnsi="Arial" w:cs="Arial"/>
        </w:rPr>
        <w:t>Toyota Motor Corporation is a leading example of a strong organisational culture. Founded in 1937, it became one of the world’s largest automotive manufacturers through its focus on quality, continuous improvement and employee development. Its culture is expressed through the Toyota Way, which emphasises continuous improvement, operational excellence, teamwork and respect for people (Toyota Motor Corporation, 2025).</w:t>
      </w:r>
    </w:p>
    <w:p w14:paraId="6069CD14" w14:textId="77777777" w:rsidR="008C3EED" w:rsidRDefault="008C3EED" w:rsidP="008C3EED">
      <w:pPr>
        <w:spacing w:line="360" w:lineRule="auto"/>
        <w:jc w:val="both"/>
        <w:rPr>
          <w:kern w:val="2"/>
          <w:lang w:val="en-GB" w:eastAsia="en-GB"/>
          <w14:ligatures w14:val="standardContextual"/>
        </w:rPr>
      </w:pPr>
      <w:r>
        <w:rPr>
          <w:rFonts w:ascii="Arial" w:hAnsi="Arial" w:cs="Arial"/>
        </w:rPr>
        <w:t xml:space="preserve">Toyota’s culture has helped it remain competitive despite technological disruption. In 2025, Toyota sold a record 11.3 million vehicles globally and retained its position as the world’s top-selling automaker (Reuters, 2026). However, it also faces rising competition from electric vehicle producers and growing pressure to accelerate sustainability. These factors make Toyota a useful case for </w:t>
      </w:r>
      <w:proofErr w:type="spellStart"/>
      <w:r>
        <w:rPr>
          <w:rFonts w:ascii="Arial" w:hAnsi="Arial" w:cs="Arial"/>
        </w:rPr>
        <w:t>analysing</w:t>
      </w:r>
      <w:proofErr w:type="spellEnd"/>
      <w:r>
        <w:rPr>
          <w:rFonts w:ascii="Arial" w:hAnsi="Arial" w:cs="Arial"/>
        </w:rPr>
        <w:t xml:space="preserve"> the link between organisational culture and performance.</w:t>
      </w:r>
    </w:p>
    <w:p w14:paraId="2B6E4167" w14:textId="19435C2D" w:rsidR="00CC4626" w:rsidRDefault="00CC4626">
      <w:pPr>
        <w:spacing w:line="360" w:lineRule="auto"/>
        <w:jc w:val="both"/>
        <w:rPr>
          <w:kern w:val="2"/>
          <w:lang w:val="en-GB" w:eastAsia="en-GB"/>
          <w14:ligatures w14:val="standardContextual"/>
        </w:rPr>
      </w:pPr>
      <w:r>
        <w:rPr>
          <w:rFonts w:ascii="Arial" w:hAnsi="Arial" w:cs="Arial"/>
        </w:rPr>
        <w:t xml:space="preserve">Organisational culture is a major influence on organisational effectiveness, employee </w:t>
      </w:r>
      <w:proofErr w:type="spellStart"/>
      <w:r>
        <w:rPr>
          <w:rFonts w:ascii="Arial" w:hAnsi="Arial" w:cs="Arial"/>
        </w:rPr>
        <w:t>behaviour</w:t>
      </w:r>
      <w:proofErr w:type="spellEnd"/>
      <w:r>
        <w:rPr>
          <w:rFonts w:ascii="Arial" w:hAnsi="Arial" w:cs="Arial"/>
        </w:rPr>
        <w:t xml:space="preserve"> and long-term success. It includes the shared values, beliefs and assumptions that shape how employees interact, make decisions and pursue organisational goals (Schein and Schein, 2017). Culture affects leadership, communication, motivation, innovation and performance, so </w:t>
      </w:r>
      <w:proofErr w:type="spellStart"/>
      <w:r>
        <w:rPr>
          <w:rFonts w:ascii="Arial" w:hAnsi="Arial" w:cs="Arial"/>
        </w:rPr>
        <w:t>organisations</w:t>
      </w:r>
      <w:proofErr w:type="spellEnd"/>
      <w:r>
        <w:rPr>
          <w:rFonts w:ascii="Arial" w:hAnsi="Arial" w:cs="Arial"/>
        </w:rPr>
        <w:t xml:space="preserve"> with well-managed cultures are often better placed to achieve strategic objectives and sustain competitive advantage.</w:t>
      </w:r>
      <w:r w:rsidR="00407236" w:rsidRPr="00407236">
        <w:t xml:space="preserve"> </w:t>
      </w:r>
      <w:r w:rsidR="00407236" w:rsidRPr="00407236">
        <w:rPr>
          <w:rFonts w:ascii="Arial" w:hAnsi="Arial" w:cs="Arial"/>
        </w:rPr>
        <w:t>Kotrba et al. (2024) further argue that organisational culture remains one of the strongest predictors of organisational effectiveness and employee engagement</w:t>
      </w:r>
      <w:r w:rsidR="00407236">
        <w:rPr>
          <w:rFonts w:ascii="Arial" w:hAnsi="Arial" w:cs="Arial"/>
        </w:rPr>
        <w:t>.</w:t>
      </w:r>
    </w:p>
    <w:p w14:paraId="2995D351" w14:textId="77777777" w:rsidR="00CC4626" w:rsidRDefault="00CC4626">
      <w:pPr>
        <w:spacing w:line="360" w:lineRule="auto"/>
        <w:jc w:val="both"/>
        <w:rPr>
          <w:kern w:val="2"/>
          <w:lang w:val="en-GB" w:eastAsia="en-GB"/>
          <w14:ligatures w14:val="standardContextual"/>
        </w:rPr>
      </w:pPr>
      <w:r>
        <w:rPr>
          <w:rFonts w:ascii="Arial" w:hAnsi="Arial" w:cs="Arial"/>
        </w:rPr>
        <w:t xml:space="preserve">Mullins and Christy (2016) argue that culture shapes structure, decision-making, work </w:t>
      </w:r>
      <w:proofErr w:type="spellStart"/>
      <w:r>
        <w:rPr>
          <w:rFonts w:ascii="Arial" w:hAnsi="Arial" w:cs="Arial"/>
        </w:rPr>
        <w:t>organisation</w:t>
      </w:r>
      <w:proofErr w:type="spellEnd"/>
      <w:r>
        <w:rPr>
          <w:rFonts w:ascii="Arial" w:hAnsi="Arial" w:cs="Arial"/>
        </w:rPr>
        <w:t xml:space="preserve"> and control, while Robbins and Judge (2022) suggest it gives employees identity and aligns </w:t>
      </w:r>
      <w:proofErr w:type="spellStart"/>
      <w:r>
        <w:rPr>
          <w:rFonts w:ascii="Arial" w:hAnsi="Arial" w:cs="Arial"/>
        </w:rPr>
        <w:t>behaviour</w:t>
      </w:r>
      <w:proofErr w:type="spellEnd"/>
      <w:r>
        <w:rPr>
          <w:rFonts w:ascii="Arial" w:hAnsi="Arial" w:cs="Arial"/>
        </w:rPr>
        <w:t xml:space="preserve"> with organisational goals. However, its effects are not always positive. </w:t>
      </w:r>
      <w:proofErr w:type="spellStart"/>
      <w:r>
        <w:rPr>
          <w:rFonts w:ascii="Arial" w:hAnsi="Arial" w:cs="Arial"/>
        </w:rPr>
        <w:t>Nungchim</w:t>
      </w:r>
      <w:proofErr w:type="spellEnd"/>
      <w:r>
        <w:rPr>
          <w:rFonts w:ascii="Arial" w:hAnsi="Arial" w:cs="Arial"/>
        </w:rPr>
        <w:t xml:space="preserve"> and </w:t>
      </w:r>
      <w:proofErr w:type="spellStart"/>
      <w:r>
        <w:rPr>
          <w:rFonts w:ascii="Arial" w:hAnsi="Arial" w:cs="Arial"/>
        </w:rPr>
        <w:t>Leihaothabam</w:t>
      </w:r>
      <w:proofErr w:type="spellEnd"/>
      <w:r>
        <w:rPr>
          <w:rFonts w:ascii="Arial" w:hAnsi="Arial" w:cs="Arial"/>
        </w:rPr>
        <w:t xml:space="preserve"> (2022) identify a positive relationship between culture and effectiveness, whereas AlShehri et al. (2024) argue that strong cultures may become restrictive in rapidly changing environments. Culture should therefore be examined critically rather than assumed to create advantage.</w:t>
      </w:r>
    </w:p>
    <w:p w14:paraId="798E4E9F" w14:textId="77777777" w:rsidR="008C3EED" w:rsidRDefault="008C3EED" w:rsidP="00E63580">
      <w:pPr>
        <w:spacing w:line="360" w:lineRule="auto"/>
        <w:jc w:val="both"/>
        <w:rPr>
          <w:rFonts w:ascii="Arial" w:hAnsi="Arial" w:cs="Arial"/>
        </w:rPr>
      </w:pPr>
    </w:p>
    <w:p w14:paraId="224C8DDC" w14:textId="77777777" w:rsidR="008C3EED" w:rsidRDefault="008C3EED" w:rsidP="00E63580">
      <w:pPr>
        <w:spacing w:line="360" w:lineRule="auto"/>
        <w:jc w:val="both"/>
        <w:rPr>
          <w:rFonts w:ascii="Arial" w:hAnsi="Arial" w:cs="Arial"/>
        </w:rPr>
      </w:pPr>
    </w:p>
    <w:p w14:paraId="6A8D6917" w14:textId="77777777" w:rsidR="008C3EED" w:rsidRDefault="008C3EED" w:rsidP="00E63580">
      <w:pPr>
        <w:spacing w:line="360" w:lineRule="auto"/>
        <w:jc w:val="both"/>
        <w:rPr>
          <w:rFonts w:ascii="Arial" w:hAnsi="Arial" w:cs="Arial"/>
        </w:rPr>
      </w:pPr>
    </w:p>
    <w:p w14:paraId="13ED428E" w14:textId="6DEAFA33" w:rsidR="00DD6FEB" w:rsidRPr="00E63580" w:rsidRDefault="00DD6FEB" w:rsidP="00E63580">
      <w:pPr>
        <w:spacing w:line="360" w:lineRule="auto"/>
        <w:jc w:val="both"/>
        <w:rPr>
          <w:kern w:val="2"/>
          <w:lang w:val="en-GB" w:eastAsia="en-GB"/>
          <w14:ligatures w14:val="standardContextual"/>
        </w:rPr>
      </w:pPr>
      <w:r w:rsidRPr="00DD6FEB">
        <w:rPr>
          <w:rFonts w:ascii="Arial" w:eastAsia="Times New Roman" w:hAnsi="Arial" w:cs="Arial"/>
          <w:b/>
          <w:bCs/>
          <w:kern w:val="36"/>
          <w:sz w:val="32"/>
          <w:szCs w:val="32"/>
          <w:lang w:val="en-GB" w:eastAsia="en-GB"/>
        </w:rPr>
        <w:lastRenderedPageBreak/>
        <w:t>Organisational Culture of Toyota</w:t>
      </w:r>
    </w:p>
    <w:p w14:paraId="7F62FB9A" w14:textId="77777777" w:rsidR="009E5729" w:rsidRDefault="009E5729">
      <w:pPr>
        <w:spacing w:line="360" w:lineRule="auto"/>
        <w:jc w:val="both"/>
        <w:rPr>
          <w:kern w:val="2"/>
          <w:lang w:val="en-GB" w:eastAsia="en-GB"/>
          <w14:ligatures w14:val="standardContextual"/>
        </w:rPr>
      </w:pPr>
      <w:r w:rsidRPr="00516054">
        <w:rPr>
          <w:rFonts w:ascii="Arial" w:hAnsi="Arial" w:cs="Arial"/>
          <w:color w:val="404040" w:themeColor="text1" w:themeTint="BF"/>
        </w:rPr>
        <w:t xml:space="preserve">Toyota’s organisational culture is widely regarded as one of the most influential in the global automotive industry. It is rooted in the Toyota Way, a management philosophy </w:t>
      </w:r>
      <w:proofErr w:type="spellStart"/>
      <w:r w:rsidRPr="00516054">
        <w:rPr>
          <w:rFonts w:ascii="Arial" w:hAnsi="Arial" w:cs="Arial"/>
          <w:color w:val="404040" w:themeColor="text1" w:themeTint="BF"/>
        </w:rPr>
        <w:t>centred</w:t>
      </w:r>
      <w:proofErr w:type="spellEnd"/>
      <w:r w:rsidRPr="00516054">
        <w:rPr>
          <w:rFonts w:ascii="Arial" w:hAnsi="Arial" w:cs="Arial"/>
          <w:color w:val="404040" w:themeColor="text1" w:themeTint="BF"/>
        </w:rPr>
        <w:t xml:space="preserve"> on continuous improvement, respect for people, teamwork and long-term thinking </w:t>
      </w:r>
      <w:r>
        <w:rPr>
          <w:rFonts w:ascii="Arial" w:hAnsi="Arial" w:cs="Arial"/>
        </w:rPr>
        <w:t xml:space="preserve">(Toyota Motor Corporation, 2025). These values are deeply embedded across the </w:t>
      </w:r>
      <w:proofErr w:type="spellStart"/>
      <w:r>
        <w:rPr>
          <w:rFonts w:ascii="Arial" w:hAnsi="Arial" w:cs="Arial"/>
        </w:rPr>
        <w:t>organisation</w:t>
      </w:r>
      <w:proofErr w:type="spellEnd"/>
      <w:r>
        <w:rPr>
          <w:rFonts w:ascii="Arial" w:hAnsi="Arial" w:cs="Arial"/>
        </w:rPr>
        <w:t xml:space="preserve"> and shape employee </w:t>
      </w:r>
      <w:proofErr w:type="spellStart"/>
      <w:r>
        <w:rPr>
          <w:rFonts w:ascii="Arial" w:hAnsi="Arial" w:cs="Arial"/>
        </w:rPr>
        <w:t>behaviour</w:t>
      </w:r>
      <w:proofErr w:type="spellEnd"/>
      <w:r>
        <w:rPr>
          <w:rFonts w:ascii="Arial" w:hAnsi="Arial" w:cs="Arial"/>
        </w:rPr>
        <w:t xml:space="preserve">, communication and decision-making. Rather than treating culture as a symbolic statement, Toyota integrates it into daily operations, creating a strong link between values and </w:t>
      </w:r>
      <w:r w:rsidRPr="005B6169">
        <w:rPr>
          <w:rFonts w:ascii="Arial" w:hAnsi="Arial" w:cs="Arial"/>
        </w:rPr>
        <w:t>performance.</w:t>
      </w:r>
    </w:p>
    <w:p w14:paraId="17DE488D" w14:textId="64DF8AB1" w:rsidR="009E5729" w:rsidRDefault="009E5729">
      <w:pPr>
        <w:spacing w:line="360" w:lineRule="auto"/>
        <w:jc w:val="both"/>
        <w:rPr>
          <w:kern w:val="2"/>
          <w:lang w:val="en-GB" w:eastAsia="en-GB"/>
          <w14:ligatures w14:val="standardContextual"/>
        </w:rPr>
      </w:pPr>
      <w:r>
        <w:rPr>
          <w:rFonts w:ascii="Arial" w:hAnsi="Arial" w:cs="Arial"/>
        </w:rPr>
        <w:t>A core feature of Toyota’s culture is Kaizen, or continuous improvement, which encourages employees at all levels to identify problems, suggest solutions and learn from mistakes. This supports operational efficiency, engagement and agility (</w:t>
      </w:r>
      <w:proofErr w:type="spellStart"/>
      <w:r>
        <w:rPr>
          <w:rFonts w:ascii="Arial" w:hAnsi="Arial" w:cs="Arial"/>
        </w:rPr>
        <w:t>Vanichchinchai</w:t>
      </w:r>
      <w:proofErr w:type="spellEnd"/>
      <w:r>
        <w:rPr>
          <w:rFonts w:ascii="Arial" w:hAnsi="Arial" w:cs="Arial"/>
        </w:rPr>
        <w:t xml:space="preserve">, 2023). Closely connected to this is employee empowerment: staff are expected to contribute actively to problem-solving and quality improvement, supported by training and development. Griffin and Moorhead (2021) argue that involvement increases commitment because employees feel valued. Toyota also promotes </w:t>
      </w:r>
      <w:proofErr w:type="spellStart"/>
      <w:r>
        <w:rPr>
          <w:rFonts w:ascii="Arial" w:hAnsi="Arial" w:cs="Arial"/>
        </w:rPr>
        <w:t>Hansei</w:t>
      </w:r>
      <w:proofErr w:type="spellEnd"/>
      <w:r>
        <w:rPr>
          <w:rFonts w:ascii="Arial" w:hAnsi="Arial" w:cs="Arial"/>
        </w:rPr>
        <w:t>, a principle of self-reflection that encourages employees to evaluate both successes and failures, reinforcing organisational learning and continuous development.</w:t>
      </w:r>
      <w:r w:rsidR="00407236" w:rsidRPr="00407236">
        <w:t xml:space="preserve"> </w:t>
      </w:r>
      <w:r w:rsidR="00407236" w:rsidRPr="00407236">
        <w:rPr>
          <w:rFonts w:ascii="Arial" w:hAnsi="Arial" w:cs="Arial"/>
        </w:rPr>
        <w:t xml:space="preserve">This emphasis on organisational learning reflects the characteristics of learning </w:t>
      </w:r>
      <w:proofErr w:type="spellStart"/>
      <w:r w:rsidR="00407236" w:rsidRPr="00407236">
        <w:rPr>
          <w:rFonts w:ascii="Arial" w:hAnsi="Arial" w:cs="Arial"/>
        </w:rPr>
        <w:t>organisations</w:t>
      </w:r>
      <w:proofErr w:type="spellEnd"/>
      <w:r w:rsidR="00407236" w:rsidRPr="00407236">
        <w:rPr>
          <w:rFonts w:ascii="Arial" w:hAnsi="Arial" w:cs="Arial"/>
        </w:rPr>
        <w:t xml:space="preserve"> described by Senge (2020), where continuous knowledge sharing supports long-term improvement.</w:t>
      </w:r>
    </w:p>
    <w:p w14:paraId="145E58CF" w14:textId="53146A44" w:rsidR="009E5729" w:rsidRDefault="009E5729">
      <w:pPr>
        <w:spacing w:line="360" w:lineRule="auto"/>
        <w:jc w:val="both"/>
        <w:rPr>
          <w:kern w:val="2"/>
          <w:lang w:val="en-GB" w:eastAsia="en-GB"/>
          <w14:ligatures w14:val="standardContextual"/>
        </w:rPr>
      </w:pPr>
      <w:r>
        <w:rPr>
          <w:rFonts w:ascii="Arial" w:hAnsi="Arial" w:cs="Arial"/>
        </w:rPr>
        <w:t xml:space="preserve">However, strong cultures are not always beneficial. While embedded values can improve consistency and organisational commitment, they may also reduce adaptability. AlShehri et al. (2024) suggest that </w:t>
      </w:r>
      <w:proofErr w:type="spellStart"/>
      <w:r>
        <w:rPr>
          <w:rFonts w:ascii="Arial" w:hAnsi="Arial" w:cs="Arial"/>
        </w:rPr>
        <w:t>organisations</w:t>
      </w:r>
      <w:proofErr w:type="spellEnd"/>
      <w:r>
        <w:rPr>
          <w:rFonts w:ascii="Arial" w:hAnsi="Arial" w:cs="Arial"/>
        </w:rPr>
        <w:t xml:space="preserve"> with deeply rooted norms may struggle to respond quickly to disruptive change. This concern is relevant in the automotive sector, where electric vehicles, artificial intelligence and sustainability pressures are reshaping competition. Toyota’s success with</w:t>
      </w:r>
      <w:r w:rsidR="00AD41FE">
        <w:rPr>
          <w:rFonts w:ascii="Arial" w:hAnsi="Arial" w:cs="Arial"/>
        </w:rPr>
        <w:t xml:space="preserve"> </w:t>
      </w:r>
      <w:proofErr w:type="gramStart"/>
      <w:r w:rsidR="00AD41FE">
        <w:rPr>
          <w:rFonts w:ascii="Arial" w:hAnsi="Arial" w:cs="Arial"/>
        </w:rPr>
        <w:t xml:space="preserve">the </w:t>
      </w:r>
      <w:r>
        <w:rPr>
          <w:rFonts w:ascii="Arial" w:hAnsi="Arial" w:cs="Arial"/>
        </w:rPr>
        <w:t xml:space="preserve"> </w:t>
      </w:r>
      <w:r w:rsidR="00AD41FE">
        <w:rPr>
          <w:rFonts w:ascii="Arial" w:hAnsi="Arial" w:cs="Arial"/>
        </w:rPr>
        <w:t>Prius</w:t>
      </w:r>
      <w:proofErr w:type="gramEnd"/>
      <w:r>
        <w:rPr>
          <w:rFonts w:ascii="Arial" w:hAnsi="Arial" w:cs="Arial"/>
        </w:rPr>
        <w:t xml:space="preserve"> shows how </w:t>
      </w:r>
      <w:r w:rsidR="00E92FE1">
        <w:rPr>
          <w:rFonts w:ascii="Arial" w:hAnsi="Arial" w:cs="Arial"/>
        </w:rPr>
        <w:t>long</w:t>
      </w:r>
      <w:r>
        <w:rPr>
          <w:rFonts w:ascii="Arial" w:hAnsi="Arial" w:cs="Arial"/>
        </w:rPr>
        <w:t>-term orientation can support innovation, yet its sustained emphasis on hybrid technology has led some critics to argue that the company has moved more cautiously into fully electric vehicles than competitors such as Tesla and BYD.</w:t>
      </w:r>
    </w:p>
    <w:p w14:paraId="3745CF08" w14:textId="77777777" w:rsidR="009E5729" w:rsidRDefault="009E5729">
      <w:pPr>
        <w:spacing w:line="360" w:lineRule="auto"/>
        <w:jc w:val="both"/>
        <w:rPr>
          <w:kern w:val="2"/>
          <w:lang w:val="en-GB" w:eastAsia="en-GB"/>
          <w14:ligatures w14:val="standardContextual"/>
        </w:rPr>
      </w:pPr>
      <w:r>
        <w:rPr>
          <w:rFonts w:ascii="Arial" w:hAnsi="Arial" w:cs="Arial"/>
        </w:rPr>
        <w:t xml:space="preserve">Another defining characteristic of Toyota’s culture is its emphasis on long-term value creation rather than short-term financial gain. Toyota </w:t>
      </w:r>
      <w:proofErr w:type="spellStart"/>
      <w:r>
        <w:rPr>
          <w:rFonts w:ascii="Arial" w:hAnsi="Arial" w:cs="Arial"/>
        </w:rPr>
        <w:t>prioritises</w:t>
      </w:r>
      <w:proofErr w:type="spellEnd"/>
      <w:r>
        <w:rPr>
          <w:rFonts w:ascii="Arial" w:hAnsi="Arial" w:cs="Arial"/>
        </w:rPr>
        <w:t xml:space="preserve"> sustainable growth, customer satisfaction and organisational learning, and this approach has supported </w:t>
      </w:r>
      <w:r>
        <w:rPr>
          <w:rFonts w:ascii="Arial" w:hAnsi="Arial" w:cs="Arial"/>
        </w:rPr>
        <w:lastRenderedPageBreak/>
        <w:t>investment in hybrid systems, hydrogen fuel cells and wider mobility initiatives. Tidd and Bessant (2021) argue that long-term strategic orientation can strengthen innovation and competitiveness. Overall, Toyota’s culture remains a major source of competitive advantage because it promotes quality, collaboration and learning. Nevertheless, its future success will depend on whether these strengths can continue to evolve in line with technological and market change.</w:t>
      </w:r>
    </w:p>
    <w:p w14:paraId="0A8828EF" w14:textId="77777777" w:rsidR="00DD6FEB" w:rsidRPr="00DD6FEB" w:rsidRDefault="00DD6FEB" w:rsidP="00DD6FEB">
      <w:pPr>
        <w:spacing w:before="100" w:beforeAutospacing="1" w:after="100" w:afterAutospacing="1" w:line="360" w:lineRule="auto"/>
        <w:jc w:val="both"/>
        <w:rPr>
          <w:rFonts w:ascii="Arial" w:eastAsia="Times New Roman" w:hAnsi="Arial" w:cs="Arial"/>
          <w:b/>
          <w:bCs/>
          <w:sz w:val="32"/>
          <w:szCs w:val="32"/>
          <w:lang w:val="en-GB" w:eastAsia="en-GB"/>
        </w:rPr>
      </w:pPr>
      <w:r w:rsidRPr="00DD6FEB">
        <w:rPr>
          <w:rFonts w:ascii="Arial" w:eastAsia="Times New Roman" w:hAnsi="Arial" w:cs="Arial"/>
          <w:b/>
          <w:bCs/>
          <w:sz w:val="32"/>
          <w:szCs w:val="32"/>
          <w:lang w:val="en-GB" w:eastAsia="en-GB"/>
        </w:rPr>
        <w:t>Influence of Culture on Structure and Decision-Making</w:t>
      </w:r>
    </w:p>
    <w:p w14:paraId="72B1DCAB" w14:textId="796F77A3" w:rsidR="009E5729" w:rsidRDefault="009E5729">
      <w:pPr>
        <w:spacing w:line="360" w:lineRule="auto"/>
        <w:jc w:val="both"/>
        <w:rPr>
          <w:kern w:val="2"/>
          <w:lang w:val="en-GB" w:eastAsia="en-GB"/>
          <w14:ligatures w14:val="standardContextual"/>
        </w:rPr>
      </w:pPr>
      <w:r>
        <w:rPr>
          <w:rFonts w:ascii="Arial" w:hAnsi="Arial" w:cs="Arial"/>
        </w:rPr>
        <w:t>Toyota’s organisational culture strongly shapes both its organisational structure and decision-making. Its commitment to continuous improvement, teamwork and employee participation is reflected in how responsibilities are distributed and how decisions are taken across the business. Rather than relying solely on top-down authority, Toyota combines formal structures with participative management practices that encourage employee involvement. This creates a system in which operational discipline is maintained while employees are still expected to contribute ideas and improvements.</w:t>
      </w:r>
    </w:p>
    <w:p w14:paraId="54B442BE" w14:textId="6EB96B47" w:rsidR="009E5729" w:rsidRDefault="009E5729">
      <w:pPr>
        <w:spacing w:line="360" w:lineRule="auto"/>
        <w:jc w:val="both"/>
        <w:rPr>
          <w:kern w:val="2"/>
          <w:lang w:val="en-GB" w:eastAsia="en-GB"/>
          <w14:ligatures w14:val="standardContextual"/>
        </w:rPr>
      </w:pPr>
      <w:r>
        <w:rPr>
          <w:rFonts w:ascii="Arial" w:hAnsi="Arial" w:cs="Arial"/>
        </w:rPr>
        <w:t>One important way culture influences Toyota’s structure is through cross-functional teamwork.</w:t>
      </w:r>
      <w:r w:rsidR="0009360A">
        <w:rPr>
          <w:rFonts w:ascii="Arial" w:hAnsi="Arial" w:cs="Arial"/>
        </w:rPr>
        <w:t xml:space="preserve"> </w:t>
      </w:r>
      <w:r w:rsidR="0009360A" w:rsidRPr="0009360A">
        <w:rPr>
          <w:rFonts w:ascii="Arial" w:hAnsi="Arial" w:cs="Arial"/>
        </w:rPr>
        <w:t xml:space="preserve">Daft (2021) argues that </w:t>
      </w:r>
      <w:proofErr w:type="spellStart"/>
      <w:r w:rsidR="0009360A" w:rsidRPr="0009360A">
        <w:rPr>
          <w:rFonts w:ascii="Arial" w:hAnsi="Arial" w:cs="Arial"/>
        </w:rPr>
        <w:t>organisations</w:t>
      </w:r>
      <w:proofErr w:type="spellEnd"/>
      <w:r w:rsidR="0009360A" w:rsidRPr="0009360A">
        <w:rPr>
          <w:rFonts w:ascii="Arial" w:hAnsi="Arial" w:cs="Arial"/>
        </w:rPr>
        <w:t xml:space="preserve"> that successfully balance formal control with employee empowerment are more likely to sustain innovation and operational efficiency.</w:t>
      </w:r>
      <w:r>
        <w:rPr>
          <w:rFonts w:ascii="Arial" w:hAnsi="Arial" w:cs="Arial"/>
        </w:rPr>
        <w:t xml:space="preserve"> Employees from different departments collaborate to solve problems, improve processes and develop new solutions. Jones (2022) argues that collaborative structures improve knowledge sharing and responses to complex challenges. Toyota’s culture supports this by encouraging contributions regardless of rank. At the same time, its structure balances standardisation with flexibility: processes are carefully </w:t>
      </w:r>
      <w:proofErr w:type="spellStart"/>
      <w:r>
        <w:rPr>
          <w:rFonts w:ascii="Arial" w:hAnsi="Arial" w:cs="Arial"/>
        </w:rPr>
        <w:t>organised</w:t>
      </w:r>
      <w:proofErr w:type="spellEnd"/>
      <w:r>
        <w:rPr>
          <w:rFonts w:ascii="Arial" w:hAnsi="Arial" w:cs="Arial"/>
        </w:rPr>
        <w:t xml:space="preserve"> to ensure quality, consistency and efficiency, but employees are empowered to identify problems and recommend changes. This balance allows Toyota to preserve control while supporting innovation and organisational learning.</w:t>
      </w:r>
    </w:p>
    <w:p w14:paraId="07A92873" w14:textId="77777777" w:rsidR="009E5729" w:rsidRDefault="009E5729">
      <w:pPr>
        <w:spacing w:line="360" w:lineRule="auto"/>
        <w:jc w:val="both"/>
        <w:rPr>
          <w:kern w:val="2"/>
          <w:lang w:val="en-GB" w:eastAsia="en-GB"/>
          <w14:ligatures w14:val="standardContextual"/>
        </w:rPr>
      </w:pPr>
      <w:r>
        <w:rPr>
          <w:rFonts w:ascii="Arial" w:hAnsi="Arial" w:cs="Arial"/>
        </w:rPr>
        <w:t xml:space="preserve">The cultural influence is especially visible in Toyota’s decision-making philosophy. Through Genchi </w:t>
      </w:r>
      <w:proofErr w:type="spellStart"/>
      <w:r>
        <w:rPr>
          <w:rFonts w:ascii="Arial" w:hAnsi="Arial" w:cs="Arial"/>
        </w:rPr>
        <w:t>Genbutsu</w:t>
      </w:r>
      <w:proofErr w:type="spellEnd"/>
      <w:r>
        <w:rPr>
          <w:rFonts w:ascii="Arial" w:hAnsi="Arial" w:cs="Arial"/>
        </w:rPr>
        <w:t xml:space="preserve">, managers are expected to observe operational realities directly before making decisions, which supports evidence-based management and reduces reliance on assumptions (Toyota Motor Corporation, 2025). Toyota also uses </w:t>
      </w:r>
      <w:proofErr w:type="spellStart"/>
      <w:r>
        <w:rPr>
          <w:rFonts w:ascii="Arial" w:hAnsi="Arial" w:cs="Arial"/>
        </w:rPr>
        <w:t>Nemawashi</w:t>
      </w:r>
      <w:proofErr w:type="spellEnd"/>
      <w:r>
        <w:rPr>
          <w:rFonts w:ascii="Arial" w:hAnsi="Arial" w:cs="Arial"/>
        </w:rPr>
        <w:t xml:space="preserve">, a consensus-building process in which managers consult stakeholders and gather input before major decisions are finalised. Robbins and Judge (2022) suggest that </w:t>
      </w:r>
      <w:r>
        <w:rPr>
          <w:rFonts w:ascii="Arial" w:hAnsi="Arial" w:cs="Arial"/>
        </w:rPr>
        <w:lastRenderedPageBreak/>
        <w:t>participative decision-making improves quality because it draws on diverse perspectives, while employee involvement also increases commitment to implementation.</w:t>
      </w:r>
    </w:p>
    <w:p w14:paraId="5D15C6FB" w14:textId="77777777" w:rsidR="009E5729" w:rsidRDefault="009E5729">
      <w:pPr>
        <w:spacing w:line="360" w:lineRule="auto"/>
        <w:jc w:val="both"/>
        <w:rPr>
          <w:kern w:val="2"/>
          <w:lang w:val="en-GB" w:eastAsia="en-GB"/>
          <w14:ligatures w14:val="standardContextual"/>
        </w:rPr>
      </w:pPr>
      <w:r>
        <w:rPr>
          <w:rFonts w:ascii="Arial" w:hAnsi="Arial" w:cs="Arial"/>
        </w:rPr>
        <w:t>However, these strengths also create limitations. Burnes (2020) argues that extensive consultation can slow decision-making and reduce organisational agility, especially in industries facing rapid technological disruption. This criticism is relevant to Toyota’s electric vehicle strategy. Although the company led the market in hybrid technology, some analysts argue that it moved more cautiously into battery-electric vehicles than certain competitors. This suggests that cultural preferences for careful evaluation and consensus may sometimes delay strategic responses to fast-changing market conditions.</w:t>
      </w:r>
    </w:p>
    <w:p w14:paraId="0ED86B8E" w14:textId="77777777" w:rsidR="009E5729" w:rsidRDefault="009E5729">
      <w:pPr>
        <w:spacing w:line="360" w:lineRule="auto"/>
        <w:jc w:val="both"/>
        <w:rPr>
          <w:kern w:val="2"/>
          <w:lang w:val="en-GB" w:eastAsia="en-GB"/>
          <w14:ligatures w14:val="standardContextual"/>
        </w:rPr>
      </w:pPr>
      <w:r>
        <w:rPr>
          <w:rFonts w:ascii="Arial" w:hAnsi="Arial" w:cs="Arial"/>
        </w:rPr>
        <w:t>Another important feature of Toyota’s decision-making culture is collective responsibility. Employees are encouraged to focus on organisational goals rather than individual achievement, which strengthens teamwork and commitment. However, if responsibilities are not clearly defined, accountability may become blurred. Overall, Toyota’s culture has produced a structure and decision-making system that emphasises collaboration, employee involvement and continuous improvement, contributing significantly to operational excellence. Nevertheless, ongoing technological disruption highlights the need to balance participation and consensus with speed, flexibility and clear accountability.</w:t>
      </w:r>
    </w:p>
    <w:p w14:paraId="4F1C2A4F" w14:textId="77777777" w:rsidR="00DD6FEB" w:rsidRPr="00B35367" w:rsidRDefault="00DD6FEB" w:rsidP="00DD6FEB">
      <w:pPr>
        <w:spacing w:before="100" w:beforeAutospacing="1" w:after="100" w:afterAutospacing="1" w:line="360" w:lineRule="auto"/>
        <w:jc w:val="both"/>
        <w:rPr>
          <w:rFonts w:ascii="Arial" w:eastAsia="Times New Roman" w:hAnsi="Arial" w:cs="Arial"/>
          <w:b/>
          <w:bCs/>
          <w:sz w:val="32"/>
          <w:szCs w:val="32"/>
          <w:lang w:val="en-GB" w:eastAsia="en-GB"/>
        </w:rPr>
      </w:pPr>
      <w:r w:rsidRPr="00B35367">
        <w:rPr>
          <w:rFonts w:ascii="Arial" w:eastAsia="Times New Roman" w:hAnsi="Arial" w:cs="Arial"/>
          <w:b/>
          <w:bCs/>
          <w:sz w:val="32"/>
          <w:szCs w:val="32"/>
          <w:lang w:val="en-GB" w:eastAsia="en-GB"/>
        </w:rPr>
        <w:t>Identifying Cultural Types: Models and Frameworks</w:t>
      </w:r>
    </w:p>
    <w:p w14:paraId="0690062C" w14:textId="77777777" w:rsidR="00DD6FEB" w:rsidRDefault="00DD6FEB" w:rsidP="00DD6FEB">
      <w:pPr>
        <w:spacing w:before="100" w:beforeAutospacing="1" w:after="100" w:afterAutospacing="1" w:line="360" w:lineRule="auto"/>
        <w:jc w:val="both"/>
        <w:rPr>
          <w:rFonts w:ascii="Arial" w:eastAsia="Times New Roman" w:hAnsi="Arial" w:cs="Arial"/>
          <w:lang w:val="en-GB" w:eastAsia="en-GB"/>
        </w:rPr>
      </w:pPr>
      <w:r w:rsidRPr="00DD6FEB">
        <w:rPr>
          <w:rFonts w:ascii="Arial" w:eastAsia="Times New Roman" w:hAnsi="Arial" w:cs="Arial"/>
          <w:lang w:val="en-GB" w:eastAsia="en-GB"/>
        </w:rPr>
        <w:t>Understanding Toyota’s organisational culture requires the application of relevant cultural models and frameworks that provide insight into the values, assumptions and behaviours embedded within the organisation. Contemporary organisational culture literature suggests that culture can be analysed through multiple perspectives, enabling a more comprehensive understanding of how organisations function and achieve strategic objectives (Schein and Schein, 2017).</w:t>
      </w:r>
    </w:p>
    <w:p w14:paraId="52C6112B" w14:textId="09896A1F" w:rsidR="00CC7A20" w:rsidRPr="00DD545D" w:rsidRDefault="00CC7A20" w:rsidP="00DD6FEB">
      <w:pPr>
        <w:spacing w:before="100" w:beforeAutospacing="1" w:after="100" w:afterAutospacing="1" w:line="360" w:lineRule="auto"/>
        <w:jc w:val="both"/>
        <w:rPr>
          <w:rFonts w:ascii="Arial" w:eastAsia="Times New Roman" w:hAnsi="Arial" w:cs="Arial"/>
          <w:b/>
          <w:bCs/>
          <w:sz w:val="28"/>
          <w:szCs w:val="28"/>
          <w:lang w:val="en-GB" w:eastAsia="en-GB"/>
        </w:rPr>
      </w:pPr>
      <w:r w:rsidRPr="00DD545D">
        <w:rPr>
          <w:rFonts w:ascii="Arial" w:hAnsi="Arial" w:cs="Arial"/>
          <w:b/>
          <w:bCs/>
          <w:sz w:val="28"/>
          <w:szCs w:val="28"/>
        </w:rPr>
        <w:t>Schein</w:t>
      </w:r>
      <w:r w:rsidR="005F3F1B">
        <w:rPr>
          <w:rFonts w:ascii="Arial" w:hAnsi="Arial" w:cs="Arial"/>
          <w:b/>
          <w:bCs/>
          <w:sz w:val="28"/>
          <w:szCs w:val="28"/>
        </w:rPr>
        <w:t xml:space="preserve"> and Sch</w:t>
      </w:r>
      <w:r w:rsidR="00776478">
        <w:rPr>
          <w:rFonts w:ascii="Arial" w:hAnsi="Arial" w:cs="Arial"/>
          <w:b/>
          <w:bCs/>
          <w:sz w:val="28"/>
          <w:szCs w:val="28"/>
        </w:rPr>
        <w:t>ein</w:t>
      </w:r>
      <w:r w:rsidRPr="00DD545D">
        <w:rPr>
          <w:rFonts w:ascii="Arial" w:hAnsi="Arial" w:cs="Arial"/>
          <w:b/>
          <w:bCs/>
          <w:sz w:val="28"/>
          <w:szCs w:val="28"/>
        </w:rPr>
        <w:t xml:space="preserve"> model</w:t>
      </w:r>
    </w:p>
    <w:p w14:paraId="29ACE9DD" w14:textId="77777777" w:rsidR="00CC4626" w:rsidRDefault="00CC4626">
      <w:pPr>
        <w:spacing w:line="360" w:lineRule="auto"/>
        <w:jc w:val="both"/>
        <w:rPr>
          <w:rFonts w:ascii="Arial" w:hAnsi="Arial" w:cs="Arial"/>
        </w:rPr>
      </w:pPr>
      <w:r>
        <w:rPr>
          <w:rFonts w:ascii="Arial" w:hAnsi="Arial" w:cs="Arial"/>
        </w:rPr>
        <w:t xml:space="preserve">Schein’s Three Levels of Organisational Culture is one of the most widely used frameworks. Schein and Schein (2017) identify three levels: artefacts, espoused values and underlying assumptions. At Toyota, artefacts include Kaizen workshops, standardised </w:t>
      </w:r>
      <w:r>
        <w:rPr>
          <w:rFonts w:ascii="Arial" w:hAnsi="Arial" w:cs="Arial"/>
        </w:rPr>
        <w:lastRenderedPageBreak/>
        <w:t>procedures, quality circles and visual management systems, all of which reflect the company’s commitment to quality, efficiency and employee involvement.</w:t>
      </w:r>
    </w:p>
    <w:p w14:paraId="45F03C94" w14:textId="77777777" w:rsidR="00DD6FEB" w:rsidRPr="00DD6FEB" w:rsidRDefault="00DD6FEB" w:rsidP="00DD6FEB">
      <w:pPr>
        <w:spacing w:before="100" w:beforeAutospacing="1" w:after="100" w:afterAutospacing="1" w:line="360" w:lineRule="auto"/>
        <w:jc w:val="both"/>
        <w:rPr>
          <w:rFonts w:ascii="Arial" w:eastAsia="Times New Roman" w:hAnsi="Arial" w:cs="Arial"/>
          <w:lang w:val="en-GB" w:eastAsia="en-GB"/>
        </w:rPr>
      </w:pPr>
      <w:r w:rsidRPr="002D549B">
        <w:rPr>
          <w:rFonts w:ascii="Arial" w:eastAsia="Times New Roman" w:hAnsi="Arial" w:cs="Arial"/>
          <w:lang w:val="en-GB" w:eastAsia="en-GB"/>
        </w:rPr>
        <w:t>The second level</w:t>
      </w:r>
      <w:r w:rsidRPr="00DD6FEB">
        <w:rPr>
          <w:rFonts w:ascii="Arial" w:eastAsia="Times New Roman" w:hAnsi="Arial" w:cs="Arial"/>
          <w:lang w:val="en-GB" w:eastAsia="en-GB"/>
        </w:rPr>
        <w:t>, espoused values, refers to the principles and beliefs that organisations publicly promote. Toyota’s espoused values are reflected in the Toyota Way, which emphasises continuous improvement, teamwork, customer focus, respect for people and long-term thinking (Toyota Motor Corporation, 2025). These values influence employee behaviour and strategic decision-making across global operations.</w:t>
      </w:r>
    </w:p>
    <w:p w14:paraId="2C50DD6C" w14:textId="77777777" w:rsidR="00DD6FEB" w:rsidRDefault="00DD6FEB" w:rsidP="00DD6FEB">
      <w:pPr>
        <w:spacing w:before="100" w:beforeAutospacing="1" w:after="100" w:afterAutospacing="1" w:line="360" w:lineRule="auto"/>
        <w:jc w:val="both"/>
        <w:rPr>
          <w:rFonts w:ascii="Arial" w:eastAsia="Times New Roman" w:hAnsi="Arial" w:cs="Arial"/>
          <w:lang w:val="en-GB" w:eastAsia="en-GB"/>
        </w:rPr>
      </w:pPr>
      <w:r w:rsidRPr="00DD6FEB">
        <w:rPr>
          <w:rFonts w:ascii="Arial" w:eastAsia="Times New Roman" w:hAnsi="Arial" w:cs="Arial"/>
          <w:lang w:val="en-GB" w:eastAsia="en-GB"/>
        </w:rPr>
        <w:t>The deepest level consists of underlying assumptions, which are deeply embedded beliefs that guide behaviour unconsciously. Within Toyota, there is a strong assumption that every process can be improved, employees contribute valuable knowledge and long-term organisational success is more important than short-term gains. These assumptions explain why continuous improvement remains central to Toyota’s operations.</w:t>
      </w:r>
    </w:p>
    <w:p w14:paraId="3E3E5C57" w14:textId="57466EAD" w:rsidR="00507E16" w:rsidRPr="00DD545D" w:rsidRDefault="00507E16" w:rsidP="00DD6FEB">
      <w:pPr>
        <w:spacing w:before="100" w:beforeAutospacing="1" w:after="100" w:afterAutospacing="1" w:line="360" w:lineRule="auto"/>
        <w:jc w:val="both"/>
        <w:rPr>
          <w:rFonts w:ascii="Arial" w:eastAsia="Times New Roman" w:hAnsi="Arial" w:cs="Arial"/>
          <w:b/>
          <w:bCs/>
          <w:sz w:val="28"/>
          <w:szCs w:val="28"/>
          <w:lang w:val="en-GB" w:eastAsia="en-GB"/>
        </w:rPr>
      </w:pPr>
      <w:r w:rsidRPr="00DD545D">
        <w:rPr>
          <w:rFonts w:ascii="Arial" w:eastAsia="Times New Roman" w:hAnsi="Arial" w:cs="Arial"/>
          <w:b/>
          <w:bCs/>
          <w:sz w:val="28"/>
          <w:szCs w:val="28"/>
          <w:lang w:val="en-GB" w:eastAsia="en-GB"/>
        </w:rPr>
        <w:t>Schein’s Framework</w:t>
      </w:r>
    </w:p>
    <w:p w14:paraId="354B420A" w14:textId="77777777" w:rsidR="00DD6FEB" w:rsidRDefault="00DD6FEB" w:rsidP="00DD6FEB">
      <w:pPr>
        <w:spacing w:before="100" w:beforeAutospacing="1" w:after="100" w:afterAutospacing="1" w:line="360" w:lineRule="auto"/>
        <w:jc w:val="both"/>
        <w:rPr>
          <w:rFonts w:ascii="Arial" w:eastAsia="Times New Roman" w:hAnsi="Arial" w:cs="Arial"/>
          <w:lang w:val="en-GB" w:eastAsia="en-GB"/>
        </w:rPr>
      </w:pPr>
      <w:r w:rsidRPr="00DD6FEB">
        <w:rPr>
          <w:rFonts w:ascii="Arial" w:eastAsia="Times New Roman" w:hAnsi="Arial" w:cs="Arial"/>
          <w:lang w:val="en-GB" w:eastAsia="en-GB"/>
        </w:rPr>
        <w:t>Schein’s framework provides a useful explanation of Toyota’s culture because it highlights the relationship between visible behaviours and deeper organisational values. However, a limitation of this model is that underlying assumptions can be difficult to observe and measure objectively. Consequently, managers may find it challenging to assess cultural change using Schein’s framework alone.</w:t>
      </w:r>
    </w:p>
    <w:p w14:paraId="48FB633F" w14:textId="02C3D91C" w:rsidR="00DD545D" w:rsidRPr="00DD545D" w:rsidRDefault="00DD545D" w:rsidP="00DD6FEB">
      <w:pPr>
        <w:spacing w:before="100" w:beforeAutospacing="1" w:after="100" w:afterAutospacing="1" w:line="360" w:lineRule="auto"/>
        <w:jc w:val="both"/>
        <w:rPr>
          <w:rFonts w:ascii="Arial" w:eastAsia="Times New Roman" w:hAnsi="Arial" w:cs="Arial"/>
          <w:b/>
          <w:bCs/>
          <w:sz w:val="28"/>
          <w:szCs w:val="28"/>
          <w:lang w:val="en-GB" w:eastAsia="en-GB"/>
        </w:rPr>
      </w:pPr>
      <w:r w:rsidRPr="00DD545D">
        <w:rPr>
          <w:rFonts w:ascii="Arial" w:eastAsia="Times New Roman" w:hAnsi="Arial" w:cs="Arial"/>
          <w:b/>
          <w:bCs/>
          <w:sz w:val="28"/>
          <w:szCs w:val="28"/>
          <w:lang w:val="en-GB" w:eastAsia="en-GB"/>
        </w:rPr>
        <w:t>Competing Values Framework (CVF)</w:t>
      </w:r>
    </w:p>
    <w:p w14:paraId="23315041" w14:textId="77777777" w:rsidR="00DD6FEB" w:rsidRDefault="00DD6FEB" w:rsidP="00DD6FEB">
      <w:pPr>
        <w:spacing w:before="100" w:beforeAutospacing="1" w:after="100" w:afterAutospacing="1" w:line="360" w:lineRule="auto"/>
        <w:jc w:val="both"/>
        <w:rPr>
          <w:rFonts w:ascii="Arial" w:eastAsia="Times New Roman" w:hAnsi="Arial" w:cs="Arial"/>
          <w:lang w:val="en-GB" w:eastAsia="en-GB"/>
        </w:rPr>
      </w:pPr>
      <w:r w:rsidRPr="00DD6FEB">
        <w:rPr>
          <w:rFonts w:ascii="Arial" w:eastAsia="Times New Roman" w:hAnsi="Arial" w:cs="Arial"/>
          <w:lang w:val="en-GB" w:eastAsia="en-GB"/>
        </w:rPr>
        <w:t xml:space="preserve">Another useful framework is the Competing Values Framework (CVF), which remains widely discussed in contemporary organisational behaviour literature (Clegg, Kornberger and </w:t>
      </w:r>
      <w:proofErr w:type="spellStart"/>
      <w:r w:rsidRPr="00DD6FEB">
        <w:rPr>
          <w:rFonts w:ascii="Arial" w:eastAsia="Times New Roman" w:hAnsi="Arial" w:cs="Arial"/>
          <w:lang w:val="en-GB" w:eastAsia="en-GB"/>
        </w:rPr>
        <w:t>Pitsis</w:t>
      </w:r>
      <w:proofErr w:type="spellEnd"/>
      <w:r w:rsidRPr="00DD6FEB">
        <w:rPr>
          <w:rFonts w:ascii="Arial" w:eastAsia="Times New Roman" w:hAnsi="Arial" w:cs="Arial"/>
          <w:lang w:val="en-GB" w:eastAsia="en-GB"/>
        </w:rPr>
        <w:t>, 2019). The framework identifies four cultural orientations: clan, adhocracy, hierarchy and market culture. Toyota demonstrates characteristics of both clan and hierarchy cultures.</w:t>
      </w:r>
    </w:p>
    <w:p w14:paraId="35E08031" w14:textId="77777777" w:rsidR="00DD6FEB" w:rsidRPr="00DD6FEB" w:rsidRDefault="00DD6FEB" w:rsidP="00DD6FEB">
      <w:pPr>
        <w:spacing w:before="100" w:beforeAutospacing="1" w:after="100" w:afterAutospacing="1" w:line="360" w:lineRule="auto"/>
        <w:jc w:val="both"/>
        <w:rPr>
          <w:rFonts w:ascii="Arial" w:eastAsia="Times New Roman" w:hAnsi="Arial" w:cs="Arial"/>
          <w:lang w:val="en-GB" w:eastAsia="en-GB"/>
        </w:rPr>
      </w:pPr>
      <w:r w:rsidRPr="00F83A01">
        <w:rPr>
          <w:rFonts w:ascii="Arial" w:eastAsia="Times New Roman" w:hAnsi="Arial" w:cs="Arial"/>
          <w:b/>
          <w:bCs/>
          <w:lang w:val="en-GB" w:eastAsia="en-GB"/>
        </w:rPr>
        <w:t>Clan culture</w:t>
      </w:r>
      <w:r w:rsidRPr="00DD6FEB">
        <w:rPr>
          <w:rFonts w:ascii="Arial" w:eastAsia="Times New Roman" w:hAnsi="Arial" w:cs="Arial"/>
          <w:lang w:val="en-GB" w:eastAsia="en-GB"/>
        </w:rPr>
        <w:t xml:space="preserve"> emphasises employee involvement, teamwork and organisational commitment. Toyota’s emphasis on collaboration, employee development and collective responsibility strongly reflects clan cultural characteristics. Employees are encouraged to contribute ideas, participate in decision-making and support organisational learning.</w:t>
      </w:r>
    </w:p>
    <w:p w14:paraId="00A2A295" w14:textId="77777777" w:rsidR="00DD6FEB" w:rsidRPr="00DD6FEB" w:rsidRDefault="00DD6FEB" w:rsidP="00DD6FEB">
      <w:pPr>
        <w:spacing w:before="100" w:beforeAutospacing="1" w:after="100" w:afterAutospacing="1" w:line="360" w:lineRule="auto"/>
        <w:jc w:val="both"/>
        <w:rPr>
          <w:rFonts w:ascii="Arial" w:eastAsia="Times New Roman" w:hAnsi="Arial" w:cs="Arial"/>
          <w:lang w:val="en-GB" w:eastAsia="en-GB"/>
        </w:rPr>
      </w:pPr>
      <w:r w:rsidRPr="00DD6FEB">
        <w:rPr>
          <w:rFonts w:ascii="Arial" w:eastAsia="Times New Roman" w:hAnsi="Arial" w:cs="Arial"/>
          <w:lang w:val="en-GB" w:eastAsia="en-GB"/>
        </w:rPr>
        <w:lastRenderedPageBreak/>
        <w:t xml:space="preserve">At the same time, Toyota exhibits characteristics of </w:t>
      </w:r>
      <w:r w:rsidRPr="001F23FA">
        <w:rPr>
          <w:rFonts w:ascii="Arial" w:eastAsia="Times New Roman" w:hAnsi="Arial" w:cs="Arial"/>
          <w:b/>
          <w:bCs/>
          <w:lang w:val="en-GB" w:eastAsia="en-GB"/>
        </w:rPr>
        <w:t>hierarchy culture</w:t>
      </w:r>
      <w:r w:rsidRPr="00DD6FEB">
        <w:rPr>
          <w:rFonts w:ascii="Arial" w:eastAsia="Times New Roman" w:hAnsi="Arial" w:cs="Arial"/>
          <w:lang w:val="en-GB" w:eastAsia="en-GB"/>
        </w:rPr>
        <w:t xml:space="preserve"> through its standardised procedures, quality control systems and structured operational processes. The Toyota Production System relies heavily on consistency, efficiency and process discipline. This combination enables Toyota to balance employee empowerment with operational control.</w:t>
      </w:r>
    </w:p>
    <w:p w14:paraId="7A43EC3E" w14:textId="77777777" w:rsidR="00DD6FEB" w:rsidRPr="00DD6FEB" w:rsidRDefault="00DD6FEB" w:rsidP="00DD6FEB">
      <w:pPr>
        <w:spacing w:before="100" w:beforeAutospacing="1" w:after="100" w:afterAutospacing="1" w:line="360" w:lineRule="auto"/>
        <w:jc w:val="both"/>
        <w:rPr>
          <w:rFonts w:ascii="Arial" w:eastAsia="Times New Roman" w:hAnsi="Arial" w:cs="Arial"/>
          <w:lang w:val="en-GB" w:eastAsia="en-GB"/>
        </w:rPr>
      </w:pPr>
      <w:r w:rsidRPr="00DD6FEB">
        <w:rPr>
          <w:rFonts w:ascii="Arial" w:eastAsia="Times New Roman" w:hAnsi="Arial" w:cs="Arial"/>
          <w:lang w:val="en-GB" w:eastAsia="en-GB"/>
        </w:rPr>
        <w:t>However, scholars argue that organisations with strong hierarchical characteristics may struggle to adapt quickly to disruptive changes (Griffin and Moorhead, 2021). Therefore, Toyota must ensure that operational discipline does not undermine innovation and adaptability.</w:t>
      </w:r>
    </w:p>
    <w:p w14:paraId="21DCA83A" w14:textId="0C723C8F" w:rsidR="00CC7A20" w:rsidRPr="001244D6" w:rsidRDefault="00D57337" w:rsidP="00DD6FEB">
      <w:pPr>
        <w:spacing w:before="100" w:beforeAutospacing="1" w:after="100" w:afterAutospacing="1" w:line="360" w:lineRule="auto"/>
        <w:jc w:val="both"/>
        <w:rPr>
          <w:rFonts w:ascii="Arial" w:eastAsia="Times New Roman" w:hAnsi="Arial" w:cs="Arial"/>
          <w:b/>
          <w:bCs/>
          <w:sz w:val="28"/>
          <w:szCs w:val="28"/>
          <w:lang w:val="en-GB" w:eastAsia="en-GB"/>
        </w:rPr>
      </w:pPr>
      <w:r w:rsidRPr="001244D6">
        <w:rPr>
          <w:rFonts w:ascii="Arial" w:eastAsia="Times New Roman" w:hAnsi="Arial" w:cs="Arial"/>
          <w:b/>
          <w:bCs/>
          <w:sz w:val="28"/>
          <w:szCs w:val="28"/>
          <w:lang w:val="en-GB" w:eastAsia="en-GB"/>
        </w:rPr>
        <w:t>Handy’s Culture</w:t>
      </w:r>
      <w:r w:rsidR="00003C10">
        <w:rPr>
          <w:rFonts w:ascii="Arial" w:eastAsia="Times New Roman" w:hAnsi="Arial" w:cs="Arial"/>
          <w:b/>
          <w:bCs/>
          <w:sz w:val="28"/>
          <w:szCs w:val="28"/>
          <w:lang w:val="en-GB" w:eastAsia="en-GB"/>
        </w:rPr>
        <w:t xml:space="preserve"> </w:t>
      </w:r>
      <w:r w:rsidR="00685FBD">
        <w:rPr>
          <w:rFonts w:ascii="Arial" w:eastAsia="Times New Roman" w:hAnsi="Arial" w:cs="Arial"/>
          <w:b/>
          <w:bCs/>
          <w:sz w:val="28"/>
          <w:szCs w:val="28"/>
          <w:lang w:val="en-GB" w:eastAsia="en-GB"/>
        </w:rPr>
        <w:t>Frame</w:t>
      </w:r>
      <w:r w:rsidR="00373D60">
        <w:rPr>
          <w:rFonts w:ascii="Arial" w:eastAsia="Times New Roman" w:hAnsi="Arial" w:cs="Arial"/>
          <w:b/>
          <w:bCs/>
          <w:sz w:val="28"/>
          <w:szCs w:val="28"/>
          <w:lang w:val="en-GB" w:eastAsia="en-GB"/>
        </w:rPr>
        <w:t>work</w:t>
      </w:r>
    </w:p>
    <w:p w14:paraId="1ACAF69F" w14:textId="5BAD492A" w:rsidR="00DD6FEB" w:rsidRPr="00DD6FEB" w:rsidRDefault="00DD6FEB" w:rsidP="00DD6FEB">
      <w:pPr>
        <w:spacing w:before="100" w:beforeAutospacing="1" w:after="100" w:afterAutospacing="1" w:line="360" w:lineRule="auto"/>
        <w:jc w:val="both"/>
        <w:rPr>
          <w:rFonts w:ascii="Arial" w:eastAsia="Times New Roman" w:hAnsi="Arial" w:cs="Arial"/>
          <w:lang w:val="en-GB" w:eastAsia="en-GB"/>
        </w:rPr>
      </w:pPr>
      <w:r w:rsidRPr="00DD6FEB">
        <w:rPr>
          <w:rFonts w:ascii="Arial" w:eastAsia="Times New Roman" w:hAnsi="Arial" w:cs="Arial"/>
          <w:lang w:val="en-GB" w:eastAsia="en-GB"/>
        </w:rPr>
        <w:t>Handy’s cultural typology, frequently discussed in recent organisational behaviour literature, also provides valuable insight into Toyota’s culture (Wilson, 2018). According to this framework, organisations may exhibit power, role, task or person cultures. Toyota primarily demonstrates characteristics of task culture and role culture. Task culture is evident through teamwork, problem-solving groups and project-based collaboration. Role culture is reflected in clearly defined responsibilities, standard operating procedures and formal quality management systems.</w:t>
      </w:r>
    </w:p>
    <w:p w14:paraId="7763E695" w14:textId="77777777" w:rsidR="00DD6FEB" w:rsidRDefault="00DD6FEB" w:rsidP="00DD6FEB">
      <w:pPr>
        <w:spacing w:before="100" w:beforeAutospacing="1" w:after="100" w:afterAutospacing="1" w:line="360" w:lineRule="auto"/>
        <w:jc w:val="both"/>
        <w:rPr>
          <w:rFonts w:ascii="Arial" w:eastAsia="Times New Roman" w:hAnsi="Arial" w:cs="Arial"/>
          <w:lang w:val="en-GB" w:eastAsia="en-GB"/>
        </w:rPr>
      </w:pPr>
      <w:r w:rsidRPr="00DD6FEB">
        <w:rPr>
          <w:rFonts w:ascii="Arial" w:eastAsia="Times New Roman" w:hAnsi="Arial" w:cs="Arial"/>
          <w:lang w:val="en-GB" w:eastAsia="en-GB"/>
        </w:rPr>
        <w:t xml:space="preserve">This combination contributes to operational excellence because it allows Toyota to maintain consistency while encouraging innovation. Nevertheless, excessive reliance on role culture could reduce flexibility and creativity. </w:t>
      </w:r>
      <w:r w:rsidRPr="005C7578">
        <w:rPr>
          <w:rFonts w:ascii="Arial" w:eastAsia="Times New Roman" w:hAnsi="Arial" w:cs="Arial"/>
          <w:lang w:val="en-GB" w:eastAsia="en-GB"/>
        </w:rPr>
        <w:t>Therefore,</w:t>
      </w:r>
      <w:r w:rsidRPr="00DD6FEB">
        <w:rPr>
          <w:rFonts w:ascii="Arial" w:eastAsia="Times New Roman" w:hAnsi="Arial" w:cs="Arial"/>
          <w:lang w:val="en-GB" w:eastAsia="en-GB"/>
        </w:rPr>
        <w:t xml:space="preserve"> managers must continuously evaluate whether existing structures support future strategic objectives.</w:t>
      </w:r>
    </w:p>
    <w:p w14:paraId="3F3428AB" w14:textId="4F090DE0" w:rsidR="001244D6" w:rsidRPr="006301B3" w:rsidRDefault="001244D6" w:rsidP="00DD6FEB">
      <w:pPr>
        <w:spacing w:before="100" w:beforeAutospacing="1" w:after="100" w:afterAutospacing="1" w:line="360" w:lineRule="auto"/>
        <w:jc w:val="both"/>
        <w:rPr>
          <w:rFonts w:ascii="Arial" w:eastAsia="Times New Roman" w:hAnsi="Arial" w:cs="Arial"/>
          <w:b/>
          <w:bCs/>
          <w:sz w:val="28"/>
          <w:szCs w:val="28"/>
          <w:lang w:val="en-GB" w:eastAsia="en-GB"/>
        </w:rPr>
      </w:pPr>
      <w:r w:rsidRPr="006301B3">
        <w:rPr>
          <w:rFonts w:ascii="Arial" w:eastAsia="Times New Roman" w:hAnsi="Arial" w:cs="Arial"/>
          <w:b/>
          <w:bCs/>
          <w:sz w:val="28"/>
          <w:szCs w:val="28"/>
          <w:lang w:val="en-GB" w:eastAsia="en-GB"/>
        </w:rPr>
        <w:t>Denison’s Organisational Culture Model</w:t>
      </w:r>
    </w:p>
    <w:p w14:paraId="4E91E481" w14:textId="77777777" w:rsidR="00DD6FEB" w:rsidRPr="00DD6FEB" w:rsidRDefault="00DD6FEB" w:rsidP="00DD6FEB">
      <w:pPr>
        <w:spacing w:before="100" w:beforeAutospacing="1" w:after="100" w:afterAutospacing="1" w:line="360" w:lineRule="auto"/>
        <w:jc w:val="both"/>
        <w:rPr>
          <w:rFonts w:ascii="Arial" w:eastAsia="Times New Roman" w:hAnsi="Arial" w:cs="Arial"/>
          <w:lang w:val="en-GB" w:eastAsia="en-GB"/>
        </w:rPr>
      </w:pPr>
      <w:r w:rsidRPr="00DD6FEB">
        <w:rPr>
          <w:rFonts w:ascii="Arial" w:eastAsia="Times New Roman" w:hAnsi="Arial" w:cs="Arial"/>
          <w:lang w:val="en-GB" w:eastAsia="en-GB"/>
        </w:rPr>
        <w:t>Denison’s Organisational Culture Model offers another useful perspective. Contemporary studies applying Denison’s framework identify four key cultural dimensions: involvement, consistency, adaptability and mission (</w:t>
      </w:r>
      <w:proofErr w:type="spellStart"/>
      <w:r w:rsidRPr="00DD6FEB">
        <w:rPr>
          <w:rFonts w:ascii="Arial" w:eastAsia="Times New Roman" w:hAnsi="Arial" w:cs="Arial"/>
          <w:lang w:val="en-GB" w:eastAsia="en-GB"/>
        </w:rPr>
        <w:t>Abane</w:t>
      </w:r>
      <w:proofErr w:type="spellEnd"/>
      <w:r w:rsidRPr="00DD6FEB">
        <w:rPr>
          <w:rFonts w:ascii="Arial" w:eastAsia="Times New Roman" w:hAnsi="Arial" w:cs="Arial"/>
          <w:lang w:val="en-GB" w:eastAsia="en-GB"/>
        </w:rPr>
        <w:t xml:space="preserve">, </w:t>
      </w:r>
      <w:proofErr w:type="spellStart"/>
      <w:r w:rsidRPr="00DD6FEB">
        <w:rPr>
          <w:rFonts w:ascii="Arial" w:eastAsia="Times New Roman" w:hAnsi="Arial" w:cs="Arial"/>
          <w:lang w:val="en-GB" w:eastAsia="en-GB"/>
        </w:rPr>
        <w:t>Adamtey</w:t>
      </w:r>
      <w:proofErr w:type="spellEnd"/>
      <w:r w:rsidRPr="00DD6FEB">
        <w:rPr>
          <w:rFonts w:ascii="Arial" w:eastAsia="Times New Roman" w:hAnsi="Arial" w:cs="Arial"/>
          <w:lang w:val="en-GB" w:eastAsia="en-GB"/>
        </w:rPr>
        <w:t xml:space="preserve"> and </w:t>
      </w:r>
      <w:proofErr w:type="spellStart"/>
      <w:r w:rsidRPr="00DD6FEB">
        <w:rPr>
          <w:rFonts w:ascii="Arial" w:eastAsia="Times New Roman" w:hAnsi="Arial" w:cs="Arial"/>
          <w:lang w:val="en-GB" w:eastAsia="en-GB"/>
        </w:rPr>
        <w:t>Ayim</w:t>
      </w:r>
      <w:proofErr w:type="spellEnd"/>
      <w:r w:rsidRPr="00DD6FEB">
        <w:rPr>
          <w:rFonts w:ascii="Arial" w:eastAsia="Times New Roman" w:hAnsi="Arial" w:cs="Arial"/>
          <w:lang w:val="en-GB" w:eastAsia="en-GB"/>
        </w:rPr>
        <w:t xml:space="preserve">, 2022). Toyota demonstrates strong involvement through employee participation and teamwork. Consistency is reflected in the Toyota Way, which provides a shared set of organisational values. Adaptability is supported through continuous improvement initiatives, while </w:t>
      </w:r>
      <w:r w:rsidRPr="00DD6FEB">
        <w:rPr>
          <w:rFonts w:ascii="Arial" w:eastAsia="Times New Roman" w:hAnsi="Arial" w:cs="Arial"/>
          <w:lang w:val="en-GB" w:eastAsia="en-GB"/>
        </w:rPr>
        <w:lastRenderedPageBreak/>
        <w:t>mission is evident in Toyota’s commitment to sustainable mobility and long-term value creation.</w:t>
      </w:r>
    </w:p>
    <w:p w14:paraId="4DF804CD" w14:textId="77777777" w:rsidR="00DD6FEB" w:rsidRPr="00DD6FEB" w:rsidRDefault="00DD6FEB" w:rsidP="00DD6FEB">
      <w:pPr>
        <w:spacing w:before="100" w:beforeAutospacing="1" w:after="100" w:afterAutospacing="1" w:line="360" w:lineRule="auto"/>
        <w:jc w:val="both"/>
        <w:rPr>
          <w:rFonts w:ascii="Arial" w:eastAsia="Times New Roman" w:hAnsi="Arial" w:cs="Arial"/>
          <w:lang w:val="en-GB" w:eastAsia="en-GB"/>
        </w:rPr>
      </w:pPr>
      <w:r w:rsidRPr="00DD6FEB">
        <w:rPr>
          <w:rFonts w:ascii="Arial" w:eastAsia="Times New Roman" w:hAnsi="Arial" w:cs="Arial"/>
          <w:lang w:val="en-GB" w:eastAsia="en-GB"/>
        </w:rPr>
        <w:t>Research suggests that organisations demonstrating these cultural dimensions often achieve superior performance and employee engagement (</w:t>
      </w:r>
      <w:proofErr w:type="spellStart"/>
      <w:r w:rsidRPr="00DD6FEB">
        <w:rPr>
          <w:rFonts w:ascii="Arial" w:eastAsia="Times New Roman" w:hAnsi="Arial" w:cs="Arial"/>
          <w:lang w:val="en-GB" w:eastAsia="en-GB"/>
        </w:rPr>
        <w:t>Abane</w:t>
      </w:r>
      <w:proofErr w:type="spellEnd"/>
      <w:r w:rsidRPr="00DD6FEB">
        <w:rPr>
          <w:rFonts w:ascii="Arial" w:eastAsia="Times New Roman" w:hAnsi="Arial" w:cs="Arial"/>
          <w:lang w:val="en-GB" w:eastAsia="en-GB"/>
        </w:rPr>
        <w:t xml:space="preserve">, </w:t>
      </w:r>
      <w:proofErr w:type="spellStart"/>
      <w:r w:rsidRPr="00DD6FEB">
        <w:rPr>
          <w:rFonts w:ascii="Arial" w:eastAsia="Times New Roman" w:hAnsi="Arial" w:cs="Arial"/>
          <w:lang w:val="en-GB" w:eastAsia="en-GB"/>
        </w:rPr>
        <w:t>Adamtey</w:t>
      </w:r>
      <w:proofErr w:type="spellEnd"/>
      <w:r w:rsidRPr="00DD6FEB">
        <w:rPr>
          <w:rFonts w:ascii="Arial" w:eastAsia="Times New Roman" w:hAnsi="Arial" w:cs="Arial"/>
          <w:lang w:val="en-GB" w:eastAsia="en-GB"/>
        </w:rPr>
        <w:t xml:space="preserve"> and </w:t>
      </w:r>
      <w:proofErr w:type="spellStart"/>
      <w:r w:rsidRPr="00DD6FEB">
        <w:rPr>
          <w:rFonts w:ascii="Arial" w:eastAsia="Times New Roman" w:hAnsi="Arial" w:cs="Arial"/>
          <w:lang w:val="en-GB" w:eastAsia="en-GB"/>
        </w:rPr>
        <w:t>Ayim</w:t>
      </w:r>
      <w:proofErr w:type="spellEnd"/>
      <w:r w:rsidRPr="00DD6FEB">
        <w:rPr>
          <w:rFonts w:ascii="Arial" w:eastAsia="Times New Roman" w:hAnsi="Arial" w:cs="Arial"/>
          <w:lang w:val="en-GB" w:eastAsia="en-GB"/>
        </w:rPr>
        <w:t>, 2022). However, scholars caution that excessive consistency may limit adaptability during periods of significant environmental change. Therefore, while Denison’s model helps explain Toyota’s success, it also highlights potential tensions between stability and innovation.</w:t>
      </w:r>
    </w:p>
    <w:p w14:paraId="3EDD0171" w14:textId="77777777" w:rsidR="00DD6FEB" w:rsidRDefault="00DD6FEB" w:rsidP="00DD6FEB">
      <w:pPr>
        <w:spacing w:before="100" w:beforeAutospacing="1" w:after="100" w:afterAutospacing="1" w:line="360" w:lineRule="auto"/>
        <w:jc w:val="both"/>
        <w:rPr>
          <w:rFonts w:ascii="Arial" w:eastAsia="Times New Roman" w:hAnsi="Arial" w:cs="Arial"/>
          <w:lang w:val="en-GB" w:eastAsia="en-GB"/>
        </w:rPr>
      </w:pPr>
      <w:r w:rsidRPr="00DD6FEB">
        <w:rPr>
          <w:rFonts w:ascii="Arial" w:eastAsia="Times New Roman" w:hAnsi="Arial" w:cs="Arial"/>
          <w:lang w:val="en-GB" w:eastAsia="en-GB"/>
        </w:rPr>
        <w:t>Overall, the application of these frameworks demonstrates that Toyota possesses a strong and multifaceted organisational culture characterised by learning, collaboration, operational discipline and long-term orientation. The combination of these cultural characteristics has contributed significantly to organisational success while also presenting challenges related to flexibility and adaptation.</w:t>
      </w:r>
    </w:p>
    <w:p w14:paraId="79575CB1" w14:textId="77777777" w:rsidR="003A3E47" w:rsidRPr="00B35367" w:rsidRDefault="003A3E47" w:rsidP="003A3E47">
      <w:pPr>
        <w:spacing w:before="100" w:beforeAutospacing="1" w:after="100" w:afterAutospacing="1" w:line="360" w:lineRule="auto"/>
        <w:jc w:val="both"/>
        <w:rPr>
          <w:rFonts w:ascii="Arial" w:eastAsia="Times New Roman" w:hAnsi="Arial" w:cs="Arial"/>
          <w:b/>
          <w:bCs/>
          <w:sz w:val="32"/>
          <w:szCs w:val="32"/>
          <w:lang w:val="en-GB" w:eastAsia="en-GB"/>
        </w:rPr>
      </w:pPr>
      <w:r w:rsidRPr="00B35367">
        <w:rPr>
          <w:rFonts w:ascii="Arial" w:eastAsia="Times New Roman" w:hAnsi="Arial" w:cs="Arial"/>
          <w:b/>
          <w:bCs/>
          <w:sz w:val="32"/>
          <w:szCs w:val="32"/>
          <w:lang w:val="en-GB" w:eastAsia="en-GB"/>
        </w:rPr>
        <w:t>Culture and the External Environment</w:t>
      </w:r>
    </w:p>
    <w:p w14:paraId="278BD8A8"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Organisations operate within dynamic external environments characterised by technological change, globalisation, regulatory pressures and increasing competition. Consequently, organisational culture must support adaptation and responsiveness if organisations are to remain competitive. Toyota’s culture has played a significant role in helping the organisation respond to external challenges while maintaining operational effectiveness.</w:t>
      </w:r>
    </w:p>
    <w:p w14:paraId="3B035D4E"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 xml:space="preserve">One of the most significant external pressures facing Toyota is increasing global competition. The automotive industry has become highly competitive, with manufacturers competing on innovation, sustainability, quality and cost efficiency. Toyota’s culture of continuous improvement supports competitiveness by encouraging employees to identify inefficiencies, improve quality and enhance productivity. According to </w:t>
      </w:r>
      <w:proofErr w:type="spellStart"/>
      <w:r w:rsidRPr="003A3E47">
        <w:rPr>
          <w:rFonts w:ascii="Arial" w:eastAsia="Times New Roman" w:hAnsi="Arial" w:cs="Arial"/>
          <w:lang w:val="en-GB" w:eastAsia="en-GB"/>
        </w:rPr>
        <w:t>Vanichchinchai</w:t>
      </w:r>
      <w:proofErr w:type="spellEnd"/>
      <w:r w:rsidRPr="003A3E47">
        <w:rPr>
          <w:rFonts w:ascii="Arial" w:eastAsia="Times New Roman" w:hAnsi="Arial" w:cs="Arial"/>
          <w:lang w:val="en-GB" w:eastAsia="en-GB"/>
        </w:rPr>
        <w:t xml:space="preserve"> (2023), Toyota-inspired management systems contribute positively to organisational agility and operational performance. This suggests that Toyota’s culture provides a foundation for maintaining competitive advantage.</w:t>
      </w:r>
    </w:p>
    <w:p w14:paraId="0B1F3CA0" w14:textId="504B285E"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lastRenderedPageBreak/>
        <w:t>Environmental regulations represent another major external challenge. Governments worldwide have introduced stricter emissions standards and sustainability requirements in response to climate change concerns.</w:t>
      </w:r>
      <w:r w:rsidR="00670ECE">
        <w:rPr>
          <w:rFonts w:ascii="Arial" w:eastAsia="Times New Roman" w:hAnsi="Arial" w:cs="Arial"/>
          <w:lang w:val="en-GB" w:eastAsia="en-GB"/>
        </w:rPr>
        <w:t xml:space="preserve"> </w:t>
      </w:r>
      <w:r w:rsidR="00670ECE" w:rsidRPr="00670ECE">
        <w:rPr>
          <w:rFonts w:ascii="Arial" w:eastAsia="Times New Roman" w:hAnsi="Arial" w:cs="Arial"/>
          <w:lang w:eastAsia="en-GB"/>
        </w:rPr>
        <w:t>Toyota’s sustainability initiatives are also aligned with targets outlined in the Toyota Sustainability Data Book (Toyota Motor Corporation, 2025).</w:t>
      </w:r>
      <w:r w:rsidRPr="003A3E47">
        <w:rPr>
          <w:rFonts w:ascii="Arial" w:eastAsia="Times New Roman" w:hAnsi="Arial" w:cs="Arial"/>
          <w:lang w:val="en-GB" w:eastAsia="en-GB"/>
        </w:rPr>
        <w:t xml:space="preserve"> Toyota has responded proactively through investments in hybrid vehicles, hydrogen fuel-cell technologies and sustainable manufacturing initiatives. The success of the Toyota Prius demonstrates how organisational culture can support long-term innovation and environmental responsibility.</w:t>
      </w:r>
    </w:p>
    <w:p w14:paraId="48657DF2"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In 2025, Toyota Motor Europe achieved record sales of approximately 1.23 million vehicles, with electrified vehicles accounting for around 77% of total sales (Toyota Motor Europe, 2026). This demonstrates the organisation’s ability to align cultural values with changing environmental expectations and consumer preferences.</w:t>
      </w:r>
    </w:p>
    <w:p w14:paraId="789D931D" w14:textId="62CA8473"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Globalisation has also influenced Toyota’s cultural development. Operating across multiple countries requires the organisation to integrate employees from diverse cultural backgrounds while maintaining a consistent organisational identity.</w:t>
      </w:r>
      <w:r w:rsidR="00407236">
        <w:rPr>
          <w:rFonts w:ascii="Arial" w:eastAsia="Times New Roman" w:hAnsi="Arial" w:cs="Arial"/>
          <w:lang w:val="en-GB" w:eastAsia="en-GB"/>
        </w:rPr>
        <w:t xml:space="preserve"> </w:t>
      </w:r>
      <w:r w:rsidR="00407236" w:rsidRPr="00407236">
        <w:rPr>
          <w:rFonts w:ascii="Arial" w:eastAsia="Times New Roman" w:hAnsi="Arial" w:cs="Arial"/>
          <w:lang w:eastAsia="en-GB"/>
        </w:rPr>
        <w:t xml:space="preserve">Meyer (2023) argues that multinational </w:t>
      </w:r>
      <w:proofErr w:type="spellStart"/>
      <w:r w:rsidR="00407236" w:rsidRPr="00407236">
        <w:rPr>
          <w:rFonts w:ascii="Arial" w:eastAsia="Times New Roman" w:hAnsi="Arial" w:cs="Arial"/>
          <w:lang w:eastAsia="en-GB"/>
        </w:rPr>
        <w:t>organisations</w:t>
      </w:r>
      <w:proofErr w:type="spellEnd"/>
      <w:r w:rsidR="00407236" w:rsidRPr="00407236">
        <w:rPr>
          <w:rFonts w:ascii="Arial" w:eastAsia="Times New Roman" w:hAnsi="Arial" w:cs="Arial"/>
          <w:lang w:eastAsia="en-GB"/>
        </w:rPr>
        <w:t xml:space="preserve"> must balance global consistency with local cultural adaptation, a challenge highly relevant to Toyota’s international operations.</w:t>
      </w:r>
      <w:r w:rsidRPr="003A3E47">
        <w:rPr>
          <w:rFonts w:ascii="Arial" w:eastAsia="Times New Roman" w:hAnsi="Arial" w:cs="Arial"/>
          <w:lang w:val="en-GB" w:eastAsia="en-GB"/>
        </w:rPr>
        <w:t xml:space="preserve"> Toyota addresses this challenge through the Toyota Way, which provides a shared set of values across international operations. This common cultural framework supports coordination and organisational cohesion despite geographical diversity.</w:t>
      </w:r>
    </w:p>
    <w:p w14:paraId="5021B672"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However, maintaining a unified culture across global operations is not without challenges. Employees may interpret organisational values differently depending on local cultural contexts. Therefore, Toyota must balance cultural consistency with local responsiveness.</w:t>
      </w:r>
    </w:p>
    <w:p w14:paraId="38611772"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 xml:space="preserve">Denison’s cultural model provides further insight into Toyota’s adaptation to external environments. According to Abane, </w:t>
      </w:r>
      <w:proofErr w:type="spellStart"/>
      <w:r w:rsidRPr="003A3E47">
        <w:rPr>
          <w:rFonts w:ascii="Arial" w:eastAsia="Times New Roman" w:hAnsi="Arial" w:cs="Arial"/>
          <w:lang w:val="en-GB" w:eastAsia="en-GB"/>
        </w:rPr>
        <w:t>Adamtey</w:t>
      </w:r>
      <w:proofErr w:type="spellEnd"/>
      <w:r w:rsidRPr="003A3E47">
        <w:rPr>
          <w:rFonts w:ascii="Arial" w:eastAsia="Times New Roman" w:hAnsi="Arial" w:cs="Arial"/>
          <w:lang w:val="en-GB" w:eastAsia="en-GB"/>
        </w:rPr>
        <w:t xml:space="preserve"> and </w:t>
      </w:r>
      <w:proofErr w:type="spellStart"/>
      <w:r w:rsidRPr="003A3E47">
        <w:rPr>
          <w:rFonts w:ascii="Arial" w:eastAsia="Times New Roman" w:hAnsi="Arial" w:cs="Arial"/>
          <w:lang w:val="en-GB" w:eastAsia="en-GB"/>
        </w:rPr>
        <w:t>Ayim</w:t>
      </w:r>
      <w:proofErr w:type="spellEnd"/>
      <w:r w:rsidRPr="003A3E47">
        <w:rPr>
          <w:rFonts w:ascii="Arial" w:eastAsia="Times New Roman" w:hAnsi="Arial" w:cs="Arial"/>
          <w:lang w:val="en-GB" w:eastAsia="en-GB"/>
        </w:rPr>
        <w:t xml:space="preserve"> (2022), organisations demonstrating strong involvement, consistency, adaptability and mission are better positioned to respond to environmental change. Toyota exhibits each of these characteristics through employee participation, shared values, continuous improvement and long-term strategic objectives.</w:t>
      </w:r>
    </w:p>
    <w:p w14:paraId="7FCD36B1"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lastRenderedPageBreak/>
        <w:t>Nevertheless, critics argue that Toyota’s culture may occasionally limit responsiveness to disruptive technological developments. While the company has achieved significant success through hybrid technologies, competitors such as Tesla and BYD have pursued more aggressive battery-electric vehicle strategies. This suggests that Toyota’s emphasis on careful evaluation and long-term planning may sometimes reduce the speed of strategic adaptation.</w:t>
      </w:r>
    </w:p>
    <w:p w14:paraId="7EB83309" w14:textId="163C3B71"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Therefore, Toyota’s culture has generally supported successful adaptation to external pressures. However, the increasing pace of technological disruption highlights the importance of balancing stability with strategic flexibility.</w:t>
      </w:r>
      <w:r w:rsidR="00670ECE">
        <w:rPr>
          <w:rFonts w:ascii="Arial" w:eastAsia="Times New Roman" w:hAnsi="Arial" w:cs="Arial"/>
          <w:lang w:val="en-GB" w:eastAsia="en-GB"/>
        </w:rPr>
        <w:t xml:space="preserve"> </w:t>
      </w:r>
    </w:p>
    <w:p w14:paraId="7B8AE184" w14:textId="77777777" w:rsidR="003A3E47" w:rsidRPr="00B35367" w:rsidRDefault="003A3E47" w:rsidP="003A3E47">
      <w:pPr>
        <w:spacing w:before="100" w:beforeAutospacing="1" w:after="100" w:afterAutospacing="1" w:line="360" w:lineRule="auto"/>
        <w:jc w:val="both"/>
        <w:rPr>
          <w:rFonts w:ascii="Arial" w:eastAsia="Times New Roman" w:hAnsi="Arial" w:cs="Arial"/>
          <w:b/>
          <w:bCs/>
          <w:sz w:val="32"/>
          <w:szCs w:val="32"/>
          <w:lang w:val="en-GB" w:eastAsia="en-GB"/>
        </w:rPr>
      </w:pPr>
      <w:r w:rsidRPr="00B35367">
        <w:rPr>
          <w:rFonts w:ascii="Arial" w:eastAsia="Times New Roman" w:hAnsi="Arial" w:cs="Arial"/>
          <w:b/>
          <w:bCs/>
          <w:sz w:val="32"/>
          <w:szCs w:val="32"/>
          <w:lang w:val="en-GB" w:eastAsia="en-GB"/>
        </w:rPr>
        <w:t>Organisational Culture as a Barrier</w:t>
      </w:r>
    </w:p>
    <w:p w14:paraId="19FA91E5"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Although organisational culture can contribute significantly to organisational effectiveness, it may also create barriers that limit performance and adaptability. Toyota’s culture provides numerous benefits, yet certain characteristics may hinder organisational responsiveness under specific circumstances.</w:t>
      </w:r>
    </w:p>
    <w:p w14:paraId="3CBBCB4B"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One potential barrier is organisational rigidity. Strong cultures often encourage consistency and behavioural alignment, which can improve efficiency and coordination. However, deeply embedded cultural norms may also discourage employees from questioning established practices. According to AlShehri et al. (2024), strong organisational cultures can become restrictive when organisations face disruptive environmental changes requiring new approaches and innovative thinking.</w:t>
      </w:r>
    </w:p>
    <w:p w14:paraId="0B72D291"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Toyota’s emphasis on standardisation and process discipline contributes to operational excellence. Nevertheless, excessive reliance on established routines may reduce flexibility. In rapidly changing industries such as automotive manufacturing, organisations must continually challenge assumptions and explore new opportunities.</w:t>
      </w:r>
    </w:p>
    <w:p w14:paraId="4F04C1BE"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 xml:space="preserve">Another potential barrier involves consensus-based decision-making. Toyota’s </w:t>
      </w:r>
      <w:proofErr w:type="spellStart"/>
      <w:r w:rsidRPr="003A3E47">
        <w:rPr>
          <w:rFonts w:ascii="Arial" w:eastAsia="Times New Roman" w:hAnsi="Arial" w:cs="Arial"/>
          <w:lang w:val="en-GB" w:eastAsia="en-GB"/>
        </w:rPr>
        <w:t>Nemawashi</w:t>
      </w:r>
      <w:proofErr w:type="spellEnd"/>
      <w:r w:rsidRPr="003A3E47">
        <w:rPr>
          <w:rFonts w:ascii="Arial" w:eastAsia="Times New Roman" w:hAnsi="Arial" w:cs="Arial"/>
          <w:lang w:val="en-GB" w:eastAsia="en-GB"/>
        </w:rPr>
        <w:t xml:space="preserve"> process encourages consultation and participation before major decisions are implemented. While this approach improves decision quality and employee commitment, it can also slow decision-making. Burnes (2020) argues that extensive consultation may reduce organisational agility, particularly in highly competitive industries.</w:t>
      </w:r>
    </w:p>
    <w:p w14:paraId="0489714A"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lastRenderedPageBreak/>
        <w:t>The organisation’s approach to battery-electric vehicles illustrates this challenge. While Toyota maintained a strong focus on hybrid technologies, competitors accelerated investments in fully electric vehicles. Some analysts argue that Toyota’s cautious decision-making processes contributed to slower adaptation to emerging market trends.</w:t>
      </w:r>
    </w:p>
    <w:p w14:paraId="27CBE080"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Groupthink may also represent a cultural risk. Strong team-oriented cultures sometimes discourage dissenting opinions because employees prioritise harmony and consensus. When alternative perspectives are not sufficiently considered, organisations may overlook emerging threats or opportunities. Therefore, managers must encourage constructive debate and critical thinking alongside collaboration.</w:t>
      </w:r>
    </w:p>
    <w:p w14:paraId="53706651"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Furthermore, global expansion can create cultural challenges. As organisations grow internationally, maintaining cultural consistency becomes increasingly difficult. Toyota must ensure that core organisational values remain relevant across diverse cultural contexts while allowing flexibility for local adaptation.</w:t>
      </w:r>
    </w:p>
    <w:p w14:paraId="1A1206C6"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Despite these potential barriers, organisational culture should not be viewed solely as a source of organisational problems. Rather, the challenge lies in ensuring that culture evolves alongside changing environmental conditions. Toyota’s continued success will depend upon its ability to preserve core values while remaining responsive to emerging challenges and opportunities.</w:t>
      </w:r>
    </w:p>
    <w:p w14:paraId="409A8923" w14:textId="77777777" w:rsidR="003A3E47" w:rsidRPr="00B35367" w:rsidRDefault="003A3E47" w:rsidP="003A3E47">
      <w:pPr>
        <w:spacing w:before="100" w:beforeAutospacing="1" w:after="100" w:afterAutospacing="1" w:line="360" w:lineRule="auto"/>
        <w:jc w:val="both"/>
        <w:rPr>
          <w:rFonts w:ascii="Arial" w:eastAsia="Times New Roman" w:hAnsi="Arial" w:cs="Arial"/>
          <w:b/>
          <w:bCs/>
          <w:sz w:val="32"/>
          <w:szCs w:val="32"/>
          <w:lang w:val="en-GB" w:eastAsia="en-GB"/>
        </w:rPr>
      </w:pPr>
      <w:r w:rsidRPr="00B35367">
        <w:rPr>
          <w:rFonts w:ascii="Arial" w:eastAsia="Times New Roman" w:hAnsi="Arial" w:cs="Arial"/>
          <w:b/>
          <w:bCs/>
          <w:sz w:val="32"/>
          <w:szCs w:val="32"/>
          <w:lang w:val="en-GB" w:eastAsia="en-GB"/>
        </w:rPr>
        <w:t>Impact of Culture on Organisational Performance</w:t>
      </w:r>
    </w:p>
    <w:p w14:paraId="038BC7D4"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Organisational culture has had a substantial impact on Toyota’s performance across operational, financial and strategic dimensions. The company’s commitment to continuous improvement, employee involvement and quality management has contributed significantly to its position as one of the world’s leading automotive manufacturers.</w:t>
      </w:r>
    </w:p>
    <w:p w14:paraId="247DC7C4"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 xml:space="preserve">One of the most significant impacts of Toyota’s culture is operational excellence. Continuous improvement initiatives encourage employees to identify inefficiencies and eliminate waste from organisational processes. This contributes to improved productivity, quality and cost efficiency. </w:t>
      </w:r>
      <w:proofErr w:type="spellStart"/>
      <w:r w:rsidRPr="003A3E47">
        <w:rPr>
          <w:rFonts w:ascii="Arial" w:eastAsia="Times New Roman" w:hAnsi="Arial" w:cs="Arial"/>
          <w:lang w:val="en-GB" w:eastAsia="en-GB"/>
        </w:rPr>
        <w:t>Vanichchinchai</w:t>
      </w:r>
      <w:proofErr w:type="spellEnd"/>
      <w:r w:rsidRPr="003A3E47">
        <w:rPr>
          <w:rFonts w:ascii="Arial" w:eastAsia="Times New Roman" w:hAnsi="Arial" w:cs="Arial"/>
          <w:lang w:val="en-GB" w:eastAsia="en-GB"/>
        </w:rPr>
        <w:t xml:space="preserve"> (2023) found that Toyota-inspired management practices positively influence organisational agility and performance, supporting the argument that culture contributes directly to operational effectiveness.</w:t>
      </w:r>
    </w:p>
    <w:p w14:paraId="08656314"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lastRenderedPageBreak/>
        <w:t>Employee performance also benefits from Toyota’s culture. The organisation invests heavily in employee development and encourages participation in problem-solving activities. Robbins and Judge (2022) argue that employee involvement improves motivation, commitment and job satisfaction. Toyota’s emphasis on teamwork and empowerment reflects these principles and contributes to a highly engaged workforce.</w:t>
      </w:r>
    </w:p>
    <w:p w14:paraId="3496A493"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Innovation represents another important performance outcome. Toyota’s long-term orientation has enabled substantial investments in sustainable technologies, including hybrid vehicles and hydrogen fuel-cell systems. The Toyota Prius became one of the most successful hybrid vehicles globally, demonstrating how organisational culture can support innovation and strategic foresight.</w:t>
      </w:r>
    </w:p>
    <w:p w14:paraId="1234589F" w14:textId="11D8F89C"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Financial performance provides further evidence of cultural effectiveness. Toyota sold approximately 11.3 million vehicles globally in 2025, maintaining its position as the world’s largest automobile manufacturer (Reuters, 2026).</w:t>
      </w:r>
      <w:r w:rsidR="0009487A">
        <w:rPr>
          <w:rFonts w:ascii="Arial" w:eastAsia="Times New Roman" w:hAnsi="Arial" w:cs="Arial"/>
          <w:lang w:val="en-GB" w:eastAsia="en-GB"/>
        </w:rPr>
        <w:t xml:space="preserve"> </w:t>
      </w:r>
      <w:r w:rsidR="0009487A" w:rsidRPr="0009487A">
        <w:rPr>
          <w:rFonts w:ascii="Arial" w:eastAsia="Times New Roman" w:hAnsi="Arial" w:cs="Arial"/>
          <w:lang w:eastAsia="en-GB"/>
        </w:rPr>
        <w:t>In addition, Toyota increased its profit forecast during 2025 due to strong global demand and resilient vehicle sales (Reuters, 2025).</w:t>
      </w:r>
      <w:r w:rsidRPr="003A3E47">
        <w:rPr>
          <w:rFonts w:ascii="Arial" w:eastAsia="Times New Roman" w:hAnsi="Arial" w:cs="Arial"/>
          <w:lang w:val="en-GB" w:eastAsia="en-GB"/>
        </w:rPr>
        <w:t xml:space="preserve"> The company also reported strong growth in electrified vehicle sales across international markets. These achievements suggest that Toyota’s culture contributes positively to competitiveness and financial performance.</w:t>
      </w:r>
      <w:r w:rsidR="00670ECE">
        <w:rPr>
          <w:rFonts w:ascii="Arial" w:eastAsia="Times New Roman" w:hAnsi="Arial" w:cs="Arial"/>
          <w:lang w:val="en-GB" w:eastAsia="en-GB"/>
        </w:rPr>
        <w:t xml:space="preserve"> </w:t>
      </w:r>
      <w:r w:rsidR="00670ECE" w:rsidRPr="00670ECE">
        <w:rPr>
          <w:rFonts w:ascii="Arial" w:eastAsia="Times New Roman" w:hAnsi="Arial" w:cs="Arial"/>
          <w:lang w:eastAsia="en-GB"/>
        </w:rPr>
        <w:t>Similarly, Khan and Pervin (2024) found that cultures promoting innovation and sustainability are more likely to achieve long-term competitive advantage.</w:t>
      </w:r>
    </w:p>
    <w:p w14:paraId="7D388E98"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 xml:space="preserve">Research supports the relationship between organisational culture and organisational effectiveness. </w:t>
      </w:r>
      <w:proofErr w:type="spellStart"/>
      <w:r w:rsidRPr="003A3E47">
        <w:rPr>
          <w:rFonts w:ascii="Arial" w:eastAsia="Times New Roman" w:hAnsi="Arial" w:cs="Arial"/>
          <w:lang w:val="en-GB" w:eastAsia="en-GB"/>
        </w:rPr>
        <w:t>Nungchim</w:t>
      </w:r>
      <w:proofErr w:type="spellEnd"/>
      <w:r w:rsidRPr="003A3E47">
        <w:rPr>
          <w:rFonts w:ascii="Arial" w:eastAsia="Times New Roman" w:hAnsi="Arial" w:cs="Arial"/>
          <w:lang w:val="en-GB" w:eastAsia="en-GB"/>
        </w:rPr>
        <w:t xml:space="preserve"> and </w:t>
      </w:r>
      <w:proofErr w:type="spellStart"/>
      <w:r w:rsidRPr="003A3E47">
        <w:rPr>
          <w:rFonts w:ascii="Arial" w:eastAsia="Times New Roman" w:hAnsi="Arial" w:cs="Arial"/>
          <w:lang w:val="en-GB" w:eastAsia="en-GB"/>
        </w:rPr>
        <w:t>Leihaothabam</w:t>
      </w:r>
      <w:proofErr w:type="spellEnd"/>
      <w:r w:rsidRPr="003A3E47">
        <w:rPr>
          <w:rFonts w:ascii="Arial" w:eastAsia="Times New Roman" w:hAnsi="Arial" w:cs="Arial"/>
          <w:lang w:val="en-GB" w:eastAsia="en-GB"/>
        </w:rPr>
        <w:t xml:space="preserve"> (2022) found that positive organisational cultures enhance productivity, employee commitment and overall organisational performance. Similarly, </w:t>
      </w:r>
      <w:proofErr w:type="spellStart"/>
      <w:r w:rsidRPr="003A3E47">
        <w:rPr>
          <w:rFonts w:ascii="Arial" w:eastAsia="Times New Roman" w:hAnsi="Arial" w:cs="Arial"/>
          <w:lang w:val="en-GB" w:eastAsia="en-GB"/>
        </w:rPr>
        <w:t>Abane</w:t>
      </w:r>
      <w:proofErr w:type="spellEnd"/>
      <w:r w:rsidRPr="003A3E47">
        <w:rPr>
          <w:rFonts w:ascii="Arial" w:eastAsia="Times New Roman" w:hAnsi="Arial" w:cs="Arial"/>
          <w:lang w:val="en-GB" w:eastAsia="en-GB"/>
        </w:rPr>
        <w:t xml:space="preserve">, </w:t>
      </w:r>
      <w:proofErr w:type="spellStart"/>
      <w:r w:rsidRPr="003A3E47">
        <w:rPr>
          <w:rFonts w:ascii="Arial" w:eastAsia="Times New Roman" w:hAnsi="Arial" w:cs="Arial"/>
          <w:lang w:val="en-GB" w:eastAsia="en-GB"/>
        </w:rPr>
        <w:t>Adamtey</w:t>
      </w:r>
      <w:proofErr w:type="spellEnd"/>
      <w:r w:rsidRPr="003A3E47">
        <w:rPr>
          <w:rFonts w:ascii="Arial" w:eastAsia="Times New Roman" w:hAnsi="Arial" w:cs="Arial"/>
          <w:lang w:val="en-GB" w:eastAsia="en-GB"/>
        </w:rPr>
        <w:t xml:space="preserve"> and </w:t>
      </w:r>
      <w:proofErr w:type="spellStart"/>
      <w:r w:rsidRPr="003A3E47">
        <w:rPr>
          <w:rFonts w:ascii="Arial" w:eastAsia="Times New Roman" w:hAnsi="Arial" w:cs="Arial"/>
          <w:lang w:val="en-GB" w:eastAsia="en-GB"/>
        </w:rPr>
        <w:t>Ayim</w:t>
      </w:r>
      <w:proofErr w:type="spellEnd"/>
      <w:r w:rsidRPr="003A3E47">
        <w:rPr>
          <w:rFonts w:ascii="Arial" w:eastAsia="Times New Roman" w:hAnsi="Arial" w:cs="Arial"/>
          <w:lang w:val="en-GB" w:eastAsia="en-GB"/>
        </w:rPr>
        <w:t xml:space="preserve"> (2022) concluded that organisations demonstrating strong cultural characteristics often achieve superior operational outcomes.</w:t>
      </w:r>
    </w:p>
    <w:p w14:paraId="7DC35E51"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However, culture alone cannot guarantee organisational success. External environmental factors, technological disruption and competitive pressures also influence organisational performance. For example, despite its strong culture, Toyota continues to face challenges associated with electric vehicle adoption and changing consumer expectations.</w:t>
      </w:r>
    </w:p>
    <w:p w14:paraId="4B06486E"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 xml:space="preserve">Critically, some scholars argue that the relationship between culture and performance is complex rather than straightforward. A culture that supports success in one environment </w:t>
      </w:r>
      <w:r w:rsidRPr="003A3E47">
        <w:rPr>
          <w:rFonts w:ascii="Arial" w:eastAsia="Times New Roman" w:hAnsi="Arial" w:cs="Arial"/>
          <w:lang w:val="en-GB" w:eastAsia="en-GB"/>
        </w:rPr>
        <w:lastRenderedPageBreak/>
        <w:t>may become less effective if market conditions change significantly. Therefore, organisations must continuously evaluate whether cultural values remain aligned with strategic objectives.</w:t>
      </w:r>
    </w:p>
    <w:p w14:paraId="4B15794E"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Overall, Toyota’s culture has contributed significantly to operational efficiency, employee engagement, innovation and financial performance. Nevertheless, maintaining these benefits requires ongoing adaptation and cultural development.</w:t>
      </w:r>
    </w:p>
    <w:p w14:paraId="11DB7AE8" w14:textId="77777777" w:rsidR="003A3E47" w:rsidRPr="00B35367" w:rsidRDefault="003A3E47" w:rsidP="003A3E47">
      <w:pPr>
        <w:spacing w:before="100" w:beforeAutospacing="1" w:after="100" w:afterAutospacing="1" w:line="360" w:lineRule="auto"/>
        <w:jc w:val="both"/>
        <w:rPr>
          <w:rFonts w:ascii="Arial" w:eastAsia="Times New Roman" w:hAnsi="Arial" w:cs="Arial"/>
          <w:b/>
          <w:bCs/>
          <w:sz w:val="32"/>
          <w:szCs w:val="32"/>
          <w:lang w:val="en-GB" w:eastAsia="en-GB"/>
        </w:rPr>
      </w:pPr>
      <w:r w:rsidRPr="00B35367">
        <w:rPr>
          <w:rFonts w:ascii="Arial" w:eastAsia="Times New Roman" w:hAnsi="Arial" w:cs="Arial"/>
          <w:b/>
          <w:bCs/>
          <w:sz w:val="32"/>
          <w:szCs w:val="32"/>
          <w:lang w:val="en-GB" w:eastAsia="en-GB"/>
        </w:rPr>
        <w:t>Conclusion</w:t>
      </w:r>
    </w:p>
    <w:p w14:paraId="2C06DA65"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This report has demonstrated that organisational culture plays a fundamental role in shaping organisational effectiveness, decision-making and long-term performance. Toyota provides a compelling example of how a strong organisational culture can support competitive advantage through continuous improvement, employee involvement, teamwork and long-term strategic thinking.</w:t>
      </w:r>
    </w:p>
    <w:p w14:paraId="1DF50C71"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The analysis revealed that Toyota’s culture is deeply embedded within organisational processes and behaviours through the Toyota Way. Continuous improvement, respect for people and organisational learning have contributed significantly to operational excellence, innovation and global competitiveness. The application of Schein’s cultural framework, the Competing Values Framework, Handy’s typology and Denison’s model highlighted the complex and multifaceted nature of Toyota’s organisational culture.</w:t>
      </w:r>
    </w:p>
    <w:p w14:paraId="5CEB03EB"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The report also demonstrated that culture significantly influences organisational structure and decision-making. Toyota’s collaborative approach encourages employee participation and supports high-quality decision-making. However, critical analysis suggests that consensus-based processes may occasionally reduce organisational agility, particularly in rapidly changing environments.</w:t>
      </w:r>
    </w:p>
    <w:p w14:paraId="3F024967"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Furthermore, Toyota’s culture has supported adaptation to external challenges, including globalisation, environmental regulations and competitive pressures. Nevertheless, the increasing pace of technological disruption highlights the need for continuous cultural evolution. The discussion of electric vehicle development illustrates the importance of balancing stability with innovation and responsiveness.</w:t>
      </w:r>
    </w:p>
    <w:p w14:paraId="55C6D7FF"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lastRenderedPageBreak/>
        <w:t>Although Toyota’s culture has contributed substantially to organisational performance, it may also create barriers if cultural values become overly rigid or resistant to change. Therefore, organisational culture should be viewed as a dynamic strategic resource rather than a fixed organisational characteristic.</w:t>
      </w:r>
    </w:p>
    <w:p w14:paraId="48593AD6" w14:textId="77777777" w:rsid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In conclusion, Toyota’s success demonstrates the importance of aligning organisational culture with strategic objectives and environmental demands. Future competitiveness will depend upon the organisation’s ability to preserve its cultural strengths while remaining flexible enough to respond to emerging technological, environmental and market challenges.</w:t>
      </w:r>
    </w:p>
    <w:p w14:paraId="6BB5DE4B" w14:textId="77777777" w:rsidR="00E63580" w:rsidRDefault="00E63580" w:rsidP="003A3E47">
      <w:pPr>
        <w:spacing w:before="100" w:beforeAutospacing="1" w:after="100" w:afterAutospacing="1" w:line="360" w:lineRule="auto"/>
        <w:jc w:val="both"/>
        <w:rPr>
          <w:rFonts w:ascii="Arial" w:eastAsia="Times New Roman" w:hAnsi="Arial" w:cs="Arial"/>
          <w:b/>
          <w:bCs/>
          <w:sz w:val="32"/>
          <w:szCs w:val="32"/>
          <w:lang w:val="en-GB" w:eastAsia="en-GB"/>
        </w:rPr>
      </w:pPr>
    </w:p>
    <w:p w14:paraId="17AD31CC" w14:textId="77777777" w:rsidR="008077BC" w:rsidRDefault="008077BC" w:rsidP="003A3E47">
      <w:pPr>
        <w:spacing w:before="100" w:beforeAutospacing="1" w:after="100" w:afterAutospacing="1" w:line="360" w:lineRule="auto"/>
        <w:jc w:val="both"/>
        <w:rPr>
          <w:rFonts w:ascii="Arial" w:eastAsia="Times New Roman" w:hAnsi="Arial" w:cs="Arial"/>
          <w:b/>
          <w:bCs/>
          <w:sz w:val="32"/>
          <w:szCs w:val="32"/>
          <w:lang w:val="en-GB" w:eastAsia="en-GB"/>
        </w:rPr>
      </w:pPr>
    </w:p>
    <w:p w14:paraId="6B4FDE7F" w14:textId="77777777" w:rsidR="008077BC" w:rsidRDefault="008077BC" w:rsidP="003A3E47">
      <w:pPr>
        <w:spacing w:before="100" w:beforeAutospacing="1" w:after="100" w:afterAutospacing="1" w:line="360" w:lineRule="auto"/>
        <w:jc w:val="both"/>
        <w:rPr>
          <w:rFonts w:ascii="Arial" w:eastAsia="Times New Roman" w:hAnsi="Arial" w:cs="Arial"/>
          <w:b/>
          <w:bCs/>
          <w:sz w:val="32"/>
          <w:szCs w:val="32"/>
          <w:lang w:val="en-GB" w:eastAsia="en-GB"/>
        </w:rPr>
      </w:pPr>
    </w:p>
    <w:p w14:paraId="0DAE1DA4" w14:textId="77777777" w:rsidR="008077BC" w:rsidRDefault="008077BC" w:rsidP="003A3E47">
      <w:pPr>
        <w:spacing w:before="100" w:beforeAutospacing="1" w:after="100" w:afterAutospacing="1" w:line="360" w:lineRule="auto"/>
        <w:jc w:val="both"/>
        <w:rPr>
          <w:rFonts w:ascii="Arial" w:eastAsia="Times New Roman" w:hAnsi="Arial" w:cs="Arial"/>
          <w:b/>
          <w:bCs/>
          <w:sz w:val="32"/>
          <w:szCs w:val="32"/>
          <w:lang w:val="en-GB" w:eastAsia="en-GB"/>
        </w:rPr>
      </w:pPr>
    </w:p>
    <w:p w14:paraId="6B50059E" w14:textId="77777777" w:rsidR="008077BC" w:rsidRDefault="008077BC" w:rsidP="003A3E47">
      <w:pPr>
        <w:spacing w:before="100" w:beforeAutospacing="1" w:after="100" w:afterAutospacing="1" w:line="360" w:lineRule="auto"/>
        <w:jc w:val="both"/>
        <w:rPr>
          <w:rFonts w:ascii="Arial" w:eastAsia="Times New Roman" w:hAnsi="Arial" w:cs="Arial"/>
          <w:b/>
          <w:bCs/>
          <w:sz w:val="32"/>
          <w:szCs w:val="32"/>
          <w:lang w:val="en-GB" w:eastAsia="en-GB"/>
        </w:rPr>
      </w:pPr>
    </w:p>
    <w:p w14:paraId="79C0AAA7" w14:textId="77777777" w:rsidR="008077BC" w:rsidRDefault="008077BC" w:rsidP="003A3E47">
      <w:pPr>
        <w:spacing w:before="100" w:beforeAutospacing="1" w:after="100" w:afterAutospacing="1" w:line="360" w:lineRule="auto"/>
        <w:jc w:val="both"/>
        <w:rPr>
          <w:rFonts w:ascii="Arial" w:eastAsia="Times New Roman" w:hAnsi="Arial" w:cs="Arial"/>
          <w:b/>
          <w:bCs/>
          <w:sz w:val="32"/>
          <w:szCs w:val="32"/>
          <w:lang w:val="en-GB" w:eastAsia="en-GB"/>
        </w:rPr>
      </w:pPr>
    </w:p>
    <w:p w14:paraId="4A75D011" w14:textId="77777777" w:rsidR="008077BC" w:rsidRDefault="008077BC" w:rsidP="003A3E47">
      <w:pPr>
        <w:spacing w:before="100" w:beforeAutospacing="1" w:after="100" w:afterAutospacing="1" w:line="360" w:lineRule="auto"/>
        <w:jc w:val="both"/>
        <w:rPr>
          <w:rFonts w:ascii="Arial" w:eastAsia="Times New Roman" w:hAnsi="Arial" w:cs="Arial"/>
          <w:b/>
          <w:bCs/>
          <w:sz w:val="32"/>
          <w:szCs w:val="32"/>
          <w:lang w:val="en-GB" w:eastAsia="en-GB"/>
        </w:rPr>
      </w:pPr>
    </w:p>
    <w:p w14:paraId="59C2CA29" w14:textId="77777777" w:rsidR="008077BC" w:rsidRDefault="008077BC" w:rsidP="003A3E47">
      <w:pPr>
        <w:spacing w:before="100" w:beforeAutospacing="1" w:after="100" w:afterAutospacing="1" w:line="360" w:lineRule="auto"/>
        <w:jc w:val="both"/>
        <w:rPr>
          <w:rFonts w:ascii="Arial" w:eastAsia="Times New Roman" w:hAnsi="Arial" w:cs="Arial"/>
          <w:b/>
          <w:bCs/>
          <w:sz w:val="32"/>
          <w:szCs w:val="32"/>
          <w:lang w:val="en-GB" w:eastAsia="en-GB"/>
        </w:rPr>
      </w:pPr>
    </w:p>
    <w:p w14:paraId="40F5A80E" w14:textId="77777777" w:rsidR="008077BC" w:rsidRDefault="008077BC" w:rsidP="003A3E47">
      <w:pPr>
        <w:spacing w:before="100" w:beforeAutospacing="1" w:after="100" w:afterAutospacing="1" w:line="360" w:lineRule="auto"/>
        <w:jc w:val="both"/>
        <w:rPr>
          <w:rFonts w:ascii="Arial" w:eastAsia="Times New Roman" w:hAnsi="Arial" w:cs="Arial"/>
          <w:b/>
          <w:bCs/>
          <w:sz w:val="32"/>
          <w:szCs w:val="32"/>
          <w:lang w:val="en-GB" w:eastAsia="en-GB"/>
        </w:rPr>
      </w:pPr>
    </w:p>
    <w:p w14:paraId="5F8F8F74" w14:textId="77777777" w:rsidR="008077BC" w:rsidRDefault="008077BC" w:rsidP="003A3E47">
      <w:pPr>
        <w:spacing w:before="100" w:beforeAutospacing="1" w:after="100" w:afterAutospacing="1" w:line="360" w:lineRule="auto"/>
        <w:jc w:val="both"/>
        <w:rPr>
          <w:rFonts w:ascii="Arial" w:eastAsia="Times New Roman" w:hAnsi="Arial" w:cs="Arial"/>
          <w:b/>
          <w:bCs/>
          <w:sz w:val="32"/>
          <w:szCs w:val="32"/>
          <w:lang w:val="en-GB" w:eastAsia="en-GB"/>
        </w:rPr>
      </w:pPr>
    </w:p>
    <w:p w14:paraId="2BC9305A" w14:textId="77777777" w:rsidR="008077BC" w:rsidRDefault="008077BC" w:rsidP="003A3E47">
      <w:pPr>
        <w:spacing w:before="100" w:beforeAutospacing="1" w:after="100" w:afterAutospacing="1" w:line="360" w:lineRule="auto"/>
        <w:jc w:val="both"/>
        <w:rPr>
          <w:rFonts w:ascii="Arial" w:eastAsia="Times New Roman" w:hAnsi="Arial" w:cs="Arial"/>
          <w:b/>
          <w:bCs/>
          <w:sz w:val="32"/>
          <w:szCs w:val="32"/>
          <w:lang w:val="en-GB" w:eastAsia="en-GB"/>
        </w:rPr>
      </w:pPr>
    </w:p>
    <w:p w14:paraId="37F63E81" w14:textId="217F4D67" w:rsidR="003A3E47" w:rsidRPr="00B35367" w:rsidRDefault="003A3E47" w:rsidP="003A3E47">
      <w:pPr>
        <w:spacing w:before="100" w:beforeAutospacing="1" w:after="100" w:afterAutospacing="1" w:line="360" w:lineRule="auto"/>
        <w:jc w:val="both"/>
        <w:rPr>
          <w:rFonts w:ascii="Arial" w:eastAsia="Times New Roman" w:hAnsi="Arial" w:cs="Arial"/>
          <w:b/>
          <w:bCs/>
          <w:sz w:val="32"/>
          <w:szCs w:val="32"/>
          <w:lang w:val="en-GB" w:eastAsia="en-GB"/>
        </w:rPr>
      </w:pPr>
      <w:r w:rsidRPr="00B35367">
        <w:rPr>
          <w:rFonts w:ascii="Arial" w:eastAsia="Times New Roman" w:hAnsi="Arial" w:cs="Arial"/>
          <w:b/>
          <w:bCs/>
          <w:sz w:val="32"/>
          <w:szCs w:val="32"/>
          <w:lang w:val="en-GB" w:eastAsia="en-GB"/>
        </w:rPr>
        <w:lastRenderedPageBreak/>
        <w:t>References</w:t>
      </w:r>
    </w:p>
    <w:p w14:paraId="464B9982"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proofErr w:type="spellStart"/>
      <w:r w:rsidRPr="003A3E47">
        <w:rPr>
          <w:rFonts w:ascii="Arial" w:eastAsia="Times New Roman" w:hAnsi="Arial" w:cs="Arial"/>
          <w:lang w:val="en-GB" w:eastAsia="en-GB"/>
        </w:rPr>
        <w:t>Abane</w:t>
      </w:r>
      <w:proofErr w:type="spellEnd"/>
      <w:r w:rsidRPr="003A3E47">
        <w:rPr>
          <w:rFonts w:ascii="Arial" w:eastAsia="Times New Roman" w:hAnsi="Arial" w:cs="Arial"/>
          <w:lang w:val="en-GB" w:eastAsia="en-GB"/>
        </w:rPr>
        <w:t xml:space="preserve">, J.A., </w:t>
      </w:r>
      <w:proofErr w:type="spellStart"/>
      <w:r w:rsidRPr="003A3E47">
        <w:rPr>
          <w:rFonts w:ascii="Arial" w:eastAsia="Times New Roman" w:hAnsi="Arial" w:cs="Arial"/>
          <w:lang w:val="en-GB" w:eastAsia="en-GB"/>
        </w:rPr>
        <w:t>Adamtey</w:t>
      </w:r>
      <w:proofErr w:type="spellEnd"/>
      <w:r w:rsidRPr="003A3E47">
        <w:rPr>
          <w:rFonts w:ascii="Arial" w:eastAsia="Times New Roman" w:hAnsi="Arial" w:cs="Arial"/>
          <w:lang w:val="en-GB" w:eastAsia="en-GB"/>
        </w:rPr>
        <w:t xml:space="preserve">, R. and </w:t>
      </w:r>
      <w:proofErr w:type="spellStart"/>
      <w:r w:rsidRPr="003A3E47">
        <w:rPr>
          <w:rFonts w:ascii="Arial" w:eastAsia="Times New Roman" w:hAnsi="Arial" w:cs="Arial"/>
          <w:lang w:val="en-GB" w:eastAsia="en-GB"/>
        </w:rPr>
        <w:t>Ayim</w:t>
      </w:r>
      <w:proofErr w:type="spellEnd"/>
      <w:r w:rsidRPr="003A3E47">
        <w:rPr>
          <w:rFonts w:ascii="Arial" w:eastAsia="Times New Roman" w:hAnsi="Arial" w:cs="Arial"/>
          <w:lang w:val="en-GB" w:eastAsia="en-GB"/>
        </w:rPr>
        <w:t xml:space="preserve">, E.K. (2022) ‘Organizational culture and organizational performance: The mediating role of employee engagement’, </w:t>
      </w:r>
      <w:r w:rsidRPr="003A3E47">
        <w:rPr>
          <w:rFonts w:ascii="Arial" w:eastAsia="Times New Roman" w:hAnsi="Arial" w:cs="Arial"/>
          <w:i/>
          <w:iCs/>
          <w:lang w:val="en-GB" w:eastAsia="en-GB"/>
        </w:rPr>
        <w:t>International Journal of Productivity and Performance Management</w:t>
      </w:r>
      <w:r w:rsidRPr="003A3E47">
        <w:rPr>
          <w:rFonts w:ascii="Arial" w:eastAsia="Times New Roman" w:hAnsi="Arial" w:cs="Arial"/>
          <w:lang w:val="en-GB" w:eastAsia="en-GB"/>
        </w:rPr>
        <w:t>, 71(8), pp. 3345–3363.</w:t>
      </w:r>
    </w:p>
    <w:p w14:paraId="5D4CF4DB"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 xml:space="preserve">AlShehri, M., Alshammari, F., Alqahtani, A. and Alghamdi, M. (2024) ‘Organisational culture and change management in dynamic business environments’, </w:t>
      </w:r>
      <w:r w:rsidRPr="003A3E47">
        <w:rPr>
          <w:rFonts w:ascii="Arial" w:eastAsia="Times New Roman" w:hAnsi="Arial" w:cs="Arial"/>
          <w:i/>
          <w:iCs/>
          <w:lang w:val="en-GB" w:eastAsia="en-GB"/>
        </w:rPr>
        <w:t>Journal of Organizational Effectiveness: People and Performance</w:t>
      </w:r>
      <w:r w:rsidRPr="003A3E47">
        <w:rPr>
          <w:rFonts w:ascii="Arial" w:eastAsia="Times New Roman" w:hAnsi="Arial" w:cs="Arial"/>
          <w:lang w:val="en-GB" w:eastAsia="en-GB"/>
        </w:rPr>
        <w:t>, 11(2), pp. 145–162.</w:t>
      </w:r>
    </w:p>
    <w:p w14:paraId="6C5A4D39"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 xml:space="preserve">Burnes, B. (2020) </w:t>
      </w:r>
      <w:r w:rsidRPr="003A3E47">
        <w:rPr>
          <w:rFonts w:ascii="Arial" w:eastAsia="Times New Roman" w:hAnsi="Arial" w:cs="Arial"/>
          <w:i/>
          <w:iCs/>
          <w:lang w:val="en-GB" w:eastAsia="en-GB"/>
        </w:rPr>
        <w:t>Managing Change</w:t>
      </w:r>
      <w:r w:rsidRPr="003A3E47">
        <w:rPr>
          <w:rFonts w:ascii="Arial" w:eastAsia="Times New Roman" w:hAnsi="Arial" w:cs="Arial"/>
          <w:lang w:val="en-GB" w:eastAsia="en-GB"/>
        </w:rPr>
        <w:t xml:space="preserve">. 8th </w:t>
      </w:r>
      <w:proofErr w:type="spellStart"/>
      <w:r w:rsidRPr="003A3E47">
        <w:rPr>
          <w:rFonts w:ascii="Arial" w:eastAsia="Times New Roman" w:hAnsi="Arial" w:cs="Arial"/>
          <w:lang w:val="en-GB" w:eastAsia="en-GB"/>
        </w:rPr>
        <w:t>edn</w:t>
      </w:r>
      <w:proofErr w:type="spellEnd"/>
      <w:r w:rsidRPr="003A3E47">
        <w:rPr>
          <w:rFonts w:ascii="Arial" w:eastAsia="Times New Roman" w:hAnsi="Arial" w:cs="Arial"/>
          <w:lang w:val="en-GB" w:eastAsia="en-GB"/>
        </w:rPr>
        <w:t>. Harlow: Pearson Education.</w:t>
      </w:r>
    </w:p>
    <w:p w14:paraId="5F51717A"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 xml:space="preserve">Clegg, S., Kornberger, M. and </w:t>
      </w:r>
      <w:proofErr w:type="spellStart"/>
      <w:r w:rsidRPr="003A3E47">
        <w:rPr>
          <w:rFonts w:ascii="Arial" w:eastAsia="Times New Roman" w:hAnsi="Arial" w:cs="Arial"/>
          <w:lang w:val="en-GB" w:eastAsia="en-GB"/>
        </w:rPr>
        <w:t>Pitsis</w:t>
      </w:r>
      <w:proofErr w:type="spellEnd"/>
      <w:r w:rsidRPr="003A3E47">
        <w:rPr>
          <w:rFonts w:ascii="Arial" w:eastAsia="Times New Roman" w:hAnsi="Arial" w:cs="Arial"/>
          <w:lang w:val="en-GB" w:eastAsia="en-GB"/>
        </w:rPr>
        <w:t xml:space="preserve">, T. (2019) </w:t>
      </w:r>
      <w:r w:rsidRPr="003A3E47">
        <w:rPr>
          <w:rFonts w:ascii="Arial" w:eastAsia="Times New Roman" w:hAnsi="Arial" w:cs="Arial"/>
          <w:i/>
          <w:iCs/>
          <w:lang w:val="en-GB" w:eastAsia="en-GB"/>
        </w:rPr>
        <w:t>Managing and Organizations: An Introduction to Theory and Practice</w:t>
      </w:r>
      <w:r w:rsidRPr="003A3E47">
        <w:rPr>
          <w:rFonts w:ascii="Arial" w:eastAsia="Times New Roman" w:hAnsi="Arial" w:cs="Arial"/>
          <w:lang w:val="en-GB" w:eastAsia="en-GB"/>
        </w:rPr>
        <w:t xml:space="preserve">. 5th </w:t>
      </w:r>
      <w:proofErr w:type="spellStart"/>
      <w:r w:rsidRPr="003A3E47">
        <w:rPr>
          <w:rFonts w:ascii="Arial" w:eastAsia="Times New Roman" w:hAnsi="Arial" w:cs="Arial"/>
          <w:lang w:val="en-GB" w:eastAsia="en-GB"/>
        </w:rPr>
        <w:t>edn</w:t>
      </w:r>
      <w:proofErr w:type="spellEnd"/>
      <w:r w:rsidRPr="003A3E47">
        <w:rPr>
          <w:rFonts w:ascii="Arial" w:eastAsia="Times New Roman" w:hAnsi="Arial" w:cs="Arial"/>
          <w:lang w:val="en-GB" w:eastAsia="en-GB"/>
        </w:rPr>
        <w:t>. London: Sage.</w:t>
      </w:r>
    </w:p>
    <w:p w14:paraId="527B3334"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 xml:space="preserve">Daft, R.L. (2021) </w:t>
      </w:r>
      <w:r w:rsidRPr="003A3E47">
        <w:rPr>
          <w:rFonts w:ascii="Arial" w:eastAsia="Times New Roman" w:hAnsi="Arial" w:cs="Arial"/>
          <w:i/>
          <w:iCs/>
          <w:lang w:val="en-GB" w:eastAsia="en-GB"/>
        </w:rPr>
        <w:t>Organization Theory and Design</w:t>
      </w:r>
      <w:r w:rsidRPr="003A3E47">
        <w:rPr>
          <w:rFonts w:ascii="Arial" w:eastAsia="Times New Roman" w:hAnsi="Arial" w:cs="Arial"/>
          <w:lang w:val="en-GB" w:eastAsia="en-GB"/>
        </w:rPr>
        <w:t xml:space="preserve">. 13th </w:t>
      </w:r>
      <w:proofErr w:type="spellStart"/>
      <w:r w:rsidRPr="003A3E47">
        <w:rPr>
          <w:rFonts w:ascii="Arial" w:eastAsia="Times New Roman" w:hAnsi="Arial" w:cs="Arial"/>
          <w:lang w:val="en-GB" w:eastAsia="en-GB"/>
        </w:rPr>
        <w:t>edn</w:t>
      </w:r>
      <w:proofErr w:type="spellEnd"/>
      <w:r w:rsidRPr="003A3E47">
        <w:rPr>
          <w:rFonts w:ascii="Arial" w:eastAsia="Times New Roman" w:hAnsi="Arial" w:cs="Arial"/>
          <w:lang w:val="en-GB" w:eastAsia="en-GB"/>
        </w:rPr>
        <w:t>. Boston: Cengage Learning.</w:t>
      </w:r>
    </w:p>
    <w:p w14:paraId="5B684295"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 xml:space="preserve">Griffin, R.W. and Moorhead, G. (2021) </w:t>
      </w:r>
      <w:r w:rsidRPr="003A3E47">
        <w:rPr>
          <w:rFonts w:ascii="Arial" w:eastAsia="Times New Roman" w:hAnsi="Arial" w:cs="Arial"/>
          <w:i/>
          <w:iCs/>
          <w:lang w:val="en-GB" w:eastAsia="en-GB"/>
        </w:rPr>
        <w:t xml:space="preserve">Organizational </w:t>
      </w:r>
      <w:proofErr w:type="spellStart"/>
      <w:r w:rsidRPr="003A3E47">
        <w:rPr>
          <w:rFonts w:ascii="Arial" w:eastAsia="Times New Roman" w:hAnsi="Arial" w:cs="Arial"/>
          <w:i/>
          <w:iCs/>
          <w:lang w:val="en-GB" w:eastAsia="en-GB"/>
        </w:rPr>
        <w:t>Behavior</w:t>
      </w:r>
      <w:proofErr w:type="spellEnd"/>
      <w:r w:rsidRPr="003A3E47">
        <w:rPr>
          <w:rFonts w:ascii="Arial" w:eastAsia="Times New Roman" w:hAnsi="Arial" w:cs="Arial"/>
          <w:i/>
          <w:iCs/>
          <w:lang w:val="en-GB" w:eastAsia="en-GB"/>
        </w:rPr>
        <w:t>: Managing People and Organizations</w:t>
      </w:r>
      <w:r w:rsidRPr="003A3E47">
        <w:rPr>
          <w:rFonts w:ascii="Arial" w:eastAsia="Times New Roman" w:hAnsi="Arial" w:cs="Arial"/>
          <w:lang w:val="en-GB" w:eastAsia="en-GB"/>
        </w:rPr>
        <w:t xml:space="preserve">. 13th </w:t>
      </w:r>
      <w:proofErr w:type="spellStart"/>
      <w:r w:rsidRPr="003A3E47">
        <w:rPr>
          <w:rFonts w:ascii="Arial" w:eastAsia="Times New Roman" w:hAnsi="Arial" w:cs="Arial"/>
          <w:lang w:val="en-GB" w:eastAsia="en-GB"/>
        </w:rPr>
        <w:t>edn</w:t>
      </w:r>
      <w:proofErr w:type="spellEnd"/>
      <w:r w:rsidRPr="003A3E47">
        <w:rPr>
          <w:rFonts w:ascii="Arial" w:eastAsia="Times New Roman" w:hAnsi="Arial" w:cs="Arial"/>
          <w:lang w:val="en-GB" w:eastAsia="en-GB"/>
        </w:rPr>
        <w:t>. Boston: Cengage Learning.</w:t>
      </w:r>
    </w:p>
    <w:p w14:paraId="49CF2F29"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 xml:space="preserve">Jones, G.R. (2022) </w:t>
      </w:r>
      <w:r w:rsidRPr="003A3E47">
        <w:rPr>
          <w:rFonts w:ascii="Arial" w:eastAsia="Times New Roman" w:hAnsi="Arial" w:cs="Arial"/>
          <w:i/>
          <w:iCs/>
          <w:lang w:val="en-GB" w:eastAsia="en-GB"/>
        </w:rPr>
        <w:t>Organizational Theory, Design and Change</w:t>
      </w:r>
      <w:r w:rsidRPr="003A3E47">
        <w:rPr>
          <w:rFonts w:ascii="Arial" w:eastAsia="Times New Roman" w:hAnsi="Arial" w:cs="Arial"/>
          <w:lang w:val="en-GB" w:eastAsia="en-GB"/>
        </w:rPr>
        <w:t xml:space="preserve">. 8th </w:t>
      </w:r>
      <w:proofErr w:type="spellStart"/>
      <w:r w:rsidRPr="003A3E47">
        <w:rPr>
          <w:rFonts w:ascii="Arial" w:eastAsia="Times New Roman" w:hAnsi="Arial" w:cs="Arial"/>
          <w:lang w:val="en-GB" w:eastAsia="en-GB"/>
        </w:rPr>
        <w:t>edn</w:t>
      </w:r>
      <w:proofErr w:type="spellEnd"/>
      <w:r w:rsidRPr="003A3E47">
        <w:rPr>
          <w:rFonts w:ascii="Arial" w:eastAsia="Times New Roman" w:hAnsi="Arial" w:cs="Arial"/>
          <w:lang w:val="en-GB" w:eastAsia="en-GB"/>
        </w:rPr>
        <w:t>. Harlow: Pearson.</w:t>
      </w:r>
    </w:p>
    <w:p w14:paraId="2C511A5A"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 xml:space="preserve">Khan, M.A. and Pervin, S. (2024) ‘The impact of organisational culture on innovation and business sustainability’, </w:t>
      </w:r>
      <w:r w:rsidRPr="003A3E47">
        <w:rPr>
          <w:rFonts w:ascii="Arial" w:eastAsia="Times New Roman" w:hAnsi="Arial" w:cs="Arial"/>
          <w:i/>
          <w:iCs/>
          <w:lang w:val="en-GB" w:eastAsia="en-GB"/>
        </w:rPr>
        <w:t>Journal of Business Research</w:t>
      </w:r>
      <w:r w:rsidRPr="003A3E47">
        <w:rPr>
          <w:rFonts w:ascii="Arial" w:eastAsia="Times New Roman" w:hAnsi="Arial" w:cs="Arial"/>
          <w:lang w:val="en-GB" w:eastAsia="en-GB"/>
        </w:rPr>
        <w:t>, 175, pp. 1–12.</w:t>
      </w:r>
    </w:p>
    <w:p w14:paraId="3E6CBC19"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 xml:space="preserve">Kotrba, L.M., Gillespie, M.A., Schmidt, A.M. and Smerek, R.E. (2024) ‘Organizational culture and organizational effectiveness: A contemporary review’, </w:t>
      </w:r>
      <w:r w:rsidRPr="003A3E47">
        <w:rPr>
          <w:rFonts w:ascii="Arial" w:eastAsia="Times New Roman" w:hAnsi="Arial" w:cs="Arial"/>
          <w:i/>
          <w:iCs/>
          <w:lang w:val="en-GB" w:eastAsia="en-GB"/>
        </w:rPr>
        <w:t>Human Resource Management Review</w:t>
      </w:r>
      <w:r w:rsidRPr="003A3E47">
        <w:rPr>
          <w:rFonts w:ascii="Arial" w:eastAsia="Times New Roman" w:hAnsi="Arial" w:cs="Arial"/>
          <w:lang w:val="en-GB" w:eastAsia="en-GB"/>
        </w:rPr>
        <w:t>, 34(1), pp. 1–15.</w:t>
      </w:r>
    </w:p>
    <w:p w14:paraId="6C78D6E8"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 xml:space="preserve">Meyer, E. (2023) </w:t>
      </w:r>
      <w:r w:rsidRPr="003A3E47">
        <w:rPr>
          <w:rFonts w:ascii="Arial" w:eastAsia="Times New Roman" w:hAnsi="Arial" w:cs="Arial"/>
          <w:i/>
          <w:iCs/>
          <w:lang w:val="en-GB" w:eastAsia="en-GB"/>
        </w:rPr>
        <w:t>The Culture Map: Breaking Through the Invisible Boundaries of Global Business</w:t>
      </w:r>
      <w:r w:rsidRPr="003A3E47">
        <w:rPr>
          <w:rFonts w:ascii="Arial" w:eastAsia="Times New Roman" w:hAnsi="Arial" w:cs="Arial"/>
          <w:lang w:val="en-GB" w:eastAsia="en-GB"/>
        </w:rPr>
        <w:t xml:space="preserve">. Updated </w:t>
      </w:r>
      <w:proofErr w:type="spellStart"/>
      <w:r w:rsidRPr="003A3E47">
        <w:rPr>
          <w:rFonts w:ascii="Arial" w:eastAsia="Times New Roman" w:hAnsi="Arial" w:cs="Arial"/>
          <w:lang w:val="en-GB" w:eastAsia="en-GB"/>
        </w:rPr>
        <w:t>edn</w:t>
      </w:r>
      <w:proofErr w:type="spellEnd"/>
      <w:r w:rsidRPr="003A3E47">
        <w:rPr>
          <w:rFonts w:ascii="Arial" w:eastAsia="Times New Roman" w:hAnsi="Arial" w:cs="Arial"/>
          <w:lang w:val="en-GB" w:eastAsia="en-GB"/>
        </w:rPr>
        <w:t>. London: Penguin Business.</w:t>
      </w:r>
    </w:p>
    <w:p w14:paraId="72D97B96" w14:textId="3A29A812"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 xml:space="preserve">Mullins, L.J. and Christy, G. (2016) </w:t>
      </w:r>
      <w:r w:rsidRPr="003A3E47">
        <w:rPr>
          <w:rFonts w:ascii="Arial" w:eastAsia="Times New Roman" w:hAnsi="Arial" w:cs="Arial"/>
          <w:i/>
          <w:iCs/>
          <w:lang w:val="en-GB" w:eastAsia="en-GB"/>
        </w:rPr>
        <w:t>Management and Organisational Behaviour</w:t>
      </w:r>
      <w:r w:rsidRPr="003A3E47">
        <w:rPr>
          <w:rFonts w:ascii="Arial" w:eastAsia="Times New Roman" w:hAnsi="Arial" w:cs="Arial"/>
          <w:lang w:val="en-GB" w:eastAsia="en-GB"/>
        </w:rPr>
        <w:t xml:space="preserve">. </w:t>
      </w:r>
      <w:r w:rsidR="00483C8B">
        <w:rPr>
          <w:rFonts w:ascii="Arial" w:eastAsia="Times New Roman" w:hAnsi="Arial" w:cs="Arial"/>
          <w:lang w:val="en-GB" w:eastAsia="en-GB"/>
        </w:rPr>
        <w:t>(Eleventh ed., Always learning)</w:t>
      </w:r>
      <w:r w:rsidRPr="003A3E47">
        <w:rPr>
          <w:rFonts w:ascii="Arial" w:eastAsia="Times New Roman" w:hAnsi="Arial" w:cs="Arial"/>
          <w:lang w:val="en-GB" w:eastAsia="en-GB"/>
        </w:rPr>
        <w:t xml:space="preserve">. </w:t>
      </w:r>
    </w:p>
    <w:p w14:paraId="1C672CB2"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proofErr w:type="spellStart"/>
      <w:r w:rsidRPr="003A3E47">
        <w:rPr>
          <w:rFonts w:ascii="Arial" w:eastAsia="Times New Roman" w:hAnsi="Arial" w:cs="Arial"/>
          <w:lang w:val="en-GB" w:eastAsia="en-GB"/>
        </w:rPr>
        <w:lastRenderedPageBreak/>
        <w:t>Nungchim</w:t>
      </w:r>
      <w:proofErr w:type="spellEnd"/>
      <w:r w:rsidRPr="003A3E47">
        <w:rPr>
          <w:rFonts w:ascii="Arial" w:eastAsia="Times New Roman" w:hAnsi="Arial" w:cs="Arial"/>
          <w:lang w:val="en-GB" w:eastAsia="en-GB"/>
        </w:rPr>
        <w:t xml:space="preserve">, S. and </w:t>
      </w:r>
      <w:proofErr w:type="spellStart"/>
      <w:r w:rsidRPr="003A3E47">
        <w:rPr>
          <w:rFonts w:ascii="Arial" w:eastAsia="Times New Roman" w:hAnsi="Arial" w:cs="Arial"/>
          <w:lang w:val="en-GB" w:eastAsia="en-GB"/>
        </w:rPr>
        <w:t>Leihaothabam</w:t>
      </w:r>
      <w:proofErr w:type="spellEnd"/>
      <w:r w:rsidRPr="003A3E47">
        <w:rPr>
          <w:rFonts w:ascii="Arial" w:eastAsia="Times New Roman" w:hAnsi="Arial" w:cs="Arial"/>
          <w:lang w:val="en-GB" w:eastAsia="en-GB"/>
        </w:rPr>
        <w:t xml:space="preserve">, S. (2022) ‘The relationship between organizational culture and organizational effectiveness’, </w:t>
      </w:r>
      <w:r w:rsidRPr="003A3E47">
        <w:rPr>
          <w:rFonts w:ascii="Arial" w:eastAsia="Times New Roman" w:hAnsi="Arial" w:cs="Arial"/>
          <w:i/>
          <w:iCs/>
          <w:lang w:val="en-GB" w:eastAsia="en-GB"/>
        </w:rPr>
        <w:t>International Journal of Management Studies</w:t>
      </w:r>
      <w:r w:rsidRPr="003A3E47">
        <w:rPr>
          <w:rFonts w:ascii="Arial" w:eastAsia="Times New Roman" w:hAnsi="Arial" w:cs="Arial"/>
          <w:lang w:val="en-GB" w:eastAsia="en-GB"/>
        </w:rPr>
        <w:t>, 9(3), pp. 45–58.</w:t>
      </w:r>
    </w:p>
    <w:p w14:paraId="3D2A5E3D"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 xml:space="preserve">Reuters (2025) ‘Toyota raises profit forecast amid strong global demand’. Available at: </w:t>
      </w:r>
      <w:hyperlink r:id="rId10" w:tgtFrame="_new" w:history="1">
        <w:r w:rsidRPr="003A3E47">
          <w:rPr>
            <w:rStyle w:val="Hyperlink"/>
            <w:rFonts w:ascii="Arial" w:eastAsia="Times New Roman" w:hAnsi="Arial" w:cs="Arial"/>
            <w:lang w:val="en-GB" w:eastAsia="en-GB"/>
          </w:rPr>
          <w:t>https://www.reuters.com</w:t>
        </w:r>
      </w:hyperlink>
      <w:r w:rsidRPr="003A3E47">
        <w:rPr>
          <w:rFonts w:ascii="Arial" w:eastAsia="Times New Roman" w:hAnsi="Arial" w:cs="Arial"/>
          <w:lang w:val="en-GB" w:eastAsia="en-GB"/>
        </w:rPr>
        <w:t xml:space="preserve"> (Accessed: 10 June 2026).</w:t>
      </w:r>
    </w:p>
    <w:p w14:paraId="1D6E1F22"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 xml:space="preserve">Reuters (2026) ‘Toyota remains world’s biggest automaker after </w:t>
      </w:r>
      <w:proofErr w:type="gramStart"/>
      <w:r w:rsidRPr="003A3E47">
        <w:rPr>
          <w:rFonts w:ascii="Arial" w:eastAsia="Times New Roman" w:hAnsi="Arial" w:cs="Arial"/>
          <w:lang w:val="en-GB" w:eastAsia="en-GB"/>
        </w:rPr>
        <w:t>record</w:t>
      </w:r>
      <w:proofErr w:type="gramEnd"/>
      <w:r w:rsidRPr="003A3E47">
        <w:rPr>
          <w:rFonts w:ascii="Arial" w:eastAsia="Times New Roman" w:hAnsi="Arial" w:cs="Arial"/>
          <w:lang w:val="en-GB" w:eastAsia="en-GB"/>
        </w:rPr>
        <w:t xml:space="preserve"> global </w:t>
      </w:r>
      <w:proofErr w:type="gramStart"/>
      <w:r w:rsidRPr="003A3E47">
        <w:rPr>
          <w:rFonts w:ascii="Arial" w:eastAsia="Times New Roman" w:hAnsi="Arial" w:cs="Arial"/>
          <w:lang w:val="en-GB" w:eastAsia="en-GB"/>
        </w:rPr>
        <w:t>sales’</w:t>
      </w:r>
      <w:proofErr w:type="gramEnd"/>
      <w:r w:rsidRPr="003A3E47">
        <w:rPr>
          <w:rFonts w:ascii="Arial" w:eastAsia="Times New Roman" w:hAnsi="Arial" w:cs="Arial"/>
          <w:lang w:val="en-GB" w:eastAsia="en-GB"/>
        </w:rPr>
        <w:t xml:space="preserve">. Available at: </w:t>
      </w:r>
      <w:hyperlink r:id="rId11" w:tgtFrame="_new" w:history="1">
        <w:r w:rsidRPr="003A3E47">
          <w:rPr>
            <w:rStyle w:val="Hyperlink"/>
            <w:rFonts w:ascii="Arial" w:eastAsia="Times New Roman" w:hAnsi="Arial" w:cs="Arial"/>
            <w:lang w:val="en-GB" w:eastAsia="en-GB"/>
          </w:rPr>
          <w:t>https://www.reuters.com</w:t>
        </w:r>
      </w:hyperlink>
      <w:r w:rsidRPr="003A3E47">
        <w:rPr>
          <w:rFonts w:ascii="Arial" w:eastAsia="Times New Roman" w:hAnsi="Arial" w:cs="Arial"/>
          <w:lang w:val="en-GB" w:eastAsia="en-GB"/>
        </w:rPr>
        <w:t xml:space="preserve"> (Accessed: 10 June 2026).</w:t>
      </w:r>
    </w:p>
    <w:p w14:paraId="24AD0E14"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 xml:space="preserve">Robbins, S.P. and Judge, T.A. (2022) </w:t>
      </w:r>
      <w:r w:rsidRPr="003A3E47">
        <w:rPr>
          <w:rFonts w:ascii="Arial" w:eastAsia="Times New Roman" w:hAnsi="Arial" w:cs="Arial"/>
          <w:i/>
          <w:iCs/>
          <w:lang w:val="en-GB" w:eastAsia="en-GB"/>
        </w:rPr>
        <w:t xml:space="preserve">Organizational </w:t>
      </w:r>
      <w:proofErr w:type="spellStart"/>
      <w:r w:rsidRPr="003A3E47">
        <w:rPr>
          <w:rFonts w:ascii="Arial" w:eastAsia="Times New Roman" w:hAnsi="Arial" w:cs="Arial"/>
          <w:i/>
          <w:iCs/>
          <w:lang w:val="en-GB" w:eastAsia="en-GB"/>
        </w:rPr>
        <w:t>Behavior</w:t>
      </w:r>
      <w:proofErr w:type="spellEnd"/>
      <w:r w:rsidRPr="003A3E47">
        <w:rPr>
          <w:rFonts w:ascii="Arial" w:eastAsia="Times New Roman" w:hAnsi="Arial" w:cs="Arial"/>
          <w:lang w:val="en-GB" w:eastAsia="en-GB"/>
        </w:rPr>
        <w:t xml:space="preserve">. 19th </w:t>
      </w:r>
      <w:proofErr w:type="spellStart"/>
      <w:r w:rsidRPr="003A3E47">
        <w:rPr>
          <w:rFonts w:ascii="Arial" w:eastAsia="Times New Roman" w:hAnsi="Arial" w:cs="Arial"/>
          <w:lang w:val="en-GB" w:eastAsia="en-GB"/>
        </w:rPr>
        <w:t>edn</w:t>
      </w:r>
      <w:proofErr w:type="spellEnd"/>
      <w:r w:rsidRPr="003A3E47">
        <w:rPr>
          <w:rFonts w:ascii="Arial" w:eastAsia="Times New Roman" w:hAnsi="Arial" w:cs="Arial"/>
          <w:lang w:val="en-GB" w:eastAsia="en-GB"/>
        </w:rPr>
        <w:t>. Harlow: Pearson.</w:t>
      </w:r>
    </w:p>
    <w:p w14:paraId="1E01EDFC"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 xml:space="preserve">Schein, E.H. and Schein, P.A. (2017) </w:t>
      </w:r>
      <w:r w:rsidRPr="003A3E47">
        <w:rPr>
          <w:rFonts w:ascii="Arial" w:eastAsia="Times New Roman" w:hAnsi="Arial" w:cs="Arial"/>
          <w:i/>
          <w:iCs/>
          <w:lang w:val="en-GB" w:eastAsia="en-GB"/>
        </w:rPr>
        <w:t>Organizational Culture and Leadership</w:t>
      </w:r>
      <w:r w:rsidRPr="003A3E47">
        <w:rPr>
          <w:rFonts w:ascii="Arial" w:eastAsia="Times New Roman" w:hAnsi="Arial" w:cs="Arial"/>
          <w:lang w:val="en-GB" w:eastAsia="en-GB"/>
        </w:rPr>
        <w:t xml:space="preserve">. 5th </w:t>
      </w:r>
      <w:proofErr w:type="spellStart"/>
      <w:r w:rsidRPr="003A3E47">
        <w:rPr>
          <w:rFonts w:ascii="Arial" w:eastAsia="Times New Roman" w:hAnsi="Arial" w:cs="Arial"/>
          <w:lang w:val="en-GB" w:eastAsia="en-GB"/>
        </w:rPr>
        <w:t>edn</w:t>
      </w:r>
      <w:proofErr w:type="spellEnd"/>
      <w:r w:rsidRPr="003A3E47">
        <w:rPr>
          <w:rFonts w:ascii="Arial" w:eastAsia="Times New Roman" w:hAnsi="Arial" w:cs="Arial"/>
          <w:lang w:val="en-GB" w:eastAsia="en-GB"/>
        </w:rPr>
        <w:t>. Hoboken, NJ: John Wiley &amp; Sons.</w:t>
      </w:r>
    </w:p>
    <w:p w14:paraId="4B13926C"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 xml:space="preserve">Senge, P.M. (2020) </w:t>
      </w:r>
      <w:r w:rsidRPr="003A3E47">
        <w:rPr>
          <w:rFonts w:ascii="Arial" w:eastAsia="Times New Roman" w:hAnsi="Arial" w:cs="Arial"/>
          <w:i/>
          <w:iCs/>
          <w:lang w:val="en-GB" w:eastAsia="en-GB"/>
        </w:rPr>
        <w:t>The Fifth Discipline: The Art and Practice of the Learning Organization</w:t>
      </w:r>
      <w:r w:rsidRPr="003A3E47">
        <w:rPr>
          <w:rFonts w:ascii="Arial" w:eastAsia="Times New Roman" w:hAnsi="Arial" w:cs="Arial"/>
          <w:lang w:val="en-GB" w:eastAsia="en-GB"/>
        </w:rPr>
        <w:t xml:space="preserve">. Revised </w:t>
      </w:r>
      <w:proofErr w:type="spellStart"/>
      <w:r w:rsidRPr="003A3E47">
        <w:rPr>
          <w:rFonts w:ascii="Arial" w:eastAsia="Times New Roman" w:hAnsi="Arial" w:cs="Arial"/>
          <w:lang w:val="en-GB" w:eastAsia="en-GB"/>
        </w:rPr>
        <w:t>edn</w:t>
      </w:r>
      <w:proofErr w:type="spellEnd"/>
      <w:r w:rsidRPr="003A3E47">
        <w:rPr>
          <w:rFonts w:ascii="Arial" w:eastAsia="Times New Roman" w:hAnsi="Arial" w:cs="Arial"/>
          <w:lang w:val="en-GB" w:eastAsia="en-GB"/>
        </w:rPr>
        <w:t>. New York: Crown Business.</w:t>
      </w:r>
    </w:p>
    <w:p w14:paraId="48E503B6"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 xml:space="preserve">Tidd, J. and Bessant, J. (2021) </w:t>
      </w:r>
      <w:r w:rsidRPr="003A3E47">
        <w:rPr>
          <w:rFonts w:ascii="Arial" w:eastAsia="Times New Roman" w:hAnsi="Arial" w:cs="Arial"/>
          <w:i/>
          <w:iCs/>
          <w:lang w:val="en-GB" w:eastAsia="en-GB"/>
        </w:rPr>
        <w:t>Managing Innovation: Integrating Technological, Market and Organizational Change</w:t>
      </w:r>
      <w:r w:rsidRPr="003A3E47">
        <w:rPr>
          <w:rFonts w:ascii="Arial" w:eastAsia="Times New Roman" w:hAnsi="Arial" w:cs="Arial"/>
          <w:lang w:val="en-GB" w:eastAsia="en-GB"/>
        </w:rPr>
        <w:t xml:space="preserve">. 7th </w:t>
      </w:r>
      <w:proofErr w:type="spellStart"/>
      <w:r w:rsidRPr="003A3E47">
        <w:rPr>
          <w:rFonts w:ascii="Arial" w:eastAsia="Times New Roman" w:hAnsi="Arial" w:cs="Arial"/>
          <w:lang w:val="en-GB" w:eastAsia="en-GB"/>
        </w:rPr>
        <w:t>edn</w:t>
      </w:r>
      <w:proofErr w:type="spellEnd"/>
      <w:r w:rsidRPr="003A3E47">
        <w:rPr>
          <w:rFonts w:ascii="Arial" w:eastAsia="Times New Roman" w:hAnsi="Arial" w:cs="Arial"/>
          <w:lang w:val="en-GB" w:eastAsia="en-GB"/>
        </w:rPr>
        <w:t>. Chichester: Wiley.</w:t>
      </w:r>
    </w:p>
    <w:p w14:paraId="14CC4C17" w14:textId="38C4E4DA"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Toyota Motor Corporation (2025</w:t>
      </w:r>
      <w:r w:rsidR="0009487A">
        <w:rPr>
          <w:rFonts w:ascii="Arial" w:eastAsia="Times New Roman" w:hAnsi="Arial" w:cs="Arial"/>
          <w:lang w:val="en-GB" w:eastAsia="en-GB"/>
        </w:rPr>
        <w:t>a</w:t>
      </w:r>
      <w:r w:rsidRPr="003A3E47">
        <w:rPr>
          <w:rFonts w:ascii="Arial" w:eastAsia="Times New Roman" w:hAnsi="Arial" w:cs="Arial"/>
          <w:lang w:val="en-GB" w:eastAsia="en-GB"/>
        </w:rPr>
        <w:t xml:space="preserve">) </w:t>
      </w:r>
      <w:r w:rsidRPr="003A3E47">
        <w:rPr>
          <w:rFonts w:ascii="Arial" w:eastAsia="Times New Roman" w:hAnsi="Arial" w:cs="Arial"/>
          <w:i/>
          <w:iCs/>
          <w:lang w:val="en-GB" w:eastAsia="en-GB"/>
        </w:rPr>
        <w:t>Toyota Annual Report 2025</w:t>
      </w:r>
      <w:r w:rsidRPr="003A3E47">
        <w:rPr>
          <w:rFonts w:ascii="Arial" w:eastAsia="Times New Roman" w:hAnsi="Arial" w:cs="Arial"/>
          <w:lang w:val="en-GB" w:eastAsia="en-GB"/>
        </w:rPr>
        <w:t xml:space="preserve">. Toyota City: Toyota Motor Corporation. Available at: </w:t>
      </w:r>
      <w:hyperlink r:id="rId12" w:tgtFrame="_blank" w:history="1">
        <w:r w:rsidRPr="003A3E47">
          <w:rPr>
            <w:rStyle w:val="Hyperlink"/>
            <w:rFonts w:ascii="Arial" w:eastAsia="Times New Roman" w:hAnsi="Arial" w:cs="Arial"/>
            <w:lang w:val="en-GB" w:eastAsia="en-GB"/>
          </w:rPr>
          <w:t>Toyota Global</w:t>
        </w:r>
      </w:hyperlink>
      <w:r w:rsidRPr="003A3E47">
        <w:rPr>
          <w:rFonts w:ascii="Arial" w:eastAsia="Times New Roman" w:hAnsi="Arial" w:cs="Arial"/>
          <w:lang w:val="en-GB" w:eastAsia="en-GB"/>
        </w:rPr>
        <w:t xml:space="preserve"> (Accessed: 10 June 2026).</w:t>
      </w:r>
    </w:p>
    <w:p w14:paraId="7C8FC234" w14:textId="748C5596"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Toyota Motor Corporation (2025</w:t>
      </w:r>
      <w:r w:rsidR="0009487A">
        <w:rPr>
          <w:rFonts w:ascii="Arial" w:eastAsia="Times New Roman" w:hAnsi="Arial" w:cs="Arial"/>
          <w:lang w:val="en-GB" w:eastAsia="en-GB"/>
        </w:rPr>
        <w:t>b</w:t>
      </w:r>
      <w:r w:rsidRPr="003A3E47">
        <w:rPr>
          <w:rFonts w:ascii="Arial" w:eastAsia="Times New Roman" w:hAnsi="Arial" w:cs="Arial"/>
          <w:lang w:val="en-GB" w:eastAsia="en-GB"/>
        </w:rPr>
        <w:t xml:space="preserve">) </w:t>
      </w:r>
      <w:r w:rsidRPr="003A3E47">
        <w:rPr>
          <w:rFonts w:ascii="Arial" w:eastAsia="Times New Roman" w:hAnsi="Arial" w:cs="Arial"/>
          <w:i/>
          <w:iCs/>
          <w:lang w:val="en-GB" w:eastAsia="en-GB"/>
        </w:rPr>
        <w:t>Toyota Sustainability Data Book 2025</w:t>
      </w:r>
      <w:r w:rsidRPr="003A3E47">
        <w:rPr>
          <w:rFonts w:ascii="Arial" w:eastAsia="Times New Roman" w:hAnsi="Arial" w:cs="Arial"/>
          <w:lang w:val="en-GB" w:eastAsia="en-GB"/>
        </w:rPr>
        <w:t xml:space="preserve">. Toyota City: Toyota Motor Corporation. Available at: </w:t>
      </w:r>
      <w:hyperlink r:id="rId13" w:tgtFrame="_blank" w:history="1">
        <w:r w:rsidRPr="003A3E47">
          <w:rPr>
            <w:rStyle w:val="Hyperlink"/>
            <w:rFonts w:ascii="Arial" w:eastAsia="Times New Roman" w:hAnsi="Arial" w:cs="Arial"/>
            <w:lang w:val="en-GB" w:eastAsia="en-GB"/>
          </w:rPr>
          <w:t>Toyota Sustainability</w:t>
        </w:r>
      </w:hyperlink>
      <w:r w:rsidRPr="003A3E47">
        <w:rPr>
          <w:rFonts w:ascii="Arial" w:eastAsia="Times New Roman" w:hAnsi="Arial" w:cs="Arial"/>
          <w:lang w:val="en-GB" w:eastAsia="en-GB"/>
        </w:rPr>
        <w:t xml:space="preserve"> (Accessed: 10 June 2026).</w:t>
      </w:r>
    </w:p>
    <w:p w14:paraId="321A3968"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 xml:space="preserve">Toyota Motor Europe (2026) </w:t>
      </w:r>
      <w:r w:rsidRPr="003A3E47">
        <w:rPr>
          <w:rFonts w:ascii="Arial" w:eastAsia="Times New Roman" w:hAnsi="Arial" w:cs="Arial"/>
          <w:i/>
          <w:iCs/>
          <w:lang w:val="en-GB" w:eastAsia="en-GB"/>
        </w:rPr>
        <w:t>Toyota Motor Europe Posts Record Sales in 2025</w:t>
      </w:r>
      <w:r w:rsidRPr="003A3E47">
        <w:rPr>
          <w:rFonts w:ascii="Arial" w:eastAsia="Times New Roman" w:hAnsi="Arial" w:cs="Arial"/>
          <w:lang w:val="en-GB" w:eastAsia="en-GB"/>
        </w:rPr>
        <w:t xml:space="preserve">. Brussels: Toyota Motor Europe. Available at: </w:t>
      </w:r>
      <w:hyperlink r:id="rId14" w:tgtFrame="_blank" w:history="1">
        <w:r w:rsidRPr="003A3E47">
          <w:rPr>
            <w:rStyle w:val="Hyperlink"/>
            <w:rFonts w:ascii="Arial" w:eastAsia="Times New Roman" w:hAnsi="Arial" w:cs="Arial"/>
            <w:lang w:val="en-GB" w:eastAsia="en-GB"/>
          </w:rPr>
          <w:t>Toyota Motor Europe Newsroom</w:t>
        </w:r>
      </w:hyperlink>
      <w:r w:rsidRPr="003A3E47">
        <w:rPr>
          <w:rFonts w:ascii="Arial" w:eastAsia="Times New Roman" w:hAnsi="Arial" w:cs="Arial"/>
          <w:lang w:val="en-GB" w:eastAsia="en-GB"/>
        </w:rPr>
        <w:t xml:space="preserve"> (Accessed: 10 June 2026).</w:t>
      </w:r>
    </w:p>
    <w:p w14:paraId="33190FA4"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proofErr w:type="spellStart"/>
      <w:r w:rsidRPr="003A3E47">
        <w:rPr>
          <w:rFonts w:ascii="Arial" w:eastAsia="Times New Roman" w:hAnsi="Arial" w:cs="Arial"/>
          <w:lang w:val="en-GB" w:eastAsia="en-GB"/>
        </w:rPr>
        <w:t>Vanichchinchai</w:t>
      </w:r>
      <w:proofErr w:type="spellEnd"/>
      <w:r w:rsidRPr="003A3E47">
        <w:rPr>
          <w:rFonts w:ascii="Arial" w:eastAsia="Times New Roman" w:hAnsi="Arial" w:cs="Arial"/>
          <w:lang w:val="en-GB" w:eastAsia="en-GB"/>
        </w:rPr>
        <w:t xml:space="preserve">, A. (2023) ‘Lean management practices and organisational performance: Evidence from manufacturing firms’, </w:t>
      </w:r>
      <w:r w:rsidRPr="003A3E47">
        <w:rPr>
          <w:rFonts w:ascii="Arial" w:eastAsia="Times New Roman" w:hAnsi="Arial" w:cs="Arial"/>
          <w:i/>
          <w:iCs/>
          <w:lang w:val="en-GB" w:eastAsia="en-GB"/>
        </w:rPr>
        <w:t>International Journal of Productivity and Performance Management</w:t>
      </w:r>
      <w:r w:rsidRPr="003A3E47">
        <w:rPr>
          <w:rFonts w:ascii="Arial" w:eastAsia="Times New Roman" w:hAnsi="Arial" w:cs="Arial"/>
          <w:lang w:val="en-GB" w:eastAsia="en-GB"/>
        </w:rPr>
        <w:t>, 72(4), pp. 1087–1105.</w:t>
      </w:r>
    </w:p>
    <w:p w14:paraId="6379DDA5"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lastRenderedPageBreak/>
        <w:t xml:space="preserve">Wilson, F.M. (2018) </w:t>
      </w:r>
      <w:r w:rsidRPr="003A3E47">
        <w:rPr>
          <w:rFonts w:ascii="Arial" w:eastAsia="Times New Roman" w:hAnsi="Arial" w:cs="Arial"/>
          <w:i/>
          <w:iCs/>
          <w:lang w:val="en-GB" w:eastAsia="en-GB"/>
        </w:rPr>
        <w:t>Organizational Behaviour and Work: A Critical Introduction</w:t>
      </w:r>
      <w:r w:rsidRPr="003A3E47">
        <w:rPr>
          <w:rFonts w:ascii="Arial" w:eastAsia="Times New Roman" w:hAnsi="Arial" w:cs="Arial"/>
          <w:lang w:val="en-GB" w:eastAsia="en-GB"/>
        </w:rPr>
        <w:t xml:space="preserve">. 5th </w:t>
      </w:r>
      <w:proofErr w:type="spellStart"/>
      <w:r w:rsidRPr="003A3E47">
        <w:rPr>
          <w:rFonts w:ascii="Arial" w:eastAsia="Times New Roman" w:hAnsi="Arial" w:cs="Arial"/>
          <w:lang w:val="en-GB" w:eastAsia="en-GB"/>
        </w:rPr>
        <w:t>edn</w:t>
      </w:r>
      <w:proofErr w:type="spellEnd"/>
      <w:r w:rsidRPr="003A3E47">
        <w:rPr>
          <w:rFonts w:ascii="Arial" w:eastAsia="Times New Roman" w:hAnsi="Arial" w:cs="Arial"/>
          <w:lang w:val="en-GB" w:eastAsia="en-GB"/>
        </w:rPr>
        <w:t>. Oxford: Oxford University Press.</w:t>
      </w:r>
    </w:p>
    <w:p w14:paraId="5538DF54"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 xml:space="preserve">Yukl, G. (2020) </w:t>
      </w:r>
      <w:r w:rsidRPr="003A3E47">
        <w:rPr>
          <w:rFonts w:ascii="Arial" w:eastAsia="Times New Roman" w:hAnsi="Arial" w:cs="Arial"/>
          <w:i/>
          <w:iCs/>
          <w:lang w:val="en-GB" w:eastAsia="en-GB"/>
        </w:rPr>
        <w:t>Leadership in Organizations</w:t>
      </w:r>
      <w:r w:rsidRPr="003A3E47">
        <w:rPr>
          <w:rFonts w:ascii="Arial" w:eastAsia="Times New Roman" w:hAnsi="Arial" w:cs="Arial"/>
          <w:lang w:val="en-GB" w:eastAsia="en-GB"/>
        </w:rPr>
        <w:t xml:space="preserve">. 9th </w:t>
      </w:r>
      <w:proofErr w:type="spellStart"/>
      <w:r w:rsidRPr="003A3E47">
        <w:rPr>
          <w:rFonts w:ascii="Arial" w:eastAsia="Times New Roman" w:hAnsi="Arial" w:cs="Arial"/>
          <w:lang w:val="en-GB" w:eastAsia="en-GB"/>
        </w:rPr>
        <w:t>edn</w:t>
      </w:r>
      <w:proofErr w:type="spellEnd"/>
      <w:r w:rsidRPr="003A3E47">
        <w:rPr>
          <w:rFonts w:ascii="Arial" w:eastAsia="Times New Roman" w:hAnsi="Arial" w:cs="Arial"/>
          <w:lang w:val="en-GB" w:eastAsia="en-GB"/>
        </w:rPr>
        <w:t>. Harlow: Pearson.</w:t>
      </w:r>
    </w:p>
    <w:p w14:paraId="01DC71EF"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r w:rsidRPr="003A3E47">
        <w:rPr>
          <w:rFonts w:ascii="Arial" w:eastAsia="Times New Roman" w:hAnsi="Arial" w:cs="Arial"/>
          <w:lang w:val="en-GB" w:eastAsia="en-GB"/>
        </w:rPr>
        <w:t xml:space="preserve">Zhang, Y. and Ma, L. (2023) ‘Organisational culture, innovation capability and sustainable competitive advantage’, </w:t>
      </w:r>
      <w:r w:rsidRPr="003A3E47">
        <w:rPr>
          <w:rFonts w:ascii="Arial" w:eastAsia="Times New Roman" w:hAnsi="Arial" w:cs="Arial"/>
          <w:i/>
          <w:iCs/>
          <w:lang w:val="en-GB" w:eastAsia="en-GB"/>
        </w:rPr>
        <w:t>Sustainability</w:t>
      </w:r>
      <w:r w:rsidRPr="003A3E47">
        <w:rPr>
          <w:rFonts w:ascii="Arial" w:eastAsia="Times New Roman" w:hAnsi="Arial" w:cs="Arial"/>
          <w:lang w:val="en-GB" w:eastAsia="en-GB"/>
        </w:rPr>
        <w:t>, 15(14), pp. 1–18.</w:t>
      </w:r>
    </w:p>
    <w:p w14:paraId="212A482A" w14:textId="77777777" w:rsidR="003A3E47" w:rsidRPr="003A3E47" w:rsidRDefault="003A3E47" w:rsidP="003A3E47">
      <w:pPr>
        <w:spacing w:before="100" w:beforeAutospacing="1" w:after="100" w:afterAutospacing="1" w:line="360" w:lineRule="auto"/>
        <w:jc w:val="both"/>
        <w:rPr>
          <w:rFonts w:ascii="Arial" w:eastAsia="Times New Roman" w:hAnsi="Arial" w:cs="Arial"/>
          <w:lang w:val="en-GB" w:eastAsia="en-GB"/>
        </w:rPr>
      </w:pPr>
    </w:p>
    <w:p w14:paraId="540DBBB1" w14:textId="77777777" w:rsidR="0066773E" w:rsidRPr="00FE5325" w:rsidRDefault="0066773E" w:rsidP="00FE5325">
      <w:pPr>
        <w:rPr>
          <w:rFonts w:asciiTheme="majorHAnsi" w:hAnsiTheme="majorHAnsi" w:cstheme="majorHAnsi"/>
          <w:b/>
          <w:bCs/>
          <w:sz w:val="24"/>
          <w:szCs w:val="24"/>
        </w:rPr>
      </w:pPr>
    </w:p>
    <w:p w14:paraId="5303CB0A" w14:textId="7C896034" w:rsidR="005D44EA" w:rsidRDefault="005D44EA"/>
    <w:sectPr w:rsidR="005D44EA" w:rsidSect="00034616">
      <w:footerReference w:type="default" r:id="rId15"/>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E669D6" w14:textId="77777777" w:rsidR="00554F9E" w:rsidRDefault="00554F9E" w:rsidP="002C4830">
      <w:pPr>
        <w:spacing w:after="0" w:line="240" w:lineRule="auto"/>
      </w:pPr>
      <w:r>
        <w:separator/>
      </w:r>
    </w:p>
  </w:endnote>
  <w:endnote w:type="continuationSeparator" w:id="0">
    <w:p w14:paraId="332913CE" w14:textId="77777777" w:rsidR="00554F9E" w:rsidRDefault="00554F9E" w:rsidP="002C48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Georgia Pro">
    <w:charset w:val="00"/>
    <w:family w:val="roman"/>
    <w:pitch w:val="variable"/>
    <w:sig w:usb0="800002AF" w:usb1="00000003" w:usb2="00000000" w:usb3="00000000" w:csb0="000000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4898395"/>
      <w:docPartObj>
        <w:docPartGallery w:val="Page Numbers (Bottom of Page)"/>
        <w:docPartUnique/>
      </w:docPartObj>
    </w:sdtPr>
    <w:sdtEndPr/>
    <w:sdtContent>
      <w:p w14:paraId="118A13A7" w14:textId="7B825A5C" w:rsidR="002C4830" w:rsidRDefault="002C4830">
        <w:pPr>
          <w:pStyle w:val="Footer"/>
          <w:jc w:val="right"/>
        </w:pPr>
        <w:r>
          <w:fldChar w:fldCharType="begin"/>
        </w:r>
        <w:r>
          <w:instrText>PAGE   \* MERGEFORMAT</w:instrText>
        </w:r>
        <w:r>
          <w:fldChar w:fldCharType="separate"/>
        </w:r>
        <w:r>
          <w:rPr>
            <w:lang w:val="en-GB"/>
          </w:rPr>
          <w:t>2</w:t>
        </w:r>
        <w:r>
          <w:fldChar w:fldCharType="end"/>
        </w:r>
      </w:p>
    </w:sdtContent>
  </w:sdt>
  <w:p w14:paraId="6D641F86" w14:textId="77777777" w:rsidR="002C4830" w:rsidRDefault="002C48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F9E5F8" w14:textId="77777777" w:rsidR="00554F9E" w:rsidRDefault="00554F9E" w:rsidP="002C4830">
      <w:pPr>
        <w:spacing w:after="0" w:line="240" w:lineRule="auto"/>
      </w:pPr>
      <w:r>
        <w:separator/>
      </w:r>
    </w:p>
  </w:footnote>
  <w:footnote w:type="continuationSeparator" w:id="0">
    <w:p w14:paraId="106790CA" w14:textId="77777777" w:rsidR="00554F9E" w:rsidRDefault="00554F9E" w:rsidP="002C48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8BF3E76"/>
    <w:multiLevelType w:val="hybridMultilevel"/>
    <w:tmpl w:val="047A3072"/>
    <w:lvl w:ilvl="0" w:tplc="D4229622">
      <w:start w:val="1"/>
      <w:numFmt w:val="bullet"/>
      <w:lvlText w:val=""/>
      <w:lvlJc w:val="left"/>
      <w:pPr>
        <w:ind w:left="720" w:hanging="360"/>
      </w:pPr>
      <w:rPr>
        <w:rFonts w:ascii="Symbol" w:hAnsi="Symbol" w:hint="default"/>
      </w:rPr>
    </w:lvl>
    <w:lvl w:ilvl="1" w:tplc="01B03F34">
      <w:start w:val="1"/>
      <w:numFmt w:val="bullet"/>
      <w:lvlText w:val="o"/>
      <w:lvlJc w:val="left"/>
      <w:pPr>
        <w:ind w:left="1440" w:hanging="360"/>
      </w:pPr>
      <w:rPr>
        <w:rFonts w:ascii="Courier New" w:hAnsi="Courier New" w:hint="default"/>
      </w:rPr>
    </w:lvl>
    <w:lvl w:ilvl="2" w:tplc="2E34F76E">
      <w:start w:val="1"/>
      <w:numFmt w:val="bullet"/>
      <w:lvlText w:val=""/>
      <w:lvlJc w:val="left"/>
      <w:pPr>
        <w:ind w:left="2160" w:hanging="360"/>
      </w:pPr>
      <w:rPr>
        <w:rFonts w:ascii="Wingdings" w:hAnsi="Wingdings" w:hint="default"/>
      </w:rPr>
    </w:lvl>
    <w:lvl w:ilvl="3" w:tplc="F1ACEDE8">
      <w:start w:val="1"/>
      <w:numFmt w:val="bullet"/>
      <w:lvlText w:val=""/>
      <w:lvlJc w:val="left"/>
      <w:pPr>
        <w:ind w:left="2880" w:hanging="360"/>
      </w:pPr>
      <w:rPr>
        <w:rFonts w:ascii="Symbol" w:hAnsi="Symbol" w:hint="default"/>
      </w:rPr>
    </w:lvl>
    <w:lvl w:ilvl="4" w:tplc="A32EA7EC">
      <w:start w:val="1"/>
      <w:numFmt w:val="bullet"/>
      <w:lvlText w:val="o"/>
      <w:lvlJc w:val="left"/>
      <w:pPr>
        <w:ind w:left="3600" w:hanging="360"/>
      </w:pPr>
      <w:rPr>
        <w:rFonts w:ascii="Courier New" w:hAnsi="Courier New" w:hint="default"/>
      </w:rPr>
    </w:lvl>
    <w:lvl w:ilvl="5" w:tplc="78DAAA30">
      <w:start w:val="1"/>
      <w:numFmt w:val="bullet"/>
      <w:lvlText w:val=""/>
      <w:lvlJc w:val="left"/>
      <w:pPr>
        <w:ind w:left="4320" w:hanging="360"/>
      </w:pPr>
      <w:rPr>
        <w:rFonts w:ascii="Wingdings" w:hAnsi="Wingdings" w:hint="default"/>
      </w:rPr>
    </w:lvl>
    <w:lvl w:ilvl="6" w:tplc="8182F64A">
      <w:start w:val="1"/>
      <w:numFmt w:val="bullet"/>
      <w:lvlText w:val=""/>
      <w:lvlJc w:val="left"/>
      <w:pPr>
        <w:ind w:left="5040" w:hanging="360"/>
      </w:pPr>
      <w:rPr>
        <w:rFonts w:ascii="Symbol" w:hAnsi="Symbol" w:hint="default"/>
      </w:rPr>
    </w:lvl>
    <w:lvl w:ilvl="7" w:tplc="066CB8A2">
      <w:start w:val="1"/>
      <w:numFmt w:val="bullet"/>
      <w:lvlText w:val="o"/>
      <w:lvlJc w:val="left"/>
      <w:pPr>
        <w:ind w:left="5760" w:hanging="360"/>
      </w:pPr>
      <w:rPr>
        <w:rFonts w:ascii="Courier New" w:hAnsi="Courier New" w:hint="default"/>
      </w:rPr>
    </w:lvl>
    <w:lvl w:ilvl="8" w:tplc="A94EB036">
      <w:start w:val="1"/>
      <w:numFmt w:val="bullet"/>
      <w:lvlText w:val=""/>
      <w:lvlJc w:val="left"/>
      <w:pPr>
        <w:ind w:left="6480" w:hanging="360"/>
      </w:pPr>
      <w:rPr>
        <w:rFonts w:ascii="Wingdings" w:hAnsi="Wingdings" w:hint="default"/>
      </w:rPr>
    </w:lvl>
  </w:abstractNum>
  <w:abstractNum w:abstractNumId="10" w15:restartNumberingAfterBreak="0">
    <w:nsid w:val="66BF04DE"/>
    <w:multiLevelType w:val="hybridMultilevel"/>
    <w:tmpl w:val="0464E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2137337">
    <w:abstractNumId w:val="8"/>
  </w:num>
  <w:num w:numId="2" w16cid:durableId="46532183">
    <w:abstractNumId w:val="6"/>
  </w:num>
  <w:num w:numId="3" w16cid:durableId="789592244">
    <w:abstractNumId w:val="5"/>
  </w:num>
  <w:num w:numId="4" w16cid:durableId="1818109336">
    <w:abstractNumId w:val="4"/>
  </w:num>
  <w:num w:numId="5" w16cid:durableId="1405490845">
    <w:abstractNumId w:val="7"/>
  </w:num>
  <w:num w:numId="6" w16cid:durableId="1625115082">
    <w:abstractNumId w:val="3"/>
  </w:num>
  <w:num w:numId="7" w16cid:durableId="1219129234">
    <w:abstractNumId w:val="2"/>
  </w:num>
  <w:num w:numId="8" w16cid:durableId="993484236">
    <w:abstractNumId w:val="1"/>
  </w:num>
  <w:num w:numId="9" w16cid:durableId="1101991464">
    <w:abstractNumId w:val="0"/>
  </w:num>
  <w:num w:numId="10" w16cid:durableId="1008875163">
    <w:abstractNumId w:val="9"/>
  </w:num>
  <w:num w:numId="11" w16cid:durableId="28057538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3C10"/>
    <w:rsid w:val="00034616"/>
    <w:rsid w:val="0006063C"/>
    <w:rsid w:val="0009360A"/>
    <w:rsid w:val="0009487A"/>
    <w:rsid w:val="000A57C8"/>
    <w:rsid w:val="000D4ACE"/>
    <w:rsid w:val="001244D6"/>
    <w:rsid w:val="0015074B"/>
    <w:rsid w:val="00181308"/>
    <w:rsid w:val="00182A7B"/>
    <w:rsid w:val="001F23FA"/>
    <w:rsid w:val="00290FE0"/>
    <w:rsid w:val="0029639D"/>
    <w:rsid w:val="002C4830"/>
    <w:rsid w:val="002D549B"/>
    <w:rsid w:val="002F3815"/>
    <w:rsid w:val="002F5ED1"/>
    <w:rsid w:val="00326F90"/>
    <w:rsid w:val="003459F1"/>
    <w:rsid w:val="00373D60"/>
    <w:rsid w:val="00376D76"/>
    <w:rsid w:val="0038661A"/>
    <w:rsid w:val="003A3E47"/>
    <w:rsid w:val="003C05CC"/>
    <w:rsid w:val="00407236"/>
    <w:rsid w:val="004424B8"/>
    <w:rsid w:val="00466700"/>
    <w:rsid w:val="0047256A"/>
    <w:rsid w:val="00483C8B"/>
    <w:rsid w:val="00484E0F"/>
    <w:rsid w:val="00485BD5"/>
    <w:rsid w:val="00507E16"/>
    <w:rsid w:val="00516054"/>
    <w:rsid w:val="00554F9E"/>
    <w:rsid w:val="0057191B"/>
    <w:rsid w:val="005A3305"/>
    <w:rsid w:val="005B19A6"/>
    <w:rsid w:val="005B6169"/>
    <w:rsid w:val="005C7578"/>
    <w:rsid w:val="005D44EA"/>
    <w:rsid w:val="005F3F1B"/>
    <w:rsid w:val="006301B3"/>
    <w:rsid w:val="0066773E"/>
    <w:rsid w:val="00670ECE"/>
    <w:rsid w:val="00685FBD"/>
    <w:rsid w:val="006E40FB"/>
    <w:rsid w:val="006E7D13"/>
    <w:rsid w:val="00776478"/>
    <w:rsid w:val="00797B6C"/>
    <w:rsid w:val="008077BC"/>
    <w:rsid w:val="008901D2"/>
    <w:rsid w:val="00897500"/>
    <w:rsid w:val="008C311C"/>
    <w:rsid w:val="008C3EED"/>
    <w:rsid w:val="008D1BF1"/>
    <w:rsid w:val="008D2A5C"/>
    <w:rsid w:val="008F452B"/>
    <w:rsid w:val="008F5EDF"/>
    <w:rsid w:val="00907339"/>
    <w:rsid w:val="0093034A"/>
    <w:rsid w:val="009A214C"/>
    <w:rsid w:val="009E5729"/>
    <w:rsid w:val="00A212C5"/>
    <w:rsid w:val="00A32522"/>
    <w:rsid w:val="00A46272"/>
    <w:rsid w:val="00A6490D"/>
    <w:rsid w:val="00A71948"/>
    <w:rsid w:val="00A976B5"/>
    <w:rsid w:val="00AA1D8D"/>
    <w:rsid w:val="00AB345F"/>
    <w:rsid w:val="00AC15E5"/>
    <w:rsid w:val="00AC24BE"/>
    <w:rsid w:val="00AD41FE"/>
    <w:rsid w:val="00B35367"/>
    <w:rsid w:val="00B47730"/>
    <w:rsid w:val="00B65828"/>
    <w:rsid w:val="00B900ED"/>
    <w:rsid w:val="00BD13A8"/>
    <w:rsid w:val="00C760D6"/>
    <w:rsid w:val="00CB0664"/>
    <w:rsid w:val="00CC4626"/>
    <w:rsid w:val="00CC7A20"/>
    <w:rsid w:val="00CE1262"/>
    <w:rsid w:val="00D51717"/>
    <w:rsid w:val="00D53181"/>
    <w:rsid w:val="00D556D7"/>
    <w:rsid w:val="00D57337"/>
    <w:rsid w:val="00D87F62"/>
    <w:rsid w:val="00D90B52"/>
    <w:rsid w:val="00DB1AC6"/>
    <w:rsid w:val="00DD445E"/>
    <w:rsid w:val="00DD545D"/>
    <w:rsid w:val="00DD6FEB"/>
    <w:rsid w:val="00DF0222"/>
    <w:rsid w:val="00DF73D1"/>
    <w:rsid w:val="00E11FD3"/>
    <w:rsid w:val="00E27F46"/>
    <w:rsid w:val="00E63580"/>
    <w:rsid w:val="00E92FE1"/>
    <w:rsid w:val="00EA0218"/>
    <w:rsid w:val="00EA1CCA"/>
    <w:rsid w:val="00EC2A14"/>
    <w:rsid w:val="00ED1B77"/>
    <w:rsid w:val="00ED610B"/>
    <w:rsid w:val="00EF7819"/>
    <w:rsid w:val="00F0741A"/>
    <w:rsid w:val="00F25E0E"/>
    <w:rsid w:val="00F656F6"/>
    <w:rsid w:val="00F7351F"/>
    <w:rsid w:val="00F83A01"/>
    <w:rsid w:val="00FC693F"/>
    <w:rsid w:val="00FE5325"/>
    <w:rsid w:val="00FE5AC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45DB2B0"/>
  <w14:defaultImageDpi w14:val="300"/>
  <w15:docId w15:val="{1C877073-A970-418B-AD65-F4C9F2B8E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ableParagraph">
    <w:name w:val="Table Paragraph"/>
    <w:basedOn w:val="Normal"/>
    <w:uiPriority w:val="1"/>
    <w:qFormat/>
    <w:rsid w:val="004424B8"/>
    <w:pPr>
      <w:widowControl w:val="0"/>
      <w:autoSpaceDE w:val="0"/>
      <w:autoSpaceDN w:val="0"/>
      <w:spacing w:after="0" w:line="240" w:lineRule="auto"/>
    </w:pPr>
    <w:rPr>
      <w:rFonts w:ascii="Arial" w:eastAsia="Arial" w:hAnsi="Arial" w:cs="Arial"/>
    </w:rPr>
  </w:style>
  <w:style w:type="character" w:styleId="Hyperlink">
    <w:name w:val="Hyperlink"/>
    <w:basedOn w:val="DefaultParagraphFont"/>
    <w:uiPriority w:val="99"/>
    <w:unhideWhenUsed/>
    <w:rsid w:val="003A3E47"/>
    <w:rPr>
      <w:color w:val="0000FF" w:themeColor="hyperlink"/>
      <w:u w:val="single"/>
    </w:rPr>
  </w:style>
  <w:style w:type="character" w:styleId="UnresolvedMention">
    <w:name w:val="Unresolved Mention"/>
    <w:basedOn w:val="DefaultParagraphFont"/>
    <w:uiPriority w:val="99"/>
    <w:semiHidden/>
    <w:unhideWhenUsed/>
    <w:rsid w:val="003A3E47"/>
    <w:rPr>
      <w:color w:val="605E5C"/>
      <w:shd w:val="clear" w:color="auto" w:fill="E1DFDD"/>
    </w:rPr>
  </w:style>
  <w:style w:type="character" w:styleId="CommentReference">
    <w:name w:val="annotation reference"/>
    <w:basedOn w:val="DefaultParagraphFont"/>
    <w:uiPriority w:val="99"/>
    <w:semiHidden/>
    <w:unhideWhenUsed/>
    <w:rsid w:val="00907339"/>
    <w:rPr>
      <w:sz w:val="16"/>
      <w:szCs w:val="16"/>
    </w:rPr>
  </w:style>
  <w:style w:type="paragraph" w:styleId="CommentText">
    <w:name w:val="annotation text"/>
    <w:basedOn w:val="Normal"/>
    <w:link w:val="CommentTextChar"/>
    <w:uiPriority w:val="99"/>
    <w:unhideWhenUsed/>
    <w:rsid w:val="00907339"/>
    <w:pPr>
      <w:spacing w:line="240" w:lineRule="auto"/>
    </w:pPr>
    <w:rPr>
      <w:sz w:val="20"/>
      <w:szCs w:val="20"/>
    </w:rPr>
  </w:style>
  <w:style w:type="character" w:customStyle="1" w:styleId="CommentTextChar">
    <w:name w:val="Comment Text Char"/>
    <w:basedOn w:val="DefaultParagraphFont"/>
    <w:link w:val="CommentText"/>
    <w:uiPriority w:val="99"/>
    <w:rsid w:val="00907339"/>
    <w:rPr>
      <w:sz w:val="20"/>
      <w:szCs w:val="20"/>
    </w:rPr>
  </w:style>
  <w:style w:type="paragraph" w:styleId="CommentSubject">
    <w:name w:val="annotation subject"/>
    <w:basedOn w:val="CommentText"/>
    <w:next w:val="CommentText"/>
    <w:link w:val="CommentSubjectChar"/>
    <w:uiPriority w:val="99"/>
    <w:semiHidden/>
    <w:unhideWhenUsed/>
    <w:rsid w:val="00907339"/>
    <w:rPr>
      <w:b/>
      <w:bCs/>
    </w:rPr>
  </w:style>
  <w:style w:type="character" w:customStyle="1" w:styleId="CommentSubjectChar">
    <w:name w:val="Comment Subject Char"/>
    <w:basedOn w:val="CommentTextChar"/>
    <w:link w:val="CommentSubject"/>
    <w:uiPriority w:val="99"/>
    <w:semiHidden/>
    <w:rsid w:val="00907339"/>
    <w:rPr>
      <w:b/>
      <w:bCs/>
      <w:sz w:val="20"/>
      <w:szCs w:val="20"/>
    </w:rPr>
  </w:style>
  <w:style w:type="paragraph" w:styleId="Revision">
    <w:name w:val="Revision"/>
    <w:hidden/>
    <w:uiPriority w:val="99"/>
    <w:semiHidden/>
    <w:rsid w:val="00A212C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lobal.toyota/en/sustainability/?utm_source=chatgp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lobal.toyota/en/?utm_source=chatgpt.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uters.co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reuters.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newsroom.toyota.eu/?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4936</Words>
  <Characters>28140</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33010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Qasim Ali</cp:lastModifiedBy>
  <cp:revision>2</cp:revision>
  <dcterms:created xsi:type="dcterms:W3CDTF">2026-06-24T20:31:00Z</dcterms:created>
  <dcterms:modified xsi:type="dcterms:W3CDTF">2026-06-24T20:31:00Z</dcterms:modified>
  <cp:category/>
</cp:coreProperties>
</file>