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BA1B9" w14:textId="77777777" w:rsidR="0084672B" w:rsidRPr="0084672B" w:rsidRDefault="0084672B" w:rsidP="006C32CC">
      <w:pPr>
        <w:spacing w:line="360" w:lineRule="auto"/>
        <w:rPr>
          <w:rFonts w:ascii="Arial" w:hAnsi="Arial" w:cs="Arial"/>
          <w:sz w:val="22"/>
          <w:szCs w:val="22"/>
          <w:lang w:eastAsia="en-GB"/>
        </w:rPr>
      </w:pPr>
    </w:p>
    <w:p w14:paraId="5FC53154" w14:textId="77777777" w:rsidR="0084672B" w:rsidRPr="0084672B" w:rsidRDefault="0084672B" w:rsidP="006C32CC">
      <w:pPr>
        <w:spacing w:line="360" w:lineRule="auto"/>
        <w:rPr>
          <w:rFonts w:ascii="Arial" w:hAnsi="Arial" w:cs="Arial"/>
          <w:sz w:val="22"/>
          <w:szCs w:val="22"/>
          <w:lang w:eastAsia="en-GB"/>
        </w:rPr>
      </w:pPr>
    </w:p>
    <w:p w14:paraId="136DF5E7" w14:textId="77777777" w:rsidR="0084672B" w:rsidRDefault="0084672B" w:rsidP="006C32CC">
      <w:pPr>
        <w:spacing w:line="360" w:lineRule="auto"/>
        <w:rPr>
          <w:rFonts w:ascii="Arial" w:hAnsi="Arial" w:cs="Arial"/>
          <w:b/>
          <w:bCs/>
          <w:sz w:val="22"/>
          <w:szCs w:val="22"/>
          <w:lang w:eastAsia="en-GB"/>
        </w:rPr>
      </w:pPr>
    </w:p>
    <w:p w14:paraId="3AF904D5" w14:textId="77777777" w:rsidR="0084672B" w:rsidRPr="0084672B" w:rsidRDefault="0084672B" w:rsidP="006C32CC">
      <w:pPr>
        <w:spacing w:line="360" w:lineRule="auto"/>
        <w:rPr>
          <w:rFonts w:ascii="Arial" w:hAnsi="Arial" w:cs="Arial"/>
          <w:b/>
          <w:bCs/>
          <w:sz w:val="22"/>
          <w:szCs w:val="22"/>
          <w:lang w:eastAsia="en-GB"/>
        </w:rPr>
      </w:pPr>
    </w:p>
    <w:p w14:paraId="6DC1F1B5" w14:textId="77777777" w:rsidR="0084672B" w:rsidRPr="0084672B" w:rsidRDefault="0084672B" w:rsidP="006C32CC">
      <w:pPr>
        <w:spacing w:line="360" w:lineRule="auto"/>
        <w:rPr>
          <w:rFonts w:ascii="Arial" w:hAnsi="Arial" w:cs="Arial"/>
          <w:b/>
          <w:bCs/>
          <w:sz w:val="22"/>
          <w:szCs w:val="22"/>
          <w:lang w:eastAsia="en-GB"/>
        </w:rPr>
      </w:pPr>
    </w:p>
    <w:p w14:paraId="157E6830" w14:textId="77777777" w:rsidR="0084672B" w:rsidRPr="0084672B" w:rsidRDefault="0084672B" w:rsidP="006C32CC">
      <w:pPr>
        <w:spacing w:line="360" w:lineRule="auto"/>
        <w:rPr>
          <w:rFonts w:ascii="Arial" w:hAnsi="Arial" w:cs="Arial"/>
          <w:b/>
          <w:bCs/>
          <w:sz w:val="22"/>
          <w:szCs w:val="22"/>
          <w:lang w:eastAsia="en-GB"/>
        </w:rPr>
      </w:pPr>
    </w:p>
    <w:p w14:paraId="39E626A7" w14:textId="77777777" w:rsidR="0084672B" w:rsidRPr="0084672B" w:rsidRDefault="0084672B" w:rsidP="006C32CC">
      <w:pPr>
        <w:spacing w:line="360" w:lineRule="auto"/>
        <w:rPr>
          <w:rFonts w:ascii="Arial" w:hAnsi="Arial" w:cs="Arial"/>
          <w:b/>
          <w:bCs/>
          <w:sz w:val="22"/>
          <w:szCs w:val="22"/>
          <w:lang w:eastAsia="en-GB"/>
        </w:rPr>
      </w:pPr>
    </w:p>
    <w:p w14:paraId="4F8B926B" w14:textId="77777777" w:rsidR="0084672B" w:rsidRPr="0084672B" w:rsidRDefault="0084672B" w:rsidP="006C32CC">
      <w:pPr>
        <w:spacing w:line="360" w:lineRule="auto"/>
        <w:rPr>
          <w:rFonts w:ascii="Arial" w:hAnsi="Arial" w:cs="Arial"/>
          <w:b/>
          <w:bCs/>
          <w:sz w:val="22"/>
          <w:szCs w:val="22"/>
          <w:lang w:eastAsia="en-GB"/>
        </w:rPr>
      </w:pPr>
    </w:p>
    <w:p w14:paraId="2ADF9BCF" w14:textId="77777777" w:rsidR="0084672B" w:rsidRPr="0084672B" w:rsidRDefault="0084672B" w:rsidP="006C32CC">
      <w:pPr>
        <w:spacing w:line="360" w:lineRule="auto"/>
        <w:jc w:val="center"/>
        <w:rPr>
          <w:rFonts w:ascii="Arial" w:hAnsi="Arial" w:cs="Arial"/>
          <w:b/>
          <w:bCs/>
          <w:sz w:val="22"/>
          <w:szCs w:val="22"/>
          <w:lang w:eastAsia="en-GB"/>
        </w:rPr>
      </w:pPr>
    </w:p>
    <w:p w14:paraId="7DACF18C" w14:textId="387CE811" w:rsidR="00E07CC4" w:rsidRPr="0084672B" w:rsidRDefault="00E07CC4" w:rsidP="006C32CC">
      <w:pPr>
        <w:spacing w:line="360" w:lineRule="auto"/>
        <w:jc w:val="center"/>
        <w:rPr>
          <w:rFonts w:ascii="Arial" w:hAnsi="Arial" w:cs="Arial"/>
          <w:b/>
          <w:bCs/>
          <w:sz w:val="22"/>
          <w:szCs w:val="22"/>
          <w:lang w:eastAsia="en-GB"/>
        </w:rPr>
      </w:pPr>
      <w:r w:rsidRPr="0084672B">
        <w:rPr>
          <w:rFonts w:ascii="Arial" w:hAnsi="Arial" w:cs="Arial"/>
          <w:b/>
          <w:bCs/>
          <w:sz w:val="22"/>
          <w:szCs w:val="22"/>
          <w:lang w:eastAsia="en-GB"/>
        </w:rPr>
        <w:t>Reflective Report: Principles of Health and Social Care Practice</w:t>
      </w:r>
    </w:p>
    <w:p w14:paraId="227F7B53" w14:textId="62FBD071" w:rsidR="0084672B" w:rsidRPr="0084672B" w:rsidRDefault="00AB45A3" w:rsidP="006C32CC">
      <w:pPr>
        <w:spacing w:line="360" w:lineRule="auto"/>
        <w:jc w:val="center"/>
        <w:rPr>
          <w:rFonts w:ascii="Arial" w:hAnsi="Arial" w:cs="Arial"/>
          <w:kern w:val="0"/>
          <w:sz w:val="22"/>
          <w:szCs w:val="22"/>
          <w:lang w:eastAsia="en-GB"/>
        </w:rPr>
      </w:pPr>
      <w:r>
        <w:rPr>
          <w:rFonts w:ascii="Arial" w:hAnsi="Arial" w:cs="Arial"/>
          <w:kern w:val="0"/>
          <w:sz w:val="22"/>
          <w:szCs w:val="22"/>
          <w:lang w:eastAsia="en-GB"/>
        </w:rPr>
        <w:t xml:space="preserve">ANISA KARIM </w:t>
      </w:r>
    </w:p>
    <w:p w14:paraId="59BEE6B5" w14:textId="61417CDE" w:rsidR="0084672B" w:rsidRDefault="0084672B" w:rsidP="006C32CC">
      <w:pPr>
        <w:spacing w:line="360" w:lineRule="auto"/>
        <w:jc w:val="center"/>
        <w:rPr>
          <w:rFonts w:ascii="Arial" w:hAnsi="Arial" w:cs="Arial"/>
          <w:kern w:val="0"/>
          <w:sz w:val="22"/>
          <w:szCs w:val="22"/>
          <w:lang w:eastAsia="en-GB"/>
        </w:rPr>
      </w:pPr>
    </w:p>
    <w:p w14:paraId="217016EE" w14:textId="77777777" w:rsidR="0084672B" w:rsidRDefault="0084672B" w:rsidP="006C32CC">
      <w:pPr>
        <w:spacing w:line="360" w:lineRule="auto"/>
        <w:rPr>
          <w:rFonts w:ascii="Arial" w:hAnsi="Arial" w:cs="Arial"/>
          <w:kern w:val="0"/>
          <w:sz w:val="22"/>
          <w:szCs w:val="22"/>
          <w:lang w:eastAsia="en-GB"/>
        </w:rPr>
      </w:pPr>
      <w:r>
        <w:rPr>
          <w:rFonts w:ascii="Arial" w:hAnsi="Arial" w:cs="Arial"/>
          <w:kern w:val="0"/>
          <w:sz w:val="22"/>
          <w:szCs w:val="22"/>
          <w:lang w:eastAsia="en-GB"/>
        </w:rPr>
        <w:br w:type="page"/>
      </w:r>
    </w:p>
    <w:sdt>
      <w:sdtPr>
        <w:rPr>
          <w:rFonts w:asciiTheme="minorHAnsi" w:eastAsiaTheme="minorHAnsi" w:hAnsiTheme="minorHAnsi" w:cstheme="minorBidi"/>
          <w:color w:val="auto"/>
          <w:kern w:val="2"/>
          <w:sz w:val="24"/>
          <w:szCs w:val="24"/>
          <w:lang w:val="en-GB"/>
          <w14:ligatures w14:val="standardContextual"/>
        </w:rPr>
        <w:id w:val="1510249300"/>
        <w:docPartObj>
          <w:docPartGallery w:val="Table of Contents"/>
          <w:docPartUnique/>
        </w:docPartObj>
      </w:sdtPr>
      <w:sdtEndPr>
        <w:rPr>
          <w:b/>
          <w:bCs/>
          <w:noProof/>
        </w:rPr>
      </w:sdtEndPr>
      <w:sdtContent>
        <w:p w14:paraId="2880D553" w14:textId="248C14AF" w:rsidR="0084672B" w:rsidRPr="006C32CC" w:rsidRDefault="0084672B" w:rsidP="006C32CC">
          <w:pPr>
            <w:pStyle w:val="TOCHeading"/>
            <w:spacing w:line="360" w:lineRule="auto"/>
            <w:jc w:val="center"/>
            <w:rPr>
              <w:rFonts w:ascii="Arial" w:hAnsi="Arial" w:cs="Arial"/>
              <w:b/>
              <w:bCs/>
              <w:color w:val="auto"/>
              <w:sz w:val="22"/>
              <w:szCs w:val="22"/>
            </w:rPr>
          </w:pPr>
          <w:r w:rsidRPr="006C32CC">
            <w:rPr>
              <w:rFonts w:ascii="Arial" w:hAnsi="Arial" w:cs="Arial"/>
              <w:b/>
              <w:bCs/>
              <w:color w:val="auto"/>
              <w:sz w:val="22"/>
              <w:szCs w:val="22"/>
            </w:rPr>
            <w:t>Table of Contents</w:t>
          </w:r>
        </w:p>
        <w:p w14:paraId="45E1CB10" w14:textId="46EFB973" w:rsidR="006C32CC" w:rsidRPr="006C32CC" w:rsidRDefault="0084672B" w:rsidP="006C32CC">
          <w:pPr>
            <w:pStyle w:val="TOC2"/>
            <w:tabs>
              <w:tab w:val="right" w:leader="dot" w:pos="9016"/>
            </w:tabs>
            <w:spacing w:line="360" w:lineRule="auto"/>
            <w:rPr>
              <w:rFonts w:ascii="Arial" w:eastAsiaTheme="minorEastAsia" w:hAnsi="Arial" w:cs="Arial"/>
              <w:noProof/>
              <w:sz w:val="22"/>
              <w:szCs w:val="22"/>
              <w:lang w:eastAsia="en-GB"/>
            </w:rPr>
          </w:pPr>
          <w:r w:rsidRPr="006C32CC">
            <w:rPr>
              <w:rFonts w:ascii="Arial" w:hAnsi="Arial" w:cs="Arial"/>
              <w:sz w:val="22"/>
              <w:szCs w:val="22"/>
            </w:rPr>
            <w:fldChar w:fldCharType="begin"/>
          </w:r>
          <w:r w:rsidRPr="006C32CC">
            <w:rPr>
              <w:rFonts w:ascii="Arial" w:hAnsi="Arial" w:cs="Arial"/>
              <w:sz w:val="22"/>
              <w:szCs w:val="22"/>
            </w:rPr>
            <w:instrText xml:space="preserve"> TOC \o "1-3" \h \z \u </w:instrText>
          </w:r>
          <w:r w:rsidRPr="006C32CC">
            <w:rPr>
              <w:rFonts w:ascii="Arial" w:hAnsi="Arial" w:cs="Arial"/>
              <w:sz w:val="22"/>
              <w:szCs w:val="22"/>
            </w:rPr>
            <w:fldChar w:fldCharType="separate"/>
          </w:r>
          <w:hyperlink w:anchor="_Toc220895189" w:history="1">
            <w:r w:rsidR="006C32CC" w:rsidRPr="006C32CC">
              <w:rPr>
                <w:rStyle w:val="Hyperlink"/>
                <w:rFonts w:ascii="Arial" w:eastAsia="Times New Roman" w:hAnsi="Arial" w:cs="Arial"/>
                <w:noProof/>
                <w:kern w:val="0"/>
                <w:sz w:val="22"/>
                <w:szCs w:val="22"/>
                <w:lang w:eastAsia="en-GB"/>
                <w14:ligatures w14:val="none"/>
              </w:rPr>
              <w:t>Introduction</w:t>
            </w:r>
            <w:r w:rsidR="006C32CC" w:rsidRPr="006C32CC">
              <w:rPr>
                <w:rFonts w:ascii="Arial" w:hAnsi="Arial" w:cs="Arial"/>
                <w:noProof/>
                <w:webHidden/>
                <w:sz w:val="22"/>
                <w:szCs w:val="22"/>
              </w:rPr>
              <w:tab/>
            </w:r>
            <w:r w:rsidR="006C32CC" w:rsidRPr="006C32CC">
              <w:rPr>
                <w:rFonts w:ascii="Arial" w:hAnsi="Arial" w:cs="Arial"/>
                <w:noProof/>
                <w:webHidden/>
                <w:sz w:val="22"/>
                <w:szCs w:val="22"/>
              </w:rPr>
              <w:fldChar w:fldCharType="begin"/>
            </w:r>
            <w:r w:rsidR="006C32CC" w:rsidRPr="006C32CC">
              <w:rPr>
                <w:rFonts w:ascii="Arial" w:hAnsi="Arial" w:cs="Arial"/>
                <w:noProof/>
                <w:webHidden/>
                <w:sz w:val="22"/>
                <w:szCs w:val="22"/>
              </w:rPr>
              <w:instrText xml:space="preserve"> PAGEREF _Toc220895189 \h </w:instrText>
            </w:r>
            <w:r w:rsidR="006C32CC" w:rsidRPr="006C32CC">
              <w:rPr>
                <w:rFonts w:ascii="Arial" w:hAnsi="Arial" w:cs="Arial"/>
                <w:noProof/>
                <w:webHidden/>
                <w:sz w:val="22"/>
                <w:szCs w:val="22"/>
              </w:rPr>
            </w:r>
            <w:r w:rsidR="006C32CC" w:rsidRPr="006C32CC">
              <w:rPr>
                <w:rFonts w:ascii="Arial" w:hAnsi="Arial" w:cs="Arial"/>
                <w:noProof/>
                <w:webHidden/>
                <w:sz w:val="22"/>
                <w:szCs w:val="22"/>
              </w:rPr>
              <w:fldChar w:fldCharType="separate"/>
            </w:r>
            <w:r w:rsidR="006C32CC" w:rsidRPr="006C32CC">
              <w:rPr>
                <w:rFonts w:ascii="Arial" w:hAnsi="Arial" w:cs="Arial"/>
                <w:noProof/>
                <w:webHidden/>
                <w:sz w:val="22"/>
                <w:szCs w:val="22"/>
              </w:rPr>
              <w:t>3</w:t>
            </w:r>
            <w:r w:rsidR="006C32CC" w:rsidRPr="006C32CC">
              <w:rPr>
                <w:rFonts w:ascii="Arial" w:hAnsi="Arial" w:cs="Arial"/>
                <w:noProof/>
                <w:webHidden/>
                <w:sz w:val="22"/>
                <w:szCs w:val="22"/>
              </w:rPr>
              <w:fldChar w:fldCharType="end"/>
            </w:r>
          </w:hyperlink>
        </w:p>
        <w:p w14:paraId="02380EFD" w14:textId="1FF20D1A" w:rsidR="006C32CC" w:rsidRPr="006C32CC" w:rsidRDefault="006C32CC" w:rsidP="006C32CC">
          <w:pPr>
            <w:pStyle w:val="TOC2"/>
            <w:tabs>
              <w:tab w:val="right" w:leader="dot" w:pos="9016"/>
            </w:tabs>
            <w:spacing w:line="360" w:lineRule="auto"/>
            <w:rPr>
              <w:rFonts w:ascii="Arial" w:eastAsiaTheme="minorEastAsia" w:hAnsi="Arial" w:cs="Arial"/>
              <w:noProof/>
              <w:sz w:val="22"/>
              <w:szCs w:val="22"/>
              <w:lang w:eastAsia="en-GB"/>
            </w:rPr>
          </w:pPr>
          <w:hyperlink w:anchor="_Toc220895190" w:history="1">
            <w:r w:rsidRPr="006C32CC">
              <w:rPr>
                <w:rStyle w:val="Hyperlink"/>
                <w:rFonts w:ascii="Arial" w:eastAsia="Times New Roman" w:hAnsi="Arial" w:cs="Arial"/>
                <w:noProof/>
                <w:kern w:val="0"/>
                <w:sz w:val="22"/>
                <w:szCs w:val="22"/>
                <w:lang w:eastAsia="en-GB"/>
                <w14:ligatures w14:val="none"/>
              </w:rPr>
              <w:t>Task 1: Reflection on the Importance of Principles</w:t>
            </w:r>
            <w:r w:rsidRPr="006C32CC">
              <w:rPr>
                <w:rFonts w:ascii="Arial" w:hAnsi="Arial" w:cs="Arial"/>
                <w:noProof/>
                <w:webHidden/>
                <w:sz w:val="22"/>
                <w:szCs w:val="22"/>
              </w:rPr>
              <w:tab/>
            </w:r>
            <w:r w:rsidRPr="006C32CC">
              <w:rPr>
                <w:rFonts w:ascii="Arial" w:hAnsi="Arial" w:cs="Arial"/>
                <w:noProof/>
                <w:webHidden/>
                <w:sz w:val="22"/>
                <w:szCs w:val="22"/>
              </w:rPr>
              <w:fldChar w:fldCharType="begin"/>
            </w:r>
            <w:r w:rsidRPr="006C32CC">
              <w:rPr>
                <w:rFonts w:ascii="Arial" w:hAnsi="Arial" w:cs="Arial"/>
                <w:noProof/>
                <w:webHidden/>
                <w:sz w:val="22"/>
                <w:szCs w:val="22"/>
              </w:rPr>
              <w:instrText xml:space="preserve"> PAGEREF _Toc220895190 \h </w:instrText>
            </w:r>
            <w:r w:rsidRPr="006C32CC">
              <w:rPr>
                <w:rFonts w:ascii="Arial" w:hAnsi="Arial" w:cs="Arial"/>
                <w:noProof/>
                <w:webHidden/>
                <w:sz w:val="22"/>
                <w:szCs w:val="22"/>
              </w:rPr>
            </w:r>
            <w:r w:rsidRPr="006C32CC">
              <w:rPr>
                <w:rFonts w:ascii="Arial" w:hAnsi="Arial" w:cs="Arial"/>
                <w:noProof/>
                <w:webHidden/>
                <w:sz w:val="22"/>
                <w:szCs w:val="22"/>
              </w:rPr>
              <w:fldChar w:fldCharType="separate"/>
            </w:r>
            <w:r w:rsidRPr="006C32CC">
              <w:rPr>
                <w:rFonts w:ascii="Arial" w:hAnsi="Arial" w:cs="Arial"/>
                <w:noProof/>
                <w:webHidden/>
                <w:sz w:val="22"/>
                <w:szCs w:val="22"/>
              </w:rPr>
              <w:t>3</w:t>
            </w:r>
            <w:r w:rsidRPr="006C32CC">
              <w:rPr>
                <w:rFonts w:ascii="Arial" w:hAnsi="Arial" w:cs="Arial"/>
                <w:noProof/>
                <w:webHidden/>
                <w:sz w:val="22"/>
                <w:szCs w:val="22"/>
              </w:rPr>
              <w:fldChar w:fldCharType="end"/>
            </w:r>
          </w:hyperlink>
        </w:p>
        <w:p w14:paraId="3BA3C226" w14:textId="624FDDB3" w:rsidR="006C32CC" w:rsidRPr="006C32CC" w:rsidRDefault="006C32CC" w:rsidP="006C32CC">
          <w:pPr>
            <w:pStyle w:val="TOC2"/>
            <w:tabs>
              <w:tab w:val="right" w:leader="dot" w:pos="9016"/>
            </w:tabs>
            <w:spacing w:line="360" w:lineRule="auto"/>
            <w:rPr>
              <w:rFonts w:ascii="Arial" w:eastAsiaTheme="minorEastAsia" w:hAnsi="Arial" w:cs="Arial"/>
              <w:noProof/>
              <w:sz w:val="22"/>
              <w:szCs w:val="22"/>
              <w:lang w:eastAsia="en-GB"/>
            </w:rPr>
          </w:pPr>
          <w:hyperlink w:anchor="_Toc220895191" w:history="1">
            <w:r w:rsidRPr="006C32CC">
              <w:rPr>
                <w:rStyle w:val="Hyperlink"/>
                <w:rFonts w:ascii="Arial" w:eastAsia="Times New Roman" w:hAnsi="Arial" w:cs="Arial"/>
                <w:noProof/>
                <w:kern w:val="0"/>
                <w:sz w:val="22"/>
                <w:szCs w:val="22"/>
                <w:lang w:eastAsia="en-GB"/>
                <w14:ligatures w14:val="none"/>
              </w:rPr>
              <w:t>Task 2: Practical Examples of Concepts in Practice</w:t>
            </w:r>
            <w:r w:rsidRPr="006C32CC">
              <w:rPr>
                <w:rFonts w:ascii="Arial" w:hAnsi="Arial" w:cs="Arial"/>
                <w:noProof/>
                <w:webHidden/>
                <w:sz w:val="22"/>
                <w:szCs w:val="22"/>
              </w:rPr>
              <w:tab/>
            </w:r>
            <w:r w:rsidRPr="006C32CC">
              <w:rPr>
                <w:rFonts w:ascii="Arial" w:hAnsi="Arial" w:cs="Arial"/>
                <w:noProof/>
                <w:webHidden/>
                <w:sz w:val="22"/>
                <w:szCs w:val="22"/>
              </w:rPr>
              <w:fldChar w:fldCharType="begin"/>
            </w:r>
            <w:r w:rsidRPr="006C32CC">
              <w:rPr>
                <w:rFonts w:ascii="Arial" w:hAnsi="Arial" w:cs="Arial"/>
                <w:noProof/>
                <w:webHidden/>
                <w:sz w:val="22"/>
                <w:szCs w:val="22"/>
              </w:rPr>
              <w:instrText xml:space="preserve"> PAGEREF _Toc220895191 \h </w:instrText>
            </w:r>
            <w:r w:rsidRPr="006C32CC">
              <w:rPr>
                <w:rFonts w:ascii="Arial" w:hAnsi="Arial" w:cs="Arial"/>
                <w:noProof/>
                <w:webHidden/>
                <w:sz w:val="22"/>
                <w:szCs w:val="22"/>
              </w:rPr>
            </w:r>
            <w:r w:rsidRPr="006C32CC">
              <w:rPr>
                <w:rFonts w:ascii="Arial" w:hAnsi="Arial" w:cs="Arial"/>
                <w:noProof/>
                <w:webHidden/>
                <w:sz w:val="22"/>
                <w:szCs w:val="22"/>
              </w:rPr>
              <w:fldChar w:fldCharType="separate"/>
            </w:r>
            <w:r w:rsidRPr="006C32CC">
              <w:rPr>
                <w:rFonts w:ascii="Arial" w:hAnsi="Arial" w:cs="Arial"/>
                <w:noProof/>
                <w:webHidden/>
                <w:sz w:val="22"/>
                <w:szCs w:val="22"/>
              </w:rPr>
              <w:t>4</w:t>
            </w:r>
            <w:r w:rsidRPr="006C32CC">
              <w:rPr>
                <w:rFonts w:ascii="Arial" w:hAnsi="Arial" w:cs="Arial"/>
                <w:noProof/>
                <w:webHidden/>
                <w:sz w:val="22"/>
                <w:szCs w:val="22"/>
              </w:rPr>
              <w:fldChar w:fldCharType="end"/>
            </w:r>
          </w:hyperlink>
        </w:p>
        <w:p w14:paraId="145BF52A" w14:textId="6659132E" w:rsidR="006C32CC" w:rsidRPr="006C32CC" w:rsidRDefault="006C32CC" w:rsidP="006C32CC">
          <w:pPr>
            <w:pStyle w:val="TOC2"/>
            <w:tabs>
              <w:tab w:val="right" w:leader="dot" w:pos="9016"/>
            </w:tabs>
            <w:spacing w:line="360" w:lineRule="auto"/>
            <w:rPr>
              <w:rFonts w:ascii="Arial" w:eastAsiaTheme="minorEastAsia" w:hAnsi="Arial" w:cs="Arial"/>
              <w:noProof/>
              <w:sz w:val="22"/>
              <w:szCs w:val="22"/>
              <w:lang w:eastAsia="en-GB"/>
            </w:rPr>
          </w:pPr>
          <w:hyperlink w:anchor="_Toc220895192" w:history="1">
            <w:r w:rsidRPr="006C32CC">
              <w:rPr>
                <w:rStyle w:val="Hyperlink"/>
                <w:rFonts w:ascii="Arial" w:eastAsia="Times New Roman" w:hAnsi="Arial" w:cs="Arial"/>
                <w:noProof/>
                <w:kern w:val="0"/>
                <w:sz w:val="22"/>
                <w:szCs w:val="22"/>
                <w:lang w:eastAsia="en-GB"/>
                <w14:ligatures w14:val="none"/>
              </w:rPr>
              <w:t>Task 3: Self-Reflection as a Health and Social Care Professional</w:t>
            </w:r>
            <w:r w:rsidRPr="006C32CC">
              <w:rPr>
                <w:rFonts w:ascii="Arial" w:hAnsi="Arial" w:cs="Arial"/>
                <w:noProof/>
                <w:webHidden/>
                <w:sz w:val="22"/>
                <w:szCs w:val="22"/>
              </w:rPr>
              <w:tab/>
            </w:r>
            <w:r w:rsidRPr="006C32CC">
              <w:rPr>
                <w:rFonts w:ascii="Arial" w:hAnsi="Arial" w:cs="Arial"/>
                <w:noProof/>
                <w:webHidden/>
                <w:sz w:val="22"/>
                <w:szCs w:val="22"/>
              </w:rPr>
              <w:fldChar w:fldCharType="begin"/>
            </w:r>
            <w:r w:rsidRPr="006C32CC">
              <w:rPr>
                <w:rFonts w:ascii="Arial" w:hAnsi="Arial" w:cs="Arial"/>
                <w:noProof/>
                <w:webHidden/>
                <w:sz w:val="22"/>
                <w:szCs w:val="22"/>
              </w:rPr>
              <w:instrText xml:space="preserve"> PAGEREF _Toc220895192 \h </w:instrText>
            </w:r>
            <w:r w:rsidRPr="006C32CC">
              <w:rPr>
                <w:rFonts w:ascii="Arial" w:hAnsi="Arial" w:cs="Arial"/>
                <w:noProof/>
                <w:webHidden/>
                <w:sz w:val="22"/>
                <w:szCs w:val="22"/>
              </w:rPr>
            </w:r>
            <w:r w:rsidRPr="006C32CC">
              <w:rPr>
                <w:rFonts w:ascii="Arial" w:hAnsi="Arial" w:cs="Arial"/>
                <w:noProof/>
                <w:webHidden/>
                <w:sz w:val="22"/>
                <w:szCs w:val="22"/>
              </w:rPr>
              <w:fldChar w:fldCharType="separate"/>
            </w:r>
            <w:r w:rsidRPr="006C32CC">
              <w:rPr>
                <w:rFonts w:ascii="Arial" w:hAnsi="Arial" w:cs="Arial"/>
                <w:noProof/>
                <w:webHidden/>
                <w:sz w:val="22"/>
                <w:szCs w:val="22"/>
              </w:rPr>
              <w:t>6</w:t>
            </w:r>
            <w:r w:rsidRPr="006C32CC">
              <w:rPr>
                <w:rFonts w:ascii="Arial" w:hAnsi="Arial" w:cs="Arial"/>
                <w:noProof/>
                <w:webHidden/>
                <w:sz w:val="22"/>
                <w:szCs w:val="22"/>
              </w:rPr>
              <w:fldChar w:fldCharType="end"/>
            </w:r>
          </w:hyperlink>
        </w:p>
        <w:p w14:paraId="26D91012" w14:textId="2EA37F6D" w:rsidR="006C32CC" w:rsidRPr="006C32CC" w:rsidRDefault="006C32CC" w:rsidP="006C32CC">
          <w:pPr>
            <w:pStyle w:val="TOC2"/>
            <w:tabs>
              <w:tab w:val="right" w:leader="dot" w:pos="9016"/>
            </w:tabs>
            <w:spacing w:line="360" w:lineRule="auto"/>
            <w:rPr>
              <w:rFonts w:ascii="Arial" w:eastAsiaTheme="minorEastAsia" w:hAnsi="Arial" w:cs="Arial"/>
              <w:noProof/>
              <w:sz w:val="22"/>
              <w:szCs w:val="22"/>
              <w:lang w:eastAsia="en-GB"/>
            </w:rPr>
          </w:pPr>
          <w:hyperlink w:anchor="_Toc220895193" w:history="1">
            <w:r w:rsidRPr="006C32CC">
              <w:rPr>
                <w:rStyle w:val="Hyperlink"/>
                <w:rFonts w:ascii="Arial" w:eastAsia="Times New Roman" w:hAnsi="Arial" w:cs="Arial"/>
                <w:noProof/>
                <w:kern w:val="0"/>
                <w:sz w:val="22"/>
                <w:szCs w:val="22"/>
                <w:lang w:eastAsia="en-GB"/>
                <w14:ligatures w14:val="none"/>
              </w:rPr>
              <w:t>Reference List</w:t>
            </w:r>
            <w:r w:rsidRPr="006C32CC">
              <w:rPr>
                <w:rFonts w:ascii="Arial" w:hAnsi="Arial" w:cs="Arial"/>
                <w:noProof/>
                <w:webHidden/>
                <w:sz w:val="22"/>
                <w:szCs w:val="22"/>
              </w:rPr>
              <w:tab/>
            </w:r>
            <w:r w:rsidRPr="006C32CC">
              <w:rPr>
                <w:rFonts w:ascii="Arial" w:hAnsi="Arial" w:cs="Arial"/>
                <w:noProof/>
                <w:webHidden/>
                <w:sz w:val="22"/>
                <w:szCs w:val="22"/>
              </w:rPr>
              <w:fldChar w:fldCharType="begin"/>
            </w:r>
            <w:r w:rsidRPr="006C32CC">
              <w:rPr>
                <w:rFonts w:ascii="Arial" w:hAnsi="Arial" w:cs="Arial"/>
                <w:noProof/>
                <w:webHidden/>
                <w:sz w:val="22"/>
                <w:szCs w:val="22"/>
              </w:rPr>
              <w:instrText xml:space="preserve"> PAGEREF _Toc220895193 \h </w:instrText>
            </w:r>
            <w:r w:rsidRPr="006C32CC">
              <w:rPr>
                <w:rFonts w:ascii="Arial" w:hAnsi="Arial" w:cs="Arial"/>
                <w:noProof/>
                <w:webHidden/>
                <w:sz w:val="22"/>
                <w:szCs w:val="22"/>
              </w:rPr>
            </w:r>
            <w:r w:rsidRPr="006C32CC">
              <w:rPr>
                <w:rFonts w:ascii="Arial" w:hAnsi="Arial" w:cs="Arial"/>
                <w:noProof/>
                <w:webHidden/>
                <w:sz w:val="22"/>
                <w:szCs w:val="22"/>
              </w:rPr>
              <w:fldChar w:fldCharType="separate"/>
            </w:r>
            <w:r w:rsidRPr="006C32CC">
              <w:rPr>
                <w:rFonts w:ascii="Arial" w:hAnsi="Arial" w:cs="Arial"/>
                <w:noProof/>
                <w:webHidden/>
                <w:sz w:val="22"/>
                <w:szCs w:val="22"/>
              </w:rPr>
              <w:t>10</w:t>
            </w:r>
            <w:r w:rsidRPr="006C32CC">
              <w:rPr>
                <w:rFonts w:ascii="Arial" w:hAnsi="Arial" w:cs="Arial"/>
                <w:noProof/>
                <w:webHidden/>
                <w:sz w:val="22"/>
                <w:szCs w:val="22"/>
              </w:rPr>
              <w:fldChar w:fldCharType="end"/>
            </w:r>
          </w:hyperlink>
        </w:p>
        <w:p w14:paraId="7184946F" w14:textId="704A44C6" w:rsidR="0084672B" w:rsidRDefault="0084672B" w:rsidP="006C32CC">
          <w:pPr>
            <w:spacing w:line="360" w:lineRule="auto"/>
          </w:pPr>
          <w:r w:rsidRPr="006C32CC">
            <w:rPr>
              <w:rFonts w:ascii="Arial" w:hAnsi="Arial" w:cs="Arial"/>
              <w:noProof/>
              <w:sz w:val="22"/>
              <w:szCs w:val="22"/>
            </w:rPr>
            <w:fldChar w:fldCharType="end"/>
          </w:r>
        </w:p>
      </w:sdtContent>
    </w:sdt>
    <w:p w14:paraId="3D60156F" w14:textId="77777777" w:rsidR="0084672B" w:rsidRPr="0084672B" w:rsidRDefault="0084672B" w:rsidP="006C32CC">
      <w:pPr>
        <w:spacing w:line="360" w:lineRule="auto"/>
        <w:rPr>
          <w:rFonts w:ascii="Arial" w:hAnsi="Arial" w:cs="Arial"/>
          <w:kern w:val="0"/>
          <w:sz w:val="22"/>
          <w:szCs w:val="22"/>
          <w:lang w:eastAsia="en-GB"/>
        </w:rPr>
      </w:pPr>
    </w:p>
    <w:p w14:paraId="01A7A169" w14:textId="77777777" w:rsidR="0084672B" w:rsidRPr="0084672B" w:rsidRDefault="0084672B" w:rsidP="006C32CC">
      <w:pPr>
        <w:spacing w:line="360" w:lineRule="auto"/>
        <w:rPr>
          <w:rFonts w:ascii="Arial" w:eastAsia="Times New Roman" w:hAnsi="Arial" w:cs="Arial"/>
          <w:b/>
          <w:bCs/>
          <w:color w:val="1F1F1F"/>
          <w:kern w:val="0"/>
          <w:sz w:val="22"/>
          <w:szCs w:val="22"/>
          <w:lang w:eastAsia="en-GB"/>
          <w14:ligatures w14:val="none"/>
        </w:rPr>
      </w:pPr>
    </w:p>
    <w:p w14:paraId="5AC0BDAF" w14:textId="77777777" w:rsidR="0084672B" w:rsidRPr="0084672B" w:rsidRDefault="0084672B" w:rsidP="006C32CC">
      <w:pPr>
        <w:spacing w:line="360" w:lineRule="auto"/>
        <w:rPr>
          <w:rFonts w:ascii="Arial" w:eastAsia="Times New Roman" w:hAnsi="Arial" w:cs="Arial"/>
          <w:b/>
          <w:bCs/>
          <w:color w:val="1F1F1F"/>
          <w:kern w:val="0"/>
          <w:sz w:val="22"/>
          <w:szCs w:val="22"/>
          <w:lang w:eastAsia="en-GB"/>
          <w14:ligatures w14:val="none"/>
        </w:rPr>
      </w:pPr>
      <w:r w:rsidRPr="0084672B">
        <w:rPr>
          <w:rFonts w:ascii="Arial" w:eastAsia="Times New Roman" w:hAnsi="Arial" w:cs="Arial"/>
          <w:b/>
          <w:bCs/>
          <w:color w:val="1F1F1F"/>
          <w:kern w:val="0"/>
          <w:sz w:val="22"/>
          <w:szCs w:val="22"/>
          <w:lang w:eastAsia="en-GB"/>
          <w14:ligatures w14:val="none"/>
        </w:rPr>
        <w:br w:type="page"/>
      </w:r>
    </w:p>
    <w:p w14:paraId="6EBB93BF" w14:textId="16E7EECC" w:rsidR="00E07CC4" w:rsidRPr="00E07CC4" w:rsidRDefault="00E07CC4" w:rsidP="006C32CC">
      <w:pPr>
        <w:spacing w:after="120" w:line="360" w:lineRule="auto"/>
        <w:jc w:val="both"/>
        <w:outlineLvl w:val="1"/>
        <w:rPr>
          <w:rFonts w:ascii="Arial" w:eastAsia="Times New Roman" w:hAnsi="Arial" w:cs="Arial"/>
          <w:b/>
          <w:bCs/>
          <w:color w:val="1F1F1F"/>
          <w:kern w:val="0"/>
          <w:sz w:val="22"/>
          <w:szCs w:val="22"/>
          <w:lang w:eastAsia="en-GB"/>
          <w14:ligatures w14:val="none"/>
        </w:rPr>
      </w:pPr>
      <w:bookmarkStart w:id="0" w:name="_Toc220895189"/>
      <w:r w:rsidRPr="00E07CC4">
        <w:rPr>
          <w:rFonts w:ascii="Arial" w:eastAsia="Times New Roman" w:hAnsi="Arial" w:cs="Arial"/>
          <w:b/>
          <w:bCs/>
          <w:color w:val="1F1F1F"/>
          <w:kern w:val="0"/>
          <w:sz w:val="22"/>
          <w:szCs w:val="22"/>
          <w:lang w:eastAsia="en-GB"/>
          <w14:ligatures w14:val="none"/>
        </w:rPr>
        <w:lastRenderedPageBreak/>
        <w:t>Introduction</w:t>
      </w:r>
      <w:bookmarkEnd w:id="0"/>
    </w:p>
    <w:p w14:paraId="2D200B63" w14:textId="0C522B76" w:rsid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84672B">
        <w:rPr>
          <w:rFonts w:ascii="Arial" w:eastAsia="Times New Roman" w:hAnsi="Arial" w:cs="Arial"/>
          <w:color w:val="1F1F1F"/>
          <w:kern w:val="0"/>
          <w:sz w:val="22"/>
          <w:szCs w:val="22"/>
          <w:lang w:eastAsia="en-GB"/>
          <w14:ligatures w14:val="none"/>
        </w:rPr>
        <w:t>Providing quality health and social care in the United Kingdom is supported by a series of fundamental principles which are aimed at safeguarding the service users and the attainment of professional excellence. In this report, a critical reflection approach will be used to consider three main pillars including person-centred care, partnership working and ethical practice. Discussing these notions in theoretical terms, practical contexts, and self-reflection, the given assignment aims at proving how they improve the results of care and form the image of the contemporary healthcare professional</w:t>
      </w:r>
      <w:r w:rsidR="00E07CC4" w:rsidRPr="00E07CC4">
        <w:rPr>
          <w:rFonts w:ascii="Arial" w:eastAsia="Times New Roman" w:hAnsi="Arial" w:cs="Arial"/>
          <w:color w:val="1F1F1F"/>
          <w:kern w:val="0"/>
          <w:sz w:val="22"/>
          <w:szCs w:val="22"/>
          <w:lang w:eastAsia="en-GB"/>
          <w14:ligatures w14:val="none"/>
        </w:rPr>
        <w:t>.</w:t>
      </w:r>
    </w:p>
    <w:p w14:paraId="64486F40" w14:textId="77777777" w:rsidR="0084672B" w:rsidRP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p>
    <w:p w14:paraId="41619853" w14:textId="3B1844A2" w:rsidR="00E07CC4" w:rsidRPr="00E07CC4" w:rsidRDefault="00E07CC4" w:rsidP="006C32CC">
      <w:pPr>
        <w:spacing w:after="120" w:line="360" w:lineRule="auto"/>
        <w:jc w:val="both"/>
        <w:outlineLvl w:val="1"/>
        <w:rPr>
          <w:rFonts w:ascii="Arial" w:eastAsia="Times New Roman" w:hAnsi="Arial" w:cs="Arial"/>
          <w:b/>
          <w:bCs/>
          <w:color w:val="1F1F1F"/>
          <w:kern w:val="0"/>
          <w:sz w:val="22"/>
          <w:szCs w:val="22"/>
          <w:lang w:eastAsia="en-GB"/>
          <w14:ligatures w14:val="none"/>
        </w:rPr>
      </w:pPr>
      <w:bookmarkStart w:id="1" w:name="_Toc220895190"/>
      <w:r w:rsidRPr="00E07CC4">
        <w:rPr>
          <w:rFonts w:ascii="Arial" w:eastAsia="Times New Roman" w:hAnsi="Arial" w:cs="Arial"/>
          <w:b/>
          <w:bCs/>
          <w:color w:val="1F1F1F"/>
          <w:kern w:val="0"/>
          <w:sz w:val="22"/>
          <w:szCs w:val="22"/>
          <w:lang w:eastAsia="en-GB"/>
          <w14:ligatures w14:val="none"/>
        </w:rPr>
        <w:t>Task 1: Reflection on the Importance of Principles</w:t>
      </w:r>
      <w:bookmarkEnd w:id="1"/>
      <w:r w:rsidRPr="00E07CC4">
        <w:rPr>
          <w:rFonts w:ascii="Arial" w:eastAsia="Times New Roman" w:hAnsi="Arial" w:cs="Arial"/>
          <w:b/>
          <w:bCs/>
          <w:color w:val="1F1F1F"/>
          <w:kern w:val="0"/>
          <w:sz w:val="22"/>
          <w:szCs w:val="22"/>
          <w:lang w:eastAsia="en-GB"/>
          <w14:ligatures w14:val="none"/>
        </w:rPr>
        <w:t xml:space="preserve"> </w:t>
      </w:r>
    </w:p>
    <w:p w14:paraId="581D8D4E" w14:textId="30C3E157" w:rsid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84672B">
        <w:rPr>
          <w:rFonts w:ascii="Arial" w:eastAsia="Times New Roman" w:hAnsi="Arial" w:cs="Arial"/>
          <w:color w:val="1F1F1F"/>
          <w:kern w:val="0"/>
          <w:sz w:val="22"/>
          <w:szCs w:val="22"/>
          <w:lang w:eastAsia="en-GB"/>
          <w14:ligatures w14:val="none"/>
        </w:rPr>
        <w:t>The importance of person-centred practice, collaboration and teamwork, and ethics cannot be overemphasi</w:t>
      </w:r>
      <w:r w:rsidR="006C32CC">
        <w:rPr>
          <w:rFonts w:ascii="Arial" w:eastAsia="Times New Roman" w:hAnsi="Arial" w:cs="Arial"/>
          <w:color w:val="1F1F1F"/>
          <w:kern w:val="0"/>
          <w:sz w:val="22"/>
          <w:szCs w:val="22"/>
          <w:lang w:eastAsia="en-GB"/>
          <w14:ligatures w14:val="none"/>
        </w:rPr>
        <w:t>s</w:t>
      </w:r>
      <w:r w:rsidRPr="0084672B">
        <w:rPr>
          <w:rFonts w:ascii="Arial" w:eastAsia="Times New Roman" w:hAnsi="Arial" w:cs="Arial"/>
          <w:color w:val="1F1F1F"/>
          <w:kern w:val="0"/>
          <w:sz w:val="22"/>
          <w:szCs w:val="22"/>
          <w:lang w:eastAsia="en-GB"/>
          <w14:ligatures w14:val="none"/>
        </w:rPr>
        <w:t>ed in the framework of the National Health Service (NHS) of the UK and the sphere of social care. These principles, however, are not just plain social constructs but are ingrained in the law and professional codes of conduct in order to safeguard the safety and human dignity of people</w:t>
      </w:r>
      <w:r w:rsidR="00E07CC4" w:rsidRPr="00E07CC4">
        <w:rPr>
          <w:rFonts w:ascii="Arial" w:eastAsia="Times New Roman" w:hAnsi="Arial" w:cs="Arial"/>
          <w:color w:val="1F1F1F"/>
          <w:kern w:val="0"/>
          <w:sz w:val="22"/>
          <w:szCs w:val="22"/>
          <w:lang w:eastAsia="en-GB"/>
          <w14:ligatures w14:val="none"/>
        </w:rPr>
        <w:t>.</w:t>
      </w:r>
    </w:p>
    <w:p w14:paraId="0A1FB63D" w14:textId="77777777" w:rsidR="0084672B" w:rsidRP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p>
    <w:p w14:paraId="00C2CB6C"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Person-Centred Care</w:t>
      </w:r>
    </w:p>
    <w:p w14:paraId="4C0298CB" w14:textId="10231278" w:rsid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84672B">
        <w:rPr>
          <w:rFonts w:ascii="Arial" w:eastAsia="Times New Roman" w:hAnsi="Arial" w:cs="Arial"/>
          <w:color w:val="1F1F1F"/>
          <w:kern w:val="0"/>
          <w:sz w:val="22"/>
          <w:szCs w:val="22"/>
          <w:lang w:eastAsia="en-GB"/>
          <w14:ligatures w14:val="none"/>
        </w:rPr>
        <w:t>Person-centred care in its simplest form can simply be described as a move away of the one-size-fits-all model of medical care and to instead a holistic approach that takes into consideration the values and preference of the person. Rogers (1951) listed empathy, congruence, and unconditional positive regard as the needed humanistic care components. This in practice entails the consulting of service user in all decisions in respect to treatment. The significance of such a principle is emphasi</w:t>
      </w:r>
      <w:r w:rsidR="006C32CC">
        <w:rPr>
          <w:rFonts w:ascii="Arial" w:eastAsia="Times New Roman" w:hAnsi="Arial" w:cs="Arial"/>
          <w:color w:val="1F1F1F"/>
          <w:kern w:val="0"/>
          <w:sz w:val="22"/>
          <w:szCs w:val="22"/>
          <w:lang w:eastAsia="en-GB"/>
          <w14:ligatures w14:val="none"/>
        </w:rPr>
        <w:t>s</w:t>
      </w:r>
      <w:r w:rsidRPr="0084672B">
        <w:rPr>
          <w:rFonts w:ascii="Arial" w:eastAsia="Times New Roman" w:hAnsi="Arial" w:cs="Arial"/>
          <w:color w:val="1F1F1F"/>
          <w:kern w:val="0"/>
          <w:sz w:val="22"/>
          <w:szCs w:val="22"/>
          <w:lang w:eastAsia="en-GB"/>
          <w14:ligatures w14:val="none"/>
        </w:rPr>
        <w:t xml:space="preserve">ed by the Care Quality Commission (CQC, 2023), which states that person-centredness is one of the markers of outstanding rating of a service. Placing the patient at the </w:t>
      </w:r>
      <w:proofErr w:type="spellStart"/>
      <w:r w:rsidRPr="0084672B">
        <w:rPr>
          <w:rFonts w:ascii="Arial" w:eastAsia="Times New Roman" w:hAnsi="Arial" w:cs="Arial"/>
          <w:color w:val="1F1F1F"/>
          <w:kern w:val="0"/>
          <w:sz w:val="22"/>
          <w:szCs w:val="22"/>
          <w:lang w:eastAsia="en-GB"/>
          <w14:ligatures w14:val="none"/>
        </w:rPr>
        <w:t>center</w:t>
      </w:r>
      <w:proofErr w:type="spellEnd"/>
      <w:r w:rsidRPr="0084672B">
        <w:rPr>
          <w:rFonts w:ascii="Arial" w:eastAsia="Times New Roman" w:hAnsi="Arial" w:cs="Arial"/>
          <w:color w:val="1F1F1F"/>
          <w:kern w:val="0"/>
          <w:sz w:val="22"/>
          <w:szCs w:val="22"/>
          <w:lang w:eastAsia="en-GB"/>
          <w14:ligatures w14:val="none"/>
        </w:rPr>
        <w:t xml:space="preserve"> will allow care providers to minimize health disparities and enhance patient satisfaction</w:t>
      </w:r>
      <w:r w:rsidR="00E07CC4" w:rsidRPr="00E07CC4">
        <w:rPr>
          <w:rFonts w:ascii="Arial" w:eastAsia="Times New Roman" w:hAnsi="Arial" w:cs="Arial"/>
          <w:color w:val="1F1F1F"/>
          <w:kern w:val="0"/>
          <w:sz w:val="22"/>
          <w:szCs w:val="22"/>
          <w:lang w:eastAsia="en-GB"/>
          <w14:ligatures w14:val="none"/>
        </w:rPr>
        <w:t>.</w:t>
      </w:r>
    </w:p>
    <w:p w14:paraId="21266A04" w14:textId="77777777" w:rsidR="0084672B" w:rsidRP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p>
    <w:p w14:paraId="1AAC842F"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Partnership Working</w:t>
      </w:r>
    </w:p>
    <w:p w14:paraId="6757B53F" w14:textId="67E51399" w:rsid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84672B">
        <w:rPr>
          <w:rFonts w:ascii="Arial" w:eastAsia="Times New Roman" w:hAnsi="Arial" w:cs="Arial"/>
          <w:color w:val="1F1F1F"/>
          <w:kern w:val="0"/>
          <w:sz w:val="22"/>
          <w:szCs w:val="22"/>
          <w:lang w:eastAsia="en-GB"/>
          <w14:ligatures w14:val="none"/>
        </w:rPr>
        <w:t>Partnership working This is the teamwork approach between the various professionals (multidisciplinary teams), organi</w:t>
      </w:r>
      <w:r w:rsidR="006C32CC">
        <w:rPr>
          <w:rFonts w:ascii="Arial" w:eastAsia="Times New Roman" w:hAnsi="Arial" w:cs="Arial"/>
          <w:color w:val="1F1F1F"/>
          <w:kern w:val="0"/>
          <w:sz w:val="22"/>
          <w:szCs w:val="22"/>
          <w:lang w:eastAsia="en-GB"/>
          <w14:ligatures w14:val="none"/>
        </w:rPr>
        <w:t>s</w:t>
      </w:r>
      <w:r w:rsidRPr="0084672B">
        <w:rPr>
          <w:rFonts w:ascii="Arial" w:eastAsia="Times New Roman" w:hAnsi="Arial" w:cs="Arial"/>
          <w:color w:val="1F1F1F"/>
          <w:kern w:val="0"/>
          <w:sz w:val="22"/>
          <w:szCs w:val="22"/>
          <w:lang w:eastAsia="en-GB"/>
          <w14:ligatures w14:val="none"/>
        </w:rPr>
        <w:t xml:space="preserve">ations, and even the service users. Health and Social Care Act (2022) underlines the importance of the duty to collaborate as complex health needs may involve the involvement of social workers, GPs, nurses, and therapists at the same time. The </w:t>
      </w:r>
      <w:r w:rsidRPr="0084672B">
        <w:rPr>
          <w:rFonts w:ascii="Arial" w:eastAsia="Times New Roman" w:hAnsi="Arial" w:cs="Arial"/>
          <w:color w:val="1F1F1F"/>
          <w:kern w:val="0"/>
          <w:sz w:val="22"/>
          <w:szCs w:val="22"/>
          <w:lang w:eastAsia="en-GB"/>
          <w14:ligatures w14:val="none"/>
        </w:rPr>
        <w:lastRenderedPageBreak/>
        <w:t>partnership working helps to avoid the silo effect, which is the loss of information between the departments and may result in the failure of care. Glasby (2017) believes that integrated care is the key to the long-term management of the long-term diseases that are widespread among</w:t>
      </w:r>
      <w:r w:rsidR="006C32CC">
        <w:rPr>
          <w:rFonts w:ascii="Arial" w:eastAsia="Times New Roman" w:hAnsi="Arial" w:cs="Arial"/>
          <w:color w:val="1F1F1F"/>
          <w:kern w:val="0"/>
          <w:sz w:val="22"/>
          <w:szCs w:val="22"/>
          <w:lang w:eastAsia="en-GB"/>
          <w14:ligatures w14:val="none"/>
        </w:rPr>
        <w:t>st</w:t>
      </w:r>
      <w:r w:rsidRPr="0084672B">
        <w:rPr>
          <w:rFonts w:ascii="Arial" w:eastAsia="Times New Roman" w:hAnsi="Arial" w:cs="Arial"/>
          <w:color w:val="1F1F1F"/>
          <w:kern w:val="0"/>
          <w:sz w:val="22"/>
          <w:szCs w:val="22"/>
          <w:lang w:eastAsia="en-GB"/>
          <w14:ligatures w14:val="none"/>
        </w:rPr>
        <w:t xml:space="preserve"> the aging population</w:t>
      </w:r>
      <w:r w:rsidR="00E07CC4" w:rsidRPr="00E07CC4">
        <w:rPr>
          <w:rFonts w:ascii="Arial" w:eastAsia="Times New Roman" w:hAnsi="Arial" w:cs="Arial"/>
          <w:color w:val="1F1F1F"/>
          <w:kern w:val="0"/>
          <w:sz w:val="22"/>
          <w:szCs w:val="22"/>
          <w:lang w:eastAsia="en-GB"/>
          <w14:ligatures w14:val="none"/>
        </w:rPr>
        <w:t>.</w:t>
      </w:r>
    </w:p>
    <w:p w14:paraId="16BC2AB4" w14:textId="77777777" w:rsidR="0084672B" w:rsidRP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p>
    <w:p w14:paraId="2AD1183E"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Ethical Decision-Making</w:t>
      </w:r>
    </w:p>
    <w:p w14:paraId="329BBAA5" w14:textId="788BBC81" w:rsid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84672B">
        <w:rPr>
          <w:rFonts w:ascii="Arial" w:eastAsia="Times New Roman" w:hAnsi="Arial" w:cs="Arial"/>
          <w:color w:val="1F1F1F"/>
          <w:kern w:val="0"/>
          <w:sz w:val="22"/>
          <w:szCs w:val="22"/>
          <w:lang w:eastAsia="en-GB"/>
          <w14:ligatures w14:val="none"/>
        </w:rPr>
        <w:t>Ethics offers the moral of the medical context. Biomedical ethics have four pillars that include autonomy, beneficence, non-maleficence, and justice; these help professionals to make challenging decisions (Beauchamp and Childress, 2019). The autonomy is extremely critical, because it provides the right of a patient to refuse to be treated with the assistance of Mental Capacity Act (2005). Ethics make sure the provision of care to a person is just (justice) and the results of an intervention at all times outnumber the risks (beneficence and non-maleficence). The lack of solid ethical background would damage the trust between the people and the healthcare system</w:t>
      </w:r>
      <w:r w:rsidR="00E07CC4" w:rsidRPr="00E07CC4">
        <w:rPr>
          <w:rFonts w:ascii="Arial" w:eastAsia="Times New Roman" w:hAnsi="Arial" w:cs="Arial"/>
          <w:color w:val="1F1F1F"/>
          <w:kern w:val="0"/>
          <w:sz w:val="22"/>
          <w:szCs w:val="22"/>
          <w:lang w:eastAsia="en-GB"/>
          <w14:ligatures w14:val="none"/>
        </w:rPr>
        <w:t>.</w:t>
      </w:r>
    </w:p>
    <w:p w14:paraId="5B08C58F" w14:textId="77777777" w:rsidR="0084672B" w:rsidRDefault="0084672B" w:rsidP="006C32CC">
      <w:pPr>
        <w:keepNext/>
        <w:spacing w:after="240" w:line="360" w:lineRule="auto"/>
        <w:jc w:val="center"/>
      </w:pPr>
      <w:r>
        <w:rPr>
          <w:noProof/>
        </w:rPr>
        <w:drawing>
          <wp:inline distT="0" distB="0" distL="0" distR="0" wp14:anchorId="0E85E0C3" wp14:editId="7261BE88">
            <wp:extent cx="5731510" cy="1927225"/>
            <wp:effectExtent l="0" t="0" r="2540" b="0"/>
            <wp:docPr id="120236221" name="Picture 1" descr="Four Pillars of Medical Ethics ⦾ Beneficence (doing good) ⦾ Non-maleficence  (to do no harm) ⦾ Autonomy (giving the patient the freedom to choose  freely, where they are able) ⦾ Justice (ensuring fair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Pillars of Medical Ethics ⦾ Beneficence (doing good) ⦾ Non-maleficence  (to do no harm) ⦾ Autonomy (giving the patient the freedom to choose  freely, where they are able) ⦾ Justice (ensuring fair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27225"/>
                    </a:xfrm>
                    <a:prstGeom prst="rect">
                      <a:avLst/>
                    </a:prstGeom>
                    <a:noFill/>
                    <a:ln>
                      <a:noFill/>
                    </a:ln>
                  </pic:spPr>
                </pic:pic>
              </a:graphicData>
            </a:graphic>
          </wp:inline>
        </w:drawing>
      </w:r>
    </w:p>
    <w:p w14:paraId="533FD9C1" w14:textId="59F1393C" w:rsidR="0084672B" w:rsidRDefault="0084672B" w:rsidP="006C32CC">
      <w:pPr>
        <w:pStyle w:val="Caption"/>
        <w:spacing w:line="360" w:lineRule="auto"/>
        <w:jc w:val="center"/>
      </w:pPr>
      <w:r>
        <w:t xml:space="preserve">Figure </w:t>
      </w:r>
      <w:fldSimple w:instr=" SEQ Figure \* ARABIC ">
        <w:r w:rsidR="006C32CC">
          <w:rPr>
            <w:noProof/>
          </w:rPr>
          <w:t>1</w:t>
        </w:r>
      </w:fldSimple>
      <w:r>
        <w:t>: 4Pillars</w:t>
      </w:r>
    </w:p>
    <w:p w14:paraId="1BE6E5CF" w14:textId="77777777" w:rsidR="0084672B" w:rsidRPr="00E07CC4" w:rsidRDefault="0084672B" w:rsidP="006C32CC">
      <w:pPr>
        <w:spacing w:line="360" w:lineRule="auto"/>
        <w:rPr>
          <w:lang w:eastAsia="en-GB"/>
        </w:rPr>
      </w:pPr>
    </w:p>
    <w:p w14:paraId="1B5427A8" w14:textId="32151F20" w:rsidR="00E07CC4" w:rsidRPr="00E07CC4" w:rsidRDefault="00E07CC4" w:rsidP="006C32CC">
      <w:pPr>
        <w:spacing w:after="120" w:line="360" w:lineRule="auto"/>
        <w:jc w:val="both"/>
        <w:outlineLvl w:val="1"/>
        <w:rPr>
          <w:rFonts w:ascii="Arial" w:eastAsia="Times New Roman" w:hAnsi="Arial" w:cs="Arial"/>
          <w:b/>
          <w:bCs/>
          <w:color w:val="1F1F1F"/>
          <w:kern w:val="0"/>
          <w:sz w:val="22"/>
          <w:szCs w:val="22"/>
          <w:lang w:eastAsia="en-GB"/>
          <w14:ligatures w14:val="none"/>
        </w:rPr>
      </w:pPr>
      <w:bookmarkStart w:id="2" w:name="_Toc220895191"/>
      <w:r w:rsidRPr="00E07CC4">
        <w:rPr>
          <w:rFonts w:ascii="Arial" w:eastAsia="Times New Roman" w:hAnsi="Arial" w:cs="Arial"/>
          <w:b/>
          <w:bCs/>
          <w:color w:val="1F1F1F"/>
          <w:kern w:val="0"/>
          <w:sz w:val="22"/>
          <w:szCs w:val="22"/>
          <w:lang w:eastAsia="en-GB"/>
          <w14:ligatures w14:val="none"/>
        </w:rPr>
        <w:t>Task 2: Practical Examples of Concepts in Practice</w:t>
      </w:r>
      <w:bookmarkEnd w:id="2"/>
      <w:r w:rsidRPr="00E07CC4">
        <w:rPr>
          <w:rFonts w:ascii="Arial" w:eastAsia="Times New Roman" w:hAnsi="Arial" w:cs="Arial"/>
          <w:b/>
          <w:bCs/>
          <w:color w:val="1F1F1F"/>
          <w:kern w:val="0"/>
          <w:sz w:val="22"/>
          <w:szCs w:val="22"/>
          <w:lang w:eastAsia="en-GB"/>
          <w14:ligatures w14:val="none"/>
        </w:rPr>
        <w:t xml:space="preserve"> </w:t>
      </w:r>
    </w:p>
    <w:p w14:paraId="06821819" w14:textId="5116AFF5" w:rsidR="00E07CC4" w:rsidRDefault="00FD4E76"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FD4E76">
        <w:rPr>
          <w:rFonts w:ascii="Arial" w:eastAsia="Times New Roman" w:hAnsi="Arial" w:cs="Arial"/>
          <w:color w:val="1F1F1F"/>
          <w:kern w:val="0"/>
          <w:sz w:val="22"/>
          <w:szCs w:val="22"/>
          <w:lang w:eastAsia="en-GB"/>
          <w14:ligatures w14:val="none"/>
        </w:rPr>
        <w:t>In order to demonstrate how healthcare principles can be put in practice, we can consider the example of a woman, Robyn who has a spinal injury and has switched the agency care to the Personal Health Budget (PHB). Her story outlines the role that person-centred care, partnership working and ethics plays in the UK health and social care framework</w:t>
      </w:r>
      <w:r w:rsidR="00E07CC4" w:rsidRPr="00E07CC4">
        <w:rPr>
          <w:rFonts w:ascii="Arial" w:eastAsia="Times New Roman" w:hAnsi="Arial" w:cs="Arial"/>
          <w:color w:val="1F1F1F"/>
          <w:kern w:val="0"/>
          <w:sz w:val="22"/>
          <w:szCs w:val="22"/>
          <w:lang w:eastAsia="en-GB"/>
          <w14:ligatures w14:val="none"/>
        </w:rPr>
        <w:t>.</w:t>
      </w:r>
    </w:p>
    <w:p w14:paraId="55C14269" w14:textId="77777777" w:rsidR="00FD4E76" w:rsidRPr="00E07CC4" w:rsidRDefault="00FD4E76" w:rsidP="006C32CC">
      <w:pPr>
        <w:spacing w:after="240" w:line="360" w:lineRule="auto"/>
        <w:ind w:firstLine="720"/>
        <w:jc w:val="both"/>
        <w:rPr>
          <w:rFonts w:ascii="Arial" w:eastAsia="Times New Roman" w:hAnsi="Arial" w:cs="Arial"/>
          <w:color w:val="1F1F1F"/>
          <w:kern w:val="0"/>
          <w:sz w:val="22"/>
          <w:szCs w:val="22"/>
          <w:lang w:eastAsia="en-GB"/>
          <w14:ligatures w14:val="none"/>
        </w:rPr>
      </w:pPr>
    </w:p>
    <w:p w14:paraId="47E3362C"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Application of Person-Centred Care</w:t>
      </w:r>
    </w:p>
    <w:p w14:paraId="72A20D93" w14:textId="7EC65445" w:rsidR="00E07CC4" w:rsidRDefault="00FD4E76"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FD4E76">
        <w:rPr>
          <w:rFonts w:ascii="Arial" w:eastAsia="Times New Roman" w:hAnsi="Arial" w:cs="Arial"/>
          <w:color w:val="1F1F1F"/>
          <w:kern w:val="0"/>
          <w:sz w:val="22"/>
          <w:szCs w:val="22"/>
          <w:lang w:eastAsia="en-GB"/>
          <w14:ligatures w14:val="none"/>
        </w:rPr>
        <w:lastRenderedPageBreak/>
        <w:t>Firstly, Robyn had an institutionalized care; in one year alone, she experienced 36 different personal assistants (PAs) and many of them were allergic or scared of animals to have them participate in the interest she had, which was being with the horses. This clinical only thinking did not support her well-being as required by the Care Act 2014 that requires local authorities to combine well-being of individuals though risk-taking that is positive. Moving to PHB, Robyn re-gained independence, and the PAs she has could assist her business of animals in a holistic approach and in her competitive carriage driving. Such a change is based on the humanistic theory which emphasizes the individual values and preferences of a person in order to achieve positive psychological and physical results</w:t>
      </w:r>
      <w:r w:rsidR="00E07CC4" w:rsidRPr="00E07CC4">
        <w:rPr>
          <w:rFonts w:ascii="Arial" w:eastAsia="Times New Roman" w:hAnsi="Arial" w:cs="Arial"/>
          <w:color w:val="1F1F1F"/>
          <w:kern w:val="0"/>
          <w:sz w:val="22"/>
          <w:szCs w:val="22"/>
          <w:lang w:eastAsia="en-GB"/>
          <w14:ligatures w14:val="none"/>
        </w:rPr>
        <w:t>.</w:t>
      </w:r>
    </w:p>
    <w:p w14:paraId="57296BB8" w14:textId="77777777" w:rsidR="0084672B" w:rsidRP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p>
    <w:p w14:paraId="4DEFA734"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Partnership Working in Action</w:t>
      </w:r>
    </w:p>
    <w:p w14:paraId="7DEE57D2" w14:textId="7C1985B8" w:rsidR="00E07CC4" w:rsidRDefault="00FD4E76"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FD4E76">
        <w:rPr>
          <w:rFonts w:ascii="Arial" w:eastAsia="Times New Roman" w:hAnsi="Arial" w:cs="Arial"/>
          <w:color w:val="1F1F1F"/>
          <w:kern w:val="0"/>
          <w:sz w:val="22"/>
          <w:szCs w:val="22"/>
          <w:lang w:eastAsia="en-GB"/>
          <w14:ligatures w14:val="none"/>
        </w:rPr>
        <w:t>The multidisciplinary team (MDT) that included her Continuing Health Care (CHC) nurse and social care teams and Personal Budget Support Service (PBSS) was critical to a successful transition of Robyn. This cooperation made sure that Robyn was not merely receiving care but being involved in her support planning. This is a collaboration that is in line with the Health and Social Care Act 2022 and the philosophy of no decision about me, without me since Robyn eventually created her own care plan to reflect her identity and needs more. This inter-relationship of health and financial support services helps eliminate the silo mentality whereby services tend to break down</w:t>
      </w:r>
      <w:r w:rsidR="00E07CC4" w:rsidRPr="00E07CC4">
        <w:rPr>
          <w:rFonts w:ascii="Arial" w:eastAsia="Times New Roman" w:hAnsi="Arial" w:cs="Arial"/>
          <w:color w:val="1F1F1F"/>
          <w:kern w:val="0"/>
          <w:sz w:val="22"/>
          <w:szCs w:val="22"/>
          <w:lang w:eastAsia="en-GB"/>
          <w14:ligatures w14:val="none"/>
        </w:rPr>
        <w:t>.</w:t>
      </w:r>
    </w:p>
    <w:p w14:paraId="390F08FB" w14:textId="77777777" w:rsidR="0084672B" w:rsidRPr="00E07CC4" w:rsidRDefault="0084672B" w:rsidP="006C32CC">
      <w:pPr>
        <w:spacing w:after="240" w:line="360" w:lineRule="auto"/>
        <w:ind w:firstLine="720"/>
        <w:jc w:val="both"/>
        <w:rPr>
          <w:rFonts w:ascii="Arial" w:eastAsia="Times New Roman" w:hAnsi="Arial" w:cs="Arial"/>
          <w:color w:val="1F1F1F"/>
          <w:kern w:val="0"/>
          <w:sz w:val="22"/>
          <w:szCs w:val="22"/>
          <w:lang w:eastAsia="en-GB"/>
          <w14:ligatures w14:val="none"/>
        </w:rPr>
      </w:pPr>
    </w:p>
    <w:p w14:paraId="3BABFCA4"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Addressing Ethical Challenges</w:t>
      </w:r>
    </w:p>
    <w:p w14:paraId="5007E20A" w14:textId="7F59CE03" w:rsidR="00E07CC4" w:rsidRDefault="00FD4E76"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FD4E76">
        <w:rPr>
          <w:rFonts w:ascii="Arial" w:eastAsia="Times New Roman" w:hAnsi="Arial" w:cs="Arial"/>
          <w:color w:val="1F1F1F"/>
          <w:kern w:val="0"/>
          <w:sz w:val="22"/>
          <w:szCs w:val="22"/>
          <w:lang w:eastAsia="en-GB"/>
          <w14:ligatures w14:val="none"/>
        </w:rPr>
        <w:t>The case involving Robyn had a major conflict of ethics between beneficence (making sure she is not killed) and autonomy (that she has a right to decide who stays in her house). Her basic needs were fulfilled under the former model of an agency but her quality of living was not considered. Applying the Mental Capacity Act 2005 model, Robyn was given the mandate to determine her own choices concerning her care staffs; her autonomy right was not interfered with. Moreover, the concept of justice has been fulfilled by efficient distribution of her PHB, decreasing her dependence on the costly community-based nursing services by assigning her health activities to her qualified PAs. In the end, these principles not only changed her care to become less of a daunting bureaucratic procedure, but she actually was provided with her life back, and this was the model of independence</w:t>
      </w:r>
      <w:r w:rsidR="00E07CC4" w:rsidRPr="00E07CC4">
        <w:rPr>
          <w:rFonts w:ascii="Arial" w:eastAsia="Times New Roman" w:hAnsi="Arial" w:cs="Arial"/>
          <w:color w:val="1F1F1F"/>
          <w:kern w:val="0"/>
          <w:sz w:val="22"/>
          <w:szCs w:val="22"/>
          <w:lang w:eastAsia="en-GB"/>
          <w14:ligatures w14:val="none"/>
        </w:rPr>
        <w:t>.</w:t>
      </w:r>
    </w:p>
    <w:p w14:paraId="3579B30B" w14:textId="4936954B" w:rsidR="006C32CC" w:rsidRDefault="006C32CC" w:rsidP="006C32CC">
      <w:pPr>
        <w:keepNext/>
        <w:spacing w:after="240" w:line="360" w:lineRule="auto"/>
        <w:jc w:val="center"/>
      </w:pPr>
      <w:r>
        <w:rPr>
          <w:noProof/>
        </w:rPr>
        <w:lastRenderedPageBreak/>
        <w:drawing>
          <wp:inline distT="0" distB="0" distL="0" distR="0" wp14:anchorId="5CB041C4" wp14:editId="723771A4">
            <wp:extent cx="4623460" cy="3237325"/>
            <wp:effectExtent l="0" t="0" r="5715" b="1270"/>
            <wp:docPr id="4759834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6146" cy="3239206"/>
                    </a:xfrm>
                    <a:prstGeom prst="rect">
                      <a:avLst/>
                    </a:prstGeom>
                    <a:noFill/>
                  </pic:spPr>
                </pic:pic>
              </a:graphicData>
            </a:graphic>
          </wp:inline>
        </w:drawing>
      </w:r>
    </w:p>
    <w:p w14:paraId="7AF639C4" w14:textId="3D74CC59" w:rsidR="006C32CC" w:rsidRDefault="006C32CC" w:rsidP="006C32CC">
      <w:pPr>
        <w:pStyle w:val="Caption"/>
        <w:spacing w:line="360" w:lineRule="auto"/>
        <w:jc w:val="center"/>
      </w:pPr>
      <w:r>
        <w:t xml:space="preserve">Figure </w:t>
      </w:r>
      <w:fldSimple w:instr=" SEQ Figure \* ARABIC ">
        <w:r>
          <w:rPr>
            <w:noProof/>
          </w:rPr>
          <w:t>2</w:t>
        </w:r>
      </w:fldSimple>
      <w:r>
        <w:t xml:space="preserve">: </w:t>
      </w:r>
      <w:r w:rsidRPr="006C32CC">
        <w:t>the Mental Capacity Act (2005) "best interests" framework</w:t>
      </w:r>
    </w:p>
    <w:p w14:paraId="596FCC08" w14:textId="77777777" w:rsidR="006C32CC" w:rsidRPr="00E07CC4" w:rsidRDefault="006C32CC" w:rsidP="006C32CC">
      <w:pPr>
        <w:spacing w:line="360" w:lineRule="auto"/>
        <w:rPr>
          <w:lang w:eastAsia="en-GB"/>
        </w:rPr>
      </w:pPr>
    </w:p>
    <w:p w14:paraId="597777E4" w14:textId="7B74B8CC" w:rsidR="00E07CC4" w:rsidRPr="00E07CC4" w:rsidRDefault="00E07CC4" w:rsidP="006C32CC">
      <w:pPr>
        <w:spacing w:after="120" w:line="360" w:lineRule="auto"/>
        <w:jc w:val="both"/>
        <w:outlineLvl w:val="1"/>
        <w:rPr>
          <w:rFonts w:ascii="Arial" w:eastAsia="Times New Roman" w:hAnsi="Arial" w:cs="Arial"/>
          <w:b/>
          <w:bCs/>
          <w:color w:val="1F1F1F"/>
          <w:kern w:val="0"/>
          <w:sz w:val="22"/>
          <w:szCs w:val="22"/>
          <w:lang w:eastAsia="en-GB"/>
          <w14:ligatures w14:val="none"/>
        </w:rPr>
      </w:pPr>
      <w:bookmarkStart w:id="3" w:name="_Toc220895192"/>
      <w:r w:rsidRPr="00E07CC4">
        <w:rPr>
          <w:rFonts w:ascii="Arial" w:eastAsia="Times New Roman" w:hAnsi="Arial" w:cs="Arial"/>
          <w:b/>
          <w:bCs/>
          <w:color w:val="1F1F1F"/>
          <w:kern w:val="0"/>
          <w:sz w:val="22"/>
          <w:szCs w:val="22"/>
          <w:lang w:eastAsia="en-GB"/>
          <w14:ligatures w14:val="none"/>
        </w:rPr>
        <w:t>Task 3: Self-Reflection as a Health and Social Care Professional</w:t>
      </w:r>
      <w:bookmarkEnd w:id="3"/>
      <w:r w:rsidRPr="00E07CC4">
        <w:rPr>
          <w:rFonts w:ascii="Arial" w:eastAsia="Times New Roman" w:hAnsi="Arial" w:cs="Arial"/>
          <w:b/>
          <w:bCs/>
          <w:color w:val="1F1F1F"/>
          <w:kern w:val="0"/>
          <w:sz w:val="22"/>
          <w:szCs w:val="22"/>
          <w:lang w:eastAsia="en-GB"/>
          <w14:ligatures w14:val="none"/>
        </w:rPr>
        <w:t xml:space="preserve"> </w:t>
      </w:r>
    </w:p>
    <w:p w14:paraId="573F52FF" w14:textId="440E1A04" w:rsidR="00E07CC4" w:rsidRDefault="006C32CC"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color w:val="1F1F1F"/>
          <w:kern w:val="0"/>
          <w:sz w:val="22"/>
          <w:szCs w:val="22"/>
          <w:lang w:eastAsia="en-GB"/>
          <w14:ligatures w14:val="none"/>
        </w:rPr>
        <w:t>Considering the fact that I will be working as a future health and social care professional, I see that I will have to base my daily activities on the principles of person-centredness, partnership and ethics. This part makes use of the first-person perspective to examine my existing capabilities, developmental priorities and a professional development plan</w:t>
      </w:r>
      <w:r w:rsidR="00E07CC4" w:rsidRPr="00E07CC4">
        <w:rPr>
          <w:rFonts w:ascii="Arial" w:eastAsia="Times New Roman" w:hAnsi="Arial" w:cs="Arial"/>
          <w:color w:val="1F1F1F"/>
          <w:kern w:val="0"/>
          <w:sz w:val="22"/>
          <w:szCs w:val="22"/>
          <w:lang w:eastAsia="en-GB"/>
          <w14:ligatures w14:val="none"/>
        </w:rPr>
        <w:t>.</w:t>
      </w:r>
    </w:p>
    <w:p w14:paraId="2C0F22E5" w14:textId="77777777" w:rsidR="006C32CC" w:rsidRPr="00E07CC4" w:rsidRDefault="006C32CC" w:rsidP="006C32CC">
      <w:pPr>
        <w:spacing w:after="240" w:line="360" w:lineRule="auto"/>
        <w:ind w:firstLine="720"/>
        <w:jc w:val="both"/>
        <w:rPr>
          <w:rFonts w:ascii="Arial" w:eastAsia="Times New Roman" w:hAnsi="Arial" w:cs="Arial"/>
          <w:color w:val="1F1F1F"/>
          <w:kern w:val="0"/>
          <w:sz w:val="22"/>
          <w:szCs w:val="22"/>
          <w:lang w:eastAsia="en-GB"/>
          <w14:ligatures w14:val="none"/>
        </w:rPr>
      </w:pPr>
    </w:p>
    <w:p w14:paraId="335FF36E"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Influence of Principles on My Daily Practice</w:t>
      </w:r>
    </w:p>
    <w:p w14:paraId="030A80EE" w14:textId="251188F0" w:rsidR="00E07CC4" w:rsidRPr="00E07CC4" w:rsidRDefault="006C32CC"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color w:val="1F1F1F"/>
          <w:kern w:val="0"/>
          <w:sz w:val="22"/>
          <w:szCs w:val="22"/>
          <w:lang w:eastAsia="en-GB"/>
          <w14:ligatures w14:val="none"/>
        </w:rPr>
        <w:t xml:space="preserve">Person-centred care is not a policy; it is my prism when regarding my everyday work. I got to know that communication is not the flow of information but an essential form of therapy. Through active listening and an open posture, one of the roles I can perform is validation of lived experiences of service users. This is much closer to the Hierarchy of Needs (1943) by Maslow. Precisely, by making a patient feel heard and respected, I am meeting its needs of the </w:t>
      </w:r>
      <w:proofErr w:type="spellStart"/>
      <w:r w:rsidRPr="006C32CC">
        <w:rPr>
          <w:rFonts w:ascii="Arial" w:eastAsia="Times New Roman" w:hAnsi="Arial" w:cs="Arial"/>
          <w:color w:val="1F1F1F"/>
          <w:kern w:val="0"/>
          <w:sz w:val="22"/>
          <w:szCs w:val="22"/>
          <w:lang w:eastAsia="en-GB"/>
          <w14:ligatures w14:val="none"/>
        </w:rPr>
        <w:t>Esterem</w:t>
      </w:r>
      <w:proofErr w:type="spellEnd"/>
      <w:r w:rsidRPr="006C32CC">
        <w:rPr>
          <w:rFonts w:ascii="Arial" w:eastAsia="Times New Roman" w:hAnsi="Arial" w:cs="Arial"/>
          <w:color w:val="1F1F1F"/>
          <w:kern w:val="0"/>
          <w:sz w:val="22"/>
          <w:szCs w:val="22"/>
          <w:lang w:eastAsia="en-GB"/>
          <w14:ligatures w14:val="none"/>
        </w:rPr>
        <w:t xml:space="preserve"> category. A patient who does not satisfy these psychological needs may not possess the drive/motivation/self-efficacy involvement in rehabilitation or self-management of their condition. Person-centredness will prevent me from adopting a clinical-only view of the issue, but a holistic social model of care, through treating the person behind the diagnosis</w:t>
      </w:r>
      <w:r w:rsidR="00E07CC4" w:rsidRPr="00E07CC4">
        <w:rPr>
          <w:rFonts w:ascii="Arial" w:eastAsia="Times New Roman" w:hAnsi="Arial" w:cs="Arial"/>
          <w:color w:val="1F1F1F"/>
          <w:kern w:val="0"/>
          <w:sz w:val="22"/>
          <w:szCs w:val="22"/>
          <w:lang w:eastAsia="en-GB"/>
          <w14:ligatures w14:val="none"/>
        </w:rPr>
        <w:t>.</w:t>
      </w:r>
    </w:p>
    <w:p w14:paraId="34311BE8" w14:textId="77777777" w:rsidR="006C32CC" w:rsidRPr="006C32CC" w:rsidRDefault="006C32CC"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color w:val="1F1F1F"/>
          <w:kern w:val="0"/>
          <w:sz w:val="22"/>
          <w:szCs w:val="22"/>
          <w:lang w:eastAsia="en-GB"/>
          <w14:ligatures w14:val="none"/>
        </w:rPr>
        <w:lastRenderedPageBreak/>
        <w:t>Partnership also predisposes my professional conduct by reminding me about the importance of the inter-professional respect. Different departments can easily join forces in a high-pressure facility such as the NHS. I also make an effort to close these gaps by creating clear and brief documentation and acting proactively to seek feedback on matters by people in other fields. An example is that in case of the recognition of a possible safeguard problem or a complicated nutrition need, I know that it is my mandate to facilitate, which entails the involvement of other experts like social workers or dieticians in ensuring comprehensive care. Such a collaborative attitude acknowledges the fact that the service user is best off when the web of care is closely knit and communicative.</w:t>
      </w:r>
    </w:p>
    <w:p w14:paraId="4E8E2382" w14:textId="6C971835" w:rsidR="00E07CC4" w:rsidRDefault="006C32CC"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color w:val="1F1F1F"/>
          <w:kern w:val="0"/>
          <w:sz w:val="22"/>
          <w:szCs w:val="22"/>
          <w:lang w:eastAsia="en-GB"/>
          <w14:ligatures w14:val="none"/>
        </w:rPr>
        <w:t>Ethics are my guide in terms of morality, especially in matters of balancing confidentiality and safety. I am consciously using the ethical framework as stipulated by the Data Protection Act (2018) every time I work with sensitive patient data. In addition, the principle of autonomy may be the most challenging issue in the daily practice most of the time. I have understood that observing the right of a service user to take unwise decisions, which the Mental Capacity Act (2005) guarantees their right to, is one of the core features of ethical maturity. It makes me overcome my paternalistic instincts and merely give the individual every bit of information he or she requires to make a sound decision</w:t>
      </w:r>
      <w:r w:rsidR="00E07CC4" w:rsidRPr="00E07CC4">
        <w:rPr>
          <w:rFonts w:ascii="Arial" w:eastAsia="Times New Roman" w:hAnsi="Arial" w:cs="Arial"/>
          <w:color w:val="1F1F1F"/>
          <w:kern w:val="0"/>
          <w:sz w:val="22"/>
          <w:szCs w:val="22"/>
          <w:lang w:eastAsia="en-GB"/>
          <w14:ligatures w14:val="none"/>
        </w:rPr>
        <w:t>.</w:t>
      </w:r>
    </w:p>
    <w:p w14:paraId="4410884E" w14:textId="77777777" w:rsidR="006C32CC" w:rsidRPr="00E07CC4" w:rsidRDefault="006C32CC" w:rsidP="006C32CC">
      <w:pPr>
        <w:spacing w:after="240" w:line="360" w:lineRule="auto"/>
        <w:jc w:val="both"/>
        <w:rPr>
          <w:rFonts w:ascii="Arial" w:eastAsia="Times New Roman" w:hAnsi="Arial" w:cs="Arial"/>
          <w:color w:val="1F1F1F"/>
          <w:kern w:val="0"/>
          <w:sz w:val="22"/>
          <w:szCs w:val="22"/>
          <w:lang w:eastAsia="en-GB"/>
          <w14:ligatures w14:val="none"/>
        </w:rPr>
      </w:pPr>
    </w:p>
    <w:p w14:paraId="3DF4FF2E"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Detailed Skills Assessment and SWOT Analysis</w:t>
      </w:r>
    </w:p>
    <w:p w14:paraId="7AEE5017" w14:textId="17E97490" w:rsidR="00E07CC4" w:rsidRPr="00E07CC4" w:rsidRDefault="006C32CC" w:rsidP="006C32CC">
      <w:pPr>
        <w:spacing w:after="120" w:line="360" w:lineRule="auto"/>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color w:val="1F1F1F"/>
          <w:kern w:val="0"/>
          <w:sz w:val="22"/>
          <w:szCs w:val="22"/>
          <w:lang w:eastAsia="en-GB"/>
          <w14:ligatures w14:val="none"/>
        </w:rPr>
        <w:t>To make my development go, I have performed a SWOT analysis on my professional portrait in detail</w:t>
      </w:r>
      <w:r w:rsidR="00E07CC4" w:rsidRPr="00E07CC4">
        <w:rPr>
          <w:rFonts w:ascii="Arial" w:eastAsia="Times New Roman" w:hAnsi="Arial" w:cs="Arial"/>
          <w:color w:val="1F1F1F"/>
          <w:kern w:val="0"/>
          <w:sz w:val="22"/>
          <w:szCs w:val="22"/>
          <w:lang w:eastAsia="en-GB"/>
          <w14:ligatures w14:val="none"/>
        </w:rPr>
        <w:t>:</w:t>
      </w:r>
    </w:p>
    <w:p w14:paraId="5C81A79D" w14:textId="77777777" w:rsidR="006C32CC" w:rsidRPr="006C32CC" w:rsidRDefault="006C32CC" w:rsidP="006C32CC">
      <w:pPr>
        <w:numPr>
          <w:ilvl w:val="0"/>
          <w:numId w:val="2"/>
        </w:numPr>
        <w:spacing w:after="0" w:line="360" w:lineRule="auto"/>
        <w:jc w:val="both"/>
        <w:rPr>
          <w:rFonts w:ascii="Arial" w:eastAsia="Times New Roman" w:hAnsi="Arial" w:cs="Arial"/>
          <w:b/>
          <w:bCs/>
          <w:color w:val="1F1F1F"/>
          <w:kern w:val="0"/>
          <w:sz w:val="22"/>
          <w:szCs w:val="22"/>
          <w:bdr w:val="none" w:sz="0" w:space="0" w:color="auto" w:frame="1"/>
          <w:lang w:eastAsia="en-GB"/>
          <w14:ligatures w14:val="none"/>
        </w:rPr>
      </w:pPr>
      <w:r w:rsidRPr="006C32CC">
        <w:rPr>
          <w:rFonts w:ascii="Arial" w:eastAsia="Times New Roman" w:hAnsi="Arial" w:cs="Arial"/>
          <w:b/>
          <w:bCs/>
          <w:color w:val="1F1F1F"/>
          <w:kern w:val="0"/>
          <w:sz w:val="22"/>
          <w:szCs w:val="22"/>
          <w:bdr w:val="none" w:sz="0" w:space="0" w:color="auto" w:frame="1"/>
          <w:lang w:eastAsia="en-GB"/>
          <w14:ligatures w14:val="none"/>
        </w:rPr>
        <w:t xml:space="preserve">Strengths: </w:t>
      </w:r>
      <w:r w:rsidRPr="006C32CC">
        <w:rPr>
          <w:rFonts w:ascii="Arial" w:eastAsia="Times New Roman" w:hAnsi="Arial" w:cs="Arial"/>
          <w:color w:val="1F1F1F"/>
          <w:kern w:val="0"/>
          <w:sz w:val="22"/>
          <w:szCs w:val="22"/>
          <w:bdr w:val="none" w:sz="0" w:space="0" w:color="auto" w:frame="1"/>
          <w:lang w:eastAsia="en-GB"/>
          <w14:ligatures w14:val="none"/>
        </w:rPr>
        <w:t>My main strength is high level of emotional intelligence and interpersonal communication. I can also rate building rapport with service users with diverse background quite fast, and this is necessary in establishing trust. Moreover, I possess a strong that has developed a strong foundation in the Care Act (2014) and how well being of individuals should be promoted in any care environment.</w:t>
      </w:r>
    </w:p>
    <w:p w14:paraId="75081610" w14:textId="038BDBFD" w:rsidR="006C32CC" w:rsidRPr="006C32CC" w:rsidRDefault="006C32CC" w:rsidP="006C32CC">
      <w:pPr>
        <w:numPr>
          <w:ilvl w:val="0"/>
          <w:numId w:val="2"/>
        </w:numPr>
        <w:spacing w:after="0" w:line="360" w:lineRule="auto"/>
        <w:jc w:val="both"/>
        <w:rPr>
          <w:rFonts w:ascii="Arial" w:eastAsia="Times New Roman" w:hAnsi="Arial" w:cs="Arial"/>
          <w:color w:val="1F1F1F"/>
          <w:kern w:val="0"/>
          <w:sz w:val="22"/>
          <w:szCs w:val="22"/>
          <w:bdr w:val="none" w:sz="0" w:space="0" w:color="auto" w:frame="1"/>
          <w:lang w:eastAsia="en-GB"/>
          <w14:ligatures w14:val="none"/>
        </w:rPr>
      </w:pPr>
      <w:r w:rsidRPr="006C32CC">
        <w:rPr>
          <w:rFonts w:ascii="Arial" w:eastAsia="Times New Roman" w:hAnsi="Arial" w:cs="Arial"/>
          <w:b/>
          <w:bCs/>
          <w:color w:val="1F1F1F"/>
          <w:kern w:val="0"/>
          <w:sz w:val="22"/>
          <w:szCs w:val="22"/>
          <w:bdr w:val="none" w:sz="0" w:space="0" w:color="auto" w:frame="1"/>
          <w:lang w:eastAsia="en-GB"/>
          <w14:ligatures w14:val="none"/>
        </w:rPr>
        <w:t xml:space="preserve">Weaknesses: </w:t>
      </w:r>
      <w:r w:rsidRPr="006C32CC">
        <w:rPr>
          <w:rFonts w:ascii="Arial" w:eastAsia="Times New Roman" w:hAnsi="Arial" w:cs="Arial"/>
          <w:color w:val="1F1F1F"/>
          <w:kern w:val="0"/>
          <w:sz w:val="22"/>
          <w:szCs w:val="22"/>
          <w:bdr w:val="none" w:sz="0" w:space="0" w:color="auto" w:frame="1"/>
          <w:lang w:eastAsia="en-GB"/>
          <w14:ligatures w14:val="none"/>
        </w:rPr>
        <w:t>I also encounter some weaknesses in that I find myself getting overwhelmed whenever I have to make a decision related to the ethical aspect mainly to make decisions based on the principle of "Justice" verses the principle of Beneficence. An illustration here is when there are scarce resources, I experience difficulty with the emotional challenge involved in prioriti</w:t>
      </w:r>
      <w:r>
        <w:rPr>
          <w:rFonts w:ascii="Arial" w:eastAsia="Times New Roman" w:hAnsi="Arial" w:cs="Arial"/>
          <w:color w:val="1F1F1F"/>
          <w:kern w:val="0"/>
          <w:sz w:val="22"/>
          <w:szCs w:val="22"/>
          <w:bdr w:val="none" w:sz="0" w:space="0" w:color="auto" w:frame="1"/>
          <w:lang w:eastAsia="en-GB"/>
          <w14:ligatures w14:val="none"/>
        </w:rPr>
        <w:t>s</w:t>
      </w:r>
      <w:r w:rsidRPr="006C32CC">
        <w:rPr>
          <w:rFonts w:ascii="Arial" w:eastAsia="Times New Roman" w:hAnsi="Arial" w:cs="Arial"/>
          <w:color w:val="1F1F1F"/>
          <w:kern w:val="0"/>
          <w:sz w:val="22"/>
          <w:szCs w:val="22"/>
          <w:bdr w:val="none" w:sz="0" w:space="0" w:color="auto" w:frame="1"/>
          <w:lang w:eastAsia="en-GB"/>
          <w14:ligatures w14:val="none"/>
        </w:rPr>
        <w:t>ing the patient and denying the attention the other patient needs. Moreover, I know very little about the particular local authority funding processes, and it is a technical area of my professional that lacks.</w:t>
      </w:r>
    </w:p>
    <w:p w14:paraId="52435075" w14:textId="2542B46F" w:rsidR="006C32CC" w:rsidRPr="006C32CC" w:rsidRDefault="006C32CC" w:rsidP="006C32CC">
      <w:pPr>
        <w:numPr>
          <w:ilvl w:val="0"/>
          <w:numId w:val="2"/>
        </w:numPr>
        <w:spacing w:after="0" w:line="360" w:lineRule="auto"/>
        <w:jc w:val="both"/>
        <w:rPr>
          <w:rFonts w:ascii="Arial" w:eastAsia="Times New Roman" w:hAnsi="Arial" w:cs="Arial"/>
          <w:b/>
          <w:bCs/>
          <w:color w:val="1F1F1F"/>
          <w:kern w:val="0"/>
          <w:sz w:val="22"/>
          <w:szCs w:val="22"/>
          <w:bdr w:val="none" w:sz="0" w:space="0" w:color="auto" w:frame="1"/>
          <w:lang w:eastAsia="en-GB"/>
          <w14:ligatures w14:val="none"/>
        </w:rPr>
      </w:pPr>
      <w:r w:rsidRPr="006C32CC">
        <w:rPr>
          <w:rFonts w:ascii="Arial" w:eastAsia="Times New Roman" w:hAnsi="Arial" w:cs="Arial"/>
          <w:b/>
          <w:bCs/>
          <w:color w:val="1F1F1F"/>
          <w:kern w:val="0"/>
          <w:sz w:val="22"/>
          <w:szCs w:val="22"/>
          <w:bdr w:val="none" w:sz="0" w:space="0" w:color="auto" w:frame="1"/>
          <w:lang w:eastAsia="en-GB"/>
          <w14:ligatures w14:val="none"/>
        </w:rPr>
        <w:lastRenderedPageBreak/>
        <w:t xml:space="preserve">Opportunities: </w:t>
      </w:r>
      <w:r w:rsidRPr="006C32CC">
        <w:rPr>
          <w:rFonts w:ascii="Arial" w:eastAsia="Times New Roman" w:hAnsi="Arial" w:cs="Arial"/>
          <w:color w:val="1F1F1F"/>
          <w:kern w:val="0"/>
          <w:sz w:val="22"/>
          <w:szCs w:val="22"/>
          <w:bdr w:val="none" w:sz="0" w:space="0" w:color="auto" w:frame="1"/>
          <w:lang w:eastAsia="en-GB"/>
          <w14:ligatures w14:val="none"/>
        </w:rPr>
        <w:t>The advent of Health and Social Care Act (2022) and the establishment of Integrated Care Boards (ICBs) is an extensive opportunity to me to study about large-scale strategic partnership working. I also would like to explore the digital health technologies that will allow improving the person-centred monitoring and patient involvement.</w:t>
      </w:r>
    </w:p>
    <w:p w14:paraId="7C3412B9" w14:textId="1F0A78BD" w:rsidR="00E07CC4" w:rsidRPr="006C32CC" w:rsidRDefault="006C32CC" w:rsidP="006C32CC">
      <w:pPr>
        <w:numPr>
          <w:ilvl w:val="0"/>
          <w:numId w:val="2"/>
        </w:numPr>
        <w:spacing w:after="0" w:line="360" w:lineRule="auto"/>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b/>
          <w:bCs/>
          <w:color w:val="1F1F1F"/>
          <w:kern w:val="0"/>
          <w:sz w:val="22"/>
          <w:szCs w:val="22"/>
          <w:bdr w:val="none" w:sz="0" w:space="0" w:color="auto" w:frame="1"/>
          <w:lang w:eastAsia="en-GB"/>
          <w14:ligatures w14:val="none"/>
        </w:rPr>
        <w:t xml:space="preserve">Threats: </w:t>
      </w:r>
      <w:r w:rsidRPr="006C32CC">
        <w:rPr>
          <w:rFonts w:ascii="Arial" w:eastAsia="Times New Roman" w:hAnsi="Arial" w:cs="Arial"/>
          <w:color w:val="1F1F1F"/>
          <w:kern w:val="0"/>
          <w:sz w:val="22"/>
          <w:szCs w:val="22"/>
          <w:bdr w:val="none" w:sz="0" w:space="0" w:color="auto" w:frame="1"/>
          <w:lang w:eastAsia="en-GB"/>
          <w14:ligatures w14:val="none"/>
        </w:rPr>
        <w:t>The present situation in the care sector in the UK, which is marked by a high turnover of staff and their elevated burnout, is a threat to my personal capacity to retain the high quality of care I hope to. There exists a threat that the tasks-oriented care will replace the person-centred care because of time limitations.</w:t>
      </w:r>
    </w:p>
    <w:p w14:paraId="63F25504" w14:textId="77777777" w:rsidR="006C32CC" w:rsidRDefault="006C32CC" w:rsidP="006C32CC">
      <w:pPr>
        <w:keepNext/>
        <w:spacing w:after="0" w:line="360" w:lineRule="auto"/>
        <w:jc w:val="center"/>
      </w:pPr>
      <w:r>
        <w:rPr>
          <w:noProof/>
        </w:rPr>
        <w:drawing>
          <wp:inline distT="0" distB="0" distL="0" distR="0" wp14:anchorId="4B51E1AE" wp14:editId="5A2DBDDB">
            <wp:extent cx="2168913" cy="1992536"/>
            <wp:effectExtent l="0" t="0" r="0" b="0"/>
            <wp:docPr id="553307407" name="Picture 5"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WOT: Strengths, Weaknesses, Opportunities, Threa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69527" cy="1993100"/>
                    </a:xfrm>
                    <a:prstGeom prst="rect">
                      <a:avLst/>
                    </a:prstGeom>
                    <a:noFill/>
                    <a:ln>
                      <a:noFill/>
                    </a:ln>
                  </pic:spPr>
                </pic:pic>
              </a:graphicData>
            </a:graphic>
          </wp:inline>
        </w:drawing>
      </w:r>
    </w:p>
    <w:p w14:paraId="564D6EF5" w14:textId="5A5BB9B2" w:rsidR="006C32CC" w:rsidRDefault="006C32CC" w:rsidP="006C32CC">
      <w:pPr>
        <w:pStyle w:val="Caption"/>
        <w:spacing w:line="360" w:lineRule="auto"/>
        <w:jc w:val="center"/>
      </w:pPr>
      <w:r>
        <w:t xml:space="preserve">Figure </w:t>
      </w:r>
      <w:fldSimple w:instr=" SEQ Figure \* ARABIC ">
        <w:r>
          <w:rPr>
            <w:noProof/>
          </w:rPr>
          <w:t>3</w:t>
        </w:r>
      </w:fldSimple>
      <w:r>
        <w:t>: SWOT</w:t>
      </w:r>
    </w:p>
    <w:p w14:paraId="0601E0A9" w14:textId="77777777" w:rsidR="006C32CC" w:rsidRPr="006C32CC" w:rsidRDefault="006C32CC" w:rsidP="006C32CC">
      <w:pPr>
        <w:spacing w:line="360" w:lineRule="auto"/>
      </w:pPr>
    </w:p>
    <w:p w14:paraId="0DB95EE1" w14:textId="77777777" w:rsidR="006C32CC" w:rsidRPr="00E07CC4" w:rsidRDefault="006C32CC" w:rsidP="006C32CC">
      <w:pPr>
        <w:spacing w:after="0" w:line="360" w:lineRule="auto"/>
        <w:ind w:left="720"/>
        <w:jc w:val="both"/>
        <w:rPr>
          <w:rFonts w:ascii="Arial" w:eastAsia="Times New Roman" w:hAnsi="Arial" w:cs="Arial"/>
          <w:color w:val="1F1F1F"/>
          <w:kern w:val="0"/>
          <w:sz w:val="22"/>
          <w:szCs w:val="22"/>
          <w:lang w:eastAsia="en-GB"/>
          <w14:ligatures w14:val="none"/>
        </w:rPr>
      </w:pPr>
    </w:p>
    <w:p w14:paraId="74BF3B9D"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Linking Theory to Professional Growth</w:t>
      </w:r>
    </w:p>
    <w:p w14:paraId="5C2527AC" w14:textId="125D12F5" w:rsidR="006C32CC" w:rsidRPr="006C32CC" w:rsidRDefault="006C32CC"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color w:val="1F1F1F"/>
          <w:kern w:val="0"/>
          <w:sz w:val="22"/>
          <w:szCs w:val="22"/>
          <w:lang w:eastAsia="en-GB"/>
          <w14:ligatures w14:val="none"/>
        </w:rPr>
        <w:t xml:space="preserve">Professional accountability heavily depends on the connection between the theory and practice. It is a lesson of </w:t>
      </w:r>
      <w:proofErr w:type="spellStart"/>
      <w:r w:rsidRPr="006C32CC">
        <w:rPr>
          <w:rFonts w:ascii="Arial" w:eastAsia="Times New Roman" w:hAnsi="Arial" w:cs="Arial"/>
          <w:color w:val="1F1F1F"/>
          <w:kern w:val="0"/>
          <w:sz w:val="22"/>
          <w:szCs w:val="22"/>
          <w:lang w:eastAsia="en-GB"/>
          <w14:ligatures w14:val="none"/>
        </w:rPr>
        <w:t>Maslows</w:t>
      </w:r>
      <w:proofErr w:type="spellEnd"/>
      <w:r w:rsidRPr="006C32CC">
        <w:rPr>
          <w:rFonts w:ascii="Arial" w:eastAsia="Times New Roman" w:hAnsi="Arial" w:cs="Arial"/>
          <w:color w:val="1F1F1F"/>
          <w:kern w:val="0"/>
          <w:sz w:val="22"/>
          <w:szCs w:val="22"/>
          <w:lang w:eastAsia="en-GB"/>
          <w14:ligatures w14:val="none"/>
        </w:rPr>
        <w:t xml:space="preserve"> theory that a patient cannot concentrate on the Self-Actuali</w:t>
      </w:r>
      <w:r>
        <w:rPr>
          <w:rFonts w:ascii="Arial" w:eastAsia="Times New Roman" w:hAnsi="Arial" w:cs="Arial"/>
          <w:color w:val="1F1F1F"/>
          <w:kern w:val="0"/>
          <w:sz w:val="22"/>
          <w:szCs w:val="22"/>
          <w:lang w:eastAsia="en-GB"/>
          <w14:ligatures w14:val="none"/>
        </w:rPr>
        <w:t>s</w:t>
      </w:r>
      <w:r w:rsidRPr="006C32CC">
        <w:rPr>
          <w:rFonts w:ascii="Arial" w:eastAsia="Times New Roman" w:hAnsi="Arial" w:cs="Arial"/>
          <w:color w:val="1F1F1F"/>
          <w:kern w:val="0"/>
          <w:sz w:val="22"/>
          <w:szCs w:val="22"/>
          <w:lang w:eastAsia="en-GB"/>
          <w14:ligatures w14:val="none"/>
        </w:rPr>
        <w:t>ation or complicated medical healing when his/her needs have not been satisfied in the categories of Safety or Physiological. As such, my practice will provide comforts such as warmth, food, and use of security first before other medical interventions.</w:t>
      </w:r>
    </w:p>
    <w:p w14:paraId="4083DAA2" w14:textId="142B5D14" w:rsidR="00E07CC4" w:rsidRDefault="006C32CC"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color w:val="1F1F1F"/>
          <w:kern w:val="0"/>
          <w:sz w:val="22"/>
          <w:szCs w:val="22"/>
          <w:lang w:eastAsia="en-GB"/>
          <w14:ligatures w14:val="none"/>
        </w:rPr>
        <w:t xml:space="preserve">Also, professional codes of conduct, including the Nursing and Midwifery Council (NMC, 2018) or the Health and Care Professions Council (HCPC) offer the ethical foundations of my career. According to these codes, I am required to lead people first and then practice effectively. Considering these codes makes me understand that being a professional is a process of becoming as opposed to being a destination. I need to always compare my activities with such norms so that I could be confident not only doing a job, but </w:t>
      </w:r>
      <w:proofErr w:type="spellStart"/>
      <w:r w:rsidRPr="006C32CC">
        <w:rPr>
          <w:rFonts w:ascii="Arial" w:eastAsia="Times New Roman" w:hAnsi="Arial" w:cs="Arial"/>
          <w:color w:val="1F1F1F"/>
          <w:kern w:val="0"/>
          <w:sz w:val="22"/>
          <w:szCs w:val="22"/>
          <w:lang w:eastAsia="en-GB"/>
          <w14:ligatures w14:val="none"/>
        </w:rPr>
        <w:t>than</w:t>
      </w:r>
      <w:proofErr w:type="spellEnd"/>
      <w:r w:rsidRPr="006C32CC">
        <w:rPr>
          <w:rFonts w:ascii="Arial" w:eastAsia="Times New Roman" w:hAnsi="Arial" w:cs="Arial"/>
          <w:color w:val="1F1F1F"/>
          <w:kern w:val="0"/>
          <w:sz w:val="22"/>
          <w:szCs w:val="22"/>
          <w:lang w:eastAsia="en-GB"/>
          <w14:ligatures w14:val="none"/>
        </w:rPr>
        <w:t xml:space="preserve"> maintaining a trust dedicated to the people</w:t>
      </w:r>
      <w:r w:rsidR="00E07CC4" w:rsidRPr="00E07CC4">
        <w:rPr>
          <w:rFonts w:ascii="Arial" w:eastAsia="Times New Roman" w:hAnsi="Arial" w:cs="Arial"/>
          <w:color w:val="1F1F1F"/>
          <w:kern w:val="0"/>
          <w:sz w:val="22"/>
          <w:szCs w:val="22"/>
          <w:lang w:eastAsia="en-GB"/>
          <w14:ligatures w14:val="none"/>
        </w:rPr>
        <w:t>.</w:t>
      </w:r>
    </w:p>
    <w:p w14:paraId="0043221B" w14:textId="77777777" w:rsidR="006C32CC" w:rsidRPr="00E07CC4" w:rsidRDefault="006C32CC" w:rsidP="006C32CC">
      <w:pPr>
        <w:spacing w:after="240" w:line="360" w:lineRule="auto"/>
        <w:jc w:val="both"/>
        <w:rPr>
          <w:rFonts w:ascii="Arial" w:eastAsia="Times New Roman" w:hAnsi="Arial" w:cs="Arial"/>
          <w:color w:val="1F1F1F"/>
          <w:kern w:val="0"/>
          <w:sz w:val="22"/>
          <w:szCs w:val="22"/>
          <w:lang w:eastAsia="en-GB"/>
          <w14:ligatures w14:val="none"/>
        </w:rPr>
      </w:pPr>
    </w:p>
    <w:p w14:paraId="1D674954"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lastRenderedPageBreak/>
        <w:t>Strategic Plan for Future Enhancement</w:t>
      </w:r>
    </w:p>
    <w:p w14:paraId="1E74D224" w14:textId="77777777" w:rsidR="00E07CC4" w:rsidRPr="00E07CC4" w:rsidRDefault="00E07CC4" w:rsidP="006C32CC">
      <w:pPr>
        <w:spacing w:after="12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To enhance my professional capability, I have developed a three-part strategic action plan for the next twelve months:</w:t>
      </w:r>
    </w:p>
    <w:p w14:paraId="65072541" w14:textId="5D4B8B0C" w:rsidR="006C32CC" w:rsidRPr="006C32CC" w:rsidRDefault="006C32CC" w:rsidP="006C32CC">
      <w:pPr>
        <w:numPr>
          <w:ilvl w:val="0"/>
          <w:numId w:val="3"/>
        </w:numPr>
        <w:spacing w:after="0" w:line="360" w:lineRule="auto"/>
        <w:jc w:val="both"/>
        <w:rPr>
          <w:rFonts w:ascii="Arial" w:eastAsia="Times New Roman" w:hAnsi="Arial" w:cs="Arial"/>
          <w:b/>
          <w:bCs/>
          <w:color w:val="1F1F1F"/>
          <w:kern w:val="0"/>
          <w:sz w:val="22"/>
          <w:szCs w:val="22"/>
          <w:bdr w:val="none" w:sz="0" w:space="0" w:color="auto" w:frame="1"/>
          <w:lang w:eastAsia="en-GB"/>
          <w14:ligatures w14:val="none"/>
        </w:rPr>
      </w:pPr>
      <w:r w:rsidRPr="006C32CC">
        <w:rPr>
          <w:rFonts w:ascii="Arial" w:eastAsia="Times New Roman" w:hAnsi="Arial" w:cs="Arial"/>
          <w:b/>
          <w:bCs/>
          <w:color w:val="1F1F1F"/>
          <w:kern w:val="0"/>
          <w:sz w:val="22"/>
          <w:szCs w:val="22"/>
          <w:bdr w:val="none" w:sz="0" w:space="0" w:color="auto" w:frame="1"/>
          <w:lang w:eastAsia="en-GB"/>
          <w14:ligatures w14:val="none"/>
        </w:rPr>
        <w:t>Specialist Ethical Training (CPD</w:t>
      </w:r>
      <w:r w:rsidRPr="006C32CC">
        <w:rPr>
          <w:rFonts w:ascii="Arial" w:eastAsia="Times New Roman" w:hAnsi="Arial" w:cs="Arial"/>
          <w:color w:val="1F1F1F"/>
          <w:kern w:val="0"/>
          <w:sz w:val="22"/>
          <w:szCs w:val="22"/>
          <w:bdr w:val="none" w:sz="0" w:space="0" w:color="auto" w:frame="1"/>
          <w:lang w:eastAsia="en-GB"/>
          <w14:ligatures w14:val="none"/>
        </w:rPr>
        <w:t>): I will take a certified course related to the Mental Capacity Act (2005) and Deprivation of Liberty Safeguards (</w:t>
      </w:r>
      <w:proofErr w:type="spellStart"/>
      <w:r w:rsidRPr="006C32CC">
        <w:rPr>
          <w:rFonts w:ascii="Arial" w:eastAsia="Times New Roman" w:hAnsi="Arial" w:cs="Arial"/>
          <w:color w:val="1F1F1F"/>
          <w:kern w:val="0"/>
          <w:sz w:val="22"/>
          <w:szCs w:val="22"/>
          <w:bdr w:val="none" w:sz="0" w:space="0" w:color="auto" w:frame="1"/>
          <w:lang w:eastAsia="en-GB"/>
          <w14:ligatures w14:val="none"/>
        </w:rPr>
        <w:t>DoLS</w:t>
      </w:r>
      <w:proofErr w:type="spellEnd"/>
      <w:r w:rsidRPr="006C32CC">
        <w:rPr>
          <w:rFonts w:ascii="Arial" w:eastAsia="Times New Roman" w:hAnsi="Arial" w:cs="Arial"/>
          <w:color w:val="1F1F1F"/>
          <w:kern w:val="0"/>
          <w:sz w:val="22"/>
          <w:szCs w:val="22"/>
          <w:bdr w:val="none" w:sz="0" w:space="0" w:color="auto" w:frame="1"/>
          <w:lang w:eastAsia="en-GB"/>
          <w14:ligatures w14:val="none"/>
        </w:rPr>
        <w:t>). This will specifically solve my weakness in how to deal with ethical dilemmas by equipping me with legal and moral framework of making difficult decisions without hesitation or blame.</w:t>
      </w:r>
    </w:p>
    <w:p w14:paraId="5E2D14BD" w14:textId="50700348" w:rsidR="006C32CC" w:rsidRPr="006C32CC" w:rsidRDefault="006C32CC" w:rsidP="006C32CC">
      <w:pPr>
        <w:numPr>
          <w:ilvl w:val="0"/>
          <w:numId w:val="3"/>
        </w:numPr>
        <w:spacing w:after="0" w:line="360" w:lineRule="auto"/>
        <w:jc w:val="both"/>
        <w:rPr>
          <w:rFonts w:ascii="Arial" w:eastAsia="Times New Roman" w:hAnsi="Arial" w:cs="Arial"/>
          <w:b/>
          <w:bCs/>
          <w:color w:val="1F1F1F"/>
          <w:kern w:val="0"/>
          <w:sz w:val="22"/>
          <w:szCs w:val="22"/>
          <w:bdr w:val="none" w:sz="0" w:space="0" w:color="auto" w:frame="1"/>
          <w:lang w:eastAsia="en-GB"/>
          <w14:ligatures w14:val="none"/>
        </w:rPr>
      </w:pPr>
      <w:r w:rsidRPr="006C32CC">
        <w:rPr>
          <w:rFonts w:ascii="Arial" w:eastAsia="Times New Roman" w:hAnsi="Arial" w:cs="Arial"/>
          <w:b/>
          <w:bCs/>
          <w:color w:val="1F1F1F"/>
          <w:kern w:val="0"/>
          <w:sz w:val="22"/>
          <w:szCs w:val="22"/>
          <w:bdr w:val="none" w:sz="0" w:space="0" w:color="auto" w:frame="1"/>
          <w:lang w:eastAsia="en-GB"/>
          <w14:ligatures w14:val="none"/>
        </w:rPr>
        <w:t xml:space="preserve">Multidisciplinary Immersion: </w:t>
      </w:r>
      <w:r w:rsidRPr="006C32CC">
        <w:rPr>
          <w:rFonts w:ascii="Arial" w:eastAsia="Times New Roman" w:hAnsi="Arial" w:cs="Arial"/>
          <w:color w:val="1F1F1F"/>
          <w:kern w:val="0"/>
          <w:sz w:val="22"/>
          <w:szCs w:val="22"/>
          <w:bdr w:val="none" w:sz="0" w:space="0" w:color="auto" w:frame="1"/>
          <w:lang w:eastAsia="en-GB"/>
          <w14:ligatures w14:val="none"/>
        </w:rPr>
        <w:t>I will arrange shadowing days with other professionals who are not within my area of practice, including occupational therapists and community mental health teams. Through this knowledge about the unique experiences and terminologies of other partners, I will be able to add value to multidisciplinary team (MDT) meetings, which will further improve the quality of integrated care.</w:t>
      </w:r>
    </w:p>
    <w:p w14:paraId="3E0ADF14" w14:textId="1082ADB1" w:rsidR="00E07CC4" w:rsidRDefault="006C32CC" w:rsidP="006C32CC">
      <w:pPr>
        <w:numPr>
          <w:ilvl w:val="0"/>
          <w:numId w:val="3"/>
        </w:numPr>
        <w:spacing w:after="0" w:line="360" w:lineRule="auto"/>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b/>
          <w:bCs/>
          <w:color w:val="1F1F1F"/>
          <w:kern w:val="0"/>
          <w:sz w:val="22"/>
          <w:szCs w:val="22"/>
          <w:bdr w:val="none" w:sz="0" w:space="0" w:color="auto" w:frame="1"/>
          <w:lang w:eastAsia="en-GB"/>
          <w14:ligatures w14:val="none"/>
        </w:rPr>
        <w:t xml:space="preserve">Gibbs Reflective Cycle Adoption: </w:t>
      </w:r>
      <w:r w:rsidRPr="006C32CC">
        <w:rPr>
          <w:rFonts w:ascii="Arial" w:eastAsia="Times New Roman" w:hAnsi="Arial" w:cs="Arial"/>
          <w:color w:val="1F1F1F"/>
          <w:kern w:val="0"/>
          <w:sz w:val="22"/>
          <w:szCs w:val="22"/>
          <w:bdr w:val="none" w:sz="0" w:space="0" w:color="auto" w:frame="1"/>
          <w:lang w:eastAsia="en-GB"/>
          <w14:ligatures w14:val="none"/>
        </w:rPr>
        <w:t>To make sure that my learning is not interrupted, I would apply the Gibbs (1988) Reflective Cycle following completion of every complex case. The process of going through the descriptions, feeling, evaluation, analysis, conclusion, and the plan of action can help me to convert all the difficult experiences into the learning process. This will help my practice not turn to a stagnated point and make it person-centred and evidence-based</w:t>
      </w:r>
      <w:r w:rsidR="00E07CC4" w:rsidRPr="00E07CC4">
        <w:rPr>
          <w:rFonts w:ascii="Arial" w:eastAsia="Times New Roman" w:hAnsi="Arial" w:cs="Arial"/>
          <w:color w:val="1F1F1F"/>
          <w:kern w:val="0"/>
          <w:sz w:val="22"/>
          <w:szCs w:val="22"/>
          <w:lang w:eastAsia="en-GB"/>
          <w14:ligatures w14:val="none"/>
        </w:rPr>
        <w:t>.</w:t>
      </w:r>
    </w:p>
    <w:p w14:paraId="0908F0EC" w14:textId="77777777" w:rsidR="006C32CC" w:rsidRPr="00E07CC4" w:rsidRDefault="006C32CC" w:rsidP="006C32CC">
      <w:pPr>
        <w:spacing w:after="0" w:line="360" w:lineRule="auto"/>
        <w:ind w:left="720"/>
        <w:jc w:val="both"/>
        <w:rPr>
          <w:rFonts w:ascii="Arial" w:eastAsia="Times New Roman" w:hAnsi="Arial" w:cs="Arial"/>
          <w:color w:val="1F1F1F"/>
          <w:kern w:val="0"/>
          <w:sz w:val="22"/>
          <w:szCs w:val="22"/>
          <w:lang w:eastAsia="en-GB"/>
          <w14:ligatures w14:val="none"/>
        </w:rPr>
      </w:pPr>
    </w:p>
    <w:p w14:paraId="421CEAA4" w14:textId="77777777" w:rsidR="00E07CC4" w:rsidRPr="00E07CC4" w:rsidRDefault="00E07CC4" w:rsidP="006C32CC">
      <w:pPr>
        <w:spacing w:after="0" w:line="360" w:lineRule="auto"/>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b/>
          <w:bCs/>
          <w:color w:val="1F1F1F"/>
          <w:kern w:val="0"/>
          <w:sz w:val="22"/>
          <w:szCs w:val="22"/>
          <w:bdr w:val="none" w:sz="0" w:space="0" w:color="auto" w:frame="1"/>
          <w:lang w:eastAsia="en-GB"/>
          <w14:ligatures w14:val="none"/>
        </w:rPr>
        <w:t>Conclusion</w:t>
      </w:r>
    </w:p>
    <w:p w14:paraId="6A627064" w14:textId="6CA136C6" w:rsidR="00E07CC4" w:rsidRPr="00E07CC4" w:rsidRDefault="006C32CC" w:rsidP="006C32CC">
      <w:pPr>
        <w:spacing w:after="240" w:line="360" w:lineRule="auto"/>
        <w:ind w:firstLine="720"/>
        <w:jc w:val="both"/>
        <w:rPr>
          <w:rFonts w:ascii="Arial" w:eastAsia="Times New Roman" w:hAnsi="Arial" w:cs="Arial"/>
          <w:color w:val="1F1F1F"/>
          <w:kern w:val="0"/>
          <w:sz w:val="22"/>
          <w:szCs w:val="22"/>
          <w:lang w:eastAsia="en-GB"/>
          <w14:ligatures w14:val="none"/>
        </w:rPr>
      </w:pPr>
      <w:r w:rsidRPr="006C32CC">
        <w:rPr>
          <w:rFonts w:ascii="Arial" w:eastAsia="Times New Roman" w:hAnsi="Arial" w:cs="Arial"/>
          <w:color w:val="1F1F1F"/>
          <w:kern w:val="0"/>
          <w:sz w:val="22"/>
          <w:szCs w:val="22"/>
          <w:lang w:eastAsia="en-GB"/>
          <w14:ligatures w14:val="none"/>
        </w:rPr>
        <w:t>The UK health and social care is governed by the principles of person-centred care, partnership working and ethics which form the core. This reflection has made me understand that they are not rules but dynamic practices that should always be taken care of, involving emotional work and self-criticism. Following these rules, utili</w:t>
      </w:r>
      <w:r>
        <w:rPr>
          <w:rFonts w:ascii="Arial" w:eastAsia="Times New Roman" w:hAnsi="Arial" w:cs="Arial"/>
          <w:color w:val="1F1F1F"/>
          <w:kern w:val="0"/>
          <w:sz w:val="22"/>
          <w:szCs w:val="22"/>
          <w:lang w:eastAsia="en-GB"/>
          <w14:ligatures w14:val="none"/>
        </w:rPr>
        <w:t>s</w:t>
      </w:r>
      <w:r w:rsidRPr="006C32CC">
        <w:rPr>
          <w:rFonts w:ascii="Arial" w:eastAsia="Times New Roman" w:hAnsi="Arial" w:cs="Arial"/>
          <w:color w:val="1F1F1F"/>
          <w:kern w:val="0"/>
          <w:sz w:val="22"/>
          <w:szCs w:val="22"/>
          <w:lang w:eastAsia="en-GB"/>
          <w14:ligatures w14:val="none"/>
        </w:rPr>
        <w:t>ing legislative provisions such as the Care Act (2014), and being targeted on the well-being of each person, I will be able to make contributions to a healthcare system that will not only be efficient but also highly caring and fair</w:t>
      </w:r>
      <w:r w:rsidR="00E07CC4" w:rsidRPr="00E07CC4">
        <w:rPr>
          <w:rFonts w:ascii="Arial" w:eastAsia="Times New Roman" w:hAnsi="Arial" w:cs="Arial"/>
          <w:color w:val="1F1F1F"/>
          <w:kern w:val="0"/>
          <w:sz w:val="22"/>
          <w:szCs w:val="22"/>
          <w:lang w:eastAsia="en-GB"/>
          <w14:ligatures w14:val="none"/>
        </w:rPr>
        <w:t>.</w:t>
      </w:r>
    </w:p>
    <w:p w14:paraId="6BD0042D" w14:textId="77777777" w:rsidR="00E07CC4" w:rsidRPr="0084672B" w:rsidRDefault="00E07CC4" w:rsidP="006C32CC">
      <w:pPr>
        <w:spacing w:line="360" w:lineRule="auto"/>
        <w:jc w:val="both"/>
        <w:rPr>
          <w:rFonts w:ascii="Arial" w:eastAsia="Times New Roman" w:hAnsi="Arial" w:cs="Arial"/>
          <w:b/>
          <w:bCs/>
          <w:color w:val="1F1F1F"/>
          <w:kern w:val="0"/>
          <w:sz w:val="22"/>
          <w:szCs w:val="22"/>
          <w:lang w:eastAsia="en-GB"/>
          <w14:ligatures w14:val="none"/>
        </w:rPr>
      </w:pPr>
      <w:r w:rsidRPr="0084672B">
        <w:rPr>
          <w:rFonts w:ascii="Arial" w:eastAsia="Times New Roman" w:hAnsi="Arial" w:cs="Arial"/>
          <w:b/>
          <w:bCs/>
          <w:color w:val="1F1F1F"/>
          <w:kern w:val="0"/>
          <w:sz w:val="22"/>
          <w:szCs w:val="22"/>
          <w:lang w:eastAsia="en-GB"/>
          <w14:ligatures w14:val="none"/>
        </w:rPr>
        <w:br w:type="page"/>
      </w:r>
    </w:p>
    <w:p w14:paraId="5D7E8BDC" w14:textId="0A90B081" w:rsidR="00E07CC4" w:rsidRPr="00E07CC4" w:rsidRDefault="00E07CC4" w:rsidP="006C32CC">
      <w:pPr>
        <w:spacing w:after="120" w:line="360" w:lineRule="auto"/>
        <w:jc w:val="both"/>
        <w:outlineLvl w:val="1"/>
        <w:rPr>
          <w:rFonts w:ascii="Arial" w:eastAsia="Times New Roman" w:hAnsi="Arial" w:cs="Arial"/>
          <w:b/>
          <w:bCs/>
          <w:color w:val="1F1F1F"/>
          <w:kern w:val="0"/>
          <w:sz w:val="22"/>
          <w:szCs w:val="22"/>
          <w:lang w:eastAsia="en-GB"/>
          <w14:ligatures w14:val="none"/>
        </w:rPr>
      </w:pPr>
      <w:bookmarkStart w:id="4" w:name="_Toc220895193"/>
      <w:r w:rsidRPr="00E07CC4">
        <w:rPr>
          <w:rFonts w:ascii="Arial" w:eastAsia="Times New Roman" w:hAnsi="Arial" w:cs="Arial"/>
          <w:b/>
          <w:bCs/>
          <w:color w:val="1F1F1F"/>
          <w:kern w:val="0"/>
          <w:sz w:val="22"/>
          <w:szCs w:val="22"/>
          <w:lang w:eastAsia="en-GB"/>
          <w14:ligatures w14:val="none"/>
        </w:rPr>
        <w:lastRenderedPageBreak/>
        <w:t>Reference List</w:t>
      </w:r>
      <w:bookmarkEnd w:id="4"/>
    </w:p>
    <w:p w14:paraId="1FB7A318" w14:textId="77777777"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Beauchamp, T.L. and Childress, J.F. (2019) </w:t>
      </w:r>
      <w:r w:rsidRPr="00E07CC4">
        <w:rPr>
          <w:rFonts w:ascii="Arial" w:eastAsia="Times New Roman" w:hAnsi="Arial" w:cs="Arial"/>
          <w:color w:val="1F1F1F"/>
          <w:kern w:val="0"/>
          <w:sz w:val="22"/>
          <w:szCs w:val="22"/>
          <w:bdr w:val="none" w:sz="0" w:space="0" w:color="auto" w:frame="1"/>
          <w:lang w:eastAsia="en-GB"/>
          <w14:ligatures w14:val="none"/>
        </w:rPr>
        <w:t>Principles of Biomedical Ethics</w:t>
      </w:r>
      <w:r w:rsidRPr="00E07CC4">
        <w:rPr>
          <w:rFonts w:ascii="Arial" w:eastAsia="Times New Roman" w:hAnsi="Arial" w:cs="Arial"/>
          <w:color w:val="1F1F1F"/>
          <w:kern w:val="0"/>
          <w:sz w:val="22"/>
          <w:szCs w:val="22"/>
          <w:lang w:eastAsia="en-GB"/>
          <w14:ligatures w14:val="none"/>
        </w:rPr>
        <w:t xml:space="preserve">. 8th </w:t>
      </w:r>
      <w:proofErr w:type="spellStart"/>
      <w:r w:rsidRPr="00E07CC4">
        <w:rPr>
          <w:rFonts w:ascii="Arial" w:eastAsia="Times New Roman" w:hAnsi="Arial" w:cs="Arial"/>
          <w:color w:val="1F1F1F"/>
          <w:kern w:val="0"/>
          <w:sz w:val="22"/>
          <w:szCs w:val="22"/>
          <w:lang w:eastAsia="en-GB"/>
          <w14:ligatures w14:val="none"/>
        </w:rPr>
        <w:t>edn</w:t>
      </w:r>
      <w:proofErr w:type="spellEnd"/>
      <w:r w:rsidRPr="00E07CC4">
        <w:rPr>
          <w:rFonts w:ascii="Arial" w:eastAsia="Times New Roman" w:hAnsi="Arial" w:cs="Arial"/>
          <w:color w:val="1F1F1F"/>
          <w:kern w:val="0"/>
          <w:sz w:val="22"/>
          <w:szCs w:val="22"/>
          <w:lang w:eastAsia="en-GB"/>
          <w14:ligatures w14:val="none"/>
        </w:rPr>
        <w:t>. Oxford: Oxford University Press.</w:t>
      </w:r>
    </w:p>
    <w:p w14:paraId="62F896E6" w14:textId="77777777" w:rsidR="006C32CC" w:rsidRPr="00E07CC4" w:rsidRDefault="006C32CC" w:rsidP="006C32CC">
      <w:pPr>
        <w:spacing w:after="12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Care Act 2014, c. 23. Available at: https://www.legislation.gov.uk/ukpga/2014/23/contents </w:t>
      </w:r>
    </w:p>
    <w:p w14:paraId="75C1E4D2" w14:textId="77777777"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Care Quality Commission (CQC) (2023) </w:t>
      </w:r>
      <w:r w:rsidRPr="00E07CC4">
        <w:rPr>
          <w:rFonts w:ascii="Arial" w:eastAsia="Times New Roman" w:hAnsi="Arial" w:cs="Arial"/>
          <w:color w:val="1F1F1F"/>
          <w:kern w:val="0"/>
          <w:sz w:val="22"/>
          <w:szCs w:val="22"/>
          <w:bdr w:val="none" w:sz="0" w:space="0" w:color="auto" w:frame="1"/>
          <w:lang w:eastAsia="en-GB"/>
          <w14:ligatures w14:val="none"/>
        </w:rPr>
        <w:t>The State of Health Care and Adult Social Care in England 2022/23</w:t>
      </w:r>
      <w:r w:rsidRPr="00E07CC4">
        <w:rPr>
          <w:rFonts w:ascii="Arial" w:eastAsia="Times New Roman" w:hAnsi="Arial" w:cs="Arial"/>
          <w:color w:val="1F1F1F"/>
          <w:kern w:val="0"/>
          <w:sz w:val="22"/>
          <w:szCs w:val="22"/>
          <w:lang w:eastAsia="en-GB"/>
          <w14:ligatures w14:val="none"/>
        </w:rPr>
        <w:t>. London: CQC.</w:t>
      </w:r>
      <w:r w:rsidRPr="006C32CC">
        <w:rPr>
          <w:rFonts w:ascii="Arial" w:eastAsia="Times New Roman" w:hAnsi="Arial" w:cs="Arial"/>
          <w:color w:val="1F1F1F"/>
          <w:kern w:val="0"/>
          <w:sz w:val="22"/>
          <w:szCs w:val="22"/>
          <w:lang w:eastAsia="en-GB"/>
          <w14:ligatures w14:val="none"/>
        </w:rPr>
        <w:t xml:space="preserve"> Available at: https://www.gov.uk/government/publications/state-of-health-and-adult-social-care-in-england-2023-to-2024</w:t>
      </w:r>
    </w:p>
    <w:p w14:paraId="2A744261" w14:textId="77777777" w:rsidR="006C32CC" w:rsidRPr="00E07CC4" w:rsidRDefault="006C32CC" w:rsidP="006C32CC">
      <w:pPr>
        <w:spacing w:after="12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Data Protection Act 2018, c. 12. Available at: https://www.legislation.gov.uk/ukpga/2018/12/contents </w:t>
      </w:r>
    </w:p>
    <w:p w14:paraId="492340E7" w14:textId="77777777"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Gibbs, G. (1988) </w:t>
      </w:r>
      <w:r w:rsidRPr="00E07CC4">
        <w:rPr>
          <w:rFonts w:ascii="Arial" w:eastAsia="Times New Roman" w:hAnsi="Arial" w:cs="Arial"/>
          <w:color w:val="1F1F1F"/>
          <w:kern w:val="0"/>
          <w:sz w:val="22"/>
          <w:szCs w:val="22"/>
          <w:bdr w:val="none" w:sz="0" w:space="0" w:color="auto" w:frame="1"/>
          <w:lang w:eastAsia="en-GB"/>
          <w14:ligatures w14:val="none"/>
        </w:rPr>
        <w:t>Learning by Doing: A Guide to Teaching and Learning Methods</w:t>
      </w:r>
      <w:r w:rsidRPr="00E07CC4">
        <w:rPr>
          <w:rFonts w:ascii="Arial" w:eastAsia="Times New Roman" w:hAnsi="Arial" w:cs="Arial"/>
          <w:color w:val="1F1F1F"/>
          <w:kern w:val="0"/>
          <w:sz w:val="22"/>
          <w:szCs w:val="22"/>
          <w:lang w:eastAsia="en-GB"/>
          <w14:ligatures w14:val="none"/>
        </w:rPr>
        <w:t>. Oxford: Further Education Unit.</w:t>
      </w:r>
    </w:p>
    <w:p w14:paraId="687DCA90" w14:textId="77777777"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Glasby, J. (2017) </w:t>
      </w:r>
      <w:r w:rsidRPr="00E07CC4">
        <w:rPr>
          <w:rFonts w:ascii="Arial" w:eastAsia="Times New Roman" w:hAnsi="Arial" w:cs="Arial"/>
          <w:color w:val="1F1F1F"/>
          <w:kern w:val="0"/>
          <w:sz w:val="22"/>
          <w:szCs w:val="22"/>
          <w:bdr w:val="none" w:sz="0" w:space="0" w:color="auto" w:frame="1"/>
          <w:lang w:eastAsia="en-GB"/>
          <w14:ligatures w14:val="none"/>
        </w:rPr>
        <w:t>Evidence-Based Practice in Health and Social Care</w:t>
      </w:r>
      <w:r w:rsidRPr="00E07CC4">
        <w:rPr>
          <w:rFonts w:ascii="Arial" w:eastAsia="Times New Roman" w:hAnsi="Arial" w:cs="Arial"/>
          <w:color w:val="1F1F1F"/>
          <w:kern w:val="0"/>
          <w:sz w:val="22"/>
          <w:szCs w:val="22"/>
          <w:lang w:eastAsia="en-GB"/>
          <w14:ligatures w14:val="none"/>
        </w:rPr>
        <w:t xml:space="preserve">. 2nd </w:t>
      </w:r>
      <w:proofErr w:type="spellStart"/>
      <w:r w:rsidRPr="00E07CC4">
        <w:rPr>
          <w:rFonts w:ascii="Arial" w:eastAsia="Times New Roman" w:hAnsi="Arial" w:cs="Arial"/>
          <w:color w:val="1F1F1F"/>
          <w:kern w:val="0"/>
          <w:sz w:val="22"/>
          <w:szCs w:val="22"/>
          <w:lang w:eastAsia="en-GB"/>
          <w14:ligatures w14:val="none"/>
        </w:rPr>
        <w:t>edn</w:t>
      </w:r>
      <w:proofErr w:type="spellEnd"/>
      <w:r w:rsidRPr="00E07CC4">
        <w:rPr>
          <w:rFonts w:ascii="Arial" w:eastAsia="Times New Roman" w:hAnsi="Arial" w:cs="Arial"/>
          <w:color w:val="1F1F1F"/>
          <w:kern w:val="0"/>
          <w:sz w:val="22"/>
          <w:szCs w:val="22"/>
          <w:lang w:eastAsia="en-GB"/>
          <w14:ligatures w14:val="none"/>
        </w:rPr>
        <w:t>. Bristol: Policy Press.</w:t>
      </w:r>
    </w:p>
    <w:p w14:paraId="3CD0DEB0" w14:textId="77777777" w:rsidR="006C32CC" w:rsidRPr="006C32CC" w:rsidRDefault="006C32CC" w:rsidP="006C32CC">
      <w:pPr>
        <w:spacing w:after="0" w:line="360" w:lineRule="auto"/>
        <w:ind w:left="720" w:hanging="720"/>
        <w:jc w:val="both"/>
        <w:rPr>
          <w:rFonts w:ascii="Arial" w:eastAsia="Times New Roman" w:hAnsi="Arial" w:cs="Arial"/>
          <w:kern w:val="0"/>
          <w:sz w:val="22"/>
          <w:szCs w:val="22"/>
          <w:lang w:eastAsia="en-GB"/>
          <w14:ligatures w14:val="none"/>
        </w:rPr>
      </w:pPr>
      <w:r w:rsidRPr="006C32CC">
        <w:rPr>
          <w:rFonts w:ascii="Arial" w:eastAsia="Times New Roman" w:hAnsi="Arial" w:cs="Arial"/>
          <w:kern w:val="0"/>
          <w:sz w:val="22"/>
          <w:szCs w:val="22"/>
          <w:lang w:eastAsia="en-GB"/>
          <w14:ligatures w14:val="none"/>
        </w:rPr>
        <w:t xml:space="preserve">Health and Care Professions Council (HCPC) (2016) </w:t>
      </w:r>
      <w:r w:rsidRPr="006C32CC">
        <w:rPr>
          <w:rFonts w:ascii="Arial" w:eastAsia="Times New Roman" w:hAnsi="Arial" w:cs="Arial"/>
          <w:kern w:val="0"/>
          <w:sz w:val="22"/>
          <w:szCs w:val="22"/>
          <w:bdr w:val="none" w:sz="0" w:space="0" w:color="auto" w:frame="1"/>
          <w:lang w:eastAsia="en-GB"/>
          <w14:ligatures w14:val="none"/>
        </w:rPr>
        <w:t>Standards of Conduct, Performance and Ethics</w:t>
      </w:r>
      <w:r w:rsidRPr="006C32CC">
        <w:rPr>
          <w:rFonts w:ascii="Arial" w:eastAsia="Times New Roman" w:hAnsi="Arial" w:cs="Arial"/>
          <w:kern w:val="0"/>
          <w:sz w:val="22"/>
          <w:szCs w:val="22"/>
          <w:lang w:eastAsia="en-GB"/>
          <w14:ligatures w14:val="none"/>
        </w:rPr>
        <w:t>. London: HCPC. Available at: https://www.hcpc-uk.org/standards/standards-of-conduct-performance-and-ethics/</w:t>
      </w:r>
    </w:p>
    <w:p w14:paraId="33FBE0C0" w14:textId="77777777" w:rsidR="006C32CC" w:rsidRPr="00E07CC4" w:rsidRDefault="006C32CC" w:rsidP="006C32CC">
      <w:pPr>
        <w:spacing w:after="12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Health and Social Care Act 2022, c. 31. Available at: https://www.legislation.gov.uk/ukpga/2022/31/contents </w:t>
      </w:r>
    </w:p>
    <w:p w14:paraId="60EA0548" w14:textId="77777777"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Maslow, A.H. (1943) ‘A theory of human motivation’, </w:t>
      </w:r>
      <w:r w:rsidRPr="00E07CC4">
        <w:rPr>
          <w:rFonts w:ascii="Arial" w:eastAsia="Times New Roman" w:hAnsi="Arial" w:cs="Arial"/>
          <w:color w:val="1F1F1F"/>
          <w:kern w:val="0"/>
          <w:sz w:val="22"/>
          <w:szCs w:val="22"/>
          <w:bdr w:val="none" w:sz="0" w:space="0" w:color="auto" w:frame="1"/>
          <w:lang w:eastAsia="en-GB"/>
          <w14:ligatures w14:val="none"/>
        </w:rPr>
        <w:t>Psychological Review</w:t>
      </w:r>
      <w:r w:rsidRPr="00E07CC4">
        <w:rPr>
          <w:rFonts w:ascii="Arial" w:eastAsia="Times New Roman" w:hAnsi="Arial" w:cs="Arial"/>
          <w:color w:val="1F1F1F"/>
          <w:kern w:val="0"/>
          <w:sz w:val="22"/>
          <w:szCs w:val="22"/>
          <w:lang w:eastAsia="en-GB"/>
          <w14:ligatures w14:val="none"/>
        </w:rPr>
        <w:t>, 50(4), pp. 370–396.</w:t>
      </w:r>
    </w:p>
    <w:p w14:paraId="0CD98BB4" w14:textId="77777777" w:rsidR="006C32CC" w:rsidRPr="00E07CC4" w:rsidRDefault="006C32CC" w:rsidP="006C32CC">
      <w:pPr>
        <w:spacing w:after="12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Mental Capacity Act 2005, c. 9. Available at: https://www.legislation.gov.uk/ukpga/2005/9/contents </w:t>
      </w:r>
    </w:p>
    <w:p w14:paraId="10D12520" w14:textId="77777777"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National Institute for Health and Care Excellence (NICE) (2018) </w:t>
      </w:r>
      <w:r w:rsidRPr="00E07CC4">
        <w:rPr>
          <w:rFonts w:ascii="Arial" w:eastAsia="Times New Roman" w:hAnsi="Arial" w:cs="Arial"/>
          <w:color w:val="1F1F1F"/>
          <w:kern w:val="0"/>
          <w:sz w:val="22"/>
          <w:szCs w:val="22"/>
          <w:bdr w:val="none" w:sz="0" w:space="0" w:color="auto" w:frame="1"/>
          <w:lang w:eastAsia="en-GB"/>
          <w14:ligatures w14:val="none"/>
        </w:rPr>
        <w:t>People’s experience in adult social care services: improving the experience of care and support for people using adult social care services</w:t>
      </w:r>
      <w:r w:rsidRPr="00E07CC4">
        <w:rPr>
          <w:rFonts w:ascii="Arial" w:eastAsia="Times New Roman" w:hAnsi="Arial" w:cs="Arial"/>
          <w:color w:val="1F1F1F"/>
          <w:kern w:val="0"/>
          <w:sz w:val="22"/>
          <w:szCs w:val="22"/>
          <w:lang w:eastAsia="en-GB"/>
          <w14:ligatures w14:val="none"/>
        </w:rPr>
        <w:t>. London: NICE.</w:t>
      </w:r>
      <w:r w:rsidRPr="006C32CC">
        <w:rPr>
          <w:rFonts w:ascii="Arial" w:eastAsia="Times New Roman" w:hAnsi="Arial" w:cs="Arial"/>
          <w:color w:val="1F1F1F"/>
          <w:kern w:val="0"/>
          <w:sz w:val="22"/>
          <w:szCs w:val="22"/>
          <w:lang w:eastAsia="en-GB"/>
          <w14:ligatures w14:val="none"/>
        </w:rPr>
        <w:t xml:space="preserve"> Available at: https://www.nice.org.uk/guidance/ng86</w:t>
      </w:r>
    </w:p>
    <w:p w14:paraId="428A00F6" w14:textId="77777777" w:rsidR="006C32CC" w:rsidRPr="006C32CC" w:rsidRDefault="006C32CC" w:rsidP="006C32CC">
      <w:pPr>
        <w:spacing w:after="0" w:line="360" w:lineRule="auto"/>
        <w:ind w:left="720" w:hanging="720"/>
        <w:jc w:val="both"/>
        <w:rPr>
          <w:rFonts w:ascii="Arial" w:eastAsia="Times New Roman" w:hAnsi="Arial" w:cs="Arial"/>
          <w:kern w:val="0"/>
          <w:sz w:val="22"/>
          <w:szCs w:val="22"/>
          <w:lang w:eastAsia="en-GB"/>
          <w14:ligatures w14:val="none"/>
        </w:rPr>
      </w:pPr>
      <w:r w:rsidRPr="006C32CC">
        <w:rPr>
          <w:rFonts w:ascii="Arial" w:eastAsia="Times New Roman" w:hAnsi="Arial" w:cs="Arial"/>
          <w:kern w:val="0"/>
          <w:sz w:val="22"/>
          <w:szCs w:val="22"/>
          <w:lang w:eastAsia="en-GB"/>
          <w14:ligatures w14:val="none"/>
        </w:rPr>
        <w:t xml:space="preserve">Nursing and Midwifery Council (NMC) (2018) </w:t>
      </w:r>
      <w:r w:rsidRPr="006C32CC">
        <w:rPr>
          <w:rFonts w:ascii="Arial" w:eastAsia="Times New Roman" w:hAnsi="Arial" w:cs="Arial"/>
          <w:kern w:val="0"/>
          <w:sz w:val="22"/>
          <w:szCs w:val="22"/>
          <w:bdr w:val="none" w:sz="0" w:space="0" w:color="auto" w:frame="1"/>
          <w:lang w:eastAsia="en-GB"/>
          <w14:ligatures w14:val="none"/>
        </w:rPr>
        <w:t>The Code: Professional standards of practice and behaviour for nurses, midwives and nursing associates</w:t>
      </w:r>
      <w:r w:rsidRPr="006C32CC">
        <w:rPr>
          <w:rFonts w:ascii="Arial" w:eastAsia="Times New Roman" w:hAnsi="Arial" w:cs="Arial"/>
          <w:kern w:val="0"/>
          <w:sz w:val="22"/>
          <w:szCs w:val="22"/>
          <w:lang w:eastAsia="en-GB"/>
          <w14:ligatures w14:val="none"/>
        </w:rPr>
        <w:t>. London: NMC. Available at: https://www.nmc.org.uk/standards/code/</w:t>
      </w:r>
    </w:p>
    <w:p w14:paraId="4353AA05" w14:textId="77777777"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Rogers, C.R. (1951) </w:t>
      </w:r>
      <w:r w:rsidRPr="00E07CC4">
        <w:rPr>
          <w:rFonts w:ascii="Arial" w:eastAsia="Times New Roman" w:hAnsi="Arial" w:cs="Arial"/>
          <w:color w:val="1F1F1F"/>
          <w:kern w:val="0"/>
          <w:sz w:val="22"/>
          <w:szCs w:val="22"/>
          <w:bdr w:val="none" w:sz="0" w:space="0" w:color="auto" w:frame="1"/>
          <w:lang w:eastAsia="en-GB"/>
          <w14:ligatures w14:val="none"/>
        </w:rPr>
        <w:t>Client-</w:t>
      </w:r>
      <w:proofErr w:type="spellStart"/>
      <w:r w:rsidRPr="00E07CC4">
        <w:rPr>
          <w:rFonts w:ascii="Arial" w:eastAsia="Times New Roman" w:hAnsi="Arial" w:cs="Arial"/>
          <w:color w:val="1F1F1F"/>
          <w:kern w:val="0"/>
          <w:sz w:val="22"/>
          <w:szCs w:val="22"/>
          <w:bdr w:val="none" w:sz="0" w:space="0" w:color="auto" w:frame="1"/>
          <w:lang w:eastAsia="en-GB"/>
          <w14:ligatures w14:val="none"/>
        </w:rPr>
        <w:t>Centered</w:t>
      </w:r>
      <w:proofErr w:type="spellEnd"/>
      <w:r w:rsidRPr="00E07CC4">
        <w:rPr>
          <w:rFonts w:ascii="Arial" w:eastAsia="Times New Roman" w:hAnsi="Arial" w:cs="Arial"/>
          <w:color w:val="1F1F1F"/>
          <w:kern w:val="0"/>
          <w:sz w:val="22"/>
          <w:szCs w:val="22"/>
          <w:bdr w:val="none" w:sz="0" w:space="0" w:color="auto" w:frame="1"/>
          <w:lang w:eastAsia="en-GB"/>
          <w14:ligatures w14:val="none"/>
        </w:rPr>
        <w:t xml:space="preserve"> Therapy: Its Current Practice, Implications and Theory</w:t>
      </w:r>
      <w:r w:rsidRPr="00E07CC4">
        <w:rPr>
          <w:rFonts w:ascii="Arial" w:eastAsia="Times New Roman" w:hAnsi="Arial" w:cs="Arial"/>
          <w:color w:val="1F1F1F"/>
          <w:kern w:val="0"/>
          <w:sz w:val="22"/>
          <w:szCs w:val="22"/>
          <w:lang w:eastAsia="en-GB"/>
          <w14:ligatures w14:val="none"/>
        </w:rPr>
        <w:t>. London: Constable.</w:t>
      </w:r>
    </w:p>
    <w:p w14:paraId="7BAE54AF" w14:textId="77777777"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t xml:space="preserve">Thompson, N. (2021) </w:t>
      </w:r>
      <w:r w:rsidRPr="00E07CC4">
        <w:rPr>
          <w:rFonts w:ascii="Arial" w:eastAsia="Times New Roman" w:hAnsi="Arial" w:cs="Arial"/>
          <w:color w:val="1F1F1F"/>
          <w:kern w:val="0"/>
          <w:sz w:val="22"/>
          <w:szCs w:val="22"/>
          <w:bdr w:val="none" w:sz="0" w:space="0" w:color="auto" w:frame="1"/>
          <w:lang w:eastAsia="en-GB"/>
          <w14:ligatures w14:val="none"/>
        </w:rPr>
        <w:t>Anti-Discriminatory Practice: Equality, Diversity and Social Justice</w:t>
      </w:r>
      <w:r w:rsidRPr="00E07CC4">
        <w:rPr>
          <w:rFonts w:ascii="Arial" w:eastAsia="Times New Roman" w:hAnsi="Arial" w:cs="Arial"/>
          <w:color w:val="1F1F1F"/>
          <w:kern w:val="0"/>
          <w:sz w:val="22"/>
          <w:szCs w:val="22"/>
          <w:lang w:eastAsia="en-GB"/>
          <w14:ligatures w14:val="none"/>
        </w:rPr>
        <w:t xml:space="preserve">. 7th </w:t>
      </w:r>
      <w:proofErr w:type="spellStart"/>
      <w:r w:rsidRPr="00E07CC4">
        <w:rPr>
          <w:rFonts w:ascii="Arial" w:eastAsia="Times New Roman" w:hAnsi="Arial" w:cs="Arial"/>
          <w:color w:val="1F1F1F"/>
          <w:kern w:val="0"/>
          <w:sz w:val="22"/>
          <w:szCs w:val="22"/>
          <w:lang w:eastAsia="en-GB"/>
          <w14:ligatures w14:val="none"/>
        </w:rPr>
        <w:t>edn</w:t>
      </w:r>
      <w:proofErr w:type="spellEnd"/>
      <w:r w:rsidRPr="00E07CC4">
        <w:rPr>
          <w:rFonts w:ascii="Arial" w:eastAsia="Times New Roman" w:hAnsi="Arial" w:cs="Arial"/>
          <w:color w:val="1F1F1F"/>
          <w:kern w:val="0"/>
          <w:sz w:val="22"/>
          <w:szCs w:val="22"/>
          <w:lang w:eastAsia="en-GB"/>
          <w14:ligatures w14:val="none"/>
        </w:rPr>
        <w:t>. London: Red Globe Press.</w:t>
      </w:r>
    </w:p>
    <w:p w14:paraId="69F3B9BA" w14:textId="63598B44" w:rsidR="006C32CC" w:rsidRPr="00E07CC4" w:rsidRDefault="006C32CC" w:rsidP="006C32CC">
      <w:pPr>
        <w:spacing w:after="0" w:line="360" w:lineRule="auto"/>
        <w:ind w:left="720" w:hanging="720"/>
        <w:jc w:val="both"/>
        <w:rPr>
          <w:rFonts w:ascii="Arial" w:eastAsia="Times New Roman" w:hAnsi="Arial" w:cs="Arial"/>
          <w:color w:val="1F1F1F"/>
          <w:kern w:val="0"/>
          <w:sz w:val="22"/>
          <w:szCs w:val="22"/>
          <w:lang w:eastAsia="en-GB"/>
          <w14:ligatures w14:val="none"/>
        </w:rPr>
      </w:pPr>
      <w:r w:rsidRPr="00E07CC4">
        <w:rPr>
          <w:rFonts w:ascii="Arial" w:eastAsia="Times New Roman" w:hAnsi="Arial" w:cs="Arial"/>
          <w:color w:val="1F1F1F"/>
          <w:kern w:val="0"/>
          <w:sz w:val="22"/>
          <w:szCs w:val="22"/>
          <w:lang w:eastAsia="en-GB"/>
          <w14:ligatures w14:val="none"/>
        </w:rPr>
        <w:lastRenderedPageBreak/>
        <w:t>World Health Organi</w:t>
      </w:r>
      <w:r>
        <w:rPr>
          <w:rFonts w:ascii="Arial" w:eastAsia="Times New Roman" w:hAnsi="Arial" w:cs="Arial"/>
          <w:color w:val="1F1F1F"/>
          <w:kern w:val="0"/>
          <w:sz w:val="22"/>
          <w:szCs w:val="22"/>
          <w:lang w:eastAsia="en-GB"/>
          <w14:ligatures w14:val="none"/>
        </w:rPr>
        <w:t>s</w:t>
      </w:r>
      <w:r w:rsidRPr="00E07CC4">
        <w:rPr>
          <w:rFonts w:ascii="Arial" w:eastAsia="Times New Roman" w:hAnsi="Arial" w:cs="Arial"/>
          <w:color w:val="1F1F1F"/>
          <w:kern w:val="0"/>
          <w:sz w:val="22"/>
          <w:szCs w:val="22"/>
          <w:lang w:eastAsia="en-GB"/>
          <w14:ligatures w14:val="none"/>
        </w:rPr>
        <w:t xml:space="preserve">ation (WHO) (2015) </w:t>
      </w:r>
      <w:r w:rsidRPr="00E07CC4">
        <w:rPr>
          <w:rFonts w:ascii="Arial" w:eastAsia="Times New Roman" w:hAnsi="Arial" w:cs="Arial"/>
          <w:color w:val="1F1F1F"/>
          <w:kern w:val="0"/>
          <w:sz w:val="22"/>
          <w:szCs w:val="22"/>
          <w:bdr w:val="none" w:sz="0" w:space="0" w:color="auto" w:frame="1"/>
          <w:lang w:eastAsia="en-GB"/>
          <w14:ligatures w14:val="none"/>
        </w:rPr>
        <w:t>WHO Global Strategy on People-Centred and Integrated Health Services</w:t>
      </w:r>
      <w:r w:rsidRPr="00E07CC4">
        <w:rPr>
          <w:rFonts w:ascii="Arial" w:eastAsia="Times New Roman" w:hAnsi="Arial" w:cs="Arial"/>
          <w:color w:val="1F1F1F"/>
          <w:kern w:val="0"/>
          <w:sz w:val="22"/>
          <w:szCs w:val="22"/>
          <w:lang w:eastAsia="en-GB"/>
          <w14:ligatures w14:val="none"/>
        </w:rPr>
        <w:t>. Geneva: WHO.</w:t>
      </w:r>
      <w:r w:rsidRPr="006C32CC">
        <w:rPr>
          <w:rFonts w:ascii="Arial" w:eastAsia="Times New Roman" w:hAnsi="Arial" w:cs="Arial"/>
          <w:color w:val="1F1F1F"/>
          <w:kern w:val="0"/>
          <w:sz w:val="22"/>
          <w:szCs w:val="22"/>
          <w:lang w:eastAsia="en-GB"/>
          <w14:ligatures w14:val="none"/>
        </w:rPr>
        <w:t xml:space="preserve"> Available at: https://www.who.int/health-topics/integrated-people-centered-care</w:t>
      </w:r>
    </w:p>
    <w:p w14:paraId="0A5A5921" w14:textId="77777777" w:rsidR="00DD3BEF" w:rsidRPr="0084672B" w:rsidRDefault="00DD3BEF" w:rsidP="006C32CC">
      <w:pPr>
        <w:spacing w:line="360" w:lineRule="auto"/>
        <w:jc w:val="both"/>
        <w:rPr>
          <w:rFonts w:ascii="Arial" w:hAnsi="Arial" w:cs="Arial"/>
          <w:sz w:val="22"/>
          <w:szCs w:val="22"/>
        </w:rPr>
      </w:pPr>
    </w:p>
    <w:sectPr w:rsidR="00DD3BEF" w:rsidRPr="00846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F60BB"/>
    <w:multiLevelType w:val="multilevel"/>
    <w:tmpl w:val="73702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9F40EF"/>
    <w:multiLevelType w:val="multilevel"/>
    <w:tmpl w:val="BCA24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F47CC5"/>
    <w:multiLevelType w:val="multilevel"/>
    <w:tmpl w:val="C818B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82218B"/>
    <w:multiLevelType w:val="multilevel"/>
    <w:tmpl w:val="18B09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1152331">
    <w:abstractNumId w:val="1"/>
  </w:num>
  <w:num w:numId="2" w16cid:durableId="563687256">
    <w:abstractNumId w:val="3"/>
  </w:num>
  <w:num w:numId="3" w16cid:durableId="1831677494">
    <w:abstractNumId w:val="0"/>
  </w:num>
  <w:num w:numId="4" w16cid:durableId="5863544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BEF"/>
    <w:rsid w:val="005872DD"/>
    <w:rsid w:val="006C32CC"/>
    <w:rsid w:val="00830C49"/>
    <w:rsid w:val="0084672B"/>
    <w:rsid w:val="00AB45A3"/>
    <w:rsid w:val="00BF077E"/>
    <w:rsid w:val="00C8310C"/>
    <w:rsid w:val="00DD3BEF"/>
    <w:rsid w:val="00E07CC4"/>
    <w:rsid w:val="00FB22AC"/>
    <w:rsid w:val="00FD4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85240"/>
  <w15:chartTrackingRefBased/>
  <w15:docId w15:val="{14B91B3D-108C-4D9D-8575-FA38B7714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B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3B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D3B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3B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3B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3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B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3B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D3B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3B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3B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3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BEF"/>
    <w:rPr>
      <w:rFonts w:eastAsiaTheme="majorEastAsia" w:cstheme="majorBidi"/>
      <w:color w:val="272727" w:themeColor="text1" w:themeTint="D8"/>
    </w:rPr>
  </w:style>
  <w:style w:type="paragraph" w:styleId="Title">
    <w:name w:val="Title"/>
    <w:basedOn w:val="Normal"/>
    <w:next w:val="Normal"/>
    <w:link w:val="TitleChar"/>
    <w:uiPriority w:val="10"/>
    <w:qFormat/>
    <w:rsid w:val="00DD3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BEF"/>
    <w:pPr>
      <w:spacing w:before="160"/>
      <w:jc w:val="center"/>
    </w:pPr>
    <w:rPr>
      <w:i/>
      <w:iCs/>
      <w:color w:val="404040" w:themeColor="text1" w:themeTint="BF"/>
    </w:rPr>
  </w:style>
  <w:style w:type="character" w:customStyle="1" w:styleId="QuoteChar">
    <w:name w:val="Quote Char"/>
    <w:basedOn w:val="DefaultParagraphFont"/>
    <w:link w:val="Quote"/>
    <w:uiPriority w:val="29"/>
    <w:rsid w:val="00DD3BEF"/>
    <w:rPr>
      <w:i/>
      <w:iCs/>
      <w:color w:val="404040" w:themeColor="text1" w:themeTint="BF"/>
    </w:rPr>
  </w:style>
  <w:style w:type="paragraph" w:styleId="ListParagraph">
    <w:name w:val="List Paragraph"/>
    <w:basedOn w:val="Normal"/>
    <w:uiPriority w:val="34"/>
    <w:qFormat/>
    <w:rsid w:val="00DD3BEF"/>
    <w:pPr>
      <w:ind w:left="720"/>
      <w:contextualSpacing/>
    </w:pPr>
  </w:style>
  <w:style w:type="character" w:styleId="IntenseEmphasis">
    <w:name w:val="Intense Emphasis"/>
    <w:basedOn w:val="DefaultParagraphFont"/>
    <w:uiPriority w:val="21"/>
    <w:qFormat/>
    <w:rsid w:val="00DD3BEF"/>
    <w:rPr>
      <w:i/>
      <w:iCs/>
      <w:color w:val="2F5496" w:themeColor="accent1" w:themeShade="BF"/>
    </w:rPr>
  </w:style>
  <w:style w:type="paragraph" w:styleId="IntenseQuote">
    <w:name w:val="Intense Quote"/>
    <w:basedOn w:val="Normal"/>
    <w:next w:val="Normal"/>
    <w:link w:val="IntenseQuoteChar"/>
    <w:uiPriority w:val="30"/>
    <w:qFormat/>
    <w:rsid w:val="00DD3B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3BEF"/>
    <w:rPr>
      <w:i/>
      <w:iCs/>
      <w:color w:val="2F5496" w:themeColor="accent1" w:themeShade="BF"/>
    </w:rPr>
  </w:style>
  <w:style w:type="character" w:styleId="IntenseReference">
    <w:name w:val="Intense Reference"/>
    <w:basedOn w:val="DefaultParagraphFont"/>
    <w:uiPriority w:val="32"/>
    <w:qFormat/>
    <w:rsid w:val="00DD3BEF"/>
    <w:rPr>
      <w:b/>
      <w:bCs/>
      <w:smallCaps/>
      <w:color w:val="2F5496" w:themeColor="accent1" w:themeShade="BF"/>
      <w:spacing w:val="5"/>
    </w:rPr>
  </w:style>
  <w:style w:type="paragraph" w:styleId="TOCHeading">
    <w:name w:val="TOC Heading"/>
    <w:basedOn w:val="Heading1"/>
    <w:next w:val="Normal"/>
    <w:uiPriority w:val="39"/>
    <w:unhideWhenUsed/>
    <w:qFormat/>
    <w:rsid w:val="0084672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4672B"/>
    <w:pPr>
      <w:spacing w:after="100"/>
      <w:ind w:left="240"/>
    </w:pPr>
  </w:style>
  <w:style w:type="character" w:styleId="Hyperlink">
    <w:name w:val="Hyperlink"/>
    <w:basedOn w:val="DefaultParagraphFont"/>
    <w:uiPriority w:val="99"/>
    <w:unhideWhenUsed/>
    <w:rsid w:val="0084672B"/>
    <w:rPr>
      <w:color w:val="0563C1" w:themeColor="hyperlink"/>
      <w:u w:val="single"/>
    </w:rPr>
  </w:style>
  <w:style w:type="paragraph" w:styleId="Caption">
    <w:name w:val="caption"/>
    <w:basedOn w:val="Normal"/>
    <w:next w:val="Normal"/>
    <w:uiPriority w:val="35"/>
    <w:unhideWhenUsed/>
    <w:qFormat/>
    <w:rsid w:val="0084672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41c1cb726281eb3986c08af858562b47">
  <xsd:schema xmlns:xsd="http://www.w3.org/2001/XMLSchema" xmlns:xs="http://www.w3.org/2001/XMLSchema" xmlns:p="http://schemas.microsoft.com/office/2006/metadata/properties" xmlns:ns3="0085e1a2-9cbf-4b92-866b-21f3c89040b6" targetNamespace="http://schemas.microsoft.com/office/2006/metadata/properties" ma:root="true" ma:fieldsID="ef40bd20c1fc11e4edcf4528953882e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44C828D-AA7F-40E7-9E64-1DE5DB4F44E5}">
  <ds:schemaRefs>
    <ds:schemaRef ds:uri="http://schemas.openxmlformats.org/officeDocument/2006/bibliography"/>
  </ds:schemaRefs>
</ds:datastoreItem>
</file>

<file path=customXml/itemProps2.xml><?xml version="1.0" encoding="utf-8"?>
<ds:datastoreItem xmlns:ds="http://schemas.openxmlformats.org/officeDocument/2006/customXml" ds:itemID="{4B0BF019-20AB-45FC-AB27-1FD1D2B5F4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0338B-5701-4CB9-BBFE-7C9DEDE3173A}">
  <ds:schemaRefs>
    <ds:schemaRef ds:uri="http://schemas.microsoft.com/sharepoint/v3/contenttype/forms"/>
  </ds:schemaRefs>
</ds:datastoreItem>
</file>

<file path=customXml/itemProps4.xml><?xml version="1.0" encoding="utf-8"?>
<ds:datastoreItem xmlns:ds="http://schemas.openxmlformats.org/officeDocument/2006/customXml" ds:itemID="{C7C8D2AF-35FA-41DE-A596-9D4B4C0C0B4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2499</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Anisa Karim (2407467)</cp:lastModifiedBy>
  <cp:revision>4</cp:revision>
  <dcterms:created xsi:type="dcterms:W3CDTF">2026-02-11T10:57:00Z</dcterms:created>
  <dcterms:modified xsi:type="dcterms:W3CDTF">2026-02-11T10:58:00Z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