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03AE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2DD8F14" wp14:editId="48C6CF8D">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4ABEC7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DD4CDC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2DD8F1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4ABEC7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DD4CDC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E153389" wp14:editId="5E66C40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9B9006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951729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E15338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9B9006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951729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151A8D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77BB975" wp14:editId="508680B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3CF1F57" w14:textId="77777777" w:rsidR="00530E16" w:rsidRDefault="004468F8">
                            <w:pPr>
                              <w:spacing w:after="0" w:line="240" w:lineRule="auto"/>
                              <w:textDirection w:val="btLr"/>
                            </w:pPr>
                            <w:r>
                              <w:rPr>
                                <w:rFonts w:ascii="Play" w:eastAsia="Play" w:hAnsi="Play" w:cs="Play"/>
                                <w:color w:val="262626"/>
                                <w:sz w:val="72"/>
                              </w:rPr>
                              <w:t>Individual Report</w:t>
                            </w:r>
                          </w:p>
                          <w:p w14:paraId="7BF229E3" w14:textId="77777777" w:rsidR="00530E16" w:rsidRDefault="004468F8">
                            <w:pPr>
                              <w:spacing w:before="120" w:line="277" w:lineRule="auto"/>
                              <w:textDirection w:val="btLr"/>
                            </w:pPr>
                            <w:r>
                              <w:rPr>
                                <w:color w:val="404040"/>
                                <w:sz w:val="36"/>
                              </w:rPr>
                              <w:t>Module Name: Digital Skills and Research Methods</w:t>
                            </w:r>
                          </w:p>
                          <w:p w14:paraId="143DEF24" w14:textId="77777777" w:rsidR="00530E16" w:rsidRDefault="004468F8">
                            <w:pPr>
                              <w:spacing w:before="120" w:line="277" w:lineRule="auto"/>
                              <w:textDirection w:val="btLr"/>
                            </w:pPr>
                            <w:r>
                              <w:rPr>
                                <w:color w:val="404040"/>
                                <w:sz w:val="36"/>
                              </w:rPr>
                              <w:t>Module Code: LCHS 4007</w:t>
                            </w:r>
                          </w:p>
                          <w:p w14:paraId="270BED5B" w14:textId="1B86A18D" w:rsidR="00530E16" w:rsidRDefault="004468F8">
                            <w:pPr>
                              <w:spacing w:before="120" w:line="277" w:lineRule="auto"/>
                              <w:textDirection w:val="btLr"/>
                            </w:pPr>
                            <w:r>
                              <w:rPr>
                                <w:color w:val="404040"/>
                                <w:sz w:val="36"/>
                              </w:rPr>
                              <w:t xml:space="preserve">Student name: </w:t>
                            </w:r>
                            <w:r w:rsidR="00144993">
                              <w:rPr>
                                <w:color w:val="404040"/>
                                <w:sz w:val="36"/>
                              </w:rPr>
                              <w:t xml:space="preserve">Simon-Daniel </w:t>
                            </w:r>
                            <w:r w:rsidR="00144993">
                              <w:rPr>
                                <w:color w:val="404040"/>
                                <w:sz w:val="36"/>
                              </w:rPr>
                              <w:t>Croitoru</w:t>
                            </w:r>
                          </w:p>
                          <w:p w14:paraId="0F9D7528" w14:textId="4A467CA7" w:rsidR="00530E16" w:rsidRDefault="004468F8">
                            <w:pPr>
                              <w:spacing w:before="120" w:line="277" w:lineRule="auto"/>
                              <w:textDirection w:val="btLr"/>
                            </w:pPr>
                            <w:r>
                              <w:rPr>
                                <w:color w:val="404040"/>
                                <w:sz w:val="36"/>
                              </w:rPr>
                              <w:t>Student ID:</w:t>
                            </w:r>
                            <w:r w:rsidR="00144993">
                              <w:rPr>
                                <w:color w:val="404040"/>
                                <w:sz w:val="36"/>
                              </w:rPr>
                              <w:t xml:space="preserve"> </w:t>
                            </w:r>
                            <w:r w:rsidR="00144993" w:rsidRPr="003B2DDC">
                              <w:rPr>
                                <w:color w:val="404040"/>
                                <w:sz w:val="36"/>
                              </w:rPr>
                              <w:t>2525126</w:t>
                            </w:r>
                          </w:p>
                          <w:p w14:paraId="26A442BE" w14:textId="679FB5DB" w:rsidR="00530E16" w:rsidRDefault="004468F8">
                            <w:pPr>
                              <w:spacing w:before="120" w:line="277" w:lineRule="auto"/>
                              <w:textDirection w:val="btLr"/>
                            </w:pPr>
                            <w:r>
                              <w:rPr>
                                <w:color w:val="404040"/>
                                <w:sz w:val="36"/>
                              </w:rPr>
                              <w:t xml:space="preserve">Lecturer’s Name: </w:t>
                            </w:r>
                            <w:r w:rsidR="00144993">
                              <w:rPr>
                                <w:color w:val="404040"/>
                                <w:sz w:val="36"/>
                              </w:rPr>
                              <w:t>Koushik Modak</w:t>
                            </w:r>
                          </w:p>
                        </w:txbxContent>
                      </wps:txbx>
                      <wps:bodyPr spcFirstLastPara="1" wrap="square" lIns="0" tIns="0" rIns="0" bIns="0" anchor="t" anchorCtr="0">
                        <a:noAutofit/>
                      </wps:bodyPr>
                    </wps:wsp>
                  </a:graphicData>
                </a:graphic>
              </wp:anchor>
            </w:drawing>
          </mc:Choice>
          <mc:Fallback>
            <w:pict>
              <v:rect w14:anchorId="277BB97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3CF1F57" w14:textId="77777777" w:rsidR="00530E16" w:rsidRDefault="004468F8">
                      <w:pPr>
                        <w:spacing w:after="0" w:line="240" w:lineRule="auto"/>
                        <w:textDirection w:val="btLr"/>
                      </w:pPr>
                      <w:r>
                        <w:rPr>
                          <w:rFonts w:ascii="Play" w:eastAsia="Play" w:hAnsi="Play" w:cs="Play"/>
                          <w:color w:val="262626"/>
                          <w:sz w:val="72"/>
                        </w:rPr>
                        <w:t>Individual Report</w:t>
                      </w:r>
                    </w:p>
                    <w:p w14:paraId="7BF229E3" w14:textId="77777777" w:rsidR="00530E16" w:rsidRDefault="004468F8">
                      <w:pPr>
                        <w:spacing w:before="120" w:line="277" w:lineRule="auto"/>
                        <w:textDirection w:val="btLr"/>
                      </w:pPr>
                      <w:r>
                        <w:rPr>
                          <w:color w:val="404040"/>
                          <w:sz w:val="36"/>
                        </w:rPr>
                        <w:t>Module Name: Digital Skills and Research Methods</w:t>
                      </w:r>
                    </w:p>
                    <w:p w14:paraId="143DEF24" w14:textId="77777777" w:rsidR="00530E16" w:rsidRDefault="004468F8">
                      <w:pPr>
                        <w:spacing w:before="120" w:line="277" w:lineRule="auto"/>
                        <w:textDirection w:val="btLr"/>
                      </w:pPr>
                      <w:r>
                        <w:rPr>
                          <w:color w:val="404040"/>
                          <w:sz w:val="36"/>
                        </w:rPr>
                        <w:t>Module Code: LCHS 4007</w:t>
                      </w:r>
                    </w:p>
                    <w:p w14:paraId="270BED5B" w14:textId="1B86A18D" w:rsidR="00530E16" w:rsidRDefault="004468F8">
                      <w:pPr>
                        <w:spacing w:before="120" w:line="277" w:lineRule="auto"/>
                        <w:textDirection w:val="btLr"/>
                      </w:pPr>
                      <w:r>
                        <w:rPr>
                          <w:color w:val="404040"/>
                          <w:sz w:val="36"/>
                        </w:rPr>
                        <w:t xml:space="preserve">Student name: </w:t>
                      </w:r>
                      <w:r w:rsidR="00144993">
                        <w:rPr>
                          <w:color w:val="404040"/>
                          <w:sz w:val="36"/>
                        </w:rPr>
                        <w:t xml:space="preserve">Simon-Daniel </w:t>
                      </w:r>
                      <w:r w:rsidR="00144993">
                        <w:rPr>
                          <w:color w:val="404040"/>
                          <w:sz w:val="36"/>
                        </w:rPr>
                        <w:t>Croitoru</w:t>
                      </w:r>
                    </w:p>
                    <w:p w14:paraId="0F9D7528" w14:textId="4A467CA7" w:rsidR="00530E16" w:rsidRDefault="004468F8">
                      <w:pPr>
                        <w:spacing w:before="120" w:line="277" w:lineRule="auto"/>
                        <w:textDirection w:val="btLr"/>
                      </w:pPr>
                      <w:r>
                        <w:rPr>
                          <w:color w:val="404040"/>
                          <w:sz w:val="36"/>
                        </w:rPr>
                        <w:t>Student ID:</w:t>
                      </w:r>
                      <w:r w:rsidR="00144993">
                        <w:rPr>
                          <w:color w:val="404040"/>
                          <w:sz w:val="36"/>
                        </w:rPr>
                        <w:t xml:space="preserve"> </w:t>
                      </w:r>
                      <w:r w:rsidR="00144993" w:rsidRPr="003B2DDC">
                        <w:rPr>
                          <w:color w:val="404040"/>
                          <w:sz w:val="36"/>
                        </w:rPr>
                        <w:t>2525126</w:t>
                      </w:r>
                    </w:p>
                    <w:p w14:paraId="26A442BE" w14:textId="679FB5DB" w:rsidR="00530E16" w:rsidRDefault="004468F8">
                      <w:pPr>
                        <w:spacing w:before="120" w:line="277" w:lineRule="auto"/>
                        <w:textDirection w:val="btLr"/>
                      </w:pPr>
                      <w:r>
                        <w:rPr>
                          <w:color w:val="404040"/>
                          <w:sz w:val="36"/>
                        </w:rPr>
                        <w:t xml:space="preserve">Lecturer’s Name: </w:t>
                      </w:r>
                      <w:r w:rsidR="00144993">
                        <w:rPr>
                          <w:color w:val="404040"/>
                          <w:sz w:val="36"/>
                        </w:rPr>
                        <w:t>Koushik Modak</w:t>
                      </w:r>
                    </w:p>
                  </w:txbxContent>
                </v:textbox>
                <w10:wrap anchorx="page" anchory="page"/>
              </v:rect>
            </w:pict>
          </mc:Fallback>
        </mc:AlternateContent>
      </w:r>
      <w:r>
        <w:br w:type="page"/>
      </w:r>
    </w:p>
    <w:p w14:paraId="34C5D9B4" w14:textId="77777777" w:rsidR="00530E16" w:rsidRDefault="00530E16">
      <w:pPr>
        <w:rPr>
          <w:rFonts w:ascii="Arial" w:eastAsia="Arial" w:hAnsi="Arial" w:cs="Arial"/>
        </w:rPr>
      </w:pPr>
    </w:p>
    <w:p w14:paraId="253D935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519316BE" w14:textId="5EAD8B46" w:rsidR="003B2DDC"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917102" w:history="1">
            <w:r w:rsidR="003B2DDC" w:rsidRPr="00521F36">
              <w:rPr>
                <w:rStyle w:val="Hyperlink"/>
                <w:rFonts w:eastAsia="Arial"/>
                <w:noProof/>
              </w:rPr>
              <w:t>Introduction</w:t>
            </w:r>
            <w:r w:rsidR="003B2DDC">
              <w:rPr>
                <w:noProof/>
                <w:webHidden/>
              </w:rPr>
              <w:tab/>
            </w:r>
            <w:r w:rsidR="003B2DDC">
              <w:rPr>
                <w:noProof/>
                <w:webHidden/>
              </w:rPr>
              <w:fldChar w:fldCharType="begin"/>
            </w:r>
            <w:r w:rsidR="003B2DDC">
              <w:rPr>
                <w:noProof/>
                <w:webHidden/>
              </w:rPr>
              <w:instrText xml:space="preserve"> PAGEREF _Toc227917102 \h </w:instrText>
            </w:r>
            <w:r w:rsidR="003B2DDC">
              <w:rPr>
                <w:noProof/>
                <w:webHidden/>
              </w:rPr>
            </w:r>
            <w:r w:rsidR="003B2DDC">
              <w:rPr>
                <w:noProof/>
                <w:webHidden/>
              </w:rPr>
              <w:fldChar w:fldCharType="separate"/>
            </w:r>
            <w:r w:rsidR="003B2DDC">
              <w:rPr>
                <w:noProof/>
                <w:webHidden/>
              </w:rPr>
              <w:t>1</w:t>
            </w:r>
            <w:r w:rsidR="003B2DDC">
              <w:rPr>
                <w:noProof/>
                <w:webHidden/>
              </w:rPr>
              <w:fldChar w:fldCharType="end"/>
            </w:r>
          </w:hyperlink>
        </w:p>
        <w:p w14:paraId="12DC579C" w14:textId="16652F55" w:rsidR="003B2DDC" w:rsidRDefault="003B2DDC">
          <w:pPr>
            <w:pStyle w:val="TOC1"/>
            <w:tabs>
              <w:tab w:val="right" w:leader="dot" w:pos="9016"/>
            </w:tabs>
            <w:rPr>
              <w:rFonts w:asciiTheme="minorHAnsi" w:eastAsiaTheme="minorEastAsia" w:hAnsiTheme="minorHAnsi" w:cstheme="minorBidi"/>
              <w:noProof/>
              <w:kern w:val="2"/>
              <w14:ligatures w14:val="standardContextual"/>
            </w:rPr>
          </w:pPr>
          <w:hyperlink w:anchor="_Toc227917103" w:history="1">
            <w:r w:rsidRPr="00521F36">
              <w:rPr>
                <w:rStyle w:val="Hyperlink"/>
                <w:rFonts w:eastAsia="Arial"/>
                <w:noProof/>
              </w:rPr>
              <w:t>Task 1 - Choosing a Topic</w:t>
            </w:r>
            <w:r>
              <w:rPr>
                <w:noProof/>
                <w:webHidden/>
              </w:rPr>
              <w:tab/>
            </w:r>
            <w:r>
              <w:rPr>
                <w:noProof/>
                <w:webHidden/>
              </w:rPr>
              <w:fldChar w:fldCharType="begin"/>
            </w:r>
            <w:r>
              <w:rPr>
                <w:noProof/>
                <w:webHidden/>
              </w:rPr>
              <w:instrText xml:space="preserve"> PAGEREF _Toc227917103 \h </w:instrText>
            </w:r>
            <w:r>
              <w:rPr>
                <w:noProof/>
                <w:webHidden/>
              </w:rPr>
            </w:r>
            <w:r>
              <w:rPr>
                <w:noProof/>
                <w:webHidden/>
              </w:rPr>
              <w:fldChar w:fldCharType="separate"/>
            </w:r>
            <w:r>
              <w:rPr>
                <w:noProof/>
                <w:webHidden/>
              </w:rPr>
              <w:t>1</w:t>
            </w:r>
            <w:r>
              <w:rPr>
                <w:noProof/>
                <w:webHidden/>
              </w:rPr>
              <w:fldChar w:fldCharType="end"/>
            </w:r>
          </w:hyperlink>
        </w:p>
        <w:p w14:paraId="2A19B452" w14:textId="173F07A7" w:rsidR="003B2DDC" w:rsidRDefault="003B2DDC">
          <w:pPr>
            <w:pStyle w:val="TOC1"/>
            <w:tabs>
              <w:tab w:val="right" w:leader="dot" w:pos="9016"/>
            </w:tabs>
            <w:rPr>
              <w:rFonts w:asciiTheme="minorHAnsi" w:eastAsiaTheme="minorEastAsia" w:hAnsiTheme="minorHAnsi" w:cstheme="minorBidi"/>
              <w:noProof/>
              <w:kern w:val="2"/>
              <w14:ligatures w14:val="standardContextual"/>
            </w:rPr>
          </w:pPr>
          <w:hyperlink w:anchor="_Toc227917104" w:history="1">
            <w:r w:rsidRPr="00521F36">
              <w:rPr>
                <w:rStyle w:val="Hyperlink"/>
                <w:rFonts w:eastAsia="Arial"/>
                <w:noProof/>
              </w:rPr>
              <w:t>Task 2 - Assessing Information</w:t>
            </w:r>
            <w:r>
              <w:rPr>
                <w:noProof/>
                <w:webHidden/>
              </w:rPr>
              <w:tab/>
            </w:r>
            <w:r>
              <w:rPr>
                <w:noProof/>
                <w:webHidden/>
              </w:rPr>
              <w:fldChar w:fldCharType="begin"/>
            </w:r>
            <w:r>
              <w:rPr>
                <w:noProof/>
                <w:webHidden/>
              </w:rPr>
              <w:instrText xml:space="preserve"> PAGEREF _Toc227917104 \h </w:instrText>
            </w:r>
            <w:r>
              <w:rPr>
                <w:noProof/>
                <w:webHidden/>
              </w:rPr>
            </w:r>
            <w:r>
              <w:rPr>
                <w:noProof/>
                <w:webHidden/>
              </w:rPr>
              <w:fldChar w:fldCharType="separate"/>
            </w:r>
            <w:r>
              <w:rPr>
                <w:noProof/>
                <w:webHidden/>
              </w:rPr>
              <w:t>2</w:t>
            </w:r>
            <w:r>
              <w:rPr>
                <w:noProof/>
                <w:webHidden/>
              </w:rPr>
              <w:fldChar w:fldCharType="end"/>
            </w:r>
          </w:hyperlink>
        </w:p>
        <w:p w14:paraId="37276D8E" w14:textId="13244CF4" w:rsidR="003B2DDC" w:rsidRDefault="003B2DDC">
          <w:pPr>
            <w:pStyle w:val="TOC1"/>
            <w:tabs>
              <w:tab w:val="right" w:leader="dot" w:pos="9016"/>
            </w:tabs>
            <w:rPr>
              <w:rFonts w:asciiTheme="minorHAnsi" w:eastAsiaTheme="minorEastAsia" w:hAnsiTheme="minorHAnsi" w:cstheme="minorBidi"/>
              <w:noProof/>
              <w:kern w:val="2"/>
              <w14:ligatures w14:val="standardContextual"/>
            </w:rPr>
          </w:pPr>
          <w:hyperlink w:anchor="_Toc227917105" w:history="1">
            <w:r w:rsidRPr="00521F36">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_Toc227917105 \h </w:instrText>
            </w:r>
            <w:r>
              <w:rPr>
                <w:noProof/>
                <w:webHidden/>
              </w:rPr>
            </w:r>
            <w:r>
              <w:rPr>
                <w:noProof/>
                <w:webHidden/>
              </w:rPr>
              <w:fldChar w:fldCharType="separate"/>
            </w:r>
            <w:r>
              <w:rPr>
                <w:noProof/>
                <w:webHidden/>
              </w:rPr>
              <w:t>3</w:t>
            </w:r>
            <w:r>
              <w:rPr>
                <w:noProof/>
                <w:webHidden/>
              </w:rPr>
              <w:fldChar w:fldCharType="end"/>
            </w:r>
          </w:hyperlink>
        </w:p>
        <w:p w14:paraId="7EA2AA29" w14:textId="53CA4F26" w:rsidR="003B2DDC" w:rsidRDefault="003B2DDC">
          <w:pPr>
            <w:pStyle w:val="TOC1"/>
            <w:tabs>
              <w:tab w:val="right" w:leader="dot" w:pos="9016"/>
            </w:tabs>
            <w:rPr>
              <w:rFonts w:asciiTheme="minorHAnsi" w:eastAsiaTheme="minorEastAsia" w:hAnsiTheme="minorHAnsi" w:cstheme="minorBidi"/>
              <w:noProof/>
              <w:kern w:val="2"/>
              <w14:ligatures w14:val="standardContextual"/>
            </w:rPr>
          </w:pPr>
          <w:hyperlink w:anchor="_Toc227917106" w:history="1">
            <w:r w:rsidRPr="00521F36">
              <w:rPr>
                <w:rStyle w:val="Hyperlink"/>
                <w:rFonts w:eastAsia="Arial"/>
                <w:noProof/>
              </w:rPr>
              <w:t>Task 4 – Data Collection</w:t>
            </w:r>
            <w:r>
              <w:rPr>
                <w:noProof/>
                <w:webHidden/>
              </w:rPr>
              <w:tab/>
            </w:r>
            <w:r>
              <w:rPr>
                <w:noProof/>
                <w:webHidden/>
              </w:rPr>
              <w:fldChar w:fldCharType="begin"/>
            </w:r>
            <w:r>
              <w:rPr>
                <w:noProof/>
                <w:webHidden/>
              </w:rPr>
              <w:instrText xml:space="preserve"> PAGEREF _Toc227917106 \h </w:instrText>
            </w:r>
            <w:r>
              <w:rPr>
                <w:noProof/>
                <w:webHidden/>
              </w:rPr>
            </w:r>
            <w:r>
              <w:rPr>
                <w:noProof/>
                <w:webHidden/>
              </w:rPr>
              <w:fldChar w:fldCharType="separate"/>
            </w:r>
            <w:r>
              <w:rPr>
                <w:noProof/>
                <w:webHidden/>
              </w:rPr>
              <w:t>4</w:t>
            </w:r>
            <w:r>
              <w:rPr>
                <w:noProof/>
                <w:webHidden/>
              </w:rPr>
              <w:fldChar w:fldCharType="end"/>
            </w:r>
          </w:hyperlink>
        </w:p>
        <w:p w14:paraId="4166F555" w14:textId="47955E49" w:rsidR="003B2DDC" w:rsidRDefault="003B2DDC">
          <w:pPr>
            <w:pStyle w:val="TOC1"/>
            <w:tabs>
              <w:tab w:val="right" w:leader="dot" w:pos="9016"/>
            </w:tabs>
            <w:rPr>
              <w:rFonts w:asciiTheme="minorHAnsi" w:eastAsiaTheme="minorEastAsia" w:hAnsiTheme="minorHAnsi" w:cstheme="minorBidi"/>
              <w:noProof/>
              <w:kern w:val="2"/>
              <w14:ligatures w14:val="standardContextual"/>
            </w:rPr>
          </w:pPr>
          <w:hyperlink w:anchor="_Toc227917107" w:history="1">
            <w:r w:rsidRPr="00521F36">
              <w:rPr>
                <w:rStyle w:val="Hyperlink"/>
                <w:rFonts w:eastAsia="Arial"/>
                <w:noProof/>
              </w:rPr>
              <w:t>Conclusion</w:t>
            </w:r>
            <w:r>
              <w:rPr>
                <w:noProof/>
                <w:webHidden/>
              </w:rPr>
              <w:tab/>
            </w:r>
            <w:r>
              <w:rPr>
                <w:noProof/>
                <w:webHidden/>
              </w:rPr>
              <w:fldChar w:fldCharType="begin"/>
            </w:r>
            <w:r>
              <w:rPr>
                <w:noProof/>
                <w:webHidden/>
              </w:rPr>
              <w:instrText xml:space="preserve"> PAGEREF _Toc227917107 \h </w:instrText>
            </w:r>
            <w:r>
              <w:rPr>
                <w:noProof/>
                <w:webHidden/>
              </w:rPr>
            </w:r>
            <w:r>
              <w:rPr>
                <w:noProof/>
                <w:webHidden/>
              </w:rPr>
              <w:fldChar w:fldCharType="separate"/>
            </w:r>
            <w:r>
              <w:rPr>
                <w:noProof/>
                <w:webHidden/>
              </w:rPr>
              <w:t>5</w:t>
            </w:r>
            <w:r>
              <w:rPr>
                <w:noProof/>
                <w:webHidden/>
              </w:rPr>
              <w:fldChar w:fldCharType="end"/>
            </w:r>
          </w:hyperlink>
        </w:p>
        <w:p w14:paraId="25DEA342" w14:textId="1A5EA8F4" w:rsidR="003B2DDC" w:rsidRDefault="003B2DDC">
          <w:pPr>
            <w:pStyle w:val="TOC1"/>
            <w:tabs>
              <w:tab w:val="right" w:leader="dot" w:pos="9016"/>
            </w:tabs>
            <w:rPr>
              <w:rFonts w:asciiTheme="minorHAnsi" w:eastAsiaTheme="minorEastAsia" w:hAnsiTheme="minorHAnsi" w:cstheme="minorBidi"/>
              <w:noProof/>
              <w:kern w:val="2"/>
              <w14:ligatures w14:val="standardContextual"/>
            </w:rPr>
          </w:pPr>
          <w:hyperlink w:anchor="_Toc227917108" w:history="1">
            <w:r w:rsidRPr="00521F36">
              <w:rPr>
                <w:rStyle w:val="Hyperlink"/>
                <w:rFonts w:eastAsia="Arial"/>
                <w:noProof/>
              </w:rPr>
              <w:t>Reference List</w:t>
            </w:r>
            <w:r>
              <w:rPr>
                <w:noProof/>
                <w:webHidden/>
              </w:rPr>
              <w:tab/>
            </w:r>
            <w:r>
              <w:rPr>
                <w:noProof/>
                <w:webHidden/>
              </w:rPr>
              <w:fldChar w:fldCharType="begin"/>
            </w:r>
            <w:r>
              <w:rPr>
                <w:noProof/>
                <w:webHidden/>
              </w:rPr>
              <w:instrText xml:space="preserve"> PAGEREF _Toc227917108 \h </w:instrText>
            </w:r>
            <w:r>
              <w:rPr>
                <w:noProof/>
                <w:webHidden/>
              </w:rPr>
            </w:r>
            <w:r>
              <w:rPr>
                <w:noProof/>
                <w:webHidden/>
              </w:rPr>
              <w:fldChar w:fldCharType="separate"/>
            </w:r>
            <w:r>
              <w:rPr>
                <w:noProof/>
                <w:webHidden/>
              </w:rPr>
              <w:t>5</w:t>
            </w:r>
            <w:r>
              <w:rPr>
                <w:noProof/>
                <w:webHidden/>
              </w:rPr>
              <w:fldChar w:fldCharType="end"/>
            </w:r>
          </w:hyperlink>
        </w:p>
        <w:p w14:paraId="0C74F514" w14:textId="6929EB99" w:rsidR="00530E16" w:rsidRPr="00CF650B" w:rsidRDefault="004468F8">
          <w:r>
            <w:fldChar w:fldCharType="end"/>
          </w:r>
        </w:p>
      </w:sdtContent>
    </w:sdt>
    <w:p w14:paraId="7DEAA6DA" w14:textId="77777777" w:rsidR="00530E16" w:rsidRDefault="00530E16">
      <w:pPr>
        <w:rPr>
          <w:rFonts w:ascii="Arial" w:eastAsia="Arial" w:hAnsi="Arial" w:cs="Arial"/>
        </w:rPr>
      </w:pPr>
    </w:p>
    <w:p w14:paraId="2E0FE7F1" w14:textId="77777777" w:rsidR="00530E16" w:rsidRDefault="00530E16">
      <w:pPr>
        <w:rPr>
          <w:rFonts w:ascii="Arial" w:eastAsia="Arial" w:hAnsi="Arial" w:cs="Arial"/>
        </w:rPr>
      </w:pPr>
    </w:p>
    <w:p w14:paraId="07A48AE5" w14:textId="77777777" w:rsidR="003B2DDC" w:rsidRDefault="003B2DDC">
      <w:pPr>
        <w:rPr>
          <w:rFonts w:ascii="Arial" w:eastAsia="Arial" w:hAnsi="Arial" w:cs="Arial"/>
        </w:rPr>
      </w:pPr>
    </w:p>
    <w:p w14:paraId="67552F3D" w14:textId="77777777" w:rsidR="003B2DDC" w:rsidRDefault="003B2DDC">
      <w:pPr>
        <w:rPr>
          <w:rFonts w:ascii="Arial" w:eastAsia="Arial" w:hAnsi="Arial" w:cs="Arial"/>
        </w:rPr>
      </w:pPr>
    </w:p>
    <w:p w14:paraId="4DB1AEE5" w14:textId="77777777" w:rsidR="003B2DDC" w:rsidRDefault="003B2DDC">
      <w:pPr>
        <w:rPr>
          <w:rFonts w:ascii="Arial" w:eastAsia="Arial" w:hAnsi="Arial" w:cs="Arial"/>
        </w:rPr>
      </w:pPr>
    </w:p>
    <w:p w14:paraId="7ADDC956" w14:textId="77777777" w:rsidR="003B2DDC" w:rsidRDefault="003B2DDC">
      <w:pPr>
        <w:rPr>
          <w:rFonts w:ascii="Arial" w:eastAsia="Arial" w:hAnsi="Arial" w:cs="Arial"/>
        </w:rPr>
      </w:pPr>
    </w:p>
    <w:p w14:paraId="747D94AA" w14:textId="77777777" w:rsidR="003B2DDC" w:rsidRDefault="003B2DDC">
      <w:pPr>
        <w:rPr>
          <w:rFonts w:ascii="Arial" w:eastAsia="Arial" w:hAnsi="Arial" w:cs="Arial"/>
        </w:rPr>
      </w:pPr>
    </w:p>
    <w:p w14:paraId="431964EA" w14:textId="77777777" w:rsidR="003B2DDC" w:rsidRDefault="003B2DDC">
      <w:pPr>
        <w:rPr>
          <w:rFonts w:ascii="Arial" w:eastAsia="Arial" w:hAnsi="Arial" w:cs="Arial"/>
        </w:rPr>
      </w:pPr>
    </w:p>
    <w:p w14:paraId="2398EB0C" w14:textId="77777777" w:rsidR="003B2DDC" w:rsidRDefault="003B2DDC">
      <w:pPr>
        <w:rPr>
          <w:rFonts w:ascii="Arial" w:eastAsia="Arial" w:hAnsi="Arial" w:cs="Arial"/>
        </w:rPr>
      </w:pPr>
    </w:p>
    <w:p w14:paraId="46A64936" w14:textId="77777777" w:rsidR="003B2DDC" w:rsidRDefault="003B2DDC">
      <w:pPr>
        <w:rPr>
          <w:rFonts w:ascii="Arial" w:eastAsia="Arial" w:hAnsi="Arial" w:cs="Arial"/>
        </w:rPr>
      </w:pPr>
    </w:p>
    <w:p w14:paraId="3341CE03" w14:textId="77777777" w:rsidR="00530E16" w:rsidRDefault="00530E16">
      <w:pPr>
        <w:rPr>
          <w:rFonts w:ascii="Arial" w:eastAsia="Arial" w:hAnsi="Arial" w:cs="Arial"/>
        </w:rPr>
      </w:pPr>
    </w:p>
    <w:p w14:paraId="7E890B2C" w14:textId="77777777" w:rsidR="00530E16" w:rsidRDefault="00530E16">
      <w:pPr>
        <w:rPr>
          <w:rFonts w:ascii="Arial" w:eastAsia="Arial" w:hAnsi="Arial" w:cs="Arial"/>
        </w:rPr>
      </w:pPr>
    </w:p>
    <w:p w14:paraId="6A7E9F20" w14:textId="77777777" w:rsidR="00530E16" w:rsidRDefault="00530E16">
      <w:pPr>
        <w:rPr>
          <w:rFonts w:ascii="Arial" w:eastAsia="Arial" w:hAnsi="Arial" w:cs="Arial"/>
        </w:rPr>
      </w:pPr>
    </w:p>
    <w:p w14:paraId="16AB907B" w14:textId="77777777" w:rsidR="00530E16" w:rsidRDefault="00530E16">
      <w:pPr>
        <w:rPr>
          <w:rFonts w:ascii="Arial" w:eastAsia="Arial" w:hAnsi="Arial" w:cs="Arial"/>
        </w:rPr>
      </w:pPr>
    </w:p>
    <w:p w14:paraId="4ED269D7" w14:textId="77777777" w:rsidR="00530E16" w:rsidRDefault="00530E16">
      <w:pPr>
        <w:rPr>
          <w:rFonts w:ascii="Arial" w:eastAsia="Arial" w:hAnsi="Arial" w:cs="Arial"/>
        </w:rPr>
      </w:pPr>
    </w:p>
    <w:p w14:paraId="79334EEB" w14:textId="77777777" w:rsidR="00530E16" w:rsidRDefault="00530E16">
      <w:pPr>
        <w:rPr>
          <w:rFonts w:ascii="Arial" w:eastAsia="Arial" w:hAnsi="Arial" w:cs="Arial"/>
        </w:rPr>
      </w:pPr>
    </w:p>
    <w:p w14:paraId="40678A34" w14:textId="77777777" w:rsidR="00530E16" w:rsidRDefault="00530E16">
      <w:pPr>
        <w:rPr>
          <w:rFonts w:ascii="Arial" w:eastAsia="Arial" w:hAnsi="Arial" w:cs="Arial"/>
        </w:rPr>
      </w:pPr>
    </w:p>
    <w:p w14:paraId="5F2DB80B"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7FA5EF3" w14:textId="77777777" w:rsidR="00530E16" w:rsidRDefault="00530E16">
      <w:pPr>
        <w:rPr>
          <w:rFonts w:ascii="Arial" w:eastAsia="Arial" w:hAnsi="Arial" w:cs="Arial"/>
        </w:rPr>
      </w:pPr>
    </w:p>
    <w:p w14:paraId="3A2D4866" w14:textId="423C9029" w:rsidR="003B2DDC" w:rsidRPr="003B2DDC" w:rsidRDefault="00575E73" w:rsidP="003B2DDC">
      <w:pPr>
        <w:pStyle w:val="Heading1"/>
        <w:rPr>
          <w:rFonts w:ascii="Arial" w:eastAsia="Arial" w:hAnsi="Arial" w:cs="Arial"/>
          <w:sz w:val="22"/>
          <w:szCs w:val="22"/>
        </w:rPr>
      </w:pPr>
      <w:bookmarkStart w:id="0" w:name="_Toc227917102"/>
      <w:r w:rsidRPr="00575E73">
        <w:rPr>
          <w:rFonts w:eastAsia="Arial"/>
        </w:rPr>
        <w:lastRenderedPageBreak/>
        <w:t>Introduction</w:t>
      </w:r>
      <w:bookmarkEnd w:id="0"/>
      <w:r w:rsidRPr="00575E73">
        <w:rPr>
          <w:rFonts w:eastAsia="Arial"/>
        </w:rPr>
        <w:t xml:space="preserve">  </w:t>
      </w:r>
    </w:p>
    <w:p w14:paraId="763F34B6"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This report is on burnout of staff in UK health and social care. Increasing demand, under-staffing and low pay plague the NHS's nurses and care staff. Many experience substantial levels of burnout. The report describes the problem, describes three reliable sources and proposes a research plan. It discusses research methods, data collection options and justifications for them. The report will demonstrate research methods in practice to address a workforce issue in UK health care.</w:t>
      </w:r>
    </w:p>
    <w:p w14:paraId="71D62B24" w14:textId="77777777" w:rsidR="003B2DDC" w:rsidRPr="003B2DDC" w:rsidRDefault="003B2DDC" w:rsidP="003B2DDC">
      <w:pPr>
        <w:pStyle w:val="Heading1"/>
        <w:rPr>
          <w:rFonts w:eastAsia="Arial"/>
        </w:rPr>
      </w:pPr>
      <w:bookmarkStart w:id="1" w:name="_Toc227917103"/>
      <w:r w:rsidRPr="003B2DDC">
        <w:rPr>
          <w:rFonts w:eastAsia="Arial"/>
        </w:rPr>
        <w:t>Task 1 - Choosing a Topic</w:t>
      </w:r>
      <w:bookmarkEnd w:id="1"/>
    </w:p>
    <w:p w14:paraId="4041FC30"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1.1 Problem and its significance</w:t>
      </w:r>
    </w:p>
    <w:p w14:paraId="3E749DDF"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Burnout is a significant issue in the health and social care sector in the UK. Burnout is a syndrome of emotional exhaustion, personal accomplishment and depersonalisation resulting from workplace stress (Maslach and Leiter, 2016). In 2023, NHS England found more than 40% of NHS staff had experienced burnout in the past year (NHS England, 2023). This is a workforce in dire stress.</w:t>
      </w:r>
    </w:p>
    <w:p w14:paraId="1AD94516"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Nurses, social workers, health care assistants and midwives are all exhibiting this. The causes include excessive workload, high patient numbers and a lack of support. Burnout results in an increase in sickness absence, staff turnover and a decline in patient care (West and Coia, 2019). Health services must increase staffing costs to replace these experienced staff.</w:t>
      </w:r>
    </w:p>
    <w:p w14:paraId="1C3C2500"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Service users also suffer. Burnt out staff make more mistakes and have less satisfied customers (Aiken et al., 2012). The Care Quality Commission (CQC, 2023) associates worse staff wellbeing with worse ratings for care homes. Burnout is not personal failure. It is a systemic issue that undermines the health and care sector.</w:t>
      </w:r>
    </w:p>
    <w:p w14:paraId="4A6439D4"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1.2 Reflection - Why I decided on this topic</w:t>
      </w:r>
    </w:p>
    <w:p w14:paraId="020B6923"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Staff burnout relates to the health and social care profession this course is preparing the students for. Students of health care see strategies to cope with burnout from their peers on placement or voluntary positions. This is an important question for organisations: how do they keep their staff healthy?</w:t>
      </w:r>
    </w:p>
    <w:p w14:paraId="0ACD2581"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This was driven by an interest in workforce issues and management. There is a lot of talk about the NHS workforce crisis. It provides an opportunity to develop research skills and apply them to a practical problem. Knowing the causes of burnout and what alleviates it, gives students the knowledge to be good practitioners. It is relevant to future health service and clinical leadership.</w:t>
      </w:r>
    </w:p>
    <w:p w14:paraId="7B248BC5" w14:textId="77777777" w:rsidR="003B2DDC" w:rsidRPr="003B2DDC" w:rsidRDefault="003B2DDC" w:rsidP="003B2DDC">
      <w:pPr>
        <w:pStyle w:val="Heading1"/>
        <w:rPr>
          <w:rFonts w:eastAsia="Arial"/>
        </w:rPr>
      </w:pPr>
      <w:bookmarkStart w:id="2" w:name="_Toc227917104"/>
      <w:r w:rsidRPr="003B2DDC">
        <w:rPr>
          <w:rFonts w:eastAsia="Arial"/>
        </w:rPr>
        <w:t>Task 2 - Assessing Information</w:t>
      </w:r>
      <w:bookmarkEnd w:id="2"/>
    </w:p>
    <w:p w14:paraId="44130775"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2.1 Source 1</w:t>
      </w:r>
    </w:p>
    <w:p w14:paraId="2911EAA6"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 xml:space="preserve">Aiken, L.H., Sermeus, W., Van den Heede, K., Sloane, D.M., Busse, R., McKee, M., Bruyneel, L., Rafferty, A.M., Griffiths, P., Moreno-Casbas, M.T., Tishelman, C., Scott, A., </w:t>
      </w:r>
      <w:r w:rsidRPr="003B2DDC">
        <w:rPr>
          <w:rFonts w:ascii="Arial" w:eastAsia="Arial" w:hAnsi="Arial" w:cs="Arial"/>
          <w:sz w:val="22"/>
          <w:szCs w:val="22"/>
        </w:rPr>
        <w:lastRenderedPageBreak/>
        <w:t>Brzostek, T., Kinnunen, J., Schwendimann, R., Heinen, M (2012) 'Patient safety, satisfaction, and quality of hospital care: cross sectional surveys of nurses and patients in 12 countries in Europe and the United States', BMJ, 344, p.e1717.</w:t>
      </w:r>
    </w:p>
    <w:p w14:paraId="2F639F4C"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This international survey involved more than 30,000 nurses and 11,000 patients from 12 countries. It showed a statistical association between poor nurse working conditions and poor patient safety. This study is reputable as it published in a peer-reviewed journal (BMJ) of high academic quality. It has a cross-sectional design with a large sample size. For this report, it offers quantitative data that nursing staff burnout impacts on patient care. It reinforces the view that staff burnout is about much more than staffing levels - it is a patient safety issue. The European data means the report is relevant to the UK NHS.</w:t>
      </w:r>
    </w:p>
    <w:p w14:paraId="1BE2FAE8"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2.2 Source 2</w:t>
      </w:r>
    </w:p>
    <w:p w14:paraId="6DC05704"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West, M. and Coia, D. (2019) Caring for doctors, caring for patients. General Medical Council, London.</w:t>
      </w:r>
    </w:p>
    <w:p w14:paraId="06D73243"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The General Medical Council (GMC) commissioned and commissioned this report which was written by two experts in the health of NHS staff, Professor Michael West and Dr Denise Coia. It is based on surveys, focus groups and interviews with doctors from around the UK. It provides evidence that adverse working conditions, a lack of control and support cause burnout and mental ill-health in doctors. The source is reliable as it was compiled by a statutory regulator using multiple sources of evidence. It is frequently referred to in NHS workforce policy. In this report, it offers qualitative and quantitative evidence of burnout in the UK. It also makes organisational recommendations, making it policy relevant. The attention on structural factors underlying burnout helps make the point that individual responses won't solve the problem.</w:t>
      </w:r>
    </w:p>
    <w:p w14:paraId="08AFE6EC"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2.3 Source 3</w:t>
      </w:r>
    </w:p>
    <w:p w14:paraId="5F3A9026"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NHS England (2023) National results briefing of the NHS Staff Survey 2023. London: NHS England. https://www.nhsstaffsurvey.com (Accessed: 10 April 2025).</w:t>
      </w:r>
    </w:p>
    <w:p w14:paraId="64B8E648"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The NHS Staff Survey is a yearly survey across all NHS trusts in England. In 2023 more than 680,000 staff responded. It's one of the world's largest staff surveys. It includes questions on burnout, pressure, staff wellbeing and management support. This means it is relevant to this report. It is an institutional source, and as such, is widely trusted and used by NHS trusts, policy-makers and researchers. The data is freely-accessible and updated, making it transparent. It delivers the latest, UK-specific, data on burnout rates within the NHS for this report. It is well-suited as a secondary source of data for any research into this topic.</w:t>
      </w:r>
    </w:p>
    <w:p w14:paraId="24674840"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2.4 Areas for Future Research</w:t>
      </w:r>
    </w:p>
    <w:p w14:paraId="294B8EE7"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 xml:space="preserve">While there is an increasing body of research on NHS staff burnout, there is still more to be done. The majority of the evidence is on nurses and doctors, with little research on health care assistants and social care workers. Aiken et al. (2012) investigated hospital nurses, and West and Coia (2019) the role of doctors. There is little research on community care and residential care facilities. There are also few studies of individual burnout over time. Most of the evidence is based on cross-sectional (single time point) analyses. Further, there is a lack </w:t>
      </w:r>
      <w:r w:rsidRPr="003B2DDC">
        <w:rPr>
          <w:rFonts w:ascii="Arial" w:eastAsia="Arial" w:hAnsi="Arial" w:cs="Arial"/>
          <w:sz w:val="22"/>
          <w:szCs w:val="22"/>
        </w:rPr>
        <w:lastRenderedPageBreak/>
        <w:t>of research about the experiences of burned-out staff, especially those from Black, Asian, and minority ethnic backgrounds, in the UK. These are potential areas for future work.</w:t>
      </w:r>
    </w:p>
    <w:p w14:paraId="52B5EA9D" w14:textId="77777777" w:rsidR="003B2DDC" w:rsidRPr="003B2DDC" w:rsidRDefault="003B2DDC" w:rsidP="003B2DDC">
      <w:pPr>
        <w:pStyle w:val="Heading1"/>
        <w:rPr>
          <w:rFonts w:eastAsia="Arial"/>
        </w:rPr>
      </w:pPr>
      <w:bookmarkStart w:id="3" w:name="_Toc227917105"/>
      <w:r w:rsidRPr="003B2DDC">
        <w:rPr>
          <w:rFonts w:eastAsia="Arial"/>
        </w:rPr>
        <w:t>Task 3 – Research Methodologies</w:t>
      </w:r>
      <w:bookmarkEnd w:id="3"/>
    </w:p>
    <w:p w14:paraId="27F679CE"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3.1 Definitions and Examples</w:t>
      </w:r>
    </w:p>
    <w:p w14:paraId="35AB9579"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Quantitative research is based on collecting data that is measurable and used to identify patterns, measure variables and test hypotheses. It employs systematic methods like surveys and statistics. In health care, this might include using the Maslach Burnout Inventory to determine the proportion of nurses who report burnout (above a certain threshold) in 20 NHS trusts.</w:t>
      </w:r>
    </w:p>
    <w:p w14:paraId="1292214B"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Qualitative research focuses on people's experiences, beliefs and viewpoints through non-numerical information. This includes interviews and focus groups. For instance, a researcher might interview health care assistants about how their work environment impacts their mental health.</w:t>
      </w:r>
    </w:p>
    <w:p w14:paraId="0B140806"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Mixed-methods approaches use both types of methods. A researcher could survey staff to determine which positions are most affected by burnout, and interview staff to find out why. This provides breadth and depth. Both can answer different questions and provide different types of data (Creswell and Creswell, 2018).</w:t>
      </w:r>
    </w:p>
    <w:p w14:paraId="1A84967D"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3.2 Rationale for chosen methodology</w:t>
      </w:r>
    </w:p>
    <w:p w14:paraId="6B8DF7C0"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The best method to study staff burnout in the UK health and social care system is mixed-methods. Burnout is quantitative and qualitative. Its prevalence and distribution among staff groups and trust types are measured by quantitative data from surveys. Qualitative data obtained via interviews also shows the individual, emotional and organisational drivers.</w:t>
      </w:r>
    </w:p>
    <w:p w14:paraId="40665F62"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Either method would only give part of the picture. A survey on its own would not capture people's experiences. Interviews alone wouldn't reveal the extent of the issue in the NHS. Using both approaches overcomes this problem. Creswell and Creswell (2018) encourage the use of mixed methods to address a topic that requires statistical data and a detailed narrative. Staff burnout is just such a topic.</w:t>
      </w:r>
    </w:p>
    <w:p w14:paraId="32661C54" w14:textId="77777777" w:rsidR="003B2DDC" w:rsidRPr="003B2DDC" w:rsidRDefault="003B2DDC" w:rsidP="003B2DDC">
      <w:pPr>
        <w:pStyle w:val="Heading1"/>
        <w:rPr>
          <w:rFonts w:eastAsia="Arial"/>
        </w:rPr>
      </w:pPr>
      <w:bookmarkStart w:id="4" w:name="_Toc227917106"/>
      <w:r w:rsidRPr="003B2DDC">
        <w:rPr>
          <w:rFonts w:eastAsia="Arial"/>
        </w:rPr>
        <w:t>Task 4 – Data Collection</w:t>
      </w:r>
      <w:bookmarkEnd w:id="4"/>
    </w:p>
    <w:p w14:paraId="1259814F"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4.1 Primary vs Secondary Data</w:t>
      </w:r>
    </w:p>
    <w:p w14:paraId="0EC26F6C"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Primary data is data collected first-hand by the researcher for a particular research project. This type of data is obtained via surveys, structured questionnaires, observations, and focus groups. The researcher designs, asks the questions and selects the sample. Primary data is new and specific to the study.</w:t>
      </w:r>
    </w:p>
    <w:p w14:paraId="54392CCB"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Secondary data is data that have been collected for other purposes. Sources include government publications, published statistics, survey data collections and research. The NHS Staff Survey 2023 is an example of secondary data. Secondary data is readily available, inexpensive and often big. The type of data has advantages and disadvantages for research purposes.</w:t>
      </w:r>
    </w:p>
    <w:p w14:paraId="3078482E"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lastRenderedPageBreak/>
        <w:t>4.2 Selected Type of Data and Data Justification</w:t>
      </w:r>
    </w:p>
    <w:p w14:paraId="1175DDC9"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This study would collect both primary and secondary data (mixed methods). Secondary data (NHS Staff Survey) offers a national picture of burnout rates. Semi-structured interviews with care workers in one NHS trust would provide additional insights. Starting with secondary data helps the researcher to determine which types of staff to interview in the primary phase. This is a type of sequential explanatory approach (Creswell and Creswell, 2018). This approach guarantees the study is informed by the current evidence and also yields new information.</w:t>
      </w:r>
    </w:p>
    <w:p w14:paraId="71CA3006"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4.3 Advantages and Challenges</w:t>
      </w:r>
    </w:p>
    <w:p w14:paraId="74A1455F"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There are a number of advantages to using secondary data from the NHS Staff Survey. The survey is large, nationally representative and free. It can be used to compare between trusts and over time at low cost. One problem is that the dataset was not collected for this particular study. Questions do not always capture all the subtlety of burnout among health care assistants and social care workers.</w:t>
      </w:r>
    </w:p>
    <w:p w14:paraId="69EF3CA1"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Primary data from interviews provides in-depth and individualised information. Interviews provide opportunities for further questions and uncovering unanticipated issues. A key issue is the time and resources required to recruit participants and schedule interviews in a large NHS trust. Approval from the ethical review board is also needed to undertake primary data collection (ESRC, 2015). Staff availability and willingness to engage and discuss issues such as mental health also presents challenges.</w:t>
      </w:r>
    </w:p>
    <w:p w14:paraId="19F5D4B7" w14:textId="77777777" w:rsidR="003B2DDC" w:rsidRPr="003B2DDC" w:rsidRDefault="003B2DDC" w:rsidP="003B2DDC">
      <w:pPr>
        <w:pStyle w:val="Heading1"/>
        <w:rPr>
          <w:rFonts w:eastAsia="Arial"/>
        </w:rPr>
      </w:pPr>
      <w:bookmarkStart w:id="5" w:name="_Toc227917107"/>
      <w:r w:rsidRPr="003B2DDC">
        <w:rPr>
          <w:rFonts w:eastAsia="Arial"/>
        </w:rPr>
        <w:t>Conclusion</w:t>
      </w:r>
      <w:bookmarkEnd w:id="5"/>
    </w:p>
    <w:p w14:paraId="5755DAE9" w14:textId="06EE3D5C" w:rsidR="00575E73" w:rsidRDefault="003B2DDC" w:rsidP="003B2DDC">
      <w:pPr>
        <w:rPr>
          <w:rFonts w:ascii="Arial" w:eastAsia="Arial" w:hAnsi="Arial" w:cs="Arial"/>
          <w:sz w:val="22"/>
          <w:szCs w:val="22"/>
        </w:rPr>
      </w:pPr>
      <w:r w:rsidRPr="003B2DDC">
        <w:rPr>
          <w:rFonts w:ascii="Arial" w:eastAsia="Arial" w:hAnsi="Arial" w:cs="Arial"/>
          <w:sz w:val="22"/>
          <w:szCs w:val="22"/>
        </w:rPr>
        <w:t>Staff burnout is a current issue in health and social care in the UK, as discussed in this report. The findings of Aiken et al. (2012), West and Coia (2019) and NHS England (2023) confirm the prevalence and consequences of staff burnout on staff and patients. Using a multimethod approach, with secondary data from NHS surveys and primary data from semi-structured interviews, is the best approach to research this topic. Staff burnout undermines quality of care, impacts on staff turnover and strain on health care systems. It needs to be tackled through evidence-informed policy and practice, and a focus on staff wellbeing.</w:t>
      </w:r>
    </w:p>
    <w:p w14:paraId="15F82379" w14:textId="77777777" w:rsidR="003B2DDC" w:rsidRDefault="003B2DDC" w:rsidP="003B2DDC">
      <w:pPr>
        <w:rPr>
          <w:rFonts w:ascii="Arial" w:eastAsia="Arial" w:hAnsi="Arial" w:cs="Arial"/>
          <w:sz w:val="22"/>
          <w:szCs w:val="22"/>
        </w:rPr>
      </w:pPr>
    </w:p>
    <w:p w14:paraId="19F214F8" w14:textId="77777777" w:rsidR="003B2DDC" w:rsidRDefault="003B2DDC" w:rsidP="003B2DDC">
      <w:pPr>
        <w:rPr>
          <w:rFonts w:ascii="Arial" w:eastAsia="Arial" w:hAnsi="Arial" w:cs="Arial"/>
          <w:sz w:val="22"/>
          <w:szCs w:val="22"/>
        </w:rPr>
      </w:pPr>
    </w:p>
    <w:p w14:paraId="69FD0C04" w14:textId="77777777" w:rsidR="003B2DDC" w:rsidRDefault="003B2DDC" w:rsidP="003B2DDC">
      <w:pPr>
        <w:rPr>
          <w:rFonts w:ascii="Arial" w:eastAsia="Arial" w:hAnsi="Arial" w:cs="Arial"/>
          <w:sz w:val="22"/>
          <w:szCs w:val="22"/>
        </w:rPr>
      </w:pPr>
    </w:p>
    <w:p w14:paraId="6D912B27" w14:textId="77777777" w:rsidR="003B2DDC" w:rsidRDefault="003B2DDC" w:rsidP="003B2DDC">
      <w:pPr>
        <w:rPr>
          <w:rFonts w:ascii="Arial" w:eastAsia="Arial" w:hAnsi="Arial" w:cs="Arial"/>
          <w:sz w:val="22"/>
          <w:szCs w:val="22"/>
        </w:rPr>
      </w:pPr>
    </w:p>
    <w:p w14:paraId="063603D5" w14:textId="77777777" w:rsidR="003B2DDC" w:rsidRDefault="003B2DDC" w:rsidP="003B2DDC">
      <w:pPr>
        <w:rPr>
          <w:rFonts w:ascii="Arial" w:eastAsia="Arial" w:hAnsi="Arial" w:cs="Arial"/>
          <w:sz w:val="22"/>
          <w:szCs w:val="22"/>
        </w:rPr>
      </w:pPr>
    </w:p>
    <w:p w14:paraId="15823ABC" w14:textId="77777777" w:rsidR="003B2DDC" w:rsidRDefault="003B2DDC" w:rsidP="003B2DDC">
      <w:pPr>
        <w:rPr>
          <w:rFonts w:ascii="Arial" w:eastAsia="Arial" w:hAnsi="Arial" w:cs="Arial"/>
          <w:sz w:val="22"/>
          <w:szCs w:val="22"/>
        </w:rPr>
      </w:pPr>
    </w:p>
    <w:p w14:paraId="5C175D98" w14:textId="77777777" w:rsidR="003B2DDC" w:rsidRDefault="003B2DDC" w:rsidP="003B2DDC">
      <w:pPr>
        <w:rPr>
          <w:rFonts w:ascii="Arial" w:eastAsia="Arial" w:hAnsi="Arial" w:cs="Arial"/>
          <w:sz w:val="22"/>
          <w:szCs w:val="22"/>
        </w:rPr>
      </w:pPr>
    </w:p>
    <w:p w14:paraId="3562AB08" w14:textId="77777777" w:rsidR="003B2DDC" w:rsidRDefault="003B2DDC" w:rsidP="003B2DDC">
      <w:pPr>
        <w:rPr>
          <w:rFonts w:ascii="Arial" w:eastAsia="Arial" w:hAnsi="Arial" w:cs="Arial"/>
          <w:sz w:val="22"/>
          <w:szCs w:val="22"/>
        </w:rPr>
      </w:pPr>
    </w:p>
    <w:p w14:paraId="5AF724C0" w14:textId="77777777" w:rsidR="003B2DDC" w:rsidRDefault="003B2DDC" w:rsidP="003B2DDC">
      <w:pPr>
        <w:rPr>
          <w:rFonts w:ascii="Arial" w:eastAsia="Arial" w:hAnsi="Arial" w:cs="Arial"/>
          <w:sz w:val="22"/>
          <w:szCs w:val="22"/>
        </w:rPr>
      </w:pPr>
    </w:p>
    <w:p w14:paraId="657E2DE3" w14:textId="77777777" w:rsidR="003B2DDC" w:rsidRDefault="003B2DDC" w:rsidP="003B2DDC">
      <w:pPr>
        <w:rPr>
          <w:rFonts w:ascii="Arial" w:eastAsia="Arial" w:hAnsi="Arial" w:cs="Arial"/>
          <w:sz w:val="22"/>
          <w:szCs w:val="22"/>
        </w:rPr>
      </w:pPr>
    </w:p>
    <w:p w14:paraId="5C34E7CC" w14:textId="77777777" w:rsidR="003B2DDC" w:rsidRPr="00575E73" w:rsidRDefault="003B2DDC" w:rsidP="003B2DDC">
      <w:pPr>
        <w:rPr>
          <w:rFonts w:ascii="Arial" w:eastAsia="Arial" w:hAnsi="Arial" w:cs="Arial"/>
          <w:sz w:val="22"/>
          <w:szCs w:val="22"/>
        </w:rPr>
      </w:pPr>
    </w:p>
    <w:p w14:paraId="13BC02B3" w14:textId="77777777" w:rsidR="00575E73" w:rsidRPr="00575E73" w:rsidRDefault="00575E73" w:rsidP="00575E73">
      <w:pPr>
        <w:rPr>
          <w:rFonts w:ascii="Arial" w:eastAsia="Arial" w:hAnsi="Arial" w:cs="Arial"/>
          <w:sz w:val="22"/>
          <w:szCs w:val="22"/>
        </w:rPr>
      </w:pPr>
    </w:p>
    <w:p w14:paraId="35297D9C" w14:textId="4497E40E" w:rsidR="003B2DDC" w:rsidRPr="003B2DDC" w:rsidRDefault="00575E73" w:rsidP="003B2DDC">
      <w:pPr>
        <w:pStyle w:val="Heading1"/>
        <w:rPr>
          <w:rFonts w:ascii="Arial" w:eastAsia="Arial" w:hAnsi="Arial" w:cs="Arial"/>
          <w:sz w:val="22"/>
          <w:szCs w:val="22"/>
        </w:rPr>
      </w:pPr>
      <w:bookmarkStart w:id="6" w:name="_Toc227917108"/>
      <w:r w:rsidRPr="00575E73">
        <w:rPr>
          <w:rFonts w:eastAsia="Arial"/>
        </w:rPr>
        <w:t>Reference List</w:t>
      </w:r>
      <w:bookmarkEnd w:id="6"/>
      <w:r w:rsidR="003B2DDC">
        <w:rPr>
          <w:rFonts w:eastAsia="Arial"/>
        </w:rPr>
        <w:t xml:space="preserve"> </w:t>
      </w:r>
    </w:p>
    <w:p w14:paraId="13C496DA"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 xml:space="preserve">Aiken, L.H., Sermeus, W., Van den Heede, K., Sloane, D.M., Busse, R., McKee, M., Bruyneel, L., Rafferty, A.M., Griffiths, P., Moreno-Casbas, M.T., Tishelman, C., Scott, A., Brzostek, T., Kinnunen, J., Schwendimann, R., Heinen, M., Zikos, D., </w:t>
      </w:r>
      <w:proofErr w:type="spellStart"/>
      <w:r w:rsidRPr="003B2DDC">
        <w:rPr>
          <w:rFonts w:ascii="Arial" w:eastAsia="Arial" w:hAnsi="Arial" w:cs="Arial"/>
          <w:sz w:val="22"/>
          <w:szCs w:val="22"/>
        </w:rPr>
        <w:t>Sjetne</w:t>
      </w:r>
      <w:proofErr w:type="spellEnd"/>
      <w:r w:rsidRPr="003B2DDC">
        <w:rPr>
          <w:rFonts w:ascii="Arial" w:eastAsia="Arial" w:hAnsi="Arial" w:cs="Arial"/>
          <w:sz w:val="22"/>
          <w:szCs w:val="22"/>
        </w:rPr>
        <w:t>, I.S., Smith, H.L. and Kutney-Lee, A. (2012) 'Patient safety, satisfaction, and quality of hospital care: cross sectional surveys of nurses and patients in 12 countries in Europe and the United States', BMJ, 344, p.e1717.</w:t>
      </w:r>
    </w:p>
    <w:p w14:paraId="77DBE01D"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Care Quality Commission (CQC) (2023) The State of Health Care and Adult Social Care in England 2022/23. London: CQC.</w:t>
      </w:r>
    </w:p>
    <w:p w14:paraId="4931BE35"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Creswell, J.W. and Creswell, J.D. (2018) Research Design: Qualitative, Quantitative, and Mixed Methods Approaches. 5th edn. London: SAGE Publications.</w:t>
      </w:r>
    </w:p>
    <w:p w14:paraId="145AD2E5"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Economic and Social Research Council (ESRC) (2015) ESRC Framework for Research Ethics. Swindon: ESRC.</w:t>
      </w:r>
    </w:p>
    <w:p w14:paraId="7B595449"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Maslach, C. and Leiter, M.P. (2016) 'Understanding the burnout experience: recent research and its implications for psychiatry', World Psychiatry, 15(2), pp.103-111.</w:t>
      </w:r>
    </w:p>
    <w:p w14:paraId="2D035E18" w14:textId="77777777" w:rsidR="003B2DDC" w:rsidRPr="003B2DDC" w:rsidRDefault="003B2DDC" w:rsidP="003B2DDC">
      <w:pPr>
        <w:rPr>
          <w:rFonts w:ascii="Arial" w:eastAsia="Arial" w:hAnsi="Arial" w:cs="Arial"/>
          <w:sz w:val="22"/>
          <w:szCs w:val="22"/>
        </w:rPr>
      </w:pPr>
      <w:r w:rsidRPr="003B2DDC">
        <w:rPr>
          <w:rFonts w:ascii="Arial" w:eastAsia="Arial" w:hAnsi="Arial" w:cs="Arial"/>
          <w:sz w:val="22"/>
          <w:szCs w:val="22"/>
        </w:rPr>
        <w:t>NHS England (2023) NHS Staff Survey 2023: National Results Briefing. London: NHS England. Available at: https://www.nhsstaffsurvey.com (Accessed: 10 April 2025).</w:t>
      </w:r>
    </w:p>
    <w:p w14:paraId="2334FD13" w14:textId="753D9602" w:rsidR="00530E16" w:rsidRPr="00575E73" w:rsidRDefault="003B2DDC" w:rsidP="003B2DDC">
      <w:pPr>
        <w:rPr>
          <w:rFonts w:ascii="Arial" w:eastAsia="Arial" w:hAnsi="Arial" w:cs="Arial"/>
          <w:sz w:val="22"/>
          <w:szCs w:val="22"/>
        </w:rPr>
      </w:pPr>
      <w:r w:rsidRPr="003B2DDC">
        <w:rPr>
          <w:rFonts w:ascii="Arial" w:eastAsia="Arial" w:hAnsi="Arial" w:cs="Arial"/>
          <w:sz w:val="22"/>
          <w:szCs w:val="22"/>
        </w:rPr>
        <w:t>West, M. and Coia, D. (2019) Caring for Doctors, Caring for Patients. London: General Medical Council.</w:t>
      </w:r>
    </w:p>
    <w:sectPr w:rsidR="00530E16" w:rsidRPr="00575E73"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974F9" w14:textId="77777777" w:rsidR="00EA04EC" w:rsidRDefault="00EA04EC" w:rsidP="002A1842">
      <w:pPr>
        <w:spacing w:after="0" w:line="240" w:lineRule="auto"/>
      </w:pPr>
      <w:r>
        <w:separator/>
      </w:r>
    </w:p>
  </w:endnote>
  <w:endnote w:type="continuationSeparator" w:id="0">
    <w:p w14:paraId="37A4CA90" w14:textId="77777777" w:rsidR="00EA04EC" w:rsidRDefault="00EA04E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1566663"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0AA2A71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31754BE"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11AF32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46DFC" w14:textId="77777777" w:rsidR="00EA04EC" w:rsidRDefault="00EA04EC" w:rsidP="002A1842">
      <w:pPr>
        <w:spacing w:after="0" w:line="240" w:lineRule="auto"/>
      </w:pPr>
      <w:r>
        <w:separator/>
      </w:r>
    </w:p>
  </w:footnote>
  <w:footnote w:type="continuationSeparator" w:id="0">
    <w:p w14:paraId="0A5C3442" w14:textId="77777777" w:rsidR="00EA04EC" w:rsidRDefault="00EA04E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69481872">
    <w:abstractNumId w:val="5"/>
  </w:num>
  <w:num w:numId="2" w16cid:durableId="597449307">
    <w:abstractNumId w:val="3"/>
  </w:num>
  <w:num w:numId="3" w16cid:durableId="1586837629">
    <w:abstractNumId w:val="2"/>
  </w:num>
  <w:num w:numId="4" w16cid:durableId="1348948522">
    <w:abstractNumId w:val="1"/>
  </w:num>
  <w:num w:numId="5" w16cid:durableId="1103497760">
    <w:abstractNumId w:val="4"/>
  </w:num>
  <w:num w:numId="6" w16cid:durableId="928806649">
    <w:abstractNumId w:val="0"/>
  </w:num>
  <w:num w:numId="7" w16cid:durableId="1606499593">
    <w:abstractNumId w:val="7"/>
  </w:num>
  <w:num w:numId="8" w16cid:durableId="1445911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44993"/>
    <w:rsid w:val="00172AD1"/>
    <w:rsid w:val="001813E7"/>
    <w:rsid w:val="001E0AF6"/>
    <w:rsid w:val="002A1842"/>
    <w:rsid w:val="003B2DDC"/>
    <w:rsid w:val="00432D05"/>
    <w:rsid w:val="004468F8"/>
    <w:rsid w:val="00530E16"/>
    <w:rsid w:val="00575E73"/>
    <w:rsid w:val="00722EFE"/>
    <w:rsid w:val="007637E9"/>
    <w:rsid w:val="007D6689"/>
    <w:rsid w:val="008E7834"/>
    <w:rsid w:val="009F60D1"/>
    <w:rsid w:val="00A75B15"/>
    <w:rsid w:val="00AB1875"/>
    <w:rsid w:val="00AE06EA"/>
    <w:rsid w:val="00B65ED6"/>
    <w:rsid w:val="00BA0043"/>
    <w:rsid w:val="00CF650B"/>
    <w:rsid w:val="00D62A9C"/>
    <w:rsid w:val="00DB181C"/>
    <w:rsid w:val="00EA04EC"/>
    <w:rsid w:val="00F618F2"/>
    <w:rsid w:val="00F93F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86CF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63697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1902</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 Croitoru (2525126)</dc:creator>
  <cp:lastModifiedBy>Simon Croitoru (2525126)</cp:lastModifiedBy>
  <cp:revision>4</cp:revision>
  <dcterms:created xsi:type="dcterms:W3CDTF">2026-04-24T08:53:00Z</dcterms:created>
  <dcterms:modified xsi:type="dcterms:W3CDTF">2026-04-24T10:25:00Z</dcterms:modified>
</cp:coreProperties>
</file>