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mc:AlternateContent>
          <mc:Choice Requires="wps">
            <w:drawing>
              <wp:anchor behindDoc="0" distT="0" distB="6350" distL="114300" distR="113665" simplePos="0" locked="0" layoutInCell="0" allowOverlap="1" relativeHeight="2" wp14:anchorId="715DCC3E">
                <wp:simplePos x="0" y="0"/>
                <wp:positionH relativeFrom="page">
                  <wp:align>center</wp:align>
                </wp:positionH>
                <wp:positionV relativeFrom="page">
                  <wp:posOffset>3207385</wp:posOffset>
                </wp:positionV>
                <wp:extent cx="7270115" cy="3911600"/>
                <wp:effectExtent l="0" t="0" r="0" b="6350"/>
                <wp:wrapSquare wrapText="bothSides"/>
                <wp:docPr id="1" name="Text Box 54"/>
                <a:graphic xmlns:a="http://schemas.openxmlformats.org/drawingml/2006/main">
                  <a:graphicData uri="http://schemas.microsoft.com/office/word/2010/wordprocessingShape">
                    <wps:wsp>
                      <wps:cNvSpPr/>
                      <wps:spPr>
                        <a:xfrm>
                          <a:off x="0" y="0"/>
                          <a:ext cx="7270200" cy="391176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FrameContents"/>
                              <w:jc w:val="right"/>
                              <w:rPr>
                                <w:color w:val="4472C4" w:themeColor="accent1"/>
                                <w:sz w:val="64"/>
                                <w:szCs w:val="64"/>
                              </w:rPr>
                            </w:pPr>
                            <w:r>
                              <w:rPr>
                                <w:color w:val="4472C4" w:themeColor="accent1"/>
                                <w:sz w:val="64"/>
                                <w:szCs w:val="64"/>
                              </w:rPr>
                              <w:t>Work Experience: Placement and Paper</w:t>
                            </w:r>
                            <w:sdt>
                              <w:sdtPr>
                                <w:dataBinding w:prefixMappings="xmlns:ns0='http://purl.org/dc/elements/1.1/' xmlns:ns1='http://schemas.openxmlformats.org/package/2006/metadata/core-properties' " w:xpath="/ns1:coreProperties[1]/ns0:title[1]" w:storeItemID="{6C3C8BC8-F283-45AE-878A-BAB7291924A1}"/>
                                <w:alias w:val="Title"/>
                                <w:id w:val="630141079"/>
                                <w:showingPlcHdr/>
                                <w:text/>
                              </w:sdtPr>
                              <w:sdtContent>
                                <w:r>
                                  <w:rPr>
                                    <w:color w:val="4472C4" w:themeColor="accent1"/>
                                    <w:sz w:val="64"/>
                                    <w:szCs w:val="64"/>
                                  </w:rPr>
                                </w:r>
                                <w:r>
                                  <w:rPr>
                                    <w:color w:val="4472C4" w:themeColor="accent1"/>
                                    <w:sz w:val="64"/>
                                    <w:szCs w:val="64"/>
                                  </w:rPr>
                                </w:r>
                              </w:sdtContent>
                            </w:sdt>
                          </w:p>
                          <w:p>
                            <w:pPr>
                              <w:pStyle w:val="FrameContents"/>
                              <w:spacing w:before="0" w:after="160"/>
                              <w:jc w:val="right"/>
                              <w:rPr>
                                <w:smallCaps/>
                                <w:color w:val="404040" w:themeColor="text1" w:themeTint="bf"/>
                                <w:sz w:val="36"/>
                                <w:szCs w:val="36"/>
                              </w:rPr>
                            </w:pPr>
                            <w:sdt>
                              <w:sdtPr>
                                <w:id w:val="1439153716"/>
                                <w:dataBinding w:prefixMappings="xmlns:ns0='http://purl.org/dc/elements/1.1/' xmlns:ns1='http://schemas.openxmlformats.org/package/2006/metadata/core-properties' " w:xpath="/ns1:coreProperties[1]/ns0:subject[1]" w:storeItemID="{6C3C8BC8-F283-45AE-878A-BAB7291924A1}"/>
                                <w:showingPlcHdr/>
                                <w:alias w:val="Subtitle"/>
                                <w:text/>
                              </w:sdtPr>
                              <w:sdtContent>
                                <w:r>
                                  <w:rPr>
                                    <w:color w:val="000000"/>
                                  </w:rPr>
                                  <w:t>Volunteering: The Gateway To employment</w:t>
                                </w:r>
                              </w:sdtContent>
                            </w:sdt>
                          </w:p>
                        </w:txbxContent>
                      </wps:txbx>
                      <wps:bodyPr lIns="1600200" rIns="685800" tIns="0" bIns="0" anchor="b">
                        <a:prstTxWarp prst="textNoShape"/>
                        <a:noAutofit/>
                      </wps:bodyPr>
                    </wps:wsp>
                  </a:graphicData>
                </a:graphic>
                <wp14:sizeRelH relativeFrom="page">
                  <wp14:pctWidth>94000</wp14:pctWidth>
                </wp14:sizeRelH>
                <wp14:sizeRelV relativeFrom="page">
                  <wp14:pctHeight>36000</wp14:pctHeight>
                </wp14:sizeRelV>
              </wp:anchor>
            </w:drawing>
          </mc:Choice>
          <mc:Fallback>
            <w:pict>
              <v:rect id="shape_0" ID="Text Box 54" path="m0,0l-2147483645,0l-2147483645,-2147483646l0,-2147483646xe" stroked="f" o:allowincell="f" style="position:absolute;margin-left:11.4pt;margin-top:252.55pt;width:572.4pt;height:307.95pt;mso-wrap-style:square;v-text-anchor:bottom;mso-position-horizontal:center;mso-position-horizontal-relative:page;mso-position-vertical-relative:page" wp14:anchorId="715DCC3E">
                <v:fill o:detectmouseclick="t" on="false"/>
                <v:stroke color="#3465a4" weight="6480" joinstyle="round" endcap="flat"/>
                <v:textbox>
                  <w:txbxContent>
                    <w:p>
                      <w:pPr>
                        <w:pStyle w:val="FrameContents"/>
                        <w:jc w:val="right"/>
                        <w:rPr>
                          <w:color w:val="4472C4" w:themeColor="accent1"/>
                          <w:sz w:val="64"/>
                          <w:szCs w:val="64"/>
                        </w:rPr>
                      </w:pPr>
                      <w:r>
                        <w:rPr>
                          <w:color w:val="4472C4" w:themeColor="accent1"/>
                          <w:sz w:val="64"/>
                          <w:szCs w:val="64"/>
                        </w:rPr>
                        <w:t>Work Experience: Placement and Paper</w:t>
                      </w:r>
                      <w:sdt>
                        <w:sdtPr>
                          <w:dataBinding w:prefixMappings="xmlns:ns0='http://purl.org/dc/elements/1.1/' xmlns:ns1='http://schemas.openxmlformats.org/package/2006/metadata/core-properties' " w:xpath="/ns1:coreProperties[1]/ns0:title[1]" w:storeItemID="{6C3C8BC8-F283-45AE-878A-BAB7291924A1}"/>
                          <w:alias w:val="Title"/>
                          <w:id w:val="630141079"/>
                          <w:showingPlcHdr/>
                          <w:text/>
                        </w:sdtPr>
                        <w:sdtContent>
                          <w:r>
                            <w:rPr>
                              <w:color w:val="4472C4" w:themeColor="accent1"/>
                              <w:sz w:val="64"/>
                              <w:szCs w:val="64"/>
                            </w:rPr>
                          </w:r>
                          <w:r>
                            <w:rPr>
                              <w:color w:val="4472C4" w:themeColor="accent1"/>
                              <w:sz w:val="64"/>
                              <w:szCs w:val="64"/>
                            </w:rPr>
                          </w:r>
                        </w:sdtContent>
                      </w:sdt>
                    </w:p>
                    <w:p>
                      <w:pPr>
                        <w:pStyle w:val="FrameContents"/>
                        <w:spacing w:before="0" w:after="160"/>
                        <w:jc w:val="right"/>
                        <w:rPr>
                          <w:smallCaps/>
                          <w:color w:val="404040" w:themeColor="text1" w:themeTint="bf"/>
                          <w:sz w:val="36"/>
                          <w:szCs w:val="36"/>
                        </w:rPr>
                      </w:pPr>
                      <w:sdt>
                        <w:sdtPr>
                          <w:id w:val="1546312129"/>
                          <w:dataBinding w:prefixMappings="xmlns:ns0='http://purl.org/dc/elements/1.1/' xmlns:ns1='http://schemas.openxmlformats.org/package/2006/metadata/core-properties' " w:xpath="/ns1:coreProperties[1]/ns0:subject[1]" w:storeItemID="{6C3C8BC8-F283-45AE-878A-BAB7291924A1}"/>
                          <w:showingPlcHdr/>
                          <w:alias w:val="Subtitle"/>
                          <w:text/>
                        </w:sdtPr>
                        <w:sdtContent>
                          <w:r>
                            <w:rPr>
                              <w:color w:val="000000"/>
                            </w:rPr>
                            <w:t>Volunteering: The Gateway To employment</w:t>
                          </w:r>
                        </w:sdtContent>
                      </w:sdt>
                    </w:p>
                  </w:txbxContent>
                </v:textbox>
                <w10:wrap type="square"/>
              </v:rect>
            </w:pict>
          </mc:Fallback>
        </mc:AlternateContent>
        <mc:AlternateContent>
          <mc:Choice Requires="wps">
            <w:drawing>
              <wp:anchor behindDoc="0" distT="0" distB="7620" distL="114300" distR="113665" simplePos="0" locked="0" layoutInCell="0" allowOverlap="1" relativeHeight="4" wp14:anchorId="28824380">
                <wp:simplePos x="0" y="0"/>
                <wp:positionH relativeFrom="page">
                  <wp:align>center</wp:align>
                </wp:positionH>
                <wp:positionV relativeFrom="page">
                  <wp:posOffset>8745855</wp:posOffset>
                </wp:positionV>
                <wp:extent cx="7270115" cy="977265"/>
                <wp:effectExtent l="0" t="0" r="0" b="8255"/>
                <wp:wrapSquare wrapText="bothSides"/>
                <wp:docPr id="3" name="Text Box 52"/>
                <a:graphic xmlns:a="http://schemas.openxmlformats.org/drawingml/2006/main">
                  <a:graphicData uri="http://schemas.microsoft.com/office/word/2010/wordprocessingShape">
                    <wps:wsp>
                      <wps:cNvSpPr/>
                      <wps:spPr>
                        <a:xfrm>
                          <a:off x="0" y="0"/>
                          <a:ext cx="7270200" cy="97740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NoSpacing"/>
                              <w:jc w:val="right"/>
                              <w:rPr>
                                <w:color w:val="595959" w:themeColor="text1" w:themeTint="a6"/>
                                <w:sz w:val="28"/>
                                <w:szCs w:val="28"/>
                              </w:rPr>
                            </w:pPr>
                            <w:sdt>
                              <w:sdtPr>
                                <w:id w:val="1312953782"/>
                                <w:dataBinding w:prefixMappings="xmlns:ns0='http://purl.org/dc/elements/1.1/' xmlns:ns1='http://schemas.openxmlformats.org/package/2006/metadata/core-properties' " w:xpath="/ns1:coreProperties[1]/ns0:creator[1]" w:storeItemID="{6C3C8BC8-F283-45AE-878A-BAB7291924A1}"/>
                                <w:alias w:val="Author"/>
                                <w:text/>
                              </w:sdtPr>
                              <w:sdtContent>
                                <w:r>
                                  <w:rPr>
                                    <w:color w:val="000000"/>
                                  </w:rPr>
                                  <w:t>Kyran Woods 2006771</w:t>
                                </w:r>
                              </w:sdtContent>
                            </w:sdt>
                          </w:p>
                          <w:p>
                            <w:pPr>
                              <w:pStyle w:val="NoSpacing"/>
                              <w:jc w:val="right"/>
                              <w:rPr>
                                <w:color w:val="595959" w:themeColor="text1" w:themeTint="a6"/>
                                <w:sz w:val="18"/>
                                <w:szCs w:val="18"/>
                              </w:rPr>
                            </w:pPr>
                            <w:sdt>
                              <w:sdtPr>
                                <w:dataBinding w:prefixMappings="xmlns:ns0='http://schemas.microsoft.com/office/2006/coverPageProps' " w:xpath="/ns0:CoverPageProperties[1]/ns0:CompanyEmail[1]" w:storeItemID="{55AF091B-3C7A-41E3-B477-F2FDAA23CFDA}"/>
                                <w:alias w:val="Email"/>
                                <w:tag w:val="Email"/>
                                <w:id w:val="942260680"/>
                                <w:text/>
                              </w:sdtPr>
                              <w:sdtContent>
                                <w:r>
                                  <w:rPr>
                                    <w:color w:val="595959" w:themeColor="text1" w:themeTint="a6"/>
                                    <w:sz w:val="18"/>
                                    <w:szCs w:val="18"/>
                                  </w:rPr>
                                </w:r>
                                <w:r>
                                  <w:rPr>
                                    <w:color w:val="595959" w:themeColor="text1" w:themeTint="a6"/>
                                    <w:sz w:val="18"/>
                                    <w:szCs w:val="18"/>
                                  </w:rPr>
                                  <w:t>BMCP5004</w:t>
                                </w:r>
                              </w:sdtContent>
                            </w:sdt>
                          </w:p>
                        </w:txbxContent>
                      </wps:txbx>
                      <wps:bodyPr lIns="1600200" rIns="685800" tIns="0" bIns="0" anchor="b">
                        <a:prstTxWarp prst="textNoShape"/>
                        <a:noAutofit/>
                      </wps:bodyPr>
                    </wps:wsp>
                  </a:graphicData>
                </a:graphic>
                <wp14:sizeRelH relativeFrom="page">
                  <wp14:pctWidth>94000</wp14:pctWidth>
                </wp14:sizeRelH>
                <wp14:sizeRelV relativeFrom="page">
                  <wp14:pctHeight>9000</wp14:pctHeight>
                </wp14:sizeRelV>
              </wp:anchor>
            </w:drawing>
          </mc:Choice>
          <mc:Fallback>
            <w:pict>
              <v:rect id="shape_0" ID="Text Box 52" path="m0,0l-2147483645,0l-2147483645,-2147483646l0,-2147483646xe" stroked="f" o:allowincell="f" style="position:absolute;margin-left:11.4pt;margin-top:688.65pt;width:572.4pt;height:76.9pt;mso-wrap-style:square;v-text-anchor:bottom;mso-position-horizontal:center;mso-position-horizontal-relative:page;mso-position-vertical-relative:page" wp14:anchorId="28824380">
                <v:fill o:detectmouseclick="t" on="false"/>
                <v:stroke color="#3465a4" weight="6480" joinstyle="round" endcap="flat"/>
                <v:textbox>
                  <w:txbxContent>
                    <w:p>
                      <w:pPr>
                        <w:pStyle w:val="NoSpacing"/>
                        <w:jc w:val="right"/>
                        <w:rPr>
                          <w:color w:val="595959" w:themeColor="text1" w:themeTint="a6"/>
                          <w:sz w:val="28"/>
                          <w:szCs w:val="28"/>
                        </w:rPr>
                      </w:pPr>
                      <w:sdt>
                        <w:sdtPr>
                          <w:id w:val="713538124"/>
                          <w:dataBinding w:prefixMappings="xmlns:ns0='http://purl.org/dc/elements/1.1/' xmlns:ns1='http://schemas.openxmlformats.org/package/2006/metadata/core-properties' " w:xpath="/ns1:coreProperties[1]/ns0:creator[1]" w:storeItemID="{6C3C8BC8-F283-45AE-878A-BAB7291924A1}"/>
                          <w:alias w:val="Author"/>
                          <w:text/>
                        </w:sdtPr>
                        <w:sdtContent>
                          <w:r>
                            <w:rPr>
                              <w:color w:val="000000"/>
                            </w:rPr>
                            <w:t>Kyran Woods 2006771</w:t>
                          </w:r>
                        </w:sdtContent>
                      </w:sdt>
                    </w:p>
                    <w:p>
                      <w:pPr>
                        <w:pStyle w:val="NoSpacing"/>
                        <w:jc w:val="right"/>
                        <w:rPr>
                          <w:color w:val="595959" w:themeColor="text1" w:themeTint="a6"/>
                          <w:sz w:val="18"/>
                          <w:szCs w:val="18"/>
                        </w:rPr>
                      </w:pPr>
                      <w:sdt>
                        <w:sdtPr>
                          <w:dataBinding w:prefixMappings="xmlns:ns0='http://schemas.microsoft.com/office/2006/coverPageProps' " w:xpath="/ns0:CoverPageProperties[1]/ns0:CompanyEmail[1]" w:storeItemID="{55AF091B-3C7A-41E3-B477-F2FDAA23CFDA}"/>
                          <w:alias w:val="Email"/>
                          <w:tag w:val="Email"/>
                          <w:id w:val="942260680"/>
                          <w:text/>
                        </w:sdtPr>
                        <w:sdtContent>
                          <w:r>
                            <w:rPr>
                              <w:color w:val="595959" w:themeColor="text1" w:themeTint="a6"/>
                              <w:sz w:val="18"/>
                              <w:szCs w:val="18"/>
                            </w:rPr>
                          </w:r>
                          <w:r>
                            <w:rPr>
                              <w:color w:val="595959" w:themeColor="text1" w:themeTint="a6"/>
                              <w:sz w:val="18"/>
                              <w:szCs w:val="18"/>
                            </w:rPr>
                            <w:t>BMCP5004</w:t>
                          </w:r>
                        </w:sdtContent>
                      </w:sdt>
                    </w:p>
                  </w:txbxContent>
                </v:textbox>
                <w10:wrap type="square"/>
              </v:rect>
            </w:pict>
          </mc:Fallback>
        </mc:AlternateContent>
        <mc:AlternateContent>
          <mc:Choice Requires="wpg">
            <w:drawing>
              <wp:anchor behindDoc="0" distT="0" distB="1905" distL="0" distR="1270" simplePos="0" locked="0" layoutInCell="0" allowOverlap="1" relativeHeight="8" wp14:anchorId="68D2DD83">
                <wp:simplePos x="0" y="0"/>
                <wp:positionH relativeFrom="page">
                  <wp:align>center</wp:align>
                </wp:positionH>
                <wp:positionV relativeFrom="page">
                  <wp:posOffset>245745</wp:posOffset>
                </wp:positionV>
                <wp:extent cx="7315200" cy="1215390"/>
                <wp:effectExtent l="0" t="0" r="1270" b="1905"/>
                <wp:wrapNone/>
                <wp:docPr id="5" name="Group 51"/>
                <a:graphic xmlns:a="http://schemas.openxmlformats.org/drawingml/2006/main">
                  <a:graphicData uri="http://schemas.microsoft.com/office/word/2010/wordprocessingGroup">
                    <wpg:wgp>
                      <wpg:cNvGrpSpPr/>
                      <wpg:grpSpPr>
                        <a:xfrm>
                          <a:off x="0" y="0"/>
                          <a:ext cx="7315200" cy="1215360"/>
                          <a:chOff x="0" y="0"/>
                          <a:chExt cx="7315200" cy="1215360"/>
                        </a:xfrm>
                      </wpg:grpSpPr>
                      <wps:wsp>
                        <wps:cNvSpPr/>
                        <wps:spPr>
                          <a:xfrm>
                            <a:off x="0" y="0"/>
                            <a:ext cx="7315200" cy="1129680"/>
                          </a:xfrm>
                          <a:custGeom>
                            <a:avLst/>
                            <a:gdLst>
                              <a:gd name="textAreaLeft" fmla="*/ 0 w 4147200"/>
                              <a:gd name="textAreaRight" fmla="*/ 4147560 w 4147200"/>
                              <a:gd name="textAreaTop" fmla="*/ 0 h 640440"/>
                              <a:gd name="textAreaBottom" fmla="*/ 640800 h 640440"/>
                            </a:gdLst>
                            <a:ahLst/>
                            <a:rect l="textAreaLeft" t="textAreaTop" r="textAreaRight" b="textAreaBottom"/>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a:noFill/>
                          </a:ln>
                        </wps:spPr>
                        <wps:style>
                          <a:lnRef idx="2">
                            <a:schemeClr val="accent1">
                              <a:shade val="50000"/>
                            </a:schemeClr>
                          </a:lnRef>
                          <a:fillRef idx="1">
                            <a:schemeClr val="accent1"/>
                          </a:fillRef>
                          <a:effectRef idx="0">
                            <a:schemeClr val="accent1"/>
                          </a:effectRef>
                          <a:fontRef idx="minor"/>
                        </wps:style>
                        <wps:bodyPr/>
                      </wps:wsp>
                      <wps:wsp>
                        <wps:cNvSpPr/>
                        <wps:spPr>
                          <a:xfrm>
                            <a:off x="0" y="0"/>
                            <a:ext cx="7315200" cy="1215360"/>
                          </a:xfrm>
                          <a:prstGeom prst="rect">
                            <a:avLst/>
                          </a:prstGeom>
                          <a:blipFill rotWithShape="0">
                            <a:blip r:embed="rId2"/>
                            <a:stretch>
                              <a:fillRect/>
                            </a:stretch>
                          </a:blipFill>
                          <a:ln>
                            <a:noFill/>
                          </a:ln>
                        </wps:spPr>
                        <wps:style>
                          <a:lnRef idx="2">
                            <a:schemeClr val="accent1">
                              <a:shade val="50000"/>
                            </a:schemeClr>
                          </a:lnRef>
                          <a:fillRef idx="1">
                            <a:schemeClr val="accent1"/>
                          </a:fillRef>
                          <a:effectRef idx="0">
                            <a:schemeClr val="accent1"/>
                          </a:effectRef>
                          <a:fontRef idx="minor"/>
                        </wps:style>
                        <wps:bodyPr/>
                      </wps:wsp>
                    </wpg:wgp>
                  </a:graphicData>
                </a:graphic>
                <wp14:sizeRelH relativeFrom="page">
                  <wp14:pctWidth>94000</wp14:pctWidth>
                </wp14:sizeRelH>
                <wp14:sizeRelV relativeFrom="page">
                  <wp14:pctHeight>12000</wp14:pctHeight>
                </wp14:sizeRelV>
              </wp:anchor>
            </w:drawing>
          </mc:Choice>
          <mc:Fallback>
            <w:pict>
              <v:group id="shape_0" alt="Group 51" style="position:absolute;margin-left:9.65pt;margin-top:19.35pt;width:576pt;height:95.7pt" coordorigin="193,387" coordsize="11520,1914">
                <v:rect id="shape_0" ID="Rectangle 151" path="m0,0l-2147483645,0l-2147483645,-2147483646l0,-2147483646xe" stroked="f" o:allowincell="f" style="position:absolute;left:193;top:387;width:11519;height:1913;mso-wrap-style:none;v-text-anchor:middle;mso-position-horizontal:center;mso-position-horizontal-relative:page;mso-position-vertical-relative:page">
                  <v:imagedata r:id="rId3" o:detectmouseclick="t"/>
                  <v:stroke color="#3465a4" weight="12600" joinstyle="miter" endcap="flat"/>
                  <w10:wrap type="none"/>
                </v:rect>
              </v:group>
            </w:pict>
          </mc:Fallback>
        </mc:AlternateContent>
      </w:r>
    </w:p>
    <w:p>
      <w:pPr>
        <w:pStyle w:val="Normal"/>
        <w:rPr/>
      </w:pPr>
      <w:r>
        <w:rPr/>
        <mc:AlternateContent>
          <mc:Choice Requires="wps">
            <w:drawing>
              <wp:anchor behindDoc="0" distT="0" distB="0" distL="114300" distR="113665" simplePos="0" locked="0" layoutInCell="0" allowOverlap="1" relativeHeight="6" wp14:anchorId="2D70E0DE">
                <wp:simplePos x="0" y="0"/>
                <wp:positionH relativeFrom="column">
                  <wp:posOffset>-740410</wp:posOffset>
                </wp:positionH>
                <wp:positionV relativeFrom="paragraph">
                  <wp:posOffset>5978525</wp:posOffset>
                </wp:positionV>
                <wp:extent cx="7212965" cy="1753235"/>
                <wp:effectExtent l="0" t="0" r="0" b="0"/>
                <wp:wrapSquare wrapText="bothSides"/>
                <wp:docPr id="6" name="Text Box 53"/>
                <a:graphic xmlns:a="http://schemas.openxmlformats.org/drawingml/2006/main">
                  <a:graphicData uri="http://schemas.microsoft.com/office/word/2010/wordprocessingShape">
                    <wps:wsp>
                      <wps:cNvSpPr/>
                      <wps:spPr>
                        <a:xfrm>
                          <a:off x="0" y="0"/>
                          <a:ext cx="7212960" cy="175320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NoSpacing"/>
                              <w:jc w:val="right"/>
                              <w:rPr>
                                <w:color w:val="4472C4" w:themeColor="accent1"/>
                                <w:sz w:val="28"/>
                                <w:szCs w:val="28"/>
                              </w:rPr>
                            </w:pPr>
                            <w:r>
                              <w:rPr>
                                <w:color w:val="4472C4" w:themeColor="accent1"/>
                                <w:sz w:val="28"/>
                                <w:szCs w:val="28"/>
                              </w:rPr>
                              <w:t>Abstract</w:t>
                            </w:r>
                          </w:p>
                          <w:p>
                            <w:pPr>
                              <w:pStyle w:val="NoSpacing"/>
                              <w:jc w:val="right"/>
                              <w:rPr>
                                <w:color w:val="595959" w:themeColor="text1" w:themeTint="a6"/>
                                <w:sz w:val="20"/>
                                <w:szCs w:val="20"/>
                              </w:rPr>
                            </w:pPr>
                            <w:r>
                              <w:rPr>
                                <w:color w:val="000000"/>
                              </w:rPr>
                              <w:t xml:space="preserve">An insight into my experience in volunteering for the Safer Swansea partnership in which involved spending time on St Helens road in Swansea. The aim of the partnership is to reduce crime in the Swansea area and make the whole environment safer for its population. Volunteering for safer Swansea was an eye opening experience getting to learn how the Swansea council works and arranges its operations. Community safety partnerships are used to support communities to develop strategies and solutions to monitor and tackle crimes with the co-operation between the public and the police.    </w:t>
                            </w:r>
                          </w:p>
                          <w:p>
                            <w:pPr>
                              <w:pStyle w:val="NoSpacing"/>
                              <w:jc w:val="right"/>
                              <w:rPr>
                                <w:color w:val="595959" w:themeColor="text1" w:themeTint="a6"/>
                                <w:sz w:val="20"/>
                                <w:szCs w:val="20"/>
                              </w:rPr>
                            </w:pPr>
                            <w:r>
                              <w:rPr/>
                            </w:r>
                          </w:p>
                        </w:txbxContent>
                      </wps:txbx>
                      <wps:bodyPr lIns="1600200" rIns="685800" tIns="0" bIns="0" anchor="t">
                        <a:prstTxWarp prst="textNoShape"/>
                        <a:spAutoFit/>
                      </wps:bodyPr>
                    </wps:wsp>
                  </a:graphicData>
                </a:graphic>
                <wp14:sizeRelH relativeFrom="page">
                  <wp14:pctWidth>94000</wp14:pctWidth>
                </wp14:sizeRelH>
                <wp14:sizeRelV relativeFrom="page">
                  <wp14:pctHeight>10000</wp14:pctHeight>
                </wp14:sizeRelV>
              </wp:anchor>
            </w:drawing>
          </mc:Choice>
          <mc:Fallback>
            <w:pict>
              <v:rect id="shape_0" ID="Text Box 53" path="m0,0l-2147483645,0l-2147483645,-2147483646l0,-2147483646xe" stroked="f" o:allowincell="f" style="position:absolute;margin-left:-58.3pt;margin-top:470.75pt;width:567.9pt;height:138pt;mso-wrap-style:square;v-text-anchor:top" wp14:anchorId="2D70E0DE">
                <v:fill o:detectmouseclick="t" on="false"/>
                <v:stroke color="#3465a4" weight="6480" joinstyle="round" endcap="flat"/>
                <v:textbox>
                  <w:txbxContent>
                    <w:p>
                      <w:pPr>
                        <w:pStyle w:val="NoSpacing"/>
                        <w:jc w:val="right"/>
                        <w:rPr>
                          <w:color w:val="4472C4" w:themeColor="accent1"/>
                          <w:sz w:val="28"/>
                          <w:szCs w:val="28"/>
                        </w:rPr>
                      </w:pPr>
                      <w:r>
                        <w:rPr>
                          <w:color w:val="4472C4" w:themeColor="accent1"/>
                          <w:sz w:val="28"/>
                          <w:szCs w:val="28"/>
                        </w:rPr>
                        <w:t>Abstract</w:t>
                      </w:r>
                    </w:p>
                    <w:p>
                      <w:pPr>
                        <w:pStyle w:val="NoSpacing"/>
                        <w:jc w:val="right"/>
                        <w:rPr>
                          <w:color w:val="595959" w:themeColor="text1" w:themeTint="a6"/>
                          <w:sz w:val="20"/>
                          <w:szCs w:val="20"/>
                        </w:rPr>
                      </w:pPr>
                      <w:r>
                        <w:rPr>
                          <w:color w:val="000000"/>
                        </w:rPr>
                        <w:t xml:space="preserve">An insight into my experience in volunteering for the Safer Swansea partnership in which involved spending time on St Helens road in Swansea. The aim of the partnership is to reduce crime in the Swansea area and make the whole environment safer for its population. Volunteering for safer Swansea was an eye opening experience getting to learn how the Swansea council works and arranges its operations. Community safety partnerships are used to support communities to develop strategies and solutions to monitor and tackle crimes with the co-operation between the public and the police.    </w:t>
                      </w:r>
                    </w:p>
                    <w:p>
                      <w:pPr>
                        <w:pStyle w:val="NoSpacing"/>
                        <w:jc w:val="right"/>
                        <w:rPr>
                          <w:color w:val="595959" w:themeColor="text1" w:themeTint="a6"/>
                          <w:sz w:val="20"/>
                          <w:szCs w:val="20"/>
                        </w:rPr>
                      </w:pPr>
                      <w:r>
                        <w:rPr/>
                      </w:r>
                    </w:p>
                  </w:txbxContent>
                </v:textbox>
                <w10:wrap type="square"/>
              </v:rect>
            </w:pict>
          </mc:Fallback>
        </mc:AlternateContent>
      </w:r>
    </w:p>
    <w:sdt>
      <w:sdtPr>
        <w:docPartObj>
          <w:docPartGallery w:val="Table of Contents"/>
          <w:docPartUnique w:val="true"/>
        </w:docPartObj>
      </w:sdtPr>
      <w:sdtContent>
        <w:p>
          <w:pPr>
            <w:pStyle w:val="ContentsHeading"/>
            <w:rPr/>
          </w:pPr>
          <w:r>
            <w:br w:type="page"/>
          </w:r>
          <w:r>
            <w:rPr/>
            <w:t>Contents</w:t>
          </w:r>
        </w:p>
        <w:p>
          <w:pPr>
            <w:pStyle w:val="Contents1"/>
            <w:tabs>
              <w:tab w:val="clear" w:pos="720"/>
              <w:tab w:val="right" w:pos="9026" w:leader="dot"/>
            </w:tabs>
            <w:rPr/>
          </w:pPr>
          <w:r>
            <w:fldChar w:fldCharType="begin"/>
          </w:r>
          <w:r>
            <w:rPr>
              <w:webHidden/>
              <w:rStyle w:val="IndexLink"/>
            </w:rPr>
            <w:instrText xml:space="preserve"> TOC \z \o "1-3" \u \h</w:instrText>
          </w:r>
          <w:r>
            <w:rPr>
              <w:webHidden/>
              <w:rStyle w:val="IndexLink"/>
            </w:rPr>
            <w:fldChar w:fldCharType="separate"/>
          </w:r>
          <w:hyperlink w:anchor="__RefHeading___Toc1658_3162713835">
            <w:r>
              <w:rPr>
                <w:webHidden/>
                <w:rStyle w:val="IndexLink"/>
              </w:rPr>
              <w:t>Introduction</w:t>
              <w:tab/>
              <w:t>2</w:t>
            </w:r>
          </w:hyperlink>
        </w:p>
        <w:p>
          <w:pPr>
            <w:pStyle w:val="Contents2"/>
            <w:tabs>
              <w:tab w:val="clear" w:pos="720"/>
              <w:tab w:val="right" w:pos="9026" w:leader="dot"/>
            </w:tabs>
            <w:rPr/>
          </w:pPr>
          <w:hyperlink w:anchor="__RefHeading___Toc1660_3162713835">
            <w:r>
              <w:rPr>
                <w:webHidden/>
                <w:rStyle w:val="IndexLink"/>
              </w:rPr>
              <w:t>Objectives</w:t>
              <w:tab/>
              <w:t>2</w:t>
            </w:r>
          </w:hyperlink>
        </w:p>
        <w:p>
          <w:pPr>
            <w:pStyle w:val="Contents1"/>
            <w:tabs>
              <w:tab w:val="clear" w:pos="720"/>
              <w:tab w:val="right" w:pos="9026" w:leader="dot"/>
            </w:tabs>
            <w:rPr/>
          </w:pPr>
          <w:hyperlink w:anchor="__RefHeading___Toc1662_3162713835">
            <w:r>
              <w:rPr>
                <w:webHidden/>
                <w:rStyle w:val="IndexLink"/>
              </w:rPr>
              <w:t>Main Body (1200 words)</w:t>
              <w:tab/>
              <w:t>3</w:t>
            </w:r>
          </w:hyperlink>
        </w:p>
        <w:p>
          <w:pPr>
            <w:pStyle w:val="Contents1"/>
            <w:tabs>
              <w:tab w:val="clear" w:pos="720"/>
              <w:tab w:val="right" w:pos="9026" w:leader="dot"/>
            </w:tabs>
            <w:rPr/>
          </w:pPr>
          <w:hyperlink w:anchor="__RefHeading___Toc1664_3162713835">
            <w:r>
              <w:rPr>
                <w:webHidden/>
                <w:rStyle w:val="IndexLink"/>
              </w:rPr>
              <w:t>Conclusion (400 words)</w:t>
              <w:tab/>
              <w:t>5</w:t>
            </w:r>
          </w:hyperlink>
        </w:p>
        <w:p>
          <w:pPr>
            <w:pStyle w:val="Contents1"/>
            <w:tabs>
              <w:tab w:val="clear" w:pos="720"/>
              <w:tab w:val="right" w:pos="9026" w:leader="dot"/>
            </w:tabs>
            <w:rPr/>
          </w:pPr>
          <w:hyperlink w:anchor="__RefHeading___Toc1668_3162713835">
            <w:r>
              <w:rPr>
                <w:webHidden/>
                <w:rStyle w:val="IndexLink"/>
              </w:rPr>
              <w:t>Works Cited</w:t>
              <w:tab/>
              <w:t>6</w:t>
            </w:r>
          </w:hyperlink>
          <w:r>
            <w:rPr>
              <w:rStyle w:val="IndexLink"/>
            </w:rPr>
            <w:fldChar w:fldCharType="end"/>
          </w:r>
        </w:p>
      </w:sdtContent>
    </w:sdt>
    <w:p>
      <w:pPr>
        <w:pStyle w:val="Normal"/>
        <w:rPr/>
      </w:pPr>
      <w:r>
        <w:rPr/>
      </w:r>
      <w:r>
        <w:br w:type="page"/>
      </w:r>
    </w:p>
    <w:p>
      <w:pPr>
        <w:pStyle w:val="Heading1"/>
        <w:rPr/>
      </w:pPr>
      <w:bookmarkStart w:id="0" w:name="__RefHeading___Toc1658_3162713835"/>
      <w:bookmarkStart w:id="1" w:name="_Toc162351904"/>
      <w:bookmarkEnd w:id="0"/>
      <w:r>
        <w:rPr/>
        <w:t xml:space="preserve">Introduction </w:t>
      </w:r>
      <w:bookmarkEnd w:id="1"/>
    </w:p>
    <w:p>
      <w:pPr>
        <w:pStyle w:val="Normal"/>
        <w:rPr/>
      </w:pPr>
      <w:r>
        <w:rPr/>
      </w:r>
    </w:p>
    <w:p>
      <w:pPr>
        <w:pStyle w:val="Normal"/>
        <w:spacing w:lineRule="auto" w:line="360"/>
        <w:rPr>
          <w:sz w:val="24"/>
          <w:szCs w:val="24"/>
        </w:rPr>
      </w:pPr>
      <w:r>
        <w:rPr>
          <w:sz w:val="24"/>
          <w:szCs w:val="24"/>
        </w:rPr>
        <w:t xml:space="preserve">In preparing for volunteering finding a place was difficult in the fact many places required months of checks which would have eaten up a large portion of the available time allowed to complete the 80 hours of volunteering itself. Unfortunately there were not many viable opportunities available coinciding with law, as most law firms that were spoken too were closed off to volunteers, it is assumable that they did not want to be held liable for any potential mistakes that could have been made by any student willing to volunteer with them. This meant that many had a strict no volunteering policy so much so many would not even respond to any email or phone call that they had received. It was a stressful time trying to find any volunteering due to this process of many businesses not wanting anything to do with volunteers. It was also looked into volunteering with at risk children, however the correspondent involved was away from her post and took multiple weeks to respond to any emails if at all. There were also DBS checks and other things like that, that would take many weeks even months to complete. The hours available for volunteering were also relatively low meaning it would’ve been almost impossible to complete the hours in the time frame available. The areas and opportunities that were relatively interesting were areas in law or local government, such as housing management which gauge may interest. Ultimately the search for volunteering led to working closely with Safer Swansea, a partnership set up by Swansea council to help and assist around the Swansea area to make the area a nicer place to live and work. The safer Swansea partnership was established in 1998 as a part of the crime and disorder act 1998. The partnership takes responsibility in annual reviews in crime and disorder. Ultimately the experience of finding a place to do volunteer work was a negative one due to the stress of finding the initial placement. The safer Swansea partnership graciously allowed us to help work alongside them to help achieve their goal of bettering the St Helens community. The work that the partnership will continue to do over the foreseeable future will benefit the community as a whole. As stated by the Neath Port Talbot council volunteering can help develop experience for future careers and can help you gain a reference for any future job applications and interviews. </w:t>
      </w:r>
    </w:p>
    <w:p>
      <w:pPr>
        <w:pStyle w:val="Normal"/>
        <w:spacing w:lineRule="auto" w:line="360"/>
        <w:rPr>
          <w:sz w:val="24"/>
          <w:szCs w:val="24"/>
        </w:rPr>
      </w:pPr>
      <w:r>
        <w:rPr>
          <w:sz w:val="24"/>
          <w:szCs w:val="24"/>
        </w:rPr>
      </w:r>
    </w:p>
    <w:p>
      <w:pPr>
        <w:pStyle w:val="Heading2"/>
        <w:spacing w:lineRule="auto" w:line="360"/>
        <w:rPr>
          <w:sz w:val="24"/>
          <w:szCs w:val="24"/>
        </w:rPr>
      </w:pPr>
      <w:r>
        <w:rPr>
          <w:sz w:val="24"/>
          <w:szCs w:val="24"/>
        </w:rPr>
      </w:r>
    </w:p>
    <w:p>
      <w:pPr>
        <w:pStyle w:val="Heading2"/>
        <w:spacing w:lineRule="auto" w:line="360"/>
        <w:rPr>
          <w:sz w:val="24"/>
          <w:szCs w:val="24"/>
        </w:rPr>
      </w:pPr>
      <w:bookmarkStart w:id="2" w:name="__RefHeading___Toc1660_3162713835"/>
      <w:bookmarkStart w:id="3" w:name="_Toc162351905"/>
      <w:bookmarkEnd w:id="2"/>
      <w:r>
        <w:rPr>
          <w:sz w:val="24"/>
          <w:szCs w:val="24"/>
        </w:rPr>
        <w:t>Objectives</w:t>
      </w:r>
      <w:bookmarkEnd w:id="3"/>
    </w:p>
    <w:p>
      <w:pPr>
        <w:pStyle w:val="Normal"/>
        <w:spacing w:lineRule="auto" w:line="360"/>
        <w:rPr>
          <w:sz w:val="24"/>
          <w:szCs w:val="24"/>
        </w:rPr>
      </w:pPr>
      <w:r>
        <w:rPr>
          <w:sz w:val="24"/>
          <w:szCs w:val="24"/>
        </w:rPr>
        <w:t xml:space="preserve"> </w:t>
      </w:r>
    </w:p>
    <w:p>
      <w:pPr>
        <w:pStyle w:val="Normal"/>
        <w:spacing w:lineRule="auto" w:line="360"/>
        <w:rPr>
          <w:sz w:val="24"/>
          <w:szCs w:val="24"/>
        </w:rPr>
      </w:pPr>
      <w:r>
        <w:rPr>
          <w:sz w:val="24"/>
          <w:szCs w:val="24"/>
        </w:rPr>
        <w:t xml:space="preserve"> </w:t>
      </w:r>
      <w:r>
        <w:rPr>
          <w:sz w:val="24"/>
          <w:szCs w:val="24"/>
        </w:rPr>
        <w:t>Objective 1: To explain the work Safer Swansea does</w:t>
      </w:r>
    </w:p>
    <w:p>
      <w:pPr>
        <w:pStyle w:val="Normal"/>
        <w:spacing w:lineRule="auto" w:line="360"/>
        <w:rPr>
          <w:sz w:val="24"/>
          <w:szCs w:val="24"/>
        </w:rPr>
      </w:pPr>
      <w:r>
        <w:rPr>
          <w:sz w:val="24"/>
          <w:szCs w:val="24"/>
        </w:rPr>
        <w:t xml:space="preserve"> </w:t>
      </w:r>
      <w:r>
        <w:rPr>
          <w:sz w:val="24"/>
          <w:szCs w:val="24"/>
        </w:rPr>
        <w:t>Objective 2: My role within the organisation</w:t>
      </w:r>
    </w:p>
    <w:p>
      <w:pPr>
        <w:pStyle w:val="Normal"/>
        <w:spacing w:lineRule="auto" w:line="360"/>
        <w:rPr>
          <w:sz w:val="24"/>
          <w:szCs w:val="24"/>
        </w:rPr>
      </w:pPr>
      <w:r>
        <w:rPr>
          <w:sz w:val="24"/>
          <w:szCs w:val="24"/>
        </w:rPr>
        <w:t xml:space="preserve"> </w:t>
      </w:r>
      <w:r>
        <w:rPr>
          <w:sz w:val="24"/>
          <w:szCs w:val="24"/>
        </w:rPr>
        <w:t>Objective 3: Analyse and reflect on my experience and performance</w:t>
      </w:r>
    </w:p>
    <w:p>
      <w:pPr>
        <w:pStyle w:val="Normal"/>
        <w:spacing w:lineRule="auto" w:line="360"/>
        <w:rPr>
          <w:sz w:val="24"/>
          <w:szCs w:val="24"/>
        </w:rPr>
      </w:pPr>
      <w:r>
        <w:rPr>
          <w:sz w:val="24"/>
          <w:szCs w:val="24"/>
        </w:rPr>
      </w:r>
    </w:p>
    <w:p>
      <w:pPr>
        <w:pStyle w:val="Heading1"/>
        <w:spacing w:lineRule="auto" w:line="360"/>
        <w:rPr>
          <w:sz w:val="24"/>
          <w:szCs w:val="24"/>
        </w:rPr>
      </w:pPr>
      <w:bookmarkStart w:id="4" w:name="__RefHeading___Toc1662_3162713835"/>
      <w:bookmarkStart w:id="5" w:name="_Toc162351906"/>
      <w:bookmarkEnd w:id="4"/>
      <w:r>
        <w:rPr>
          <w:sz w:val="24"/>
          <w:szCs w:val="24"/>
        </w:rPr>
        <w:t>Main Body (1200 words)</w:t>
      </w:r>
      <w:bookmarkEnd w:id="5"/>
    </w:p>
    <w:p>
      <w:pPr>
        <w:pStyle w:val="Normal"/>
        <w:spacing w:lineRule="auto" w:line="360"/>
        <w:rPr>
          <w:sz w:val="24"/>
          <w:szCs w:val="24"/>
        </w:rPr>
      </w:pPr>
      <w:r>
        <w:rPr>
          <w:sz w:val="24"/>
          <w:szCs w:val="24"/>
        </w:rPr>
      </w:r>
    </w:p>
    <w:p>
      <w:pPr>
        <w:pStyle w:val="ListParagraph"/>
        <w:spacing w:lineRule="auto" w:line="360"/>
        <w:ind w:hanging="0"/>
        <w:rPr>
          <w:sz w:val="24"/>
          <w:szCs w:val="24"/>
        </w:rPr>
      </w:pPr>
      <w:r>
        <w:rPr>
          <w:sz w:val="24"/>
          <w:szCs w:val="24"/>
        </w:rPr>
      </w:r>
    </w:p>
    <w:p>
      <w:pPr>
        <w:pStyle w:val="ListParagraph"/>
        <w:spacing w:lineRule="auto" w:line="360"/>
        <w:ind w:hanging="0"/>
        <w:rPr>
          <w:sz w:val="24"/>
          <w:szCs w:val="24"/>
        </w:rPr>
      </w:pPr>
      <w:r>
        <w:rPr>
          <w:sz w:val="24"/>
          <w:szCs w:val="24"/>
        </w:rPr>
        <w:t xml:space="preserve">The work safer Swansea primarily does is aim to help reduce any crime within the Swansea area following some key priorities that they have set out to achieve their goals. These follow their main outcome of their priorities is to improve public confidence and their trust so that they feel safe in their communities. (Safer Swansea priorities 2023-2026) the priorities range from attempting to reduce neighbourhood crime and anti-social behaviour, tackling hate crime, community tension and extremism, challenging and reducing substance misuse, reducing reoffending and tackling the issues that lead to crime, reducing violence against women, domestic abuse and sexual violence, and safeguarding those who are at risk of violence and exploitation. The overall aim of the safer Swansea partnership is to tackle and reduce issues the effect Swansea and make the whole area a better place as a whole. The safer Swansea partnership has the duty to ensure those who live in Swansea are protected from any perceived dangers from crime to fires and providing support for those that are in need because they’ve been affected by these issues. </w:t>
      </w:r>
    </w:p>
    <w:p>
      <w:pPr>
        <w:pStyle w:val="ListParagraph"/>
        <w:spacing w:lineRule="auto" w:line="360"/>
        <w:ind w:hanging="0"/>
        <w:rPr>
          <w:sz w:val="24"/>
          <w:szCs w:val="24"/>
        </w:rPr>
      </w:pPr>
      <w:r>
        <w:rPr>
          <w:sz w:val="24"/>
          <w:szCs w:val="24"/>
        </w:rPr>
        <w:t xml:space="preserve">The role that I played within the safer Swansea partnership was to help assist with a survey that would be sent out to the St Helens area, and help distribute home safety packets to those who lived in the area. I found that many of the residents were weary of those of us who were distributing these packages to the houses, many of whom also didn’t fully understand English as many of the residents in the area are from ethnic backgrounds other than white British. The St Helens area of Swansea was chosen due to it being one of the more deprived areas in Swansea being apart of the 20% most deprived areas according to WIMD 2019. This shows that the St Helens area needed some form of reform in the structure and support that they receive from the council and its supporting services. Safer Swansea have run similar projects in other areas of Swansea involving a similar method of distributing surveys in which they had a decent return in response from said survey that they had sent out. However the survey in that we had passed out only managed to get a few responses. The census data from 2021 showed that in the whole of Swansea 91.4% of the population was white, however the population in the area that we distributed the packs and surveys 47.9% white, showing that this area in particular of Swansea is heavily diverse with multiple different cultures and religions. It is vital to explore how those not from a British background feel about the way things are run within the area to attain whether they feel something could be done better to protect them from things such as racism and discrimination. Safer Swansea partnership allows for this data to be collected and to give a purpose for this research. The Swansea council also has a strategic equality plan that links in well with the plan of safer Swansea and their ideals. If the two of these plans could be merged together the overall goal could be reached at an earlier date. My experience with the safer Swansea partnership overall was a beneficial one in where I learned more key skills than I thought I would. Especially in the fact that I had to talk with strangers and explain to them why we are doing what w are doing for the safer Swansea partnership, much of the work I did for the partnership was walking around the St Helens area and knocking door to door asking the populace if they would like a home security pack and handing them a leaflet explaining what the safer Swansea partnership actually did for the local community. In the survey that was subsequently sent out following the home safety packets, the survey was sent to approximately 500 households within the area surrounding St Helens which the survey included a QR code for those to complete the form online if they so wished. To our surprise we only managed to receive two responses to all of the surveys that had been sent out. This could have been for a various number of factors such as the area being heavily populated with non native speakers thus maybe causing them to not understand the questions due to the questionnaire not being sent out in their native language. It could also mean that the population of St Helens is relatively content in the way the area is managed and the services within the area due to the migrant population potentially having come from worse areas so although things may not be perfect in the area that they are in where in the month of March 2024 according to streetcheck there were 219 crimes reported in the surrounding areas of St Helens road, which could be potentially drastically lower than what the migrant population may have faced in their native country. In which this data was recorded within half a mile of St Helens road, the majority of the crimes that had occurred were violence and sexual offences, as well as anti social behaviour and public order offences as well as shoplifting, all these crimes that are being committed are apart of safer Swansea priority list that they are trying to tackle. </w:t>
      </w:r>
    </w:p>
    <w:p>
      <w:pPr>
        <w:pStyle w:val="Heading1"/>
        <w:rPr/>
      </w:pPr>
      <w:bookmarkStart w:id="6" w:name="__RefHeading___Toc1664_3162713835"/>
      <w:bookmarkStart w:id="7" w:name="_Toc162351907"/>
      <w:bookmarkEnd w:id="6"/>
      <w:r>
        <w:rPr/>
        <w:t>Conclusion (400 words)</w:t>
      </w:r>
      <w:bookmarkEnd w:id="7"/>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 xml:space="preserve">From my personal perspective I believe volunteering for the safer Swansea was highly beneficial to my overall development as a person. The experience was eye opening in the sense I was able to learn a few things from council members who had been working in their field for years. I believe had we had more time with the safer Swansea partnership we would have been able to have a greater impact on the community instead with the hours w had available I believe we did a satisfactory job in providing the St Helens community with home safety packs and with a survey although we did not get the response that was desired or expected. To improve on the response in the survey I believe it would be beneficial to discuss with leaders within the communities such as religious figure heads in the hope of a greater response. It would also allow us to become seen in their communities and build a sense of trust within the people we would like responses from. Due to the fact many of this areas population are not native British it would be semi reasonable to assume that they may have had a negative experience with police or local government in their home country if they are first generation immigrants or if they are not their parents may have told them about poor experiences with local authority. Another way I would have tried to improve the overall experience is due to the large Muslim population within St Helens I would not have planned to do this sort of research whilst Ramadan was ongoing as many of the people in the area are fasting thus mainly more active during the evening. I felt that the population was rather distrusting as we were essentially cold callers turning up to their doorstep with no warning, if there were a way to inform the area that the packs were coming around, maybe potentially asking religious leaders if we could leave the home safety packs with them and just let the congregation know that they are available should anyone want one. With a greater amount of time available I believe this project can have a massive impact on the Swansea area and can help benefit the community massively in its project. Future projects that safer Swansea partake in can definitely help improve the Swansea area and St Helens, all that is required is an extended period of time not limited by volunteering. </w:t>
      </w:r>
    </w:p>
    <w:p>
      <w:pPr>
        <w:pStyle w:val="Normal"/>
        <w:spacing w:lineRule="auto" w:line="360"/>
        <w:rPr>
          <w:sz w:val="24"/>
          <w:szCs w:val="24"/>
        </w:rPr>
      </w:pPr>
      <w:r>
        <w:rPr>
          <w:sz w:val="24"/>
          <w:szCs w:val="24"/>
        </w:rPr>
      </w:r>
    </w:p>
    <w:p>
      <w:pPr>
        <w:pStyle w:val="Subtitle"/>
        <w:jc w:val="right"/>
        <w:rPr/>
      </w:pPr>
      <w:r>
        <w:rPr/>
        <w:t>Reference list</w:t>
      </w:r>
    </w:p>
    <w:p>
      <w:pPr>
        <w:pStyle w:val="TextBody"/>
        <w:jc w:val="right"/>
        <w:rPr/>
      </w:pPr>
      <w:r>
        <w:rPr/>
      </w:r>
    </w:p>
    <w:p>
      <w:pPr>
        <w:pStyle w:val="Heading1"/>
        <w:jc w:val="right"/>
        <w:rPr>
          <w:rFonts w:ascii="Arial" w:hAnsi="Arial"/>
          <w:sz w:val="24"/>
        </w:rPr>
      </w:pPr>
      <w:r>
        <w:rPr>
          <w:rFonts w:ascii="Arial" w:hAnsi="Arial"/>
          <w:sz w:val="24"/>
        </w:rPr>
        <w:t>Works Cited</w:t>
      </w:r>
    </w:p>
    <w:p>
      <w:pPr>
        <w:pStyle w:val="TextBody"/>
        <w:spacing w:lineRule="auto" w:line="480" w:before="0" w:after="140"/>
        <w:ind w:left="720" w:right="0" w:hanging="720"/>
        <w:rPr>
          <w:rFonts w:ascii="Arial" w:hAnsi="Arial"/>
          <w:sz w:val="24"/>
        </w:rPr>
      </w:pPr>
      <w:r>
        <w:rPr>
          <w:rFonts w:ascii="Arial" w:hAnsi="Arial"/>
          <w:i/>
          <w:sz w:val="24"/>
        </w:rPr>
        <w:t>COMMUNITY SAFETY PRIORITIES 2023-2026 -FOREWORD Working Together to Make Swansea a Safer, More Cohesive and Vibrant Place to Live, Work and to Visit</w:t>
      </w:r>
      <w:r>
        <w:rPr>
          <w:rFonts w:ascii="Arial" w:hAnsi="Arial"/>
          <w:sz w:val="24"/>
        </w:rPr>
        <w:t>.</w:t>
      </w:r>
    </w:p>
    <w:p>
      <w:pPr>
        <w:pStyle w:val="TextBody"/>
        <w:spacing w:lineRule="auto" w:line="480" w:before="0" w:after="140"/>
        <w:ind w:left="720" w:right="0" w:hanging="720"/>
        <w:rPr/>
      </w:pPr>
      <w:r>
        <w:rPr/>
        <w:t>“</w:t>
      </w:r>
      <w:r>
        <w:rPr>
          <w:rFonts w:ascii="Arial" w:hAnsi="Arial"/>
          <w:sz w:val="24"/>
        </w:rPr>
        <w:t xml:space="preserve">Demography and Migration in Wales (Census 2021) | GOV.WALES.” </w:t>
      </w:r>
      <w:r>
        <w:rPr>
          <w:rFonts w:ascii="Arial" w:hAnsi="Arial"/>
          <w:i/>
          <w:sz w:val="24"/>
        </w:rPr>
        <w:t>Www.gov.wales</w:t>
      </w:r>
      <w:r>
        <w:rPr>
          <w:rFonts w:ascii="Arial" w:hAnsi="Arial"/>
          <w:sz w:val="24"/>
        </w:rPr>
        <w:t>, 2 Nov. 2022, www.gov.wales/demography-and-migration-wales-census-2021-html#:~:text=to%20output%20area.-.</w:t>
      </w:r>
    </w:p>
    <w:p>
      <w:pPr>
        <w:pStyle w:val="TextBody"/>
        <w:spacing w:lineRule="auto" w:line="480" w:before="0" w:after="140"/>
        <w:ind w:left="720" w:right="0" w:hanging="720"/>
        <w:rPr>
          <w:rFonts w:ascii="Arial" w:hAnsi="Arial"/>
          <w:sz w:val="24"/>
        </w:rPr>
      </w:pPr>
      <w:r>
        <w:rPr>
          <w:rFonts w:ascii="Arial" w:hAnsi="Arial"/>
          <w:i/>
          <w:sz w:val="24"/>
        </w:rPr>
        <w:t>Safer Swansea Community Safety Partnership Annual Review 2022 Safer Swansea 2</w:t>
      </w:r>
      <w:r>
        <w:rPr>
          <w:rFonts w:ascii="Arial" w:hAnsi="Arial"/>
          <w:sz w:val="24"/>
        </w:rPr>
        <w:t>.</w:t>
      </w:r>
    </w:p>
    <w:p>
      <w:pPr>
        <w:pStyle w:val="TextBody"/>
        <w:spacing w:lineRule="auto" w:line="480" w:before="0" w:after="140"/>
        <w:ind w:left="720" w:right="0" w:hanging="720"/>
        <w:rPr>
          <w:rFonts w:ascii="Arial" w:hAnsi="Arial"/>
          <w:sz w:val="24"/>
        </w:rPr>
      </w:pPr>
      <w:r>
        <w:rPr>
          <w:rFonts w:ascii="Arial" w:hAnsi="Arial"/>
          <w:sz w:val="24"/>
        </w:rPr>
        <w:t xml:space="preserve">Stats Wales. “Welsh Index of Multiple Deprivation.” </w:t>
      </w:r>
      <w:r>
        <w:rPr>
          <w:rFonts w:ascii="Arial" w:hAnsi="Arial"/>
          <w:i/>
          <w:sz w:val="24"/>
        </w:rPr>
        <w:t>Gov.wales</w:t>
      </w:r>
      <w:r>
        <w:rPr>
          <w:rFonts w:ascii="Arial" w:hAnsi="Arial"/>
          <w:sz w:val="24"/>
        </w:rPr>
        <w:t>, 2019, statswales.gov.wales/Catalogue/Community-Safety-and-Social-Inclusion/Welsh-Index-of-Multiple-Deprivation.</w:t>
      </w:r>
    </w:p>
    <w:p>
      <w:pPr>
        <w:pStyle w:val="TextBody"/>
        <w:spacing w:lineRule="auto" w:line="480" w:before="0" w:after="140"/>
        <w:ind w:left="720" w:right="0" w:hanging="720"/>
        <w:rPr/>
      </w:pPr>
      <w:r>
        <w:rPr/>
        <w:t>“</w:t>
      </w:r>
      <w:r>
        <w:rPr>
          <w:rFonts w:ascii="Arial" w:hAnsi="Arial"/>
          <w:sz w:val="24"/>
        </w:rPr>
        <w:t xml:space="preserve">Strategic Equality Plan 2020-2024.” </w:t>
      </w:r>
      <w:r>
        <w:rPr>
          <w:rFonts w:ascii="Arial" w:hAnsi="Arial"/>
          <w:i/>
          <w:sz w:val="24"/>
        </w:rPr>
        <w:t>Swansea</w:t>
      </w:r>
      <w:r>
        <w:rPr>
          <w:rFonts w:ascii="Arial" w:hAnsi="Arial"/>
          <w:sz w:val="24"/>
        </w:rPr>
        <w:t>, swansea.gov.uk/sep2024?lang=en.</w:t>
      </w:r>
    </w:p>
    <w:p>
      <w:pPr>
        <w:pStyle w:val="TextBody"/>
        <w:spacing w:lineRule="auto" w:line="480" w:before="0" w:after="140"/>
        <w:ind w:left="720" w:right="0" w:hanging="720"/>
        <w:rPr/>
      </w:pPr>
      <w:r>
        <w:rPr/>
        <w:t>“</w:t>
      </w:r>
      <w:r>
        <w:rPr>
          <w:rFonts w:ascii="Arial" w:hAnsi="Arial"/>
          <w:sz w:val="24"/>
        </w:rPr>
        <w:t xml:space="preserve">View Map | DataMapWales.” </w:t>
      </w:r>
      <w:r>
        <w:rPr>
          <w:rFonts w:ascii="Arial" w:hAnsi="Arial"/>
          <w:i/>
          <w:sz w:val="24"/>
        </w:rPr>
        <w:t>Datamap.gov.wales</w:t>
      </w:r>
      <w:r>
        <w:rPr>
          <w:rFonts w:ascii="Arial" w:hAnsi="Arial"/>
          <w:sz w:val="24"/>
        </w:rPr>
        <w:t>, datamap.gov.wales/maps/welsh-index-of-multiple-deprivation-wimd-2019/view#/.</w:t>
      </w:r>
    </w:p>
    <w:p>
      <w:pPr>
        <w:pStyle w:val="TextBody"/>
        <w:spacing w:lineRule="auto" w:line="480" w:before="0" w:after="140"/>
        <w:ind w:left="720" w:right="0" w:hanging="720"/>
        <w:rPr/>
      </w:pPr>
      <w:r>
        <w:rPr>
          <w:rFonts w:ascii="Arial" w:hAnsi="Arial"/>
          <w:i/>
          <w:sz w:val="24"/>
        </w:rPr>
        <w:t>Work Experience vs Volunteering. What’s the Difference? https://www.nptcvs.wales/site/wp-content/uploads/2021/12/Work-Experience-vs-Volunteering-Infosheet-English.pdf</w:t>
      </w:r>
      <w:hyperlink r:id="rId4">
        <w:r>
          <w:rPr>
            <w:rFonts w:ascii="Arial" w:hAnsi="Arial"/>
            <w:i/>
            <w:sz w:val="24"/>
          </w:rPr>
          <w:t xml:space="preserve"> </w:t>
        </w:r>
      </w:hyperlink>
    </w:p>
    <w:sectPr>
      <w:type w:val="nextPage"/>
      <w:pgSz w:w="11906" w:h="16838"/>
      <w:pgMar w:left="1440" w:right="1440" w:gutter="0" w:header="0" w:top="1440" w:footer="0" w:bottom="1440"/>
      <w:pgNumType w:start="0"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316c9"/>
    <w:pPr>
      <w:widowControl/>
      <w:bidi w:val="0"/>
      <w:spacing w:lineRule="auto" w:line="259" w:before="0" w:after="160"/>
      <w:jc w:val="left"/>
    </w:pPr>
    <w:rPr>
      <w:rFonts w:ascii="Arial" w:hAnsi="Arial" w:eastAsia="Calibri" w:cs="" w:cstheme="minorBidi" w:eastAsiaTheme="minorHAnsi"/>
      <w:color w:val="auto"/>
      <w:kern w:val="2"/>
      <w:sz w:val="22"/>
      <w:szCs w:val="22"/>
      <w:lang w:val="en-GB" w:eastAsia="en-US" w:bidi="ar-SA"/>
      <w14:ligatures w14:val="standardContextual"/>
    </w:rPr>
  </w:style>
  <w:style w:type="paragraph" w:styleId="Heading1">
    <w:name w:val="Heading 1"/>
    <w:basedOn w:val="Normal"/>
    <w:next w:val="Normal"/>
    <w:link w:val="Heading1Char"/>
    <w:uiPriority w:val="9"/>
    <w:qFormat/>
    <w:rsid w:val="00b316c9"/>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b316c9"/>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semiHidden/>
    <w:unhideWhenUsed/>
    <w:qFormat/>
    <w:rPr/>
  </w:style>
  <w:style w:type="character" w:styleId="NoSpacingChar" w:customStyle="1">
    <w:name w:val="No Spacing Char"/>
    <w:basedOn w:val="DefaultParagraphFont"/>
    <w:link w:val="NoSpacing"/>
    <w:uiPriority w:val="1"/>
    <w:qFormat/>
    <w:rsid w:val="00b316c9"/>
    <w:rPr>
      <w:rFonts w:eastAsia="" w:eastAsiaTheme="minorEastAsia"/>
      <w:kern w:val="0"/>
      <w:lang w:val="en-US"/>
      <w14:ligatures w14:val="none"/>
    </w:rPr>
  </w:style>
  <w:style w:type="character" w:styleId="Heading1Char" w:customStyle="1">
    <w:name w:val="Heading 1 Char"/>
    <w:basedOn w:val="DefaultParagraphFont"/>
    <w:link w:val="Heading1"/>
    <w:uiPriority w:val="9"/>
    <w:qFormat/>
    <w:rsid w:val="00b316c9"/>
    <w:rPr>
      <w:rFonts w:ascii="Calibri Light" w:hAnsi="Calibri Light" w:eastAsia="" w:cs="" w:asciiTheme="majorHAnsi" w:cstheme="majorBidi" w:eastAsiaTheme="majorEastAsia" w:hAnsiTheme="majorHAnsi"/>
      <w:color w:val="2F5496" w:themeColor="accent1" w:themeShade="bf"/>
      <w:sz w:val="32"/>
      <w:szCs w:val="32"/>
    </w:rPr>
  </w:style>
  <w:style w:type="character" w:styleId="Heading2Char" w:customStyle="1">
    <w:name w:val="Heading 2 Char"/>
    <w:basedOn w:val="DefaultParagraphFont"/>
    <w:link w:val="Heading2"/>
    <w:uiPriority w:val="9"/>
    <w:qFormat/>
    <w:rsid w:val="00b316c9"/>
    <w:rPr>
      <w:rFonts w:ascii="Calibri Light" w:hAnsi="Calibri Light" w:eastAsia="" w:cs="" w:asciiTheme="majorHAnsi" w:cstheme="majorBidi" w:eastAsiaTheme="majorEastAsia" w:hAnsiTheme="majorHAnsi"/>
      <w:color w:val="2F5496" w:themeColor="accent1" w:themeShade="bf"/>
      <w:sz w:val="26"/>
      <w:szCs w:val="26"/>
    </w:rPr>
  </w:style>
  <w:style w:type="character" w:styleId="InternetLink">
    <w:name w:val="Hyperlink"/>
    <w:basedOn w:val="DefaultParagraphFont"/>
    <w:uiPriority w:val="99"/>
    <w:unhideWhenUsed/>
    <w:rsid w:val="00a06549"/>
    <w:rPr>
      <w:color w:val="0563C1"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link w:val="NoSpacingChar"/>
    <w:uiPriority w:val="1"/>
    <w:qFormat/>
    <w:rsid w:val="00b316c9"/>
    <w:pPr>
      <w:widowControl/>
      <w:bidi w:val="0"/>
      <w:spacing w:lineRule="auto" w:line="240" w:before="0" w:after="0"/>
      <w:jc w:val="left"/>
    </w:pPr>
    <w:rPr>
      <w:rFonts w:eastAsia="" w:eastAsiaTheme="minorEastAsia" w:ascii="Calibri" w:hAnsi="Calibri" w:cs=""/>
      <w:color w:val="auto"/>
      <w:kern w:val="0"/>
      <w:sz w:val="22"/>
      <w:szCs w:val="22"/>
      <w:lang w:val="en-US" w:eastAsia="en-US" w:bidi="ar-SA"/>
      <w14:ligatures w14:val="none"/>
    </w:rPr>
  </w:style>
  <w:style w:type="paragraph" w:styleId="ListParagraph">
    <w:name w:val="List Paragraph"/>
    <w:basedOn w:val="Normal"/>
    <w:uiPriority w:val="34"/>
    <w:qFormat/>
    <w:rsid w:val="00b316c9"/>
    <w:pPr>
      <w:spacing w:before="0" w:after="160"/>
      <w:ind w:left="720" w:hanging="0"/>
      <w:contextualSpacing/>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a06549"/>
    <w:pPr>
      <w:outlineLvl w:val="9"/>
    </w:pPr>
    <w:rPr>
      <w:kern w:val="0"/>
      <w:lang w:val="en-US"/>
      <w14:ligatures w14:val="none"/>
    </w:rPr>
  </w:style>
  <w:style w:type="paragraph" w:styleId="Contents1">
    <w:name w:val="TOC 1"/>
    <w:basedOn w:val="Normal"/>
    <w:next w:val="Normal"/>
    <w:autoRedefine/>
    <w:uiPriority w:val="39"/>
    <w:unhideWhenUsed/>
    <w:rsid w:val="00a06549"/>
    <w:pPr>
      <w:spacing w:before="0" w:after="100"/>
    </w:pPr>
    <w:rPr/>
  </w:style>
  <w:style w:type="paragraph" w:styleId="Contents2">
    <w:name w:val="TOC 2"/>
    <w:basedOn w:val="Normal"/>
    <w:next w:val="Normal"/>
    <w:autoRedefine/>
    <w:uiPriority w:val="39"/>
    <w:unhideWhenUsed/>
    <w:rsid w:val="00a06549"/>
    <w:pPr>
      <w:spacing w:before="0" w:after="100"/>
      <w:ind w:left="220" w:hanging="0"/>
    </w:pPr>
    <w:rPr/>
  </w:style>
  <w:style w:type="paragraph" w:styleId="FrameContents">
    <w:name w:val="Frame Contents"/>
    <w:basedOn w:val="Normal"/>
    <w:qFormat/>
    <w:pPr/>
    <w:rPr/>
  </w:style>
  <w:style w:type="paragraph" w:styleId="Subtitle">
    <w:name w:val="Subtitle"/>
    <w:basedOn w:val="Heading"/>
    <w:next w:val="TextBody"/>
    <w:qFormat/>
    <w:pPr>
      <w:spacing w:before="60" w:after="120"/>
      <w:jc w:val="center"/>
    </w:pPr>
    <w:rPr>
      <w:sz w:val="36"/>
      <w:szCs w:val="36"/>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316375-4442-4AA1-B2B5-49F141DBC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Application>LibreOffice/7.5.1.2$Windows_X86_64 LibreOffice_project/fcbaee479e84c6cd81291587d2ee68cba099e129</Application>
  <AppVersion>15.0000</AppVersion>
  <Pages>8</Pages>
  <Words>1951</Words>
  <Characters>9919</Characters>
  <CharactersWithSpaces>11850</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2024-03-26T12:27:00Z</dcterms:created>
  <dc:creator>Mike Durke</dc:creator>
  <dc:description/>
  <dc:language>en-GB</dc:language>
  <cp:lastModifiedBy/>
  <dcterms:modified xsi:type="dcterms:W3CDTF">2024-05-03T18:29:02Z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