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98D4B" w14:textId="77777777" w:rsidR="002F1C48" w:rsidRPr="006E55EC" w:rsidRDefault="002F1C48" w:rsidP="001740C3">
      <w:pPr>
        <w:spacing w:after="0" w:line="360" w:lineRule="auto"/>
        <w:jc w:val="center"/>
        <w:rPr>
          <w:rFonts w:ascii="Arial" w:eastAsia="Aptos" w:hAnsi="Arial" w:cs="Arial"/>
          <w:color w:val="000000" w:themeColor="text1"/>
        </w:rPr>
      </w:pPr>
      <w:r w:rsidRPr="006E55EC">
        <w:rPr>
          <w:rFonts w:ascii="Arial" w:hAnsi="Arial" w:cs="Arial"/>
          <w:noProof/>
          <w:color w:val="000000" w:themeColor="text1"/>
        </w:rPr>
        <w:drawing>
          <wp:inline distT="0" distB="0" distL="0" distR="0" wp14:anchorId="112348FA" wp14:editId="2A152081">
            <wp:extent cx="2743200" cy="1371600"/>
            <wp:effectExtent l="0" t="0" r="0" b="0"/>
            <wp:docPr id="1152548586" name="Picture 1152548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48586" name="Picture 1152548586"/>
                    <pic:cNvPicPr/>
                  </pic:nvPicPr>
                  <pic:blipFill>
                    <a:blip r:embed="rId7">
                      <a:extLst>
                        <a:ext uri="{28A0092B-C50C-407E-A947-70E740481C1C}">
                          <a14:useLocalDpi xmlns:a14="http://schemas.microsoft.com/office/drawing/2010/main" val="0"/>
                        </a:ext>
                      </a:extLst>
                    </a:blip>
                    <a:stretch>
                      <a:fillRect/>
                    </a:stretch>
                  </pic:blipFill>
                  <pic:spPr>
                    <a:xfrm>
                      <a:off x="0" y="0"/>
                      <a:ext cx="2743200" cy="1371600"/>
                    </a:xfrm>
                    <a:prstGeom prst="rect">
                      <a:avLst/>
                    </a:prstGeom>
                  </pic:spPr>
                </pic:pic>
              </a:graphicData>
            </a:graphic>
          </wp:inline>
        </w:drawing>
      </w:r>
    </w:p>
    <w:p w14:paraId="46F8D2C5" w14:textId="77777777" w:rsidR="00953A19" w:rsidRPr="006E55EC" w:rsidRDefault="00953A19" w:rsidP="001740C3">
      <w:pPr>
        <w:spacing w:after="0" w:line="360" w:lineRule="auto"/>
        <w:rPr>
          <w:rFonts w:ascii="Arial" w:eastAsia="Arial" w:hAnsi="Arial" w:cs="Arial"/>
          <w:color w:val="000000" w:themeColor="text1"/>
        </w:rPr>
      </w:pPr>
    </w:p>
    <w:p w14:paraId="224AAFB7" w14:textId="77777777" w:rsidR="002F1C48" w:rsidRPr="006E55EC" w:rsidRDefault="002F1C48" w:rsidP="001740C3">
      <w:pPr>
        <w:spacing w:after="0" w:line="360" w:lineRule="auto"/>
        <w:rPr>
          <w:rFonts w:ascii="Arial" w:eastAsia="Arial" w:hAnsi="Arial" w:cs="Arial"/>
          <w:color w:val="000000" w:themeColor="text1"/>
        </w:rPr>
      </w:pPr>
      <w:r w:rsidRPr="006E55EC">
        <w:rPr>
          <w:rFonts w:ascii="Arial" w:eastAsia="Arial" w:hAnsi="Arial" w:cs="Arial"/>
          <w:color w:val="000000" w:themeColor="text1"/>
        </w:rPr>
        <w:t>Name: Rita Zambito</w:t>
      </w:r>
    </w:p>
    <w:p w14:paraId="2643CDC8" w14:textId="77777777" w:rsidR="002F1C48" w:rsidRPr="006E55EC" w:rsidRDefault="002F1C48" w:rsidP="001740C3">
      <w:pPr>
        <w:spacing w:after="0" w:line="360" w:lineRule="auto"/>
        <w:rPr>
          <w:rFonts w:ascii="Arial" w:eastAsia="Arial" w:hAnsi="Arial" w:cs="Arial"/>
          <w:color w:val="000000" w:themeColor="text1"/>
        </w:rPr>
      </w:pPr>
      <w:r w:rsidRPr="006E55EC">
        <w:rPr>
          <w:rFonts w:ascii="Arial" w:eastAsia="Arial" w:hAnsi="Arial" w:cs="Arial"/>
          <w:color w:val="000000" w:themeColor="text1"/>
        </w:rPr>
        <w:t>Student number: 2245801</w:t>
      </w:r>
    </w:p>
    <w:p w14:paraId="123A4461" w14:textId="477068D2" w:rsidR="002F1C48" w:rsidRPr="006E55EC" w:rsidRDefault="002F1C48" w:rsidP="001740C3">
      <w:pPr>
        <w:spacing w:after="0" w:line="360" w:lineRule="auto"/>
        <w:rPr>
          <w:rFonts w:ascii="Arial" w:eastAsia="Arial" w:hAnsi="Arial" w:cs="Arial"/>
          <w:color w:val="000000" w:themeColor="text1"/>
        </w:rPr>
      </w:pPr>
      <w:r w:rsidRPr="006E55EC">
        <w:rPr>
          <w:rFonts w:ascii="Arial" w:eastAsia="Arial" w:hAnsi="Arial" w:cs="Arial"/>
          <w:color w:val="000000" w:themeColor="text1"/>
        </w:rPr>
        <w:t xml:space="preserve">Module Code: </w:t>
      </w:r>
      <w:r w:rsidR="000D3E6C" w:rsidRPr="006E55EC">
        <w:rPr>
          <w:rFonts w:ascii="Arial" w:eastAsia="Arial" w:hAnsi="Arial" w:cs="Arial"/>
          <w:color w:val="000000" w:themeColor="text1"/>
        </w:rPr>
        <w:t>ACCA6026_BIRM</w:t>
      </w:r>
    </w:p>
    <w:p w14:paraId="605E0518" w14:textId="5E6CB493" w:rsidR="002F1C48" w:rsidRPr="006E55EC" w:rsidRDefault="002F1C48" w:rsidP="001740C3">
      <w:pPr>
        <w:spacing w:after="0" w:line="360" w:lineRule="auto"/>
        <w:rPr>
          <w:rFonts w:ascii="Arial" w:eastAsia="Arial" w:hAnsi="Arial" w:cs="Arial"/>
          <w:color w:val="000000" w:themeColor="text1"/>
        </w:rPr>
      </w:pPr>
      <w:r w:rsidRPr="006E55EC">
        <w:rPr>
          <w:rFonts w:ascii="Arial" w:eastAsia="Arial" w:hAnsi="Arial" w:cs="Arial"/>
          <w:color w:val="000000" w:themeColor="text1"/>
        </w:rPr>
        <w:t xml:space="preserve">Module Title: </w:t>
      </w:r>
      <w:r w:rsidR="008340A3" w:rsidRPr="006E55EC">
        <w:rPr>
          <w:rFonts w:ascii="Arial" w:eastAsia="Arial" w:hAnsi="Arial" w:cs="Arial"/>
          <w:color w:val="000000" w:themeColor="text1"/>
        </w:rPr>
        <w:t>Data Warehousing &amp; Data Mining</w:t>
      </w:r>
    </w:p>
    <w:p w14:paraId="11F64AFB" w14:textId="77777777" w:rsidR="002F1C48" w:rsidRPr="006E55EC" w:rsidRDefault="002F1C48" w:rsidP="001740C3">
      <w:pPr>
        <w:spacing w:after="0" w:line="360" w:lineRule="auto"/>
        <w:rPr>
          <w:rFonts w:ascii="Arial" w:eastAsia="Arial" w:hAnsi="Arial" w:cs="Arial"/>
          <w:color w:val="000000" w:themeColor="text1"/>
        </w:rPr>
      </w:pPr>
      <w:r w:rsidRPr="006E55EC">
        <w:rPr>
          <w:rFonts w:ascii="Arial" w:eastAsia="Arial" w:hAnsi="Arial" w:cs="Arial"/>
          <w:color w:val="000000" w:themeColor="text1"/>
        </w:rPr>
        <w:t>Lecturer Name: Dr. Mobolanle Bello</w:t>
      </w:r>
    </w:p>
    <w:p w14:paraId="30A729D2" w14:textId="086B9F56" w:rsidR="002F1C48" w:rsidRPr="006E55EC" w:rsidRDefault="002F1C48" w:rsidP="001740C3">
      <w:pPr>
        <w:spacing w:after="0" w:line="360" w:lineRule="auto"/>
        <w:rPr>
          <w:rFonts w:ascii="Arial" w:eastAsia="Arial" w:hAnsi="Arial" w:cs="Arial"/>
          <w:color w:val="000000" w:themeColor="text1"/>
        </w:rPr>
      </w:pPr>
      <w:r w:rsidRPr="006E55EC">
        <w:rPr>
          <w:rFonts w:ascii="Arial" w:eastAsia="Arial" w:hAnsi="Arial" w:cs="Arial"/>
          <w:color w:val="000000" w:themeColor="text1"/>
        </w:rPr>
        <w:t xml:space="preserve">Assignment Title: </w:t>
      </w:r>
      <w:r w:rsidR="00D96623" w:rsidRPr="006E55EC">
        <w:rPr>
          <w:rFonts w:ascii="Arial" w:eastAsia="Arial" w:hAnsi="Arial" w:cs="Arial"/>
          <w:color w:val="000000" w:themeColor="text1"/>
        </w:rPr>
        <w:t>Data Warehousing</w:t>
      </w:r>
    </w:p>
    <w:p w14:paraId="17FC1E54" w14:textId="4C761E08" w:rsidR="002F1C48" w:rsidRPr="006E55EC" w:rsidRDefault="002F1C48" w:rsidP="001740C3">
      <w:pPr>
        <w:spacing w:after="0" w:line="360" w:lineRule="auto"/>
        <w:rPr>
          <w:rFonts w:ascii="Arial" w:eastAsia="Arial" w:hAnsi="Arial" w:cs="Arial"/>
          <w:color w:val="000000" w:themeColor="text1"/>
        </w:rPr>
      </w:pPr>
      <w:r w:rsidRPr="006E55EC">
        <w:rPr>
          <w:rFonts w:ascii="Arial" w:eastAsia="Arial" w:hAnsi="Arial" w:cs="Arial"/>
          <w:color w:val="000000" w:themeColor="text1"/>
        </w:rPr>
        <w:t xml:space="preserve">Date of submission: </w:t>
      </w:r>
      <w:r w:rsidR="00FC013D">
        <w:rPr>
          <w:rFonts w:ascii="Arial" w:eastAsia="Arial" w:hAnsi="Arial" w:cs="Arial"/>
          <w:color w:val="000000" w:themeColor="text1"/>
        </w:rPr>
        <w:t>27</w:t>
      </w:r>
      <w:r w:rsidRPr="006E55EC">
        <w:rPr>
          <w:rFonts w:ascii="Arial" w:eastAsia="Arial" w:hAnsi="Arial" w:cs="Arial"/>
          <w:color w:val="000000" w:themeColor="text1"/>
        </w:rPr>
        <w:t>/1</w:t>
      </w:r>
      <w:r w:rsidR="002248AE">
        <w:rPr>
          <w:rFonts w:ascii="Arial" w:eastAsia="Arial" w:hAnsi="Arial" w:cs="Arial"/>
          <w:color w:val="000000" w:themeColor="text1"/>
        </w:rPr>
        <w:t>0</w:t>
      </w:r>
      <w:r w:rsidRPr="006E55EC">
        <w:rPr>
          <w:rFonts w:ascii="Arial" w:eastAsia="Arial" w:hAnsi="Arial" w:cs="Arial"/>
          <w:color w:val="000000" w:themeColor="text1"/>
        </w:rPr>
        <w:t>/202</w:t>
      </w:r>
      <w:r w:rsidR="00D96623" w:rsidRPr="006E55EC">
        <w:rPr>
          <w:rFonts w:ascii="Arial" w:eastAsia="Arial" w:hAnsi="Arial" w:cs="Arial"/>
          <w:color w:val="000000" w:themeColor="text1"/>
        </w:rPr>
        <w:t>5</w:t>
      </w:r>
    </w:p>
    <w:p w14:paraId="3E244978" w14:textId="77777777" w:rsidR="002F1C48" w:rsidRPr="006E55EC" w:rsidRDefault="002F1C48" w:rsidP="001740C3">
      <w:pPr>
        <w:spacing w:after="0" w:line="360" w:lineRule="auto"/>
        <w:rPr>
          <w:rFonts w:ascii="Arial" w:eastAsia="Arial" w:hAnsi="Arial" w:cs="Arial"/>
          <w:color w:val="000000" w:themeColor="text1"/>
        </w:rPr>
      </w:pPr>
      <w:r w:rsidRPr="006E55EC">
        <w:rPr>
          <w:rFonts w:ascii="Arial" w:eastAsia="Arial" w:hAnsi="Arial" w:cs="Arial"/>
          <w:color w:val="000000" w:themeColor="text1"/>
        </w:rPr>
        <w:t>IICL, Birmingham</w:t>
      </w:r>
    </w:p>
    <w:p w14:paraId="28D7730C" w14:textId="77777777" w:rsidR="002D1598" w:rsidRPr="006E55EC" w:rsidRDefault="002D1598" w:rsidP="001740C3">
      <w:pPr>
        <w:spacing w:line="360" w:lineRule="auto"/>
        <w:rPr>
          <w:rFonts w:ascii="Arial" w:hAnsi="Arial" w:cs="Arial"/>
          <w:color w:val="000000" w:themeColor="text1"/>
        </w:rPr>
      </w:pPr>
    </w:p>
    <w:p w14:paraId="1D93D9ED" w14:textId="77777777" w:rsidR="00D96623" w:rsidRPr="006E55EC" w:rsidRDefault="00D96623" w:rsidP="001740C3">
      <w:pPr>
        <w:spacing w:line="360" w:lineRule="auto"/>
        <w:rPr>
          <w:rFonts w:ascii="Arial" w:hAnsi="Arial" w:cs="Arial"/>
          <w:color w:val="000000" w:themeColor="text1"/>
        </w:rPr>
      </w:pPr>
    </w:p>
    <w:p w14:paraId="6CECE01F" w14:textId="77777777" w:rsidR="00D96623" w:rsidRPr="006E55EC" w:rsidRDefault="00D96623" w:rsidP="001740C3">
      <w:pPr>
        <w:spacing w:line="360" w:lineRule="auto"/>
        <w:rPr>
          <w:rFonts w:ascii="Arial" w:hAnsi="Arial" w:cs="Arial"/>
          <w:color w:val="000000" w:themeColor="text1"/>
        </w:rPr>
      </w:pPr>
    </w:p>
    <w:p w14:paraId="14001366" w14:textId="77777777" w:rsidR="00D96623" w:rsidRPr="006E55EC" w:rsidRDefault="00D96623" w:rsidP="001740C3">
      <w:pPr>
        <w:spacing w:line="360" w:lineRule="auto"/>
        <w:rPr>
          <w:rFonts w:ascii="Arial" w:hAnsi="Arial" w:cs="Arial"/>
          <w:color w:val="000000" w:themeColor="text1"/>
        </w:rPr>
      </w:pPr>
    </w:p>
    <w:p w14:paraId="0A764DD5" w14:textId="77777777" w:rsidR="00D96623" w:rsidRPr="006E55EC" w:rsidRDefault="00D96623" w:rsidP="001740C3">
      <w:pPr>
        <w:spacing w:line="360" w:lineRule="auto"/>
        <w:rPr>
          <w:rFonts w:ascii="Arial" w:hAnsi="Arial" w:cs="Arial"/>
          <w:color w:val="000000" w:themeColor="text1"/>
        </w:rPr>
      </w:pPr>
    </w:p>
    <w:p w14:paraId="1B2AD761" w14:textId="77777777" w:rsidR="00D96623" w:rsidRPr="006E55EC" w:rsidRDefault="00D96623" w:rsidP="001740C3">
      <w:pPr>
        <w:spacing w:line="360" w:lineRule="auto"/>
        <w:rPr>
          <w:rFonts w:ascii="Arial" w:hAnsi="Arial" w:cs="Arial"/>
          <w:color w:val="000000" w:themeColor="text1"/>
        </w:rPr>
      </w:pPr>
    </w:p>
    <w:p w14:paraId="5F07C57E" w14:textId="77777777" w:rsidR="00D96623" w:rsidRPr="006E55EC" w:rsidRDefault="00D96623" w:rsidP="001740C3">
      <w:pPr>
        <w:spacing w:line="360" w:lineRule="auto"/>
        <w:rPr>
          <w:rFonts w:ascii="Arial" w:hAnsi="Arial" w:cs="Arial"/>
          <w:color w:val="000000" w:themeColor="text1"/>
        </w:rPr>
      </w:pPr>
    </w:p>
    <w:p w14:paraId="03C38900" w14:textId="77777777" w:rsidR="00D96623" w:rsidRPr="006E55EC" w:rsidRDefault="00D96623" w:rsidP="001740C3">
      <w:pPr>
        <w:spacing w:line="360" w:lineRule="auto"/>
        <w:rPr>
          <w:rFonts w:ascii="Arial" w:hAnsi="Arial" w:cs="Arial"/>
          <w:color w:val="000000" w:themeColor="text1"/>
        </w:rPr>
      </w:pPr>
    </w:p>
    <w:p w14:paraId="57224733" w14:textId="77777777" w:rsidR="00D96623" w:rsidRPr="006E55EC" w:rsidRDefault="00D96623" w:rsidP="001740C3">
      <w:pPr>
        <w:spacing w:line="360" w:lineRule="auto"/>
        <w:rPr>
          <w:rFonts w:ascii="Arial" w:hAnsi="Arial" w:cs="Arial"/>
          <w:color w:val="000000" w:themeColor="text1"/>
        </w:rPr>
      </w:pPr>
    </w:p>
    <w:p w14:paraId="31164479" w14:textId="77777777" w:rsidR="00D96623" w:rsidRPr="006E55EC" w:rsidRDefault="00D96623" w:rsidP="001740C3">
      <w:pPr>
        <w:spacing w:line="360" w:lineRule="auto"/>
        <w:rPr>
          <w:rFonts w:ascii="Arial" w:hAnsi="Arial" w:cs="Arial"/>
          <w:color w:val="000000" w:themeColor="text1"/>
        </w:rPr>
      </w:pPr>
    </w:p>
    <w:p w14:paraId="3FD8862A" w14:textId="77777777" w:rsidR="00EC3AD4" w:rsidRPr="006E55EC" w:rsidRDefault="00EC3AD4" w:rsidP="001740C3">
      <w:pPr>
        <w:spacing w:line="360" w:lineRule="auto"/>
        <w:rPr>
          <w:rFonts w:ascii="Arial" w:hAnsi="Arial" w:cs="Arial"/>
          <w:color w:val="000000" w:themeColor="text1"/>
        </w:rPr>
      </w:pPr>
    </w:p>
    <w:p w14:paraId="3E32FA99" w14:textId="77777777" w:rsidR="00EC3AD4" w:rsidRPr="006E55EC" w:rsidRDefault="00EC3AD4" w:rsidP="001740C3">
      <w:pPr>
        <w:spacing w:line="360" w:lineRule="auto"/>
        <w:rPr>
          <w:rFonts w:ascii="Arial" w:hAnsi="Arial" w:cs="Arial"/>
          <w:color w:val="000000" w:themeColor="text1"/>
        </w:rPr>
      </w:pPr>
    </w:p>
    <w:p w14:paraId="4743FEA1" w14:textId="77777777" w:rsidR="00EC3AD4" w:rsidRPr="006E55EC" w:rsidRDefault="00EC3AD4" w:rsidP="001740C3">
      <w:pPr>
        <w:spacing w:line="360" w:lineRule="auto"/>
        <w:rPr>
          <w:rFonts w:ascii="Arial" w:hAnsi="Arial" w:cs="Arial"/>
          <w:color w:val="000000" w:themeColor="text1"/>
        </w:rPr>
      </w:pPr>
    </w:p>
    <w:p w14:paraId="22BBB0AE" w14:textId="77777777" w:rsidR="00953A19" w:rsidRPr="006E55EC" w:rsidRDefault="00953A19" w:rsidP="001740C3">
      <w:pPr>
        <w:spacing w:line="360" w:lineRule="auto"/>
        <w:rPr>
          <w:rStyle w:val="Strong"/>
          <w:rFonts w:ascii="Arial" w:hAnsi="Arial" w:cs="Arial"/>
          <w:b w:val="0"/>
          <w:bCs w:val="0"/>
          <w:color w:val="000000" w:themeColor="text1"/>
        </w:rPr>
      </w:pPr>
    </w:p>
    <w:p w14:paraId="1D41747C" w14:textId="77777777" w:rsidR="00646D51" w:rsidRDefault="00870581" w:rsidP="00646D51">
      <w:pPr>
        <w:spacing w:line="360" w:lineRule="auto"/>
        <w:jc w:val="both"/>
        <w:rPr>
          <w:rStyle w:val="Strong"/>
          <w:rFonts w:ascii="Arial" w:hAnsi="Arial" w:cs="Arial"/>
          <w:color w:val="000000" w:themeColor="text1"/>
          <w:sz w:val="26"/>
          <w:szCs w:val="26"/>
        </w:rPr>
      </w:pPr>
      <w:r w:rsidRPr="009C428E">
        <w:rPr>
          <w:rStyle w:val="Strong"/>
          <w:rFonts w:ascii="Arial" w:hAnsi="Arial" w:cs="Arial"/>
          <w:color w:val="000000" w:themeColor="text1"/>
          <w:sz w:val="26"/>
          <w:szCs w:val="26"/>
        </w:rPr>
        <w:lastRenderedPageBreak/>
        <w:t>Executive Summary</w:t>
      </w:r>
    </w:p>
    <w:p w14:paraId="0A385CCC" w14:textId="11AC623D" w:rsidR="00870581" w:rsidRPr="00646D51" w:rsidRDefault="00870581" w:rsidP="00646D51">
      <w:pPr>
        <w:spacing w:line="360" w:lineRule="auto"/>
        <w:jc w:val="both"/>
        <w:rPr>
          <w:rFonts w:ascii="Arial" w:eastAsia="Times New Roman" w:hAnsi="Arial" w:cs="Arial"/>
          <w:color w:val="000000" w:themeColor="text1"/>
          <w:sz w:val="26"/>
          <w:szCs w:val="26"/>
          <w:lang w:eastAsia="en-GB"/>
        </w:rPr>
      </w:pPr>
      <w:r w:rsidRPr="006E55EC">
        <w:rPr>
          <w:rFonts w:ascii="Arial" w:hAnsi="Arial" w:cs="Arial"/>
          <w:color w:val="000000" w:themeColor="text1"/>
        </w:rPr>
        <w:t>This report examines how Rags’n’Riches Ltd could improve the management of its business information through the implementation of a data warehouse. The company currently operates multiple systems for orders, inventory, transport, and finance, which perform well for daily operations but make it difficult to view overall performance or identify long-term trends. By integrating these systems into a single analytical environment, a data warehouse would provide accurate, consistent, and accessible information to support better strategic and financial decisions.</w:t>
      </w:r>
    </w:p>
    <w:p w14:paraId="2F4CC4B1" w14:textId="77777777" w:rsidR="00870581" w:rsidRPr="006E55EC" w:rsidRDefault="00870581" w:rsidP="007A1339">
      <w:pPr>
        <w:pStyle w:val="NormalWeb"/>
        <w:spacing w:line="360" w:lineRule="auto"/>
        <w:jc w:val="both"/>
        <w:rPr>
          <w:rFonts w:ascii="Arial" w:hAnsi="Arial" w:cs="Arial"/>
          <w:color w:val="000000" w:themeColor="text1"/>
        </w:rPr>
      </w:pPr>
      <w:r w:rsidRPr="006E55EC">
        <w:rPr>
          <w:rFonts w:ascii="Arial" w:hAnsi="Arial" w:cs="Arial"/>
          <w:color w:val="000000" w:themeColor="text1"/>
        </w:rPr>
        <w:t>The report explains the differences between the existing OLTP system and a data warehouse, outlines the proposed data architecture and ETL process, and discusses the use of departmental data marts for the Managing, Finance, and Sales Directors. It also introduces the principles of dimensional modelling, showing how they would simplify analysis for management. Together, these measures would enable Rags’n’Riches to improve profitability, control costs, and prepare for future growth within the competitive film and theatre rental industry.</w:t>
      </w:r>
    </w:p>
    <w:p w14:paraId="03585927" w14:textId="77777777" w:rsidR="00EC3AD4" w:rsidRPr="006E55EC" w:rsidRDefault="00EC3AD4" w:rsidP="007A1339">
      <w:pPr>
        <w:spacing w:line="360" w:lineRule="auto"/>
        <w:jc w:val="both"/>
        <w:rPr>
          <w:rFonts w:ascii="Arial" w:hAnsi="Arial" w:cs="Arial"/>
          <w:color w:val="000000" w:themeColor="text1"/>
        </w:rPr>
      </w:pPr>
    </w:p>
    <w:p w14:paraId="726EAD6C" w14:textId="77777777" w:rsidR="00EC3AD4" w:rsidRPr="006E55EC" w:rsidRDefault="00EC3AD4" w:rsidP="007A1339">
      <w:pPr>
        <w:spacing w:line="360" w:lineRule="auto"/>
        <w:jc w:val="both"/>
        <w:rPr>
          <w:rFonts w:ascii="Arial" w:hAnsi="Arial" w:cs="Arial"/>
          <w:color w:val="000000" w:themeColor="text1"/>
        </w:rPr>
      </w:pPr>
    </w:p>
    <w:p w14:paraId="6865240F" w14:textId="77777777" w:rsidR="00EC3AD4" w:rsidRPr="006E55EC" w:rsidRDefault="00EC3AD4" w:rsidP="007A1339">
      <w:pPr>
        <w:spacing w:line="360" w:lineRule="auto"/>
        <w:jc w:val="both"/>
        <w:rPr>
          <w:rFonts w:ascii="Arial" w:hAnsi="Arial" w:cs="Arial"/>
          <w:color w:val="000000" w:themeColor="text1"/>
        </w:rPr>
      </w:pPr>
    </w:p>
    <w:p w14:paraId="4255D9B3" w14:textId="77777777" w:rsidR="00D96623" w:rsidRPr="006E55EC" w:rsidRDefault="00D96623" w:rsidP="007A1339">
      <w:pPr>
        <w:spacing w:line="360" w:lineRule="auto"/>
        <w:jc w:val="both"/>
        <w:rPr>
          <w:rFonts w:ascii="Arial" w:hAnsi="Arial" w:cs="Arial"/>
          <w:color w:val="000000" w:themeColor="text1"/>
        </w:rPr>
      </w:pPr>
    </w:p>
    <w:p w14:paraId="39B073D7" w14:textId="77777777" w:rsidR="00D96623" w:rsidRPr="006E55EC" w:rsidRDefault="00D96623" w:rsidP="007A1339">
      <w:pPr>
        <w:spacing w:line="360" w:lineRule="auto"/>
        <w:jc w:val="both"/>
        <w:rPr>
          <w:rFonts w:ascii="Arial" w:hAnsi="Arial" w:cs="Arial"/>
          <w:color w:val="000000" w:themeColor="text1"/>
        </w:rPr>
      </w:pPr>
    </w:p>
    <w:p w14:paraId="4C2D28BD" w14:textId="77777777" w:rsidR="00D96623" w:rsidRPr="006E55EC" w:rsidRDefault="00D96623" w:rsidP="007A1339">
      <w:pPr>
        <w:spacing w:line="360" w:lineRule="auto"/>
        <w:jc w:val="both"/>
        <w:rPr>
          <w:rFonts w:ascii="Arial" w:hAnsi="Arial" w:cs="Arial"/>
          <w:color w:val="000000" w:themeColor="text1"/>
        </w:rPr>
      </w:pPr>
    </w:p>
    <w:p w14:paraId="74C712E8" w14:textId="77777777" w:rsidR="00AA207E" w:rsidRPr="006E55EC" w:rsidRDefault="00AA207E" w:rsidP="007A1339">
      <w:pPr>
        <w:spacing w:line="360" w:lineRule="auto"/>
        <w:jc w:val="both"/>
        <w:rPr>
          <w:rFonts w:ascii="Arial" w:hAnsi="Arial" w:cs="Arial"/>
          <w:color w:val="000000" w:themeColor="text1"/>
        </w:rPr>
      </w:pPr>
    </w:p>
    <w:p w14:paraId="290BFE17" w14:textId="77777777" w:rsidR="00AA207E" w:rsidRPr="006E55EC" w:rsidRDefault="00AA207E" w:rsidP="007A1339">
      <w:pPr>
        <w:spacing w:line="360" w:lineRule="auto"/>
        <w:jc w:val="both"/>
        <w:rPr>
          <w:rFonts w:ascii="Arial" w:hAnsi="Arial" w:cs="Arial"/>
          <w:color w:val="000000" w:themeColor="text1"/>
        </w:rPr>
      </w:pPr>
    </w:p>
    <w:p w14:paraId="6DDFEBE2" w14:textId="77777777" w:rsidR="00AA207E" w:rsidRPr="006E55EC" w:rsidRDefault="00AA207E" w:rsidP="007A1339">
      <w:pPr>
        <w:spacing w:line="360" w:lineRule="auto"/>
        <w:jc w:val="both"/>
        <w:rPr>
          <w:rFonts w:ascii="Arial" w:hAnsi="Arial" w:cs="Arial"/>
          <w:color w:val="000000" w:themeColor="text1"/>
        </w:rPr>
      </w:pPr>
    </w:p>
    <w:p w14:paraId="57DAE841" w14:textId="77777777" w:rsidR="00AA207E" w:rsidRPr="006E55EC" w:rsidRDefault="00AA207E" w:rsidP="007A1339">
      <w:pPr>
        <w:spacing w:line="360" w:lineRule="auto"/>
        <w:jc w:val="both"/>
        <w:rPr>
          <w:rFonts w:ascii="Arial" w:hAnsi="Arial" w:cs="Arial"/>
          <w:color w:val="000000" w:themeColor="text1"/>
        </w:rPr>
      </w:pPr>
    </w:p>
    <w:p w14:paraId="6DA4816E" w14:textId="2336E6C2" w:rsidR="00AA207E" w:rsidRPr="006E55EC" w:rsidRDefault="00AA207E" w:rsidP="007A1339">
      <w:pPr>
        <w:spacing w:line="360" w:lineRule="auto"/>
        <w:jc w:val="both"/>
        <w:rPr>
          <w:rFonts w:ascii="Arial" w:hAnsi="Arial" w:cs="Arial"/>
          <w:color w:val="000000" w:themeColor="text1"/>
        </w:rPr>
      </w:pPr>
      <w:r w:rsidRPr="006E55EC">
        <w:rPr>
          <w:rFonts w:ascii="Arial" w:hAnsi="Arial" w:cs="Arial"/>
          <w:color w:val="000000" w:themeColor="text1"/>
        </w:rPr>
        <w:br w:type="page"/>
      </w:r>
    </w:p>
    <w:sdt>
      <w:sdtPr>
        <w:rPr>
          <w:rFonts w:ascii="Arial" w:eastAsiaTheme="minorEastAsia" w:hAnsi="Arial" w:cs="Arial"/>
          <w:color w:val="000000" w:themeColor="text1"/>
          <w:sz w:val="24"/>
          <w:szCs w:val="24"/>
          <w:lang w:val="en-GB"/>
        </w:rPr>
        <w:id w:val="859623930"/>
        <w:docPartObj>
          <w:docPartGallery w:val="Table of Contents"/>
          <w:docPartUnique/>
        </w:docPartObj>
      </w:sdtPr>
      <w:sdtEndPr>
        <w:rPr>
          <w:b/>
          <w:bCs/>
        </w:rPr>
      </w:sdtEndPr>
      <w:sdtContent>
        <w:p w14:paraId="4959B9A9" w14:textId="168223A6" w:rsidR="00D43A61" w:rsidRPr="006E55EC" w:rsidRDefault="00D43A61" w:rsidP="007A1339">
          <w:pPr>
            <w:pStyle w:val="TOCHeading"/>
            <w:spacing w:line="360" w:lineRule="auto"/>
            <w:jc w:val="both"/>
            <w:rPr>
              <w:rFonts w:ascii="Arial" w:hAnsi="Arial" w:cs="Arial"/>
              <w:color w:val="000000" w:themeColor="text1"/>
              <w:sz w:val="24"/>
              <w:szCs w:val="24"/>
              <w:lang w:val="en-GB"/>
            </w:rPr>
          </w:pPr>
          <w:r w:rsidRPr="006E55EC">
            <w:rPr>
              <w:rFonts w:ascii="Arial" w:hAnsi="Arial" w:cs="Arial"/>
              <w:color w:val="000000" w:themeColor="text1"/>
              <w:sz w:val="24"/>
              <w:szCs w:val="24"/>
              <w:lang w:val="en-GB"/>
            </w:rPr>
            <w:t>Table of Contents</w:t>
          </w:r>
        </w:p>
        <w:p w14:paraId="4AF4276E" w14:textId="5A50C8BB" w:rsidR="00B268C0" w:rsidRDefault="00D43A61">
          <w:pPr>
            <w:pStyle w:val="TOC2"/>
            <w:tabs>
              <w:tab w:val="right" w:leader="dot" w:pos="9016"/>
            </w:tabs>
            <w:rPr>
              <w:noProof/>
              <w:kern w:val="2"/>
              <w:lang w:eastAsia="en-GB"/>
              <w14:ligatures w14:val="standardContextual"/>
            </w:rPr>
          </w:pPr>
          <w:r w:rsidRPr="006E55EC">
            <w:rPr>
              <w:rFonts w:ascii="Arial" w:hAnsi="Arial" w:cs="Arial"/>
              <w:color w:val="000000" w:themeColor="text1"/>
            </w:rPr>
            <w:fldChar w:fldCharType="begin"/>
          </w:r>
          <w:r w:rsidRPr="006E55EC">
            <w:rPr>
              <w:rFonts w:ascii="Arial" w:hAnsi="Arial" w:cs="Arial"/>
              <w:color w:val="000000" w:themeColor="text1"/>
            </w:rPr>
            <w:instrText xml:space="preserve"> TOC \o "1-3" \h \z \u </w:instrText>
          </w:r>
          <w:r w:rsidRPr="006E55EC">
            <w:rPr>
              <w:rFonts w:ascii="Arial" w:hAnsi="Arial" w:cs="Arial"/>
              <w:color w:val="000000" w:themeColor="text1"/>
            </w:rPr>
            <w:fldChar w:fldCharType="separate"/>
          </w:r>
          <w:hyperlink w:anchor="_Toc212491596" w:history="1">
            <w:r w:rsidR="00B268C0" w:rsidRPr="00605DB6">
              <w:rPr>
                <w:rStyle w:val="Hyperlink"/>
                <w:rFonts w:ascii="Arial" w:hAnsi="Arial" w:cs="Arial"/>
                <w:b/>
                <w:bCs/>
                <w:noProof/>
              </w:rPr>
              <w:t>Task 1: Data Warehousing Concepts and Benefits</w:t>
            </w:r>
            <w:r w:rsidR="00B268C0">
              <w:rPr>
                <w:noProof/>
                <w:webHidden/>
              </w:rPr>
              <w:tab/>
            </w:r>
            <w:r w:rsidR="00B268C0">
              <w:rPr>
                <w:noProof/>
                <w:webHidden/>
              </w:rPr>
              <w:fldChar w:fldCharType="begin"/>
            </w:r>
            <w:r w:rsidR="00B268C0">
              <w:rPr>
                <w:noProof/>
                <w:webHidden/>
              </w:rPr>
              <w:instrText xml:space="preserve"> PAGEREF _Toc212491596 \h </w:instrText>
            </w:r>
            <w:r w:rsidR="00B268C0">
              <w:rPr>
                <w:noProof/>
                <w:webHidden/>
              </w:rPr>
            </w:r>
            <w:r w:rsidR="00B268C0">
              <w:rPr>
                <w:noProof/>
                <w:webHidden/>
              </w:rPr>
              <w:fldChar w:fldCharType="separate"/>
            </w:r>
            <w:r w:rsidR="00B268C0">
              <w:rPr>
                <w:noProof/>
                <w:webHidden/>
              </w:rPr>
              <w:t>3</w:t>
            </w:r>
            <w:r w:rsidR="00B268C0">
              <w:rPr>
                <w:noProof/>
                <w:webHidden/>
              </w:rPr>
              <w:fldChar w:fldCharType="end"/>
            </w:r>
          </w:hyperlink>
        </w:p>
        <w:p w14:paraId="13998526" w14:textId="4F24293F" w:rsidR="00B268C0" w:rsidRDefault="00B268C0">
          <w:pPr>
            <w:pStyle w:val="TOC3"/>
            <w:tabs>
              <w:tab w:val="right" w:leader="dot" w:pos="9016"/>
            </w:tabs>
            <w:rPr>
              <w:noProof/>
              <w:kern w:val="2"/>
              <w:lang w:eastAsia="en-GB"/>
              <w14:ligatures w14:val="standardContextual"/>
            </w:rPr>
          </w:pPr>
          <w:hyperlink w:anchor="_Toc212491597" w:history="1">
            <w:r w:rsidRPr="00605DB6">
              <w:rPr>
                <w:rStyle w:val="Hyperlink"/>
                <w:rFonts w:ascii="Arial" w:hAnsi="Arial" w:cs="Arial"/>
                <w:b/>
                <w:bCs/>
                <w:noProof/>
              </w:rPr>
              <w:t>1.0 Introduction</w:t>
            </w:r>
            <w:r>
              <w:rPr>
                <w:noProof/>
                <w:webHidden/>
              </w:rPr>
              <w:tab/>
            </w:r>
            <w:r>
              <w:rPr>
                <w:noProof/>
                <w:webHidden/>
              </w:rPr>
              <w:fldChar w:fldCharType="begin"/>
            </w:r>
            <w:r>
              <w:rPr>
                <w:noProof/>
                <w:webHidden/>
              </w:rPr>
              <w:instrText xml:space="preserve"> PAGEREF _Toc212491597 \h </w:instrText>
            </w:r>
            <w:r>
              <w:rPr>
                <w:noProof/>
                <w:webHidden/>
              </w:rPr>
            </w:r>
            <w:r>
              <w:rPr>
                <w:noProof/>
                <w:webHidden/>
              </w:rPr>
              <w:fldChar w:fldCharType="separate"/>
            </w:r>
            <w:r>
              <w:rPr>
                <w:noProof/>
                <w:webHidden/>
              </w:rPr>
              <w:t>4</w:t>
            </w:r>
            <w:r>
              <w:rPr>
                <w:noProof/>
                <w:webHidden/>
              </w:rPr>
              <w:fldChar w:fldCharType="end"/>
            </w:r>
          </w:hyperlink>
        </w:p>
        <w:p w14:paraId="0395C2A6" w14:textId="30EC0174" w:rsidR="00B268C0" w:rsidRDefault="00B268C0">
          <w:pPr>
            <w:pStyle w:val="TOC3"/>
            <w:tabs>
              <w:tab w:val="right" w:leader="dot" w:pos="9016"/>
            </w:tabs>
            <w:rPr>
              <w:noProof/>
              <w:kern w:val="2"/>
              <w:lang w:eastAsia="en-GB"/>
              <w14:ligatures w14:val="standardContextual"/>
            </w:rPr>
          </w:pPr>
          <w:hyperlink w:anchor="_Toc212491598" w:history="1">
            <w:r w:rsidRPr="00605DB6">
              <w:rPr>
                <w:rStyle w:val="Hyperlink"/>
                <w:rFonts w:ascii="Arial" w:hAnsi="Arial" w:cs="Arial"/>
                <w:b/>
                <w:bCs/>
                <w:noProof/>
              </w:rPr>
              <w:t>1.1 OLTP vs Data Warehouse</w:t>
            </w:r>
            <w:r>
              <w:rPr>
                <w:noProof/>
                <w:webHidden/>
              </w:rPr>
              <w:tab/>
            </w:r>
            <w:r>
              <w:rPr>
                <w:noProof/>
                <w:webHidden/>
              </w:rPr>
              <w:fldChar w:fldCharType="begin"/>
            </w:r>
            <w:r>
              <w:rPr>
                <w:noProof/>
                <w:webHidden/>
              </w:rPr>
              <w:instrText xml:space="preserve"> PAGEREF _Toc212491598 \h </w:instrText>
            </w:r>
            <w:r>
              <w:rPr>
                <w:noProof/>
                <w:webHidden/>
              </w:rPr>
            </w:r>
            <w:r>
              <w:rPr>
                <w:noProof/>
                <w:webHidden/>
              </w:rPr>
              <w:fldChar w:fldCharType="separate"/>
            </w:r>
            <w:r>
              <w:rPr>
                <w:noProof/>
                <w:webHidden/>
              </w:rPr>
              <w:t>4</w:t>
            </w:r>
            <w:r>
              <w:rPr>
                <w:noProof/>
                <w:webHidden/>
              </w:rPr>
              <w:fldChar w:fldCharType="end"/>
            </w:r>
          </w:hyperlink>
        </w:p>
        <w:p w14:paraId="2359047E" w14:textId="5780C0C7" w:rsidR="00B268C0" w:rsidRDefault="00B268C0">
          <w:pPr>
            <w:pStyle w:val="TOC3"/>
            <w:tabs>
              <w:tab w:val="right" w:leader="dot" w:pos="9016"/>
            </w:tabs>
            <w:rPr>
              <w:noProof/>
              <w:kern w:val="2"/>
              <w:lang w:eastAsia="en-GB"/>
              <w14:ligatures w14:val="standardContextual"/>
            </w:rPr>
          </w:pPr>
          <w:hyperlink w:anchor="_Toc212491599" w:history="1">
            <w:r w:rsidRPr="00605DB6">
              <w:rPr>
                <w:rStyle w:val="Hyperlink"/>
                <w:rFonts w:ascii="Arial" w:hAnsi="Arial" w:cs="Arial"/>
                <w:b/>
                <w:bCs/>
                <w:noProof/>
              </w:rPr>
              <w:t>1.2 Data Warehouse Architecture and ETL</w:t>
            </w:r>
            <w:r>
              <w:rPr>
                <w:noProof/>
                <w:webHidden/>
              </w:rPr>
              <w:tab/>
            </w:r>
            <w:r>
              <w:rPr>
                <w:noProof/>
                <w:webHidden/>
              </w:rPr>
              <w:fldChar w:fldCharType="begin"/>
            </w:r>
            <w:r>
              <w:rPr>
                <w:noProof/>
                <w:webHidden/>
              </w:rPr>
              <w:instrText xml:space="preserve"> PAGEREF _Toc212491599 \h </w:instrText>
            </w:r>
            <w:r>
              <w:rPr>
                <w:noProof/>
                <w:webHidden/>
              </w:rPr>
            </w:r>
            <w:r>
              <w:rPr>
                <w:noProof/>
                <w:webHidden/>
              </w:rPr>
              <w:fldChar w:fldCharType="separate"/>
            </w:r>
            <w:r>
              <w:rPr>
                <w:noProof/>
                <w:webHidden/>
              </w:rPr>
              <w:t>5</w:t>
            </w:r>
            <w:r>
              <w:rPr>
                <w:noProof/>
                <w:webHidden/>
              </w:rPr>
              <w:fldChar w:fldCharType="end"/>
            </w:r>
          </w:hyperlink>
        </w:p>
        <w:p w14:paraId="290E135E" w14:textId="50980A08" w:rsidR="00B268C0" w:rsidRDefault="00B268C0">
          <w:pPr>
            <w:pStyle w:val="TOC3"/>
            <w:tabs>
              <w:tab w:val="right" w:leader="dot" w:pos="9016"/>
            </w:tabs>
            <w:rPr>
              <w:noProof/>
              <w:kern w:val="2"/>
              <w:lang w:eastAsia="en-GB"/>
              <w14:ligatures w14:val="standardContextual"/>
            </w:rPr>
          </w:pPr>
          <w:hyperlink w:anchor="_Toc212491600" w:history="1">
            <w:r w:rsidRPr="00605DB6">
              <w:rPr>
                <w:rStyle w:val="Hyperlink"/>
                <w:rFonts w:ascii="Arial" w:hAnsi="Arial" w:cs="Arial"/>
                <w:b/>
                <w:bCs/>
                <w:noProof/>
              </w:rPr>
              <w:t>1.3 Data Marts for Directors</w:t>
            </w:r>
            <w:r>
              <w:rPr>
                <w:noProof/>
                <w:webHidden/>
              </w:rPr>
              <w:tab/>
            </w:r>
            <w:r>
              <w:rPr>
                <w:noProof/>
                <w:webHidden/>
              </w:rPr>
              <w:fldChar w:fldCharType="begin"/>
            </w:r>
            <w:r>
              <w:rPr>
                <w:noProof/>
                <w:webHidden/>
              </w:rPr>
              <w:instrText xml:space="preserve"> PAGEREF _Toc212491600 \h </w:instrText>
            </w:r>
            <w:r>
              <w:rPr>
                <w:noProof/>
                <w:webHidden/>
              </w:rPr>
            </w:r>
            <w:r>
              <w:rPr>
                <w:noProof/>
                <w:webHidden/>
              </w:rPr>
              <w:fldChar w:fldCharType="separate"/>
            </w:r>
            <w:r>
              <w:rPr>
                <w:noProof/>
                <w:webHidden/>
              </w:rPr>
              <w:t>6</w:t>
            </w:r>
            <w:r>
              <w:rPr>
                <w:noProof/>
                <w:webHidden/>
              </w:rPr>
              <w:fldChar w:fldCharType="end"/>
            </w:r>
          </w:hyperlink>
        </w:p>
        <w:p w14:paraId="1C09BC77" w14:textId="03A23D72" w:rsidR="00B268C0" w:rsidRDefault="00B268C0">
          <w:pPr>
            <w:pStyle w:val="TOC3"/>
            <w:tabs>
              <w:tab w:val="right" w:leader="dot" w:pos="9016"/>
            </w:tabs>
            <w:rPr>
              <w:noProof/>
              <w:kern w:val="2"/>
              <w:lang w:eastAsia="en-GB"/>
              <w14:ligatures w14:val="standardContextual"/>
            </w:rPr>
          </w:pPr>
          <w:hyperlink w:anchor="_Toc212491601" w:history="1">
            <w:r w:rsidRPr="00605DB6">
              <w:rPr>
                <w:rStyle w:val="Hyperlink"/>
                <w:rFonts w:ascii="Arial" w:hAnsi="Arial" w:cs="Arial"/>
                <w:b/>
                <w:bCs/>
                <w:noProof/>
              </w:rPr>
              <w:t>1.4 Normalised vs Dimensional Modelling</w:t>
            </w:r>
            <w:r>
              <w:rPr>
                <w:noProof/>
                <w:webHidden/>
              </w:rPr>
              <w:tab/>
            </w:r>
            <w:r>
              <w:rPr>
                <w:noProof/>
                <w:webHidden/>
              </w:rPr>
              <w:fldChar w:fldCharType="begin"/>
            </w:r>
            <w:r>
              <w:rPr>
                <w:noProof/>
                <w:webHidden/>
              </w:rPr>
              <w:instrText xml:space="preserve"> PAGEREF _Toc212491601 \h </w:instrText>
            </w:r>
            <w:r>
              <w:rPr>
                <w:noProof/>
                <w:webHidden/>
              </w:rPr>
            </w:r>
            <w:r>
              <w:rPr>
                <w:noProof/>
                <w:webHidden/>
              </w:rPr>
              <w:fldChar w:fldCharType="separate"/>
            </w:r>
            <w:r>
              <w:rPr>
                <w:noProof/>
                <w:webHidden/>
              </w:rPr>
              <w:t>8</w:t>
            </w:r>
            <w:r>
              <w:rPr>
                <w:noProof/>
                <w:webHidden/>
              </w:rPr>
              <w:fldChar w:fldCharType="end"/>
            </w:r>
          </w:hyperlink>
        </w:p>
        <w:p w14:paraId="3C8FE75D" w14:textId="06ADF766" w:rsidR="00B268C0" w:rsidRDefault="00B268C0">
          <w:pPr>
            <w:pStyle w:val="TOC3"/>
            <w:tabs>
              <w:tab w:val="right" w:leader="dot" w:pos="9016"/>
            </w:tabs>
            <w:rPr>
              <w:noProof/>
              <w:kern w:val="2"/>
              <w:lang w:eastAsia="en-GB"/>
              <w14:ligatures w14:val="standardContextual"/>
            </w:rPr>
          </w:pPr>
          <w:hyperlink w:anchor="_Toc212491602" w:history="1">
            <w:r w:rsidRPr="00605DB6">
              <w:rPr>
                <w:rStyle w:val="Hyperlink"/>
                <w:rFonts w:ascii="Arial" w:hAnsi="Arial" w:cs="Arial"/>
                <w:b/>
                <w:bCs/>
                <w:noProof/>
              </w:rPr>
              <w:t>1.5 Conclusion</w:t>
            </w:r>
            <w:r>
              <w:rPr>
                <w:noProof/>
                <w:webHidden/>
              </w:rPr>
              <w:tab/>
            </w:r>
            <w:r>
              <w:rPr>
                <w:noProof/>
                <w:webHidden/>
              </w:rPr>
              <w:fldChar w:fldCharType="begin"/>
            </w:r>
            <w:r>
              <w:rPr>
                <w:noProof/>
                <w:webHidden/>
              </w:rPr>
              <w:instrText xml:space="preserve"> PAGEREF _Toc212491602 \h </w:instrText>
            </w:r>
            <w:r>
              <w:rPr>
                <w:noProof/>
                <w:webHidden/>
              </w:rPr>
            </w:r>
            <w:r>
              <w:rPr>
                <w:noProof/>
                <w:webHidden/>
              </w:rPr>
              <w:fldChar w:fldCharType="separate"/>
            </w:r>
            <w:r>
              <w:rPr>
                <w:noProof/>
                <w:webHidden/>
              </w:rPr>
              <w:t>10</w:t>
            </w:r>
            <w:r>
              <w:rPr>
                <w:noProof/>
                <w:webHidden/>
              </w:rPr>
              <w:fldChar w:fldCharType="end"/>
            </w:r>
          </w:hyperlink>
        </w:p>
        <w:p w14:paraId="77ABB538" w14:textId="125B0870" w:rsidR="00B268C0" w:rsidRDefault="00B268C0">
          <w:pPr>
            <w:pStyle w:val="TOC3"/>
            <w:tabs>
              <w:tab w:val="right" w:leader="dot" w:pos="9016"/>
            </w:tabs>
            <w:rPr>
              <w:noProof/>
              <w:kern w:val="2"/>
              <w:lang w:eastAsia="en-GB"/>
              <w14:ligatures w14:val="standardContextual"/>
            </w:rPr>
          </w:pPr>
          <w:hyperlink w:anchor="_Toc212491603" w:history="1">
            <w:r w:rsidRPr="00605DB6">
              <w:rPr>
                <w:rStyle w:val="Hyperlink"/>
                <w:rFonts w:ascii="Arial" w:hAnsi="Arial" w:cs="Arial"/>
                <w:b/>
                <w:bCs/>
                <w:noProof/>
              </w:rPr>
              <w:t>Task 2: Star Schema Design and Development</w:t>
            </w:r>
            <w:r>
              <w:rPr>
                <w:noProof/>
                <w:webHidden/>
              </w:rPr>
              <w:tab/>
            </w:r>
            <w:r>
              <w:rPr>
                <w:noProof/>
                <w:webHidden/>
              </w:rPr>
              <w:fldChar w:fldCharType="begin"/>
            </w:r>
            <w:r>
              <w:rPr>
                <w:noProof/>
                <w:webHidden/>
              </w:rPr>
              <w:instrText xml:space="preserve"> PAGEREF _Toc212491603 \h </w:instrText>
            </w:r>
            <w:r>
              <w:rPr>
                <w:noProof/>
                <w:webHidden/>
              </w:rPr>
            </w:r>
            <w:r>
              <w:rPr>
                <w:noProof/>
                <w:webHidden/>
              </w:rPr>
              <w:fldChar w:fldCharType="separate"/>
            </w:r>
            <w:r>
              <w:rPr>
                <w:noProof/>
                <w:webHidden/>
              </w:rPr>
              <w:t>11</w:t>
            </w:r>
            <w:r>
              <w:rPr>
                <w:noProof/>
                <w:webHidden/>
              </w:rPr>
              <w:fldChar w:fldCharType="end"/>
            </w:r>
          </w:hyperlink>
        </w:p>
        <w:p w14:paraId="11542EC4" w14:textId="6C6A073A" w:rsidR="00B268C0" w:rsidRDefault="00B268C0">
          <w:pPr>
            <w:pStyle w:val="TOC3"/>
            <w:tabs>
              <w:tab w:val="right" w:leader="dot" w:pos="9016"/>
            </w:tabs>
            <w:rPr>
              <w:noProof/>
              <w:kern w:val="2"/>
              <w:lang w:eastAsia="en-GB"/>
              <w14:ligatures w14:val="standardContextual"/>
            </w:rPr>
          </w:pPr>
          <w:hyperlink w:anchor="_Toc212491604" w:history="1">
            <w:r w:rsidRPr="00605DB6">
              <w:rPr>
                <w:rStyle w:val="Hyperlink"/>
                <w:rFonts w:ascii="Arial" w:hAnsi="Arial" w:cs="Arial"/>
                <w:b/>
                <w:bCs/>
                <w:noProof/>
              </w:rPr>
              <w:t>2.0 Introduction</w:t>
            </w:r>
            <w:r>
              <w:rPr>
                <w:noProof/>
                <w:webHidden/>
              </w:rPr>
              <w:tab/>
            </w:r>
            <w:r>
              <w:rPr>
                <w:noProof/>
                <w:webHidden/>
              </w:rPr>
              <w:fldChar w:fldCharType="begin"/>
            </w:r>
            <w:r>
              <w:rPr>
                <w:noProof/>
                <w:webHidden/>
              </w:rPr>
              <w:instrText xml:space="preserve"> PAGEREF _Toc212491604 \h </w:instrText>
            </w:r>
            <w:r>
              <w:rPr>
                <w:noProof/>
                <w:webHidden/>
              </w:rPr>
            </w:r>
            <w:r>
              <w:rPr>
                <w:noProof/>
                <w:webHidden/>
              </w:rPr>
              <w:fldChar w:fldCharType="separate"/>
            </w:r>
            <w:r>
              <w:rPr>
                <w:noProof/>
                <w:webHidden/>
              </w:rPr>
              <w:t>11</w:t>
            </w:r>
            <w:r>
              <w:rPr>
                <w:noProof/>
                <w:webHidden/>
              </w:rPr>
              <w:fldChar w:fldCharType="end"/>
            </w:r>
          </w:hyperlink>
        </w:p>
        <w:p w14:paraId="6592CDC6" w14:textId="49447FA1" w:rsidR="00B268C0" w:rsidRDefault="00B268C0">
          <w:pPr>
            <w:pStyle w:val="TOC3"/>
            <w:tabs>
              <w:tab w:val="right" w:leader="dot" w:pos="9016"/>
            </w:tabs>
            <w:rPr>
              <w:noProof/>
              <w:kern w:val="2"/>
              <w:lang w:eastAsia="en-GB"/>
              <w14:ligatures w14:val="standardContextual"/>
            </w:rPr>
          </w:pPr>
          <w:hyperlink w:anchor="_Toc212491605" w:history="1">
            <w:r w:rsidRPr="00605DB6">
              <w:rPr>
                <w:rStyle w:val="Hyperlink"/>
                <w:rFonts w:ascii="Arial" w:hAnsi="Arial" w:cs="Arial"/>
                <w:b/>
                <w:bCs/>
                <w:noProof/>
              </w:rPr>
              <w:t>2.1 Source Systems</w:t>
            </w:r>
            <w:r>
              <w:rPr>
                <w:noProof/>
                <w:webHidden/>
              </w:rPr>
              <w:tab/>
            </w:r>
            <w:r>
              <w:rPr>
                <w:noProof/>
                <w:webHidden/>
              </w:rPr>
              <w:fldChar w:fldCharType="begin"/>
            </w:r>
            <w:r>
              <w:rPr>
                <w:noProof/>
                <w:webHidden/>
              </w:rPr>
              <w:instrText xml:space="preserve"> PAGEREF _Toc212491605 \h </w:instrText>
            </w:r>
            <w:r>
              <w:rPr>
                <w:noProof/>
                <w:webHidden/>
              </w:rPr>
            </w:r>
            <w:r>
              <w:rPr>
                <w:noProof/>
                <w:webHidden/>
              </w:rPr>
              <w:fldChar w:fldCharType="separate"/>
            </w:r>
            <w:r>
              <w:rPr>
                <w:noProof/>
                <w:webHidden/>
              </w:rPr>
              <w:t>11</w:t>
            </w:r>
            <w:r>
              <w:rPr>
                <w:noProof/>
                <w:webHidden/>
              </w:rPr>
              <w:fldChar w:fldCharType="end"/>
            </w:r>
          </w:hyperlink>
        </w:p>
        <w:p w14:paraId="4BED0417" w14:textId="4CBC21DF" w:rsidR="00B268C0" w:rsidRDefault="00B268C0">
          <w:pPr>
            <w:pStyle w:val="TOC3"/>
            <w:tabs>
              <w:tab w:val="right" w:leader="dot" w:pos="9016"/>
            </w:tabs>
            <w:rPr>
              <w:noProof/>
              <w:kern w:val="2"/>
              <w:lang w:eastAsia="en-GB"/>
              <w14:ligatures w14:val="standardContextual"/>
            </w:rPr>
          </w:pPr>
          <w:hyperlink w:anchor="_Toc212491606" w:history="1">
            <w:r w:rsidRPr="00605DB6">
              <w:rPr>
                <w:rStyle w:val="Hyperlink"/>
                <w:rFonts w:ascii="Arial" w:hAnsi="Arial" w:cs="Arial"/>
                <w:b/>
                <w:bCs/>
                <w:noProof/>
              </w:rPr>
              <w:t>2.3 Data Marts</w:t>
            </w:r>
            <w:r>
              <w:rPr>
                <w:noProof/>
                <w:webHidden/>
              </w:rPr>
              <w:tab/>
            </w:r>
            <w:r>
              <w:rPr>
                <w:noProof/>
                <w:webHidden/>
              </w:rPr>
              <w:fldChar w:fldCharType="begin"/>
            </w:r>
            <w:r>
              <w:rPr>
                <w:noProof/>
                <w:webHidden/>
              </w:rPr>
              <w:instrText xml:space="preserve"> PAGEREF _Toc212491606 \h </w:instrText>
            </w:r>
            <w:r>
              <w:rPr>
                <w:noProof/>
                <w:webHidden/>
              </w:rPr>
            </w:r>
            <w:r>
              <w:rPr>
                <w:noProof/>
                <w:webHidden/>
              </w:rPr>
              <w:fldChar w:fldCharType="separate"/>
            </w:r>
            <w:r>
              <w:rPr>
                <w:noProof/>
                <w:webHidden/>
              </w:rPr>
              <w:t>14</w:t>
            </w:r>
            <w:r>
              <w:rPr>
                <w:noProof/>
                <w:webHidden/>
              </w:rPr>
              <w:fldChar w:fldCharType="end"/>
            </w:r>
          </w:hyperlink>
        </w:p>
        <w:p w14:paraId="5EC2B40E" w14:textId="1B440416" w:rsidR="00B268C0" w:rsidRDefault="00B268C0">
          <w:pPr>
            <w:pStyle w:val="TOC3"/>
            <w:tabs>
              <w:tab w:val="right" w:leader="dot" w:pos="9016"/>
            </w:tabs>
            <w:rPr>
              <w:noProof/>
              <w:kern w:val="2"/>
              <w:lang w:eastAsia="en-GB"/>
              <w14:ligatures w14:val="standardContextual"/>
            </w:rPr>
          </w:pPr>
          <w:hyperlink w:anchor="_Toc212491607" w:history="1">
            <w:r w:rsidRPr="00605DB6">
              <w:rPr>
                <w:rStyle w:val="Hyperlink"/>
                <w:rFonts w:ascii="Arial" w:hAnsi="Arial" w:cs="Arial"/>
                <w:b/>
                <w:bCs/>
                <w:noProof/>
              </w:rPr>
              <w:t>2.4 Simplified ETL Plan</w:t>
            </w:r>
            <w:r>
              <w:rPr>
                <w:noProof/>
                <w:webHidden/>
              </w:rPr>
              <w:tab/>
            </w:r>
            <w:r>
              <w:rPr>
                <w:noProof/>
                <w:webHidden/>
              </w:rPr>
              <w:fldChar w:fldCharType="begin"/>
            </w:r>
            <w:r>
              <w:rPr>
                <w:noProof/>
                <w:webHidden/>
              </w:rPr>
              <w:instrText xml:space="preserve"> PAGEREF _Toc212491607 \h </w:instrText>
            </w:r>
            <w:r>
              <w:rPr>
                <w:noProof/>
                <w:webHidden/>
              </w:rPr>
            </w:r>
            <w:r>
              <w:rPr>
                <w:noProof/>
                <w:webHidden/>
              </w:rPr>
              <w:fldChar w:fldCharType="separate"/>
            </w:r>
            <w:r>
              <w:rPr>
                <w:noProof/>
                <w:webHidden/>
              </w:rPr>
              <w:t>17</w:t>
            </w:r>
            <w:r>
              <w:rPr>
                <w:noProof/>
                <w:webHidden/>
              </w:rPr>
              <w:fldChar w:fldCharType="end"/>
            </w:r>
          </w:hyperlink>
        </w:p>
        <w:p w14:paraId="6E8264C9" w14:textId="6DDE14D6" w:rsidR="00B268C0" w:rsidRDefault="00B268C0">
          <w:pPr>
            <w:pStyle w:val="TOC3"/>
            <w:tabs>
              <w:tab w:val="right" w:leader="dot" w:pos="9016"/>
            </w:tabs>
            <w:rPr>
              <w:noProof/>
              <w:kern w:val="2"/>
              <w:lang w:eastAsia="en-GB"/>
              <w14:ligatures w14:val="standardContextual"/>
            </w:rPr>
          </w:pPr>
          <w:hyperlink w:anchor="_Toc212491608" w:history="1">
            <w:r w:rsidRPr="00605DB6">
              <w:rPr>
                <w:rStyle w:val="Hyperlink"/>
                <w:rFonts w:ascii="Arial" w:hAnsi="Arial" w:cs="Arial"/>
                <w:b/>
                <w:bCs/>
                <w:noProof/>
              </w:rPr>
              <w:t>2.5 Data Quality and Governance</w:t>
            </w:r>
            <w:r>
              <w:rPr>
                <w:noProof/>
                <w:webHidden/>
              </w:rPr>
              <w:tab/>
            </w:r>
            <w:r>
              <w:rPr>
                <w:noProof/>
                <w:webHidden/>
              </w:rPr>
              <w:fldChar w:fldCharType="begin"/>
            </w:r>
            <w:r>
              <w:rPr>
                <w:noProof/>
                <w:webHidden/>
              </w:rPr>
              <w:instrText xml:space="preserve"> PAGEREF _Toc212491608 \h </w:instrText>
            </w:r>
            <w:r>
              <w:rPr>
                <w:noProof/>
                <w:webHidden/>
              </w:rPr>
            </w:r>
            <w:r>
              <w:rPr>
                <w:noProof/>
                <w:webHidden/>
              </w:rPr>
              <w:fldChar w:fldCharType="separate"/>
            </w:r>
            <w:r>
              <w:rPr>
                <w:noProof/>
                <w:webHidden/>
              </w:rPr>
              <w:t>18</w:t>
            </w:r>
            <w:r>
              <w:rPr>
                <w:noProof/>
                <w:webHidden/>
              </w:rPr>
              <w:fldChar w:fldCharType="end"/>
            </w:r>
          </w:hyperlink>
        </w:p>
        <w:p w14:paraId="1B615BD9" w14:textId="4E8E5E37" w:rsidR="00B268C0" w:rsidRDefault="00B268C0">
          <w:pPr>
            <w:pStyle w:val="TOC3"/>
            <w:tabs>
              <w:tab w:val="right" w:leader="dot" w:pos="9016"/>
            </w:tabs>
            <w:rPr>
              <w:noProof/>
              <w:kern w:val="2"/>
              <w:lang w:eastAsia="en-GB"/>
              <w14:ligatures w14:val="standardContextual"/>
            </w:rPr>
          </w:pPr>
          <w:hyperlink w:anchor="_Toc212491609" w:history="1">
            <w:r w:rsidRPr="00605DB6">
              <w:rPr>
                <w:rStyle w:val="Hyperlink"/>
                <w:rFonts w:ascii="Arial" w:hAnsi="Arial" w:cs="Arial"/>
                <w:b/>
                <w:bCs/>
                <w:noProof/>
              </w:rPr>
              <w:t>2.6 Conclusion</w:t>
            </w:r>
            <w:r>
              <w:rPr>
                <w:noProof/>
                <w:webHidden/>
              </w:rPr>
              <w:tab/>
            </w:r>
            <w:r>
              <w:rPr>
                <w:noProof/>
                <w:webHidden/>
              </w:rPr>
              <w:fldChar w:fldCharType="begin"/>
            </w:r>
            <w:r>
              <w:rPr>
                <w:noProof/>
                <w:webHidden/>
              </w:rPr>
              <w:instrText xml:space="preserve"> PAGEREF _Toc212491609 \h </w:instrText>
            </w:r>
            <w:r>
              <w:rPr>
                <w:noProof/>
                <w:webHidden/>
              </w:rPr>
            </w:r>
            <w:r>
              <w:rPr>
                <w:noProof/>
                <w:webHidden/>
              </w:rPr>
              <w:fldChar w:fldCharType="separate"/>
            </w:r>
            <w:r>
              <w:rPr>
                <w:noProof/>
                <w:webHidden/>
              </w:rPr>
              <w:t>19</w:t>
            </w:r>
            <w:r>
              <w:rPr>
                <w:noProof/>
                <w:webHidden/>
              </w:rPr>
              <w:fldChar w:fldCharType="end"/>
            </w:r>
          </w:hyperlink>
        </w:p>
        <w:p w14:paraId="010D4BCF" w14:textId="00505D3D" w:rsidR="00B268C0" w:rsidRDefault="00B268C0">
          <w:pPr>
            <w:pStyle w:val="TOC1"/>
            <w:tabs>
              <w:tab w:val="right" w:leader="dot" w:pos="9016"/>
            </w:tabs>
            <w:rPr>
              <w:noProof/>
              <w:kern w:val="2"/>
              <w:lang w:eastAsia="en-GB"/>
              <w14:ligatures w14:val="standardContextual"/>
            </w:rPr>
          </w:pPr>
          <w:hyperlink w:anchor="_Toc212491610" w:history="1">
            <w:r w:rsidRPr="00605DB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_Toc212491610 \h </w:instrText>
            </w:r>
            <w:r>
              <w:rPr>
                <w:noProof/>
                <w:webHidden/>
              </w:rPr>
            </w:r>
            <w:r>
              <w:rPr>
                <w:noProof/>
                <w:webHidden/>
              </w:rPr>
              <w:fldChar w:fldCharType="separate"/>
            </w:r>
            <w:r>
              <w:rPr>
                <w:noProof/>
                <w:webHidden/>
              </w:rPr>
              <w:t>19</w:t>
            </w:r>
            <w:r>
              <w:rPr>
                <w:noProof/>
                <w:webHidden/>
              </w:rPr>
              <w:fldChar w:fldCharType="end"/>
            </w:r>
          </w:hyperlink>
        </w:p>
        <w:p w14:paraId="123459B2" w14:textId="7621EB9C" w:rsidR="00D43A61" w:rsidRPr="006E55EC" w:rsidRDefault="00D43A61" w:rsidP="007A1339">
          <w:pPr>
            <w:spacing w:line="360" w:lineRule="auto"/>
            <w:jc w:val="both"/>
            <w:rPr>
              <w:rFonts w:ascii="Arial" w:hAnsi="Arial" w:cs="Arial"/>
              <w:color w:val="000000" w:themeColor="text1"/>
            </w:rPr>
          </w:pPr>
          <w:r w:rsidRPr="006E55EC">
            <w:rPr>
              <w:rFonts w:ascii="Arial" w:hAnsi="Arial" w:cs="Arial"/>
              <w:b/>
              <w:bCs/>
              <w:color w:val="000000" w:themeColor="text1"/>
            </w:rPr>
            <w:fldChar w:fldCharType="end"/>
          </w:r>
        </w:p>
      </w:sdtContent>
    </w:sdt>
    <w:p w14:paraId="5FF0FE6A" w14:textId="77777777" w:rsidR="00D96623" w:rsidRPr="006E55EC" w:rsidRDefault="00D96623" w:rsidP="007A1339">
      <w:pPr>
        <w:spacing w:line="360" w:lineRule="auto"/>
        <w:jc w:val="both"/>
        <w:rPr>
          <w:rFonts w:ascii="Arial" w:hAnsi="Arial" w:cs="Arial"/>
          <w:color w:val="000000" w:themeColor="text1"/>
        </w:rPr>
      </w:pPr>
    </w:p>
    <w:p w14:paraId="05F1FF9A" w14:textId="77777777" w:rsidR="00F346F7" w:rsidRPr="006E55EC" w:rsidRDefault="00F346F7" w:rsidP="007A1339">
      <w:pPr>
        <w:spacing w:line="360" w:lineRule="auto"/>
        <w:jc w:val="both"/>
        <w:rPr>
          <w:rFonts w:ascii="Arial" w:hAnsi="Arial" w:cs="Arial"/>
          <w:color w:val="000000" w:themeColor="text1"/>
        </w:rPr>
      </w:pPr>
    </w:p>
    <w:p w14:paraId="59DF5A71" w14:textId="77777777" w:rsidR="00F346F7" w:rsidRPr="006E55EC" w:rsidRDefault="00F346F7" w:rsidP="007A1339">
      <w:pPr>
        <w:spacing w:line="360" w:lineRule="auto"/>
        <w:jc w:val="both"/>
        <w:rPr>
          <w:rFonts w:ascii="Arial" w:hAnsi="Arial" w:cs="Arial"/>
          <w:color w:val="000000" w:themeColor="text1"/>
        </w:rPr>
      </w:pPr>
    </w:p>
    <w:p w14:paraId="7F99AACD" w14:textId="77777777" w:rsidR="00F346F7" w:rsidRPr="006E55EC" w:rsidRDefault="00F346F7" w:rsidP="007A1339">
      <w:pPr>
        <w:spacing w:line="360" w:lineRule="auto"/>
        <w:jc w:val="both"/>
        <w:rPr>
          <w:rFonts w:ascii="Arial" w:hAnsi="Arial" w:cs="Arial"/>
          <w:color w:val="000000" w:themeColor="text1"/>
        </w:rPr>
      </w:pPr>
    </w:p>
    <w:p w14:paraId="71753A17" w14:textId="77777777" w:rsidR="00F346F7" w:rsidRPr="006E55EC" w:rsidRDefault="00F346F7" w:rsidP="007A1339">
      <w:pPr>
        <w:spacing w:line="360" w:lineRule="auto"/>
        <w:jc w:val="both"/>
        <w:rPr>
          <w:rFonts w:ascii="Arial" w:hAnsi="Arial" w:cs="Arial"/>
          <w:color w:val="000000" w:themeColor="text1"/>
        </w:rPr>
      </w:pPr>
    </w:p>
    <w:p w14:paraId="44E4B627" w14:textId="77777777" w:rsidR="00F346F7" w:rsidRPr="006E55EC" w:rsidRDefault="00F346F7" w:rsidP="007A1339">
      <w:pPr>
        <w:spacing w:line="360" w:lineRule="auto"/>
        <w:jc w:val="both"/>
        <w:rPr>
          <w:rFonts w:ascii="Arial" w:hAnsi="Arial" w:cs="Arial"/>
          <w:color w:val="000000" w:themeColor="text1"/>
        </w:rPr>
      </w:pPr>
    </w:p>
    <w:p w14:paraId="714EE440" w14:textId="77777777" w:rsidR="00F346F7" w:rsidRPr="006E55EC" w:rsidRDefault="00F346F7" w:rsidP="007A1339">
      <w:pPr>
        <w:spacing w:line="360" w:lineRule="auto"/>
        <w:jc w:val="both"/>
        <w:rPr>
          <w:rFonts w:ascii="Arial" w:hAnsi="Arial" w:cs="Arial"/>
          <w:color w:val="000000" w:themeColor="text1"/>
        </w:rPr>
      </w:pPr>
    </w:p>
    <w:p w14:paraId="01BB9483" w14:textId="77777777" w:rsidR="00F346F7" w:rsidRPr="006E55EC" w:rsidRDefault="00F346F7" w:rsidP="007A1339">
      <w:pPr>
        <w:spacing w:line="360" w:lineRule="auto"/>
        <w:jc w:val="both"/>
        <w:rPr>
          <w:rFonts w:ascii="Arial" w:hAnsi="Arial" w:cs="Arial"/>
          <w:color w:val="000000" w:themeColor="text1"/>
        </w:rPr>
      </w:pPr>
    </w:p>
    <w:p w14:paraId="4CF9B16E" w14:textId="77777777" w:rsidR="00502895" w:rsidRPr="006E55EC" w:rsidRDefault="00502895" w:rsidP="007A1339">
      <w:pPr>
        <w:spacing w:line="360" w:lineRule="auto"/>
        <w:jc w:val="both"/>
        <w:rPr>
          <w:rFonts w:ascii="Arial" w:hAnsi="Arial" w:cs="Arial"/>
          <w:color w:val="000000" w:themeColor="text1"/>
        </w:rPr>
      </w:pPr>
    </w:p>
    <w:p w14:paraId="2ADAB0DF" w14:textId="77777777" w:rsidR="00F346F7" w:rsidRPr="006E55EC" w:rsidRDefault="00F346F7" w:rsidP="007A1339">
      <w:pPr>
        <w:spacing w:line="360" w:lineRule="auto"/>
        <w:jc w:val="both"/>
        <w:rPr>
          <w:rFonts w:ascii="Arial" w:hAnsi="Arial" w:cs="Arial"/>
          <w:color w:val="000000" w:themeColor="text1"/>
        </w:rPr>
      </w:pPr>
    </w:p>
    <w:p w14:paraId="1FFE8E6A" w14:textId="77777777" w:rsidR="008E504B" w:rsidRPr="0087099F" w:rsidRDefault="008E504B" w:rsidP="004313D0">
      <w:pPr>
        <w:pStyle w:val="Heading2"/>
        <w:rPr>
          <w:rFonts w:ascii="Arial" w:hAnsi="Arial" w:cs="Arial"/>
          <w:b/>
          <w:bCs/>
          <w:color w:val="000000" w:themeColor="text1"/>
          <w:sz w:val="28"/>
          <w:szCs w:val="28"/>
        </w:rPr>
      </w:pPr>
      <w:bookmarkStart w:id="0" w:name="_Toc212491596"/>
      <w:r w:rsidRPr="0087099F">
        <w:rPr>
          <w:rFonts w:ascii="Arial" w:hAnsi="Arial" w:cs="Arial"/>
          <w:b/>
          <w:bCs/>
          <w:color w:val="000000" w:themeColor="text1"/>
          <w:sz w:val="28"/>
          <w:szCs w:val="28"/>
        </w:rPr>
        <w:lastRenderedPageBreak/>
        <w:t>Task 1: Data Warehousing Concepts and Benefits</w:t>
      </w:r>
      <w:bookmarkEnd w:id="0"/>
    </w:p>
    <w:p w14:paraId="28F06434" w14:textId="77777777" w:rsidR="00502895" w:rsidRPr="006E55EC" w:rsidRDefault="00502895" w:rsidP="007A1339">
      <w:pPr>
        <w:spacing w:line="360" w:lineRule="auto"/>
        <w:jc w:val="both"/>
        <w:rPr>
          <w:rFonts w:ascii="Arial" w:hAnsi="Arial" w:cs="Arial"/>
          <w:color w:val="000000" w:themeColor="text1"/>
        </w:rPr>
      </w:pPr>
    </w:p>
    <w:p w14:paraId="34743C8E" w14:textId="6CCE569B" w:rsidR="008E504B" w:rsidRPr="0087099F" w:rsidRDefault="00876DD8" w:rsidP="006E55EC">
      <w:pPr>
        <w:pStyle w:val="Heading3"/>
        <w:rPr>
          <w:rFonts w:ascii="Arial" w:hAnsi="Arial" w:cs="Arial"/>
          <w:b/>
          <w:bCs/>
          <w:color w:val="000000" w:themeColor="text1"/>
          <w:sz w:val="26"/>
          <w:szCs w:val="26"/>
        </w:rPr>
      </w:pPr>
      <w:bookmarkStart w:id="1" w:name="_Toc212491597"/>
      <w:r>
        <w:rPr>
          <w:rFonts w:ascii="Arial" w:hAnsi="Arial" w:cs="Arial"/>
          <w:b/>
          <w:bCs/>
          <w:color w:val="000000" w:themeColor="text1"/>
          <w:sz w:val="26"/>
          <w:szCs w:val="26"/>
        </w:rPr>
        <w:t xml:space="preserve">1.0 </w:t>
      </w:r>
      <w:r w:rsidR="008E504B" w:rsidRPr="0087099F">
        <w:rPr>
          <w:rFonts w:ascii="Arial" w:hAnsi="Arial" w:cs="Arial"/>
          <w:b/>
          <w:bCs/>
          <w:color w:val="000000" w:themeColor="text1"/>
          <w:sz w:val="26"/>
          <w:szCs w:val="26"/>
        </w:rPr>
        <w:t>Introduction</w:t>
      </w:r>
      <w:bookmarkEnd w:id="1"/>
    </w:p>
    <w:p w14:paraId="1023326C" w14:textId="01A474DD" w:rsidR="00722665" w:rsidRPr="004E1A0E" w:rsidRDefault="008E504B" w:rsidP="007A1339">
      <w:pPr>
        <w:spacing w:line="360" w:lineRule="auto"/>
        <w:jc w:val="both"/>
        <w:rPr>
          <w:rFonts w:ascii="Arial" w:hAnsi="Arial" w:cs="Arial"/>
          <w:color w:val="000000" w:themeColor="text1"/>
        </w:rPr>
      </w:pPr>
      <w:r w:rsidRPr="006E55EC">
        <w:rPr>
          <w:rFonts w:ascii="Arial" w:hAnsi="Arial" w:cs="Arial"/>
          <w:color w:val="000000" w:themeColor="text1"/>
        </w:rPr>
        <w:t>Rags’n’Riches Ltd is a multi-site rental business supplying costumes and props to theatre and film, with six UK warehouses, diverse rental schemes, and complex logistics involving internal stock movements, staggered deliveries, and emergency surcharges. Anticipating demand growth, the board needs a data-driven operating model. This report explains how a data warehouse complements the existing OLTP systems to integrate orders, inventory, transport, and finance; outlines the data warehouse architecture and ETL approach; shows how department-specific data marts serve decision-makers; and contrasts OLTP’s normalised structures with dimensional modelling. The goal is faster, more reliable insight for profitability, capacity planning, and growth.</w:t>
      </w:r>
    </w:p>
    <w:p w14:paraId="5C95912E" w14:textId="017E1EDE" w:rsidR="008E504B" w:rsidRPr="00A23B06" w:rsidRDefault="008D0C77" w:rsidP="006E55EC">
      <w:pPr>
        <w:pStyle w:val="Heading3"/>
        <w:rPr>
          <w:rFonts w:ascii="Arial" w:hAnsi="Arial" w:cs="Arial"/>
          <w:b/>
          <w:bCs/>
          <w:color w:val="000000" w:themeColor="text1"/>
          <w:sz w:val="26"/>
          <w:szCs w:val="26"/>
        </w:rPr>
      </w:pPr>
      <w:bookmarkStart w:id="2" w:name="_Toc212491598"/>
      <w:r>
        <w:rPr>
          <w:rFonts w:ascii="Arial" w:hAnsi="Arial" w:cs="Arial"/>
          <w:b/>
          <w:bCs/>
          <w:color w:val="000000" w:themeColor="text1"/>
          <w:sz w:val="26"/>
          <w:szCs w:val="26"/>
        </w:rPr>
        <w:t xml:space="preserve">1.1 </w:t>
      </w:r>
      <w:r w:rsidR="008E504B" w:rsidRPr="00A23B06">
        <w:rPr>
          <w:rFonts w:ascii="Arial" w:hAnsi="Arial" w:cs="Arial"/>
          <w:b/>
          <w:bCs/>
          <w:color w:val="000000" w:themeColor="text1"/>
          <w:sz w:val="26"/>
          <w:szCs w:val="26"/>
        </w:rPr>
        <w:t>OLTP vs Data Warehouse</w:t>
      </w:r>
      <w:bookmarkEnd w:id="2"/>
    </w:p>
    <w:p w14:paraId="4C1F5DF4" w14:textId="2F915699" w:rsidR="001929F3" w:rsidRPr="001929F3" w:rsidRDefault="001929F3" w:rsidP="001929F3">
      <w:pPr>
        <w:spacing w:line="360" w:lineRule="auto"/>
        <w:jc w:val="both"/>
        <w:rPr>
          <w:rFonts w:ascii="Arial" w:hAnsi="Arial" w:cs="Arial"/>
          <w:color w:val="000000" w:themeColor="text1"/>
        </w:rPr>
      </w:pPr>
      <w:r w:rsidRPr="001929F3">
        <w:rPr>
          <w:rFonts w:ascii="Arial" w:hAnsi="Arial" w:cs="Arial"/>
          <w:color w:val="000000" w:themeColor="text1"/>
        </w:rPr>
        <w:t>An Online Transaction Processing (OLTP) system is a database designed to record and manage individual business transactions in real time</w:t>
      </w:r>
      <w:r w:rsidR="00F30ECD">
        <w:rPr>
          <w:rFonts w:ascii="Arial" w:hAnsi="Arial" w:cs="Arial"/>
          <w:color w:val="000000" w:themeColor="text1"/>
        </w:rPr>
        <w:t xml:space="preserve"> </w:t>
      </w:r>
      <w:r w:rsidR="00DB4FFB">
        <w:rPr>
          <w:rFonts w:ascii="Arial" w:hAnsi="Arial" w:cs="Arial"/>
          <w:color w:val="000000" w:themeColor="text1"/>
        </w:rPr>
        <w:t>[1]</w:t>
      </w:r>
      <w:r w:rsidRPr="001929F3">
        <w:rPr>
          <w:rFonts w:ascii="Arial" w:hAnsi="Arial" w:cs="Arial"/>
          <w:color w:val="000000" w:themeColor="text1"/>
        </w:rPr>
        <w:t>. It supports day-to-day operations where speed, accuracy, and data consistency are essential. It records events such as new orders, deliveries, returns, and payments, ensuring that data is always current and reliable. The database is organised into multiple related tables (a normalised structure) to avoid duplication and make updates quick</w:t>
      </w:r>
      <w:r w:rsidR="00BD35C9">
        <w:rPr>
          <w:rFonts w:ascii="Arial" w:hAnsi="Arial" w:cs="Arial"/>
          <w:color w:val="000000" w:themeColor="text1"/>
        </w:rPr>
        <w:t xml:space="preserve"> [1]</w:t>
      </w:r>
      <w:r w:rsidRPr="001929F3">
        <w:rPr>
          <w:rFonts w:ascii="Arial" w:hAnsi="Arial" w:cs="Arial"/>
          <w:color w:val="000000" w:themeColor="text1"/>
        </w:rPr>
        <w:t>. This model is ideal for operational efficiency but offers little flexibility for analysis. When managers need to compare sales performance, identify seasonal trends, or calculate margins, the system cannot easily provide those insights without affecting its performance</w:t>
      </w:r>
      <w:r w:rsidR="00BD35C9">
        <w:rPr>
          <w:rFonts w:ascii="Arial" w:hAnsi="Arial" w:cs="Arial"/>
          <w:color w:val="000000" w:themeColor="text1"/>
        </w:rPr>
        <w:t xml:space="preserve"> [1]</w:t>
      </w:r>
      <w:r w:rsidRPr="001929F3">
        <w:rPr>
          <w:rFonts w:ascii="Arial" w:hAnsi="Arial" w:cs="Arial"/>
          <w:color w:val="000000" w:themeColor="text1"/>
        </w:rPr>
        <w:t>.</w:t>
      </w:r>
    </w:p>
    <w:p w14:paraId="002F3E3E" w14:textId="490685A3" w:rsidR="008B5912" w:rsidRPr="008B5912" w:rsidRDefault="001929F3" w:rsidP="008B5912">
      <w:pPr>
        <w:spacing w:line="360" w:lineRule="auto"/>
        <w:jc w:val="both"/>
        <w:rPr>
          <w:rFonts w:ascii="Arial" w:hAnsi="Arial" w:cs="Arial"/>
          <w:color w:val="000000" w:themeColor="text1"/>
        </w:rPr>
      </w:pPr>
      <w:r w:rsidRPr="001929F3">
        <w:rPr>
          <w:rFonts w:ascii="Arial" w:hAnsi="Arial" w:cs="Arial"/>
          <w:color w:val="000000" w:themeColor="text1"/>
        </w:rPr>
        <w:t>By contrast, a Data Warehouse, often called an Online Analytical Processing (OLAP) system, stores data that has been collected, cleaned, and integrated from several OLTP sources</w:t>
      </w:r>
      <w:r w:rsidR="00507077">
        <w:rPr>
          <w:rFonts w:ascii="Arial" w:hAnsi="Arial" w:cs="Arial"/>
          <w:color w:val="000000" w:themeColor="text1"/>
        </w:rPr>
        <w:t xml:space="preserve"> [2]</w:t>
      </w:r>
      <w:r w:rsidRPr="001929F3">
        <w:rPr>
          <w:rFonts w:ascii="Arial" w:hAnsi="Arial" w:cs="Arial"/>
          <w:color w:val="000000" w:themeColor="text1"/>
        </w:rPr>
        <w:t>. Its structure is denormalised to enable fast analytical queries on large volumes of historical data. It allows the company to identify long-term patterns and relationships instead of handling transactions</w:t>
      </w:r>
      <w:r w:rsidR="000D6EA2">
        <w:rPr>
          <w:rFonts w:ascii="Arial" w:hAnsi="Arial" w:cs="Arial"/>
          <w:color w:val="000000" w:themeColor="text1"/>
        </w:rPr>
        <w:t xml:space="preserve"> [2]</w:t>
      </w:r>
      <w:r w:rsidRPr="001929F3">
        <w:rPr>
          <w:rFonts w:ascii="Arial" w:hAnsi="Arial" w:cs="Arial"/>
          <w:color w:val="000000" w:themeColor="text1"/>
        </w:rPr>
        <w:t xml:space="preserve">. For Rags’n’Riches, this means tracking which rental schemes generate the highest profit, how often certain warehouses handle urgent orders, and how delivery costs vary across regions. A data warehouse does not replace the operational system but complements it by moving the </w:t>
      </w:r>
      <w:r w:rsidRPr="001929F3">
        <w:rPr>
          <w:rFonts w:ascii="Arial" w:hAnsi="Arial" w:cs="Arial"/>
          <w:color w:val="000000" w:themeColor="text1"/>
        </w:rPr>
        <w:lastRenderedPageBreak/>
        <w:t>analytical workload away from daily operations. The OLTP continues to run the business; the Data Warehouse helps management understand and improve it</w:t>
      </w:r>
      <w:r w:rsidR="000D6EA2">
        <w:rPr>
          <w:rFonts w:ascii="Arial" w:hAnsi="Arial" w:cs="Arial"/>
          <w:color w:val="000000" w:themeColor="text1"/>
        </w:rPr>
        <w:t xml:space="preserve"> [2]</w:t>
      </w:r>
      <w:r w:rsidRPr="001929F3">
        <w:rPr>
          <w:rFonts w:ascii="Arial" w:hAnsi="Arial" w:cs="Arial"/>
          <w:color w:val="000000" w:themeColor="text1"/>
        </w:rPr>
        <w:t>.</w:t>
      </w:r>
    </w:p>
    <w:p w14:paraId="2D9E067B" w14:textId="146A972E" w:rsidR="008E504B" w:rsidRPr="00F01F24" w:rsidRDefault="008D0C77" w:rsidP="00F01F24">
      <w:pPr>
        <w:pStyle w:val="Heading3"/>
        <w:rPr>
          <w:rFonts w:ascii="Arial" w:hAnsi="Arial" w:cs="Arial"/>
          <w:sz w:val="20"/>
          <w:szCs w:val="20"/>
        </w:rPr>
      </w:pPr>
      <w:bookmarkStart w:id="3" w:name="_Toc212491599"/>
      <w:r>
        <w:rPr>
          <w:rFonts w:ascii="Arial" w:hAnsi="Arial" w:cs="Arial"/>
          <w:b/>
          <w:bCs/>
          <w:color w:val="000000" w:themeColor="text1"/>
          <w:sz w:val="26"/>
          <w:szCs w:val="26"/>
        </w:rPr>
        <w:t xml:space="preserve">1.2 </w:t>
      </w:r>
      <w:r w:rsidR="008E504B" w:rsidRPr="00A56B80">
        <w:rPr>
          <w:rFonts w:ascii="Arial" w:hAnsi="Arial" w:cs="Arial"/>
          <w:b/>
          <w:bCs/>
          <w:color w:val="000000" w:themeColor="text1"/>
          <w:sz w:val="26"/>
          <w:szCs w:val="26"/>
        </w:rPr>
        <w:t>Data Warehouse Architecture and ETL</w:t>
      </w:r>
      <w:bookmarkEnd w:id="3"/>
    </w:p>
    <w:p w14:paraId="76E418ED" w14:textId="2FA9ACBF" w:rsidR="001F0AD1" w:rsidRDefault="001F0AD1" w:rsidP="001F0AD1">
      <w:pPr>
        <w:spacing w:line="360" w:lineRule="auto"/>
        <w:jc w:val="both"/>
        <w:rPr>
          <w:rFonts w:ascii="Arial" w:hAnsi="Arial" w:cs="Arial"/>
          <w:color w:val="000000" w:themeColor="text1"/>
        </w:rPr>
      </w:pPr>
      <w:r w:rsidRPr="001F3B0E">
        <w:rPr>
          <w:rFonts w:ascii="Arial" w:hAnsi="Arial" w:cs="Arial"/>
          <w:color w:val="000000" w:themeColor="text1"/>
        </w:rPr>
        <w:t xml:space="preserve">A data warehouse collects and organises information from every relevant system into a consistent analytical structure. The overall architecture of the proposed data warehouse for </w:t>
      </w:r>
      <w:proofErr w:type="spellStart"/>
      <w:r w:rsidRPr="001F3B0E">
        <w:rPr>
          <w:rFonts w:ascii="Arial" w:hAnsi="Arial" w:cs="Arial"/>
          <w:color w:val="000000" w:themeColor="text1"/>
        </w:rPr>
        <w:t>Rags’n’Riches</w:t>
      </w:r>
      <w:proofErr w:type="spellEnd"/>
      <w:r w:rsidRPr="001F3B0E">
        <w:rPr>
          <w:rFonts w:ascii="Arial" w:hAnsi="Arial" w:cs="Arial"/>
          <w:color w:val="000000" w:themeColor="text1"/>
        </w:rPr>
        <w:t xml:space="preserve"> is shown in Figure 1</w:t>
      </w:r>
      <w:r w:rsidR="00722FAF">
        <w:rPr>
          <w:rFonts w:ascii="Arial" w:hAnsi="Arial" w:cs="Arial"/>
          <w:color w:val="000000" w:themeColor="text1"/>
        </w:rPr>
        <w:t xml:space="preserve"> [3]</w:t>
      </w:r>
      <w:r w:rsidRPr="001F3B0E">
        <w:rPr>
          <w:rFonts w:ascii="Arial" w:hAnsi="Arial" w:cs="Arial"/>
          <w:color w:val="000000" w:themeColor="text1"/>
        </w:rPr>
        <w:t>.</w:t>
      </w:r>
    </w:p>
    <w:p w14:paraId="213C2344" w14:textId="77777777" w:rsidR="00741626" w:rsidRPr="001F3B0E" w:rsidRDefault="00741626" w:rsidP="001F0AD1">
      <w:pPr>
        <w:spacing w:line="360" w:lineRule="auto"/>
        <w:jc w:val="both"/>
        <w:rPr>
          <w:rFonts w:ascii="Arial" w:hAnsi="Arial" w:cs="Arial"/>
          <w:color w:val="000000" w:themeColor="text1"/>
        </w:rPr>
      </w:pPr>
    </w:p>
    <w:p w14:paraId="79148E03" w14:textId="41A7A9B1" w:rsidR="00407C76" w:rsidRPr="00CA5C24" w:rsidRDefault="00847DDC" w:rsidP="00407C76">
      <w:pPr>
        <w:rPr>
          <w:rFonts w:eastAsiaTheme="majorEastAsia" w:cstheme="majorBidi"/>
          <w:color w:val="0F4761" w:themeColor="accent1" w:themeShade="BF"/>
        </w:rPr>
      </w:pPr>
      <w:r>
        <w:rPr>
          <w:rFonts w:eastAsiaTheme="majorEastAsia" w:cstheme="majorBidi"/>
          <w:noProof/>
          <w:color w:val="0F4761" w:themeColor="accent1" w:themeShade="BF"/>
          <w14:ligatures w14:val="standardContextual"/>
        </w:rPr>
        <w:drawing>
          <wp:inline distT="0" distB="0" distL="0" distR="0" wp14:anchorId="5825CA3C" wp14:editId="766D8DDC">
            <wp:extent cx="5731510" cy="2859405"/>
            <wp:effectExtent l="0" t="0" r="2540" b="0"/>
            <wp:docPr id="345385846" name="Picture 1" descr="A diagram of data ware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85846" name="Picture 1" descr="A diagram of data warehous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2859405"/>
                    </a:xfrm>
                    <a:prstGeom prst="rect">
                      <a:avLst/>
                    </a:prstGeom>
                  </pic:spPr>
                </pic:pic>
              </a:graphicData>
            </a:graphic>
          </wp:inline>
        </w:drawing>
      </w:r>
    </w:p>
    <w:p w14:paraId="2498EF72" w14:textId="742420CD" w:rsidR="00407C76" w:rsidRDefault="00407C76" w:rsidP="00407C76">
      <w:pPr>
        <w:spacing w:after="200" w:line="240" w:lineRule="auto"/>
        <w:rPr>
          <w:rFonts w:ascii="Arial" w:hAnsi="Arial" w:cs="Arial"/>
          <w:i/>
          <w:iCs/>
          <w:color w:val="0E2841" w:themeColor="text2"/>
          <w:sz w:val="20"/>
          <w:szCs w:val="20"/>
        </w:rPr>
      </w:pPr>
      <w:r w:rsidRPr="00CA5C24">
        <w:rPr>
          <w:rFonts w:ascii="Arial" w:hAnsi="Arial" w:cs="Arial"/>
          <w:i/>
          <w:iCs/>
          <w:color w:val="0E2841" w:themeColor="text2"/>
          <w:sz w:val="20"/>
          <w:szCs w:val="20"/>
        </w:rPr>
        <w:t xml:space="preserve">Figure </w:t>
      </w:r>
      <w:r w:rsidR="005E1D24">
        <w:rPr>
          <w:rFonts w:ascii="Arial" w:hAnsi="Arial" w:cs="Arial"/>
          <w:i/>
          <w:iCs/>
          <w:color w:val="0E2841" w:themeColor="text2"/>
          <w:sz w:val="20"/>
          <w:szCs w:val="20"/>
        </w:rPr>
        <w:fldChar w:fldCharType="begin"/>
      </w:r>
      <w:r w:rsidR="005E1D24">
        <w:rPr>
          <w:rFonts w:ascii="Arial" w:hAnsi="Arial" w:cs="Arial"/>
          <w:i/>
          <w:iCs/>
          <w:color w:val="0E2841" w:themeColor="text2"/>
          <w:sz w:val="20"/>
          <w:szCs w:val="20"/>
        </w:rPr>
        <w:instrText xml:space="preserve"> SEQ Figure \* ARABIC </w:instrText>
      </w:r>
      <w:r w:rsidR="005E1D24">
        <w:rPr>
          <w:rFonts w:ascii="Arial" w:hAnsi="Arial" w:cs="Arial"/>
          <w:i/>
          <w:iCs/>
          <w:color w:val="0E2841" w:themeColor="text2"/>
          <w:sz w:val="20"/>
          <w:szCs w:val="20"/>
        </w:rPr>
        <w:fldChar w:fldCharType="separate"/>
      </w:r>
      <w:r w:rsidR="005E1D24">
        <w:rPr>
          <w:rFonts w:ascii="Arial" w:hAnsi="Arial" w:cs="Arial"/>
          <w:i/>
          <w:iCs/>
          <w:noProof/>
          <w:color w:val="0E2841" w:themeColor="text2"/>
          <w:sz w:val="20"/>
          <w:szCs w:val="20"/>
        </w:rPr>
        <w:t>1</w:t>
      </w:r>
      <w:r w:rsidR="005E1D24">
        <w:rPr>
          <w:rFonts w:ascii="Arial" w:hAnsi="Arial" w:cs="Arial"/>
          <w:i/>
          <w:iCs/>
          <w:color w:val="0E2841" w:themeColor="text2"/>
          <w:sz w:val="20"/>
          <w:szCs w:val="20"/>
        </w:rPr>
        <w:fldChar w:fldCharType="end"/>
      </w:r>
      <w:r w:rsidRPr="00CA5C24">
        <w:rPr>
          <w:rFonts w:ascii="Arial" w:hAnsi="Arial" w:cs="Arial"/>
          <w:i/>
          <w:iCs/>
          <w:color w:val="0E2841" w:themeColor="text2"/>
          <w:sz w:val="20"/>
          <w:szCs w:val="20"/>
        </w:rPr>
        <w:t>.</w:t>
      </w:r>
      <w:r w:rsidRPr="00CA5C24">
        <w:rPr>
          <w:rFonts w:ascii="Arial" w:eastAsia="Times New Roman" w:hAnsi="Arial" w:cs="Arial"/>
          <w:i/>
          <w:iCs/>
          <w:color w:val="0E2841" w:themeColor="text2"/>
          <w:sz w:val="20"/>
          <w:szCs w:val="20"/>
          <w:lang w:eastAsia="en-GB"/>
        </w:rPr>
        <w:t xml:space="preserve"> </w:t>
      </w:r>
      <w:r w:rsidRPr="00CA5C24">
        <w:rPr>
          <w:rFonts w:ascii="Arial" w:hAnsi="Arial" w:cs="Arial"/>
          <w:i/>
          <w:iCs/>
          <w:color w:val="0E2841" w:themeColor="text2"/>
          <w:sz w:val="20"/>
          <w:szCs w:val="20"/>
        </w:rPr>
        <w:t>Data Warehouse Architecture and ETL Process</w:t>
      </w:r>
    </w:p>
    <w:p w14:paraId="7849B912" w14:textId="77777777" w:rsidR="00C57015" w:rsidRPr="0000490D" w:rsidRDefault="00C57015" w:rsidP="00407C76">
      <w:pPr>
        <w:spacing w:after="200" w:line="240" w:lineRule="auto"/>
        <w:rPr>
          <w:rFonts w:ascii="Arial" w:hAnsi="Arial" w:cs="Arial"/>
          <w:i/>
          <w:iCs/>
          <w:color w:val="0E2841" w:themeColor="text2"/>
          <w:sz w:val="20"/>
          <w:szCs w:val="20"/>
        </w:rPr>
      </w:pPr>
    </w:p>
    <w:p w14:paraId="60A915F2" w14:textId="77777777" w:rsidR="00F54DE6" w:rsidRDefault="005461F8" w:rsidP="00F54DE6">
      <w:pPr>
        <w:spacing w:line="360" w:lineRule="auto"/>
        <w:jc w:val="both"/>
        <w:rPr>
          <w:rFonts w:ascii="Arial" w:hAnsi="Arial" w:cs="Arial"/>
          <w:color w:val="000000" w:themeColor="text1"/>
        </w:rPr>
      </w:pPr>
      <w:r w:rsidRPr="005461F8">
        <w:rPr>
          <w:rFonts w:ascii="Arial" w:hAnsi="Arial" w:cs="Arial"/>
          <w:color w:val="000000" w:themeColor="text1"/>
        </w:rPr>
        <w:t xml:space="preserve">In a typical enterprise, information comes from different source systems, each designed for a specific operational purpose [4]. A source system can be any application or database that captures daily business transactions. These systems store data in normalised tables to support accuracy and speed, but their separation creates isolated systems. When data from these systems is integrated into a warehouse, it becomes possible to analyse performance across the whole </w:t>
      </w:r>
      <w:r w:rsidR="00F54DE6" w:rsidRPr="005461F8">
        <w:rPr>
          <w:rFonts w:ascii="Arial" w:hAnsi="Arial" w:cs="Arial"/>
          <w:color w:val="000000" w:themeColor="text1"/>
        </w:rPr>
        <w:t>organisation instead of within individual departments</w:t>
      </w:r>
      <w:r w:rsidR="00F54DE6">
        <w:rPr>
          <w:rFonts w:ascii="Arial" w:hAnsi="Arial" w:cs="Arial"/>
          <w:color w:val="000000" w:themeColor="text1"/>
        </w:rPr>
        <w:t xml:space="preserve"> </w:t>
      </w:r>
      <w:r w:rsidR="00F54DE6" w:rsidRPr="005461F8">
        <w:rPr>
          <w:rFonts w:ascii="Arial" w:hAnsi="Arial" w:cs="Arial"/>
          <w:color w:val="000000" w:themeColor="text1"/>
        </w:rPr>
        <w:t>[4].</w:t>
      </w:r>
    </w:p>
    <w:p w14:paraId="5D298E8F" w14:textId="1E4EE3A3" w:rsidR="00F54DE6" w:rsidRDefault="005461F8" w:rsidP="00B2210D">
      <w:pPr>
        <w:spacing w:line="360" w:lineRule="auto"/>
        <w:jc w:val="both"/>
        <w:rPr>
          <w:rFonts w:ascii="Arial" w:hAnsi="Arial" w:cs="Arial"/>
          <w:color w:val="000000" w:themeColor="text1"/>
        </w:rPr>
      </w:pPr>
      <w:r w:rsidRPr="005461F8">
        <w:rPr>
          <w:rFonts w:ascii="Arial" w:hAnsi="Arial" w:cs="Arial"/>
          <w:color w:val="000000" w:themeColor="text1"/>
        </w:rPr>
        <w:t xml:space="preserve">Data sources are divided into internal and external categories. For </w:t>
      </w:r>
      <w:proofErr w:type="spellStart"/>
      <w:r w:rsidRPr="005461F8">
        <w:rPr>
          <w:rFonts w:ascii="Arial" w:hAnsi="Arial" w:cs="Arial"/>
          <w:color w:val="000000" w:themeColor="text1"/>
        </w:rPr>
        <w:t>Rags’n’Riches</w:t>
      </w:r>
      <w:proofErr w:type="spellEnd"/>
      <w:r w:rsidRPr="005461F8">
        <w:rPr>
          <w:rFonts w:ascii="Arial" w:hAnsi="Arial" w:cs="Arial"/>
          <w:color w:val="000000" w:themeColor="text1"/>
        </w:rPr>
        <w:t xml:space="preserve">, internal sources include the Orders, Inventory, Transport, and Finance systems, while external sources provide contextual information such as fuel price indexes, weather data, distance calculators, industry schedules, and seasonal calendars. Together they </w:t>
      </w:r>
      <w:r w:rsidRPr="005461F8">
        <w:rPr>
          <w:rFonts w:ascii="Arial" w:hAnsi="Arial" w:cs="Arial"/>
          <w:color w:val="000000" w:themeColor="text1"/>
        </w:rPr>
        <w:lastRenderedPageBreak/>
        <w:t>form the foundation of the analytical environment, combining transactional detail with broader business context [5].</w:t>
      </w:r>
      <w:r w:rsidR="002A12DE">
        <w:rPr>
          <w:rFonts w:ascii="Arial" w:hAnsi="Arial" w:cs="Arial"/>
          <w:color w:val="000000" w:themeColor="text1"/>
        </w:rPr>
        <w:t xml:space="preserve"> </w:t>
      </w:r>
    </w:p>
    <w:p w14:paraId="51CCE0BE" w14:textId="4A3C0289" w:rsidR="00DD55BA" w:rsidRPr="001F3B0E" w:rsidRDefault="00DD55BA" w:rsidP="00B2210D">
      <w:pPr>
        <w:spacing w:line="360" w:lineRule="auto"/>
        <w:jc w:val="both"/>
        <w:rPr>
          <w:rFonts w:ascii="Arial" w:hAnsi="Arial" w:cs="Arial"/>
          <w:color w:val="000000" w:themeColor="text1"/>
        </w:rPr>
      </w:pPr>
      <w:r w:rsidRPr="00DD55BA">
        <w:rPr>
          <w:rFonts w:ascii="Arial" w:hAnsi="Arial" w:cs="Arial"/>
          <w:color w:val="000000" w:themeColor="text1"/>
        </w:rPr>
        <w:t>Within the data warehouse architecture, the ETL layer acts as a bridge between these diverse systems and the analytical environment</w:t>
      </w:r>
      <w:r w:rsidR="00A36E56">
        <w:rPr>
          <w:rFonts w:ascii="Arial" w:hAnsi="Arial" w:cs="Arial"/>
          <w:color w:val="000000" w:themeColor="text1"/>
        </w:rPr>
        <w:t xml:space="preserve"> [6]</w:t>
      </w:r>
      <w:r w:rsidRPr="00DD55BA">
        <w:rPr>
          <w:rFonts w:ascii="Arial" w:hAnsi="Arial" w:cs="Arial"/>
          <w:color w:val="000000" w:themeColor="text1"/>
        </w:rPr>
        <w:t>. It ensures that information from different formats and technologies</w:t>
      </w:r>
      <w:r w:rsidR="00D924A0">
        <w:rPr>
          <w:rFonts w:ascii="Arial" w:hAnsi="Arial" w:cs="Arial"/>
          <w:color w:val="000000" w:themeColor="text1"/>
        </w:rPr>
        <w:t xml:space="preserve">, </w:t>
      </w:r>
      <w:r w:rsidRPr="00DD55BA">
        <w:rPr>
          <w:rFonts w:ascii="Arial" w:hAnsi="Arial" w:cs="Arial"/>
          <w:color w:val="000000" w:themeColor="text1"/>
        </w:rPr>
        <w:t>such as relational databases, spreadsheets, or web-based APIs</w:t>
      </w:r>
      <w:r w:rsidR="00D924A0">
        <w:rPr>
          <w:rFonts w:ascii="Arial" w:hAnsi="Arial" w:cs="Arial"/>
          <w:color w:val="000000" w:themeColor="text1"/>
        </w:rPr>
        <w:t xml:space="preserve">, </w:t>
      </w:r>
      <w:r w:rsidRPr="00DD55BA">
        <w:rPr>
          <w:rFonts w:ascii="Arial" w:hAnsi="Arial" w:cs="Arial"/>
          <w:color w:val="000000" w:themeColor="text1"/>
        </w:rPr>
        <w:t>is converted into a single, standardised structure</w:t>
      </w:r>
      <w:r w:rsidR="00A36E56">
        <w:rPr>
          <w:rFonts w:ascii="Arial" w:hAnsi="Arial" w:cs="Arial"/>
          <w:color w:val="000000" w:themeColor="text1"/>
        </w:rPr>
        <w:t xml:space="preserve"> [6]</w:t>
      </w:r>
      <w:r w:rsidRPr="00DD55BA">
        <w:rPr>
          <w:rFonts w:ascii="Arial" w:hAnsi="Arial" w:cs="Arial"/>
          <w:color w:val="000000" w:themeColor="text1"/>
        </w:rPr>
        <w:t xml:space="preserve">. </w:t>
      </w:r>
      <w:r w:rsidR="00660EBF" w:rsidRPr="00660EBF">
        <w:rPr>
          <w:rFonts w:ascii="Arial" w:hAnsi="Arial" w:cs="Arial"/>
          <w:color w:val="000000" w:themeColor="text1"/>
        </w:rPr>
        <w:t>This step is critical for consistency and allows departments to analyse</w:t>
      </w:r>
      <w:r w:rsidR="00660EBF">
        <w:rPr>
          <w:rFonts w:ascii="Arial" w:hAnsi="Arial" w:cs="Arial"/>
          <w:color w:val="000000" w:themeColor="text1"/>
        </w:rPr>
        <w:t xml:space="preserve"> </w:t>
      </w:r>
      <w:r w:rsidRPr="00DD55BA">
        <w:rPr>
          <w:rFonts w:ascii="Arial" w:hAnsi="Arial" w:cs="Arial"/>
          <w:color w:val="000000" w:themeColor="text1"/>
        </w:rPr>
        <w:t>information from a shared perspective.</w:t>
      </w:r>
    </w:p>
    <w:p w14:paraId="57EBE322" w14:textId="5C67156E" w:rsidR="001F3B0E" w:rsidRPr="001F3B0E" w:rsidRDefault="001F3B0E" w:rsidP="001F3B0E">
      <w:pPr>
        <w:spacing w:line="360" w:lineRule="auto"/>
        <w:jc w:val="both"/>
        <w:rPr>
          <w:rFonts w:ascii="Arial" w:hAnsi="Arial" w:cs="Arial"/>
          <w:color w:val="000000" w:themeColor="text1"/>
        </w:rPr>
      </w:pPr>
      <w:r w:rsidRPr="001F3B0E">
        <w:rPr>
          <w:rFonts w:ascii="Arial" w:hAnsi="Arial" w:cs="Arial"/>
          <w:color w:val="000000" w:themeColor="text1"/>
        </w:rPr>
        <w:t>The process of moving data from source systems into the warehouse follows the Extract, Transform, Load (ETL) model</w:t>
      </w:r>
      <w:r w:rsidR="004D7F65">
        <w:rPr>
          <w:rFonts w:ascii="Arial" w:hAnsi="Arial" w:cs="Arial"/>
          <w:color w:val="000000" w:themeColor="text1"/>
        </w:rPr>
        <w:t xml:space="preserve"> </w:t>
      </w:r>
      <w:r w:rsidR="00A36E56">
        <w:rPr>
          <w:rFonts w:ascii="Arial" w:hAnsi="Arial" w:cs="Arial"/>
          <w:color w:val="000000" w:themeColor="text1"/>
        </w:rPr>
        <w:t>[6]</w:t>
      </w:r>
      <w:r w:rsidRPr="001F3B0E">
        <w:rPr>
          <w:rFonts w:ascii="Arial" w:hAnsi="Arial" w:cs="Arial"/>
          <w:color w:val="000000" w:themeColor="text1"/>
        </w:rPr>
        <w:t>. During extraction, information is copied or streamed from operational databases at scheduled intervals, ensuring that day-to-day processes are not interrupted. In the transformation stage, data is cleaned, validated, and standardised to create a consistent structure. This may involve removing duplicates, correcting errors, applying business rules, and calculating derived values such as discounts or total rental costs. Once transformed, the data is loaded into the warehouse, where it can be accessed safely without impacting live operations</w:t>
      </w:r>
      <w:r w:rsidR="00383178">
        <w:rPr>
          <w:rFonts w:ascii="Arial" w:hAnsi="Arial" w:cs="Arial"/>
          <w:color w:val="000000" w:themeColor="text1"/>
        </w:rPr>
        <w:t xml:space="preserve"> [6]</w:t>
      </w:r>
      <w:r w:rsidRPr="001F3B0E">
        <w:rPr>
          <w:rFonts w:ascii="Arial" w:hAnsi="Arial" w:cs="Arial"/>
          <w:color w:val="000000" w:themeColor="text1"/>
        </w:rPr>
        <w:t>.</w:t>
      </w:r>
    </w:p>
    <w:p w14:paraId="028E7BD8" w14:textId="02B428E9" w:rsidR="005D46BF" w:rsidRPr="006E55EC" w:rsidRDefault="001F3B0E" w:rsidP="007A1339">
      <w:pPr>
        <w:spacing w:line="360" w:lineRule="auto"/>
        <w:jc w:val="both"/>
        <w:rPr>
          <w:rFonts w:ascii="Arial" w:hAnsi="Arial" w:cs="Arial"/>
          <w:color w:val="000000" w:themeColor="text1"/>
        </w:rPr>
      </w:pPr>
      <w:r w:rsidRPr="001F3B0E">
        <w:rPr>
          <w:rFonts w:ascii="Arial" w:hAnsi="Arial" w:cs="Arial"/>
          <w:color w:val="000000" w:themeColor="text1"/>
        </w:rPr>
        <w:t>This design allows the company to maintain efficient operational systems while building a unified, reliable analytical environment. Over time, the warehouse becomes the trusted source of truth for all departments, supporting accurate reporting, long-term planning, and data-driven strategic management.</w:t>
      </w:r>
    </w:p>
    <w:p w14:paraId="7934E68C" w14:textId="467EAB56" w:rsidR="008E504B" w:rsidRPr="00071F93" w:rsidRDefault="008D0C77" w:rsidP="006E55EC">
      <w:pPr>
        <w:pStyle w:val="Heading3"/>
        <w:rPr>
          <w:rFonts w:ascii="Arial" w:hAnsi="Arial" w:cs="Arial"/>
          <w:b/>
          <w:bCs/>
          <w:color w:val="000000" w:themeColor="text1"/>
          <w:sz w:val="26"/>
          <w:szCs w:val="26"/>
        </w:rPr>
      </w:pPr>
      <w:bookmarkStart w:id="4" w:name="_Toc212491600"/>
      <w:r>
        <w:rPr>
          <w:rFonts w:ascii="Arial" w:hAnsi="Arial" w:cs="Arial"/>
          <w:b/>
          <w:bCs/>
          <w:color w:val="000000" w:themeColor="text1"/>
          <w:sz w:val="26"/>
          <w:szCs w:val="26"/>
        </w:rPr>
        <w:t xml:space="preserve">1.3 </w:t>
      </w:r>
      <w:r w:rsidR="008E504B" w:rsidRPr="00071F93">
        <w:rPr>
          <w:rFonts w:ascii="Arial" w:hAnsi="Arial" w:cs="Arial"/>
          <w:b/>
          <w:bCs/>
          <w:color w:val="000000" w:themeColor="text1"/>
          <w:sz w:val="26"/>
          <w:szCs w:val="26"/>
        </w:rPr>
        <w:t>Data Marts for Directors</w:t>
      </w:r>
      <w:bookmarkEnd w:id="4"/>
    </w:p>
    <w:p w14:paraId="2A32D9D8" w14:textId="44BB5A60" w:rsidR="00034212" w:rsidRPr="005C3A62" w:rsidRDefault="00034212" w:rsidP="00034212">
      <w:pPr>
        <w:spacing w:line="360" w:lineRule="auto"/>
        <w:jc w:val="both"/>
        <w:rPr>
          <w:rFonts w:ascii="Arial" w:hAnsi="Arial" w:cs="Arial"/>
          <w:color w:val="000000" w:themeColor="text1"/>
        </w:rPr>
      </w:pPr>
      <w:r w:rsidRPr="005C3A62">
        <w:rPr>
          <w:rFonts w:ascii="Arial" w:hAnsi="Arial" w:cs="Arial"/>
          <w:color w:val="000000" w:themeColor="text1"/>
        </w:rPr>
        <w:t xml:space="preserve">A data mart is a focused subsection of a data warehouse created to meet the specific analytical needs of a particular department or managerial role [7]. While the warehouse stores the organisation’s full dataset, data marts extract only the information relevant to each function [7]. This makes it faster and easier for managers to access key indicators without querying the entire warehouse [8]. For </w:t>
      </w:r>
      <w:proofErr w:type="spellStart"/>
      <w:r w:rsidRPr="005C3A62">
        <w:rPr>
          <w:rFonts w:ascii="Arial" w:hAnsi="Arial" w:cs="Arial"/>
          <w:color w:val="000000" w:themeColor="text1"/>
        </w:rPr>
        <w:t>Rags’n’Riches</w:t>
      </w:r>
      <w:proofErr w:type="spellEnd"/>
      <w:r w:rsidRPr="005C3A62">
        <w:rPr>
          <w:rFonts w:ascii="Arial" w:hAnsi="Arial" w:cs="Arial"/>
          <w:color w:val="000000" w:themeColor="text1"/>
        </w:rPr>
        <w:t>, data marts ensure that each director gains clear, timely insight into their area of responsibility.</w:t>
      </w:r>
    </w:p>
    <w:p w14:paraId="7BDC0B82" w14:textId="77777777" w:rsidR="00034212" w:rsidRPr="005C3A62" w:rsidRDefault="00034212" w:rsidP="00034212">
      <w:pPr>
        <w:spacing w:line="360" w:lineRule="auto"/>
        <w:jc w:val="both"/>
        <w:rPr>
          <w:rFonts w:ascii="Arial" w:hAnsi="Arial" w:cs="Arial"/>
          <w:color w:val="000000" w:themeColor="text1"/>
        </w:rPr>
      </w:pPr>
      <w:r w:rsidRPr="005C3A62">
        <w:rPr>
          <w:rFonts w:ascii="Arial" w:hAnsi="Arial" w:cs="Arial"/>
          <w:color w:val="000000" w:themeColor="text1"/>
        </w:rPr>
        <w:t>Figure 2 illustrates examples of performance metrics provided by each data mart for the company’s directors.</w:t>
      </w:r>
    </w:p>
    <w:p w14:paraId="4E2CDD4E" w14:textId="77777777" w:rsidR="00034212" w:rsidRPr="00B16E52" w:rsidRDefault="00034212" w:rsidP="00B16E52">
      <w:pPr>
        <w:spacing w:line="360" w:lineRule="auto"/>
        <w:jc w:val="both"/>
        <w:rPr>
          <w:rFonts w:ascii="Arial" w:hAnsi="Arial" w:cs="Arial"/>
          <w:color w:val="000000" w:themeColor="text1"/>
        </w:rPr>
      </w:pPr>
    </w:p>
    <w:p w14:paraId="0903E481" w14:textId="77777777" w:rsidR="00141E99" w:rsidRDefault="00141E99" w:rsidP="00F66BE0">
      <w:pPr>
        <w:spacing w:line="360" w:lineRule="auto"/>
        <w:rPr>
          <w:rFonts w:ascii="Arial" w:hAnsi="Arial" w:cs="Arial"/>
          <w:color w:val="000000" w:themeColor="text1"/>
        </w:rPr>
      </w:pPr>
      <w:r>
        <w:rPr>
          <w:rFonts w:ascii="Arial" w:hAnsi="Arial" w:cs="Arial"/>
          <w:noProof/>
          <w:color w:val="000000" w:themeColor="text1"/>
          <w14:ligatures w14:val="standardContextual"/>
        </w:rPr>
        <w:lastRenderedPageBreak/>
        <w:drawing>
          <wp:inline distT="0" distB="0" distL="0" distR="0" wp14:anchorId="60BD6E38" wp14:editId="08D0917A">
            <wp:extent cx="5838092" cy="4444867"/>
            <wp:effectExtent l="0" t="0" r="0" b="0"/>
            <wp:docPr id="1915137147" name="Picture 2"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137147" name="Picture 2" descr="A table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838865" cy="4445455"/>
                    </a:xfrm>
                    <a:prstGeom prst="rect">
                      <a:avLst/>
                    </a:prstGeom>
                  </pic:spPr>
                </pic:pic>
              </a:graphicData>
            </a:graphic>
          </wp:inline>
        </w:drawing>
      </w:r>
    </w:p>
    <w:p w14:paraId="03BC2BE5" w14:textId="28084994" w:rsidR="005C3A62" w:rsidRDefault="00F66BE0" w:rsidP="00034212">
      <w:pPr>
        <w:pStyle w:val="Caption"/>
        <w:jc w:val="both"/>
        <w:rPr>
          <w:rFonts w:ascii="Arial" w:hAnsi="Arial" w:cs="Arial"/>
          <w:sz w:val="20"/>
          <w:szCs w:val="20"/>
        </w:rPr>
      </w:pPr>
      <w:r w:rsidRPr="00E84D84">
        <w:rPr>
          <w:rFonts w:ascii="Arial" w:hAnsi="Arial" w:cs="Arial"/>
          <w:sz w:val="20"/>
          <w:szCs w:val="20"/>
        </w:rPr>
        <w:t xml:space="preserve">Figure </w:t>
      </w:r>
      <w:r w:rsidRPr="00E84D84">
        <w:rPr>
          <w:rFonts w:ascii="Arial" w:hAnsi="Arial" w:cs="Arial"/>
          <w:sz w:val="20"/>
          <w:szCs w:val="20"/>
        </w:rPr>
        <w:fldChar w:fldCharType="begin"/>
      </w:r>
      <w:r w:rsidRPr="00E84D84">
        <w:rPr>
          <w:rFonts w:ascii="Arial" w:hAnsi="Arial" w:cs="Arial"/>
          <w:sz w:val="20"/>
          <w:szCs w:val="20"/>
        </w:rPr>
        <w:instrText xml:space="preserve"> SEQ Figure \* ARABIC </w:instrText>
      </w:r>
      <w:r w:rsidRPr="00E84D84">
        <w:rPr>
          <w:rFonts w:ascii="Arial" w:hAnsi="Arial" w:cs="Arial"/>
          <w:sz w:val="20"/>
          <w:szCs w:val="20"/>
        </w:rPr>
        <w:fldChar w:fldCharType="separate"/>
      </w:r>
      <w:r w:rsidRPr="00E84D84">
        <w:rPr>
          <w:rFonts w:ascii="Arial" w:hAnsi="Arial" w:cs="Arial"/>
          <w:noProof/>
          <w:sz w:val="20"/>
          <w:szCs w:val="20"/>
        </w:rPr>
        <w:t>2</w:t>
      </w:r>
      <w:r w:rsidRPr="00E84D84">
        <w:rPr>
          <w:rFonts w:ascii="Arial" w:hAnsi="Arial" w:cs="Arial"/>
          <w:sz w:val="20"/>
          <w:szCs w:val="20"/>
        </w:rPr>
        <w:fldChar w:fldCharType="end"/>
      </w:r>
      <w:r w:rsidRPr="00E84D84">
        <w:rPr>
          <w:rFonts w:ascii="Arial" w:hAnsi="Arial" w:cs="Arial"/>
          <w:sz w:val="20"/>
          <w:szCs w:val="20"/>
        </w:rPr>
        <w:t xml:space="preserve">. Example of metrics provided by each Data Mart for </w:t>
      </w:r>
      <w:proofErr w:type="spellStart"/>
      <w:r w:rsidRPr="00E84D84">
        <w:rPr>
          <w:rFonts w:ascii="Arial" w:hAnsi="Arial" w:cs="Arial"/>
          <w:sz w:val="20"/>
          <w:szCs w:val="20"/>
        </w:rPr>
        <w:t>Rags’n’Riches</w:t>
      </w:r>
      <w:proofErr w:type="spellEnd"/>
      <w:r w:rsidRPr="00E84D84">
        <w:rPr>
          <w:rFonts w:ascii="Arial" w:hAnsi="Arial" w:cs="Arial"/>
          <w:sz w:val="20"/>
          <w:szCs w:val="20"/>
        </w:rPr>
        <w:t xml:space="preserve"> directors.</w:t>
      </w:r>
    </w:p>
    <w:p w14:paraId="2BF217A1" w14:textId="77777777" w:rsidR="00034212" w:rsidRPr="00034212" w:rsidRDefault="00034212" w:rsidP="00034212"/>
    <w:p w14:paraId="64ECA2FE" w14:textId="77777777" w:rsidR="005C3A62" w:rsidRPr="005C3A62" w:rsidRDefault="005C3A62" w:rsidP="005C3A62">
      <w:pPr>
        <w:spacing w:line="360" w:lineRule="auto"/>
        <w:jc w:val="both"/>
        <w:rPr>
          <w:rFonts w:ascii="Arial" w:hAnsi="Arial" w:cs="Arial"/>
          <w:color w:val="000000" w:themeColor="text1"/>
        </w:rPr>
      </w:pPr>
      <w:r w:rsidRPr="00910B9D">
        <w:rPr>
          <w:rFonts w:ascii="Arial" w:hAnsi="Arial" w:cs="Arial"/>
          <w:b/>
          <w:bCs/>
          <w:color w:val="000000" w:themeColor="text1"/>
        </w:rPr>
        <w:t>The Managing Director</w:t>
      </w:r>
      <w:r w:rsidRPr="005C3A62">
        <w:rPr>
          <w:rFonts w:ascii="Arial" w:hAnsi="Arial" w:cs="Arial"/>
          <w:color w:val="000000" w:themeColor="text1"/>
        </w:rPr>
        <w:t xml:space="preserve"> oversees operations and service efficiency. Their mart focuses on metrics such as transport performance, vehicle utilisation, delivery punctuality and warehouse throughput. These indicators allow the director to monitor delays, compare performance between warehouses and identify patterns that affect productivity or customer satisfaction. The mart also supports decisions on where operational costs arise and which processes can be streamlined to improve overall efficiency [8]. Over time, this data helps the director evaluate service quality, optimise resource allocation and strengthen coordination between logistics and warehouse teams.</w:t>
      </w:r>
    </w:p>
    <w:p w14:paraId="5B91941E" w14:textId="494ABEFC" w:rsidR="005C3A62" w:rsidRPr="005C3A62" w:rsidRDefault="005C3A62" w:rsidP="005C3A62">
      <w:pPr>
        <w:spacing w:line="360" w:lineRule="auto"/>
        <w:jc w:val="both"/>
        <w:rPr>
          <w:rFonts w:ascii="Arial" w:hAnsi="Arial" w:cs="Arial"/>
          <w:color w:val="000000" w:themeColor="text1"/>
        </w:rPr>
      </w:pPr>
      <w:r w:rsidRPr="00910B9D">
        <w:rPr>
          <w:rFonts w:ascii="Arial" w:hAnsi="Arial" w:cs="Arial"/>
          <w:b/>
          <w:bCs/>
          <w:color w:val="000000" w:themeColor="text1"/>
        </w:rPr>
        <w:t>The Finance Director</w:t>
      </w:r>
      <w:r w:rsidRPr="00910B9D">
        <w:rPr>
          <w:rFonts w:ascii="Arial" w:hAnsi="Arial" w:cs="Arial"/>
          <w:color w:val="000000" w:themeColor="text1"/>
        </w:rPr>
        <w:t>’s</w:t>
      </w:r>
      <w:r w:rsidRPr="005C3A62">
        <w:rPr>
          <w:rFonts w:ascii="Arial" w:hAnsi="Arial" w:cs="Arial"/>
          <w:color w:val="000000" w:themeColor="text1"/>
        </w:rPr>
        <w:t xml:space="preserve"> mart concentrates on revenues, expenses, discounts and write offs, presenting a consolidated view of profitability and cash flow. By analysing this data, the director can identify the most profitable rental schemes, assess the financial impact of damaged items and ensure that expenditure aligns with income </w:t>
      </w:r>
      <w:r w:rsidRPr="005C3A62">
        <w:rPr>
          <w:rFonts w:ascii="Arial" w:hAnsi="Arial" w:cs="Arial"/>
          <w:color w:val="000000" w:themeColor="text1"/>
        </w:rPr>
        <w:lastRenderedPageBreak/>
        <w:t xml:space="preserve">trends. This visibility enables more accurate budgeting and </w:t>
      </w:r>
      <w:r w:rsidR="00D424A0" w:rsidRPr="005C3A62">
        <w:rPr>
          <w:rFonts w:ascii="Arial" w:hAnsi="Arial" w:cs="Arial"/>
          <w:color w:val="000000" w:themeColor="text1"/>
        </w:rPr>
        <w:t>long-term</w:t>
      </w:r>
      <w:r w:rsidRPr="005C3A62">
        <w:rPr>
          <w:rFonts w:ascii="Arial" w:hAnsi="Arial" w:cs="Arial"/>
          <w:color w:val="000000" w:themeColor="text1"/>
        </w:rPr>
        <w:t xml:space="preserve"> financial planning [8]. It also</w:t>
      </w:r>
      <w:r w:rsidR="00D424A0">
        <w:rPr>
          <w:rFonts w:ascii="Arial" w:hAnsi="Arial" w:cs="Arial"/>
          <w:color w:val="000000" w:themeColor="text1"/>
        </w:rPr>
        <w:t xml:space="preserve"> </w:t>
      </w:r>
      <w:r w:rsidRPr="005C3A62">
        <w:rPr>
          <w:rFonts w:ascii="Arial" w:hAnsi="Arial" w:cs="Arial"/>
          <w:color w:val="000000" w:themeColor="text1"/>
        </w:rPr>
        <w:t>provides evidence for investment decisions, cost reduction initiatives and financial performance reporting to senior management.</w:t>
      </w:r>
    </w:p>
    <w:p w14:paraId="529827FB" w14:textId="77777777" w:rsidR="005C3A62" w:rsidRPr="005C3A62" w:rsidRDefault="005C3A62" w:rsidP="005C3A62">
      <w:pPr>
        <w:spacing w:line="360" w:lineRule="auto"/>
        <w:jc w:val="both"/>
        <w:rPr>
          <w:rFonts w:ascii="Arial" w:hAnsi="Arial" w:cs="Arial"/>
          <w:color w:val="000000" w:themeColor="text1"/>
        </w:rPr>
      </w:pPr>
      <w:r w:rsidRPr="00910B9D">
        <w:rPr>
          <w:rFonts w:ascii="Arial" w:hAnsi="Arial" w:cs="Arial"/>
          <w:b/>
          <w:bCs/>
          <w:color w:val="000000" w:themeColor="text1"/>
        </w:rPr>
        <w:t>The Sales and Marketing Director</w:t>
      </w:r>
      <w:r w:rsidRPr="005C3A62">
        <w:rPr>
          <w:rFonts w:ascii="Arial" w:hAnsi="Arial" w:cs="Arial"/>
          <w:color w:val="000000" w:themeColor="text1"/>
        </w:rPr>
        <w:t xml:space="preserve"> uses a mart centred on customer and sales behaviour. Metrics such as rental volume, order value, retention rate and regional demand reveal customer preferences and sales performance across regions. Insights from this mart guide promotional campaigns, pricing adjustments and communication strategies aimed at improving loyalty and profitability [8]. The mart supports targeted marketing and helps the director forecast demand, identify growth opportunities and adapt strategies to seasonal or regional trends.</w:t>
      </w:r>
    </w:p>
    <w:p w14:paraId="03DA3D86" w14:textId="0D625212" w:rsidR="00B56665" w:rsidRPr="002B1DC8" w:rsidRDefault="005C3A62" w:rsidP="005C3A62">
      <w:pPr>
        <w:spacing w:line="360" w:lineRule="auto"/>
        <w:jc w:val="both"/>
        <w:rPr>
          <w:rFonts w:ascii="Arial" w:hAnsi="Arial" w:cs="Arial"/>
          <w:color w:val="000000" w:themeColor="text1"/>
        </w:rPr>
      </w:pPr>
      <w:r w:rsidRPr="005C3A62">
        <w:rPr>
          <w:rFonts w:ascii="Arial" w:hAnsi="Arial" w:cs="Arial"/>
          <w:color w:val="000000" w:themeColor="text1"/>
        </w:rPr>
        <w:t>Although each mart serves a different purpose, all originate from the same central warehouse [7]. Consistent definitions of customer, item, warehouse and time ensure that performance figures match across departments and that managerial decisions rely on a single trusted version of company data.</w:t>
      </w:r>
    </w:p>
    <w:p w14:paraId="0837E27B" w14:textId="60E3C36B" w:rsidR="008E504B" w:rsidRPr="00071F93" w:rsidRDefault="008D0C77" w:rsidP="006E55EC">
      <w:pPr>
        <w:pStyle w:val="Heading3"/>
        <w:rPr>
          <w:rFonts w:ascii="Arial" w:hAnsi="Arial" w:cs="Arial"/>
          <w:b/>
          <w:bCs/>
          <w:color w:val="000000" w:themeColor="text1"/>
          <w:sz w:val="26"/>
          <w:szCs w:val="26"/>
        </w:rPr>
      </w:pPr>
      <w:bookmarkStart w:id="5" w:name="_Toc212491601"/>
      <w:r>
        <w:rPr>
          <w:rFonts w:ascii="Arial" w:hAnsi="Arial" w:cs="Arial"/>
          <w:b/>
          <w:bCs/>
          <w:color w:val="000000" w:themeColor="text1"/>
          <w:sz w:val="26"/>
          <w:szCs w:val="26"/>
        </w:rPr>
        <w:t xml:space="preserve">1.4 </w:t>
      </w:r>
      <w:r w:rsidR="008E504B" w:rsidRPr="00071F93">
        <w:rPr>
          <w:rFonts w:ascii="Arial" w:hAnsi="Arial" w:cs="Arial"/>
          <w:b/>
          <w:bCs/>
          <w:color w:val="000000" w:themeColor="text1"/>
          <w:sz w:val="26"/>
          <w:szCs w:val="26"/>
        </w:rPr>
        <w:t>Normalised vs Dimensional Modelling</w:t>
      </w:r>
      <w:bookmarkEnd w:id="5"/>
    </w:p>
    <w:p w14:paraId="0BE1F12E" w14:textId="77777777" w:rsidR="00DA4739" w:rsidRPr="00DA4739" w:rsidRDefault="00DA4739" w:rsidP="00DA4739">
      <w:pPr>
        <w:keepNext/>
        <w:spacing w:line="360" w:lineRule="auto"/>
        <w:jc w:val="both"/>
        <w:rPr>
          <w:rFonts w:ascii="Arial" w:hAnsi="Arial" w:cs="Arial"/>
          <w:color w:val="000000" w:themeColor="text1"/>
        </w:rPr>
      </w:pPr>
      <w:r w:rsidRPr="00DA4739">
        <w:rPr>
          <w:rFonts w:ascii="Arial" w:hAnsi="Arial" w:cs="Arial"/>
          <w:color w:val="000000" w:themeColor="text1"/>
        </w:rPr>
        <w:t>A normalised model is a database design used in Online Transaction Processing (OLTP) systems to maintain data accuracy and minimise redundancy [9]. Data is split into multiple related tables, each containing one type of information such as customers, orders or items [9]. This design ensures integrity and prevents duplication but can make analysis complex and time consuming. For example, answering “Which warehouse generated the highest rental income last quarter?” requires joining several tables and performing calculations that slow performance and complicate reporting. This structure is ideal for daily operations but less efficient for strategic analysis [9].</w:t>
      </w:r>
    </w:p>
    <w:p w14:paraId="75EE2C9A" w14:textId="77777777" w:rsidR="00DA4739" w:rsidRPr="00DA4739" w:rsidRDefault="00DA4739" w:rsidP="00DA4739">
      <w:pPr>
        <w:keepNext/>
        <w:spacing w:line="360" w:lineRule="auto"/>
        <w:jc w:val="both"/>
        <w:rPr>
          <w:rFonts w:ascii="Arial" w:hAnsi="Arial" w:cs="Arial"/>
          <w:color w:val="000000" w:themeColor="text1"/>
        </w:rPr>
      </w:pPr>
      <w:r w:rsidRPr="00DA4739">
        <w:rPr>
          <w:rFonts w:ascii="Arial" w:hAnsi="Arial" w:cs="Arial"/>
          <w:color w:val="000000" w:themeColor="text1"/>
        </w:rPr>
        <w:t xml:space="preserve">In contrast, a dimensional model, used in data warehousing, organises data around a central fact table that stores quantitative measures, supported by dimension tables providing descriptive context [10]. For </w:t>
      </w:r>
      <w:proofErr w:type="spellStart"/>
      <w:r w:rsidRPr="00DA4739">
        <w:rPr>
          <w:rFonts w:ascii="Arial" w:hAnsi="Arial" w:cs="Arial"/>
          <w:color w:val="000000" w:themeColor="text1"/>
        </w:rPr>
        <w:t>Rags’n’Riches</w:t>
      </w:r>
      <w:proofErr w:type="spellEnd"/>
      <w:r w:rsidRPr="00DA4739">
        <w:rPr>
          <w:rFonts w:ascii="Arial" w:hAnsi="Arial" w:cs="Arial"/>
          <w:color w:val="000000" w:themeColor="text1"/>
        </w:rPr>
        <w:t xml:space="preserve">, a fact table such as </w:t>
      </w:r>
      <w:proofErr w:type="spellStart"/>
      <w:r w:rsidRPr="00DA4739">
        <w:rPr>
          <w:rFonts w:ascii="Arial" w:hAnsi="Arial" w:cs="Arial"/>
          <w:color w:val="000000" w:themeColor="text1"/>
        </w:rPr>
        <w:t>FactRental</w:t>
      </w:r>
      <w:proofErr w:type="spellEnd"/>
      <w:r w:rsidRPr="00DA4739">
        <w:rPr>
          <w:rFonts w:ascii="Arial" w:hAnsi="Arial" w:cs="Arial"/>
          <w:color w:val="000000" w:themeColor="text1"/>
        </w:rPr>
        <w:t xml:space="preserve"> would contain metrics like total cost, discount and rental days, while dimension tables describe customers, items, warehouses, regions and time periods. Together these form a star schema, a simplified layout where each dimension connects directly to the fact table [10].</w:t>
      </w:r>
    </w:p>
    <w:p w14:paraId="3FD059BA" w14:textId="6C01120E" w:rsidR="00953447" w:rsidRDefault="00DA4739" w:rsidP="00DA4739">
      <w:pPr>
        <w:keepNext/>
        <w:spacing w:line="360" w:lineRule="auto"/>
        <w:jc w:val="both"/>
        <w:rPr>
          <w:rFonts w:ascii="Arial" w:hAnsi="Arial" w:cs="Arial"/>
          <w:color w:val="000000" w:themeColor="text1"/>
        </w:rPr>
      </w:pPr>
      <w:r w:rsidRPr="00DA4739">
        <w:rPr>
          <w:rFonts w:ascii="Arial" w:hAnsi="Arial" w:cs="Arial"/>
          <w:color w:val="000000" w:themeColor="text1"/>
        </w:rPr>
        <w:t xml:space="preserve">As illustrated in Figure 3 and Figure 4, the difference between the two structures is both visual and conceptual. The normalised model resembles a network of </w:t>
      </w:r>
      <w:r w:rsidRPr="00DA4739">
        <w:rPr>
          <w:rFonts w:ascii="Arial" w:hAnsi="Arial" w:cs="Arial"/>
          <w:color w:val="000000" w:themeColor="text1"/>
        </w:rPr>
        <w:lastRenderedPageBreak/>
        <w:t>interconnected tables, while the dimensional model radiates from a single centre [9], [10]. This design enables faster queries and simpler navigation, allowing managers to explore performance data and identify trends without deep technical knowledge. It turns operational data into accessible insights that directly support business strategy.</w:t>
      </w:r>
    </w:p>
    <w:p w14:paraId="305A376D" w14:textId="77777777" w:rsidR="00953447" w:rsidRDefault="00953447" w:rsidP="00DA4739">
      <w:pPr>
        <w:keepNext/>
        <w:spacing w:line="360" w:lineRule="auto"/>
        <w:jc w:val="both"/>
        <w:rPr>
          <w:rFonts w:ascii="Arial" w:hAnsi="Arial" w:cs="Arial"/>
          <w:color w:val="000000" w:themeColor="text1"/>
        </w:rPr>
      </w:pPr>
    </w:p>
    <w:p w14:paraId="46344E26" w14:textId="393946D5" w:rsidR="008B5912" w:rsidRDefault="008B5912" w:rsidP="00FC6AB0">
      <w:pPr>
        <w:keepNext/>
        <w:spacing w:line="360" w:lineRule="auto"/>
      </w:pPr>
      <w:r>
        <w:rPr>
          <w:rFonts w:ascii="Arial" w:hAnsi="Arial" w:cs="Arial"/>
          <w:noProof/>
          <w:color w:val="000000" w:themeColor="text1"/>
          <w14:ligatures w14:val="standardContextual"/>
        </w:rPr>
        <w:drawing>
          <wp:inline distT="0" distB="0" distL="0" distR="0" wp14:anchorId="12CD351A" wp14:editId="79CF7764">
            <wp:extent cx="5141742" cy="2805970"/>
            <wp:effectExtent l="0" t="0" r="1905" b="0"/>
            <wp:docPr id="394595095" name="Picture 8"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595095" name="Picture 8" descr="A diagram of a data flow&#10;&#10;AI-generated content may be incorrect."/>
                    <pic:cNvPicPr/>
                  </pic:nvPicPr>
                  <pic:blipFill rotWithShape="1">
                    <a:blip r:embed="rId10" cstate="print">
                      <a:extLst>
                        <a:ext uri="{28A0092B-C50C-407E-A947-70E740481C1C}">
                          <a14:useLocalDpi xmlns:a14="http://schemas.microsoft.com/office/drawing/2010/main" val="0"/>
                        </a:ext>
                      </a:extLst>
                    </a:blip>
                    <a:srcRect l="3213" t="11245" r="6825" b="9724"/>
                    <a:stretch>
                      <a:fillRect/>
                    </a:stretch>
                  </pic:blipFill>
                  <pic:spPr bwMode="auto">
                    <a:xfrm>
                      <a:off x="0" y="0"/>
                      <a:ext cx="5174413" cy="2823799"/>
                    </a:xfrm>
                    <a:prstGeom prst="rect">
                      <a:avLst/>
                    </a:prstGeom>
                    <a:ln>
                      <a:noFill/>
                    </a:ln>
                    <a:extLst>
                      <a:ext uri="{53640926-AAD7-44D8-BBD7-CCE9431645EC}">
                        <a14:shadowObscured xmlns:a14="http://schemas.microsoft.com/office/drawing/2010/main"/>
                      </a:ext>
                    </a:extLst>
                  </pic:spPr>
                </pic:pic>
              </a:graphicData>
            </a:graphic>
          </wp:inline>
        </w:drawing>
      </w:r>
    </w:p>
    <w:p w14:paraId="09BE28B0" w14:textId="1D9CD92A" w:rsidR="008B5912" w:rsidRDefault="008B5912" w:rsidP="008B5912">
      <w:pPr>
        <w:pStyle w:val="Caption"/>
        <w:jc w:val="both"/>
        <w:rPr>
          <w:rFonts w:ascii="Arial" w:hAnsi="Arial" w:cs="Arial"/>
          <w:sz w:val="20"/>
          <w:szCs w:val="20"/>
        </w:rPr>
      </w:pPr>
      <w:r w:rsidRPr="00E23516">
        <w:rPr>
          <w:rFonts w:ascii="Arial" w:hAnsi="Arial" w:cs="Arial"/>
          <w:sz w:val="20"/>
          <w:szCs w:val="20"/>
        </w:rPr>
        <w:t xml:space="preserve">Figure </w:t>
      </w:r>
      <w:r w:rsidR="00E84D84">
        <w:rPr>
          <w:rFonts w:ascii="Arial" w:hAnsi="Arial" w:cs="Arial"/>
          <w:sz w:val="20"/>
          <w:szCs w:val="20"/>
        </w:rPr>
        <w:t>3</w:t>
      </w:r>
      <w:r w:rsidR="00E23516" w:rsidRPr="00E23516">
        <w:rPr>
          <w:rFonts w:ascii="Arial" w:hAnsi="Arial" w:cs="Arial"/>
          <w:sz w:val="20"/>
          <w:szCs w:val="20"/>
        </w:rPr>
        <w:t>. Normalised model used in OLTP systems</w:t>
      </w:r>
    </w:p>
    <w:p w14:paraId="48C45E26" w14:textId="77777777" w:rsidR="00051D48" w:rsidRPr="00051D48" w:rsidRDefault="00051D48" w:rsidP="00051D48"/>
    <w:p w14:paraId="3DD9C9C2" w14:textId="2D7D6D73" w:rsidR="008B5912" w:rsidRDefault="005E7EF6" w:rsidP="005E7EF6">
      <w:pPr>
        <w:keepNext/>
        <w:spacing w:line="360" w:lineRule="auto"/>
      </w:pPr>
      <w:r>
        <w:rPr>
          <w:noProof/>
          <w14:ligatures w14:val="standardContextual"/>
        </w:rPr>
        <w:drawing>
          <wp:inline distT="0" distB="0" distL="0" distR="0" wp14:anchorId="3FDCB1D7" wp14:editId="4D23CF97">
            <wp:extent cx="5155781" cy="3399350"/>
            <wp:effectExtent l="0" t="0" r="6985" b="0"/>
            <wp:docPr id="2132569337" name="Picture 3"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569337" name="Picture 3" descr="A diagram of a data flow&#10;&#10;AI-generated content may be incorrect."/>
                    <pic:cNvPicPr/>
                  </pic:nvPicPr>
                  <pic:blipFill rotWithShape="1">
                    <a:blip r:embed="rId11">
                      <a:extLst>
                        <a:ext uri="{28A0092B-C50C-407E-A947-70E740481C1C}">
                          <a14:useLocalDpi xmlns:a14="http://schemas.microsoft.com/office/drawing/2010/main" val="0"/>
                        </a:ext>
                      </a:extLst>
                    </a:blip>
                    <a:srcRect t="4354"/>
                    <a:stretch>
                      <a:fillRect/>
                    </a:stretch>
                  </pic:blipFill>
                  <pic:spPr bwMode="auto">
                    <a:xfrm>
                      <a:off x="0" y="0"/>
                      <a:ext cx="5178549" cy="3414362"/>
                    </a:xfrm>
                    <a:prstGeom prst="rect">
                      <a:avLst/>
                    </a:prstGeom>
                    <a:ln>
                      <a:noFill/>
                    </a:ln>
                    <a:extLst>
                      <a:ext uri="{53640926-AAD7-44D8-BBD7-CCE9431645EC}">
                        <a14:shadowObscured xmlns:a14="http://schemas.microsoft.com/office/drawing/2010/main"/>
                      </a:ext>
                    </a:extLst>
                  </pic:spPr>
                </pic:pic>
              </a:graphicData>
            </a:graphic>
          </wp:inline>
        </w:drawing>
      </w:r>
    </w:p>
    <w:p w14:paraId="6BD6F57A" w14:textId="6E74B3C2" w:rsidR="00953447" w:rsidRPr="00FC6AB0" w:rsidRDefault="008B5912" w:rsidP="00FC6AB0">
      <w:pPr>
        <w:pStyle w:val="Caption"/>
        <w:jc w:val="both"/>
        <w:rPr>
          <w:rFonts w:ascii="Arial" w:hAnsi="Arial" w:cs="Arial"/>
          <w:sz w:val="20"/>
          <w:szCs w:val="20"/>
        </w:rPr>
      </w:pPr>
      <w:r w:rsidRPr="00DC44F6">
        <w:rPr>
          <w:rFonts w:ascii="Arial" w:hAnsi="Arial" w:cs="Arial"/>
          <w:sz w:val="20"/>
          <w:szCs w:val="20"/>
        </w:rPr>
        <w:t xml:space="preserve">Figure </w:t>
      </w:r>
      <w:r w:rsidR="00E84D84">
        <w:rPr>
          <w:rFonts w:ascii="Arial" w:hAnsi="Arial" w:cs="Arial"/>
          <w:sz w:val="20"/>
          <w:szCs w:val="20"/>
        </w:rPr>
        <w:t>4</w:t>
      </w:r>
      <w:r w:rsidR="00DC44F6" w:rsidRPr="00DC44F6">
        <w:rPr>
          <w:rFonts w:ascii="Arial" w:hAnsi="Arial" w:cs="Arial"/>
          <w:b/>
          <w:bCs/>
          <w:sz w:val="20"/>
          <w:szCs w:val="20"/>
        </w:rPr>
        <w:t>.</w:t>
      </w:r>
      <w:r w:rsidR="00DC44F6" w:rsidRPr="00DC44F6">
        <w:rPr>
          <w:rFonts w:ascii="Arial" w:hAnsi="Arial" w:cs="Arial"/>
          <w:sz w:val="20"/>
          <w:szCs w:val="20"/>
        </w:rPr>
        <w:t xml:space="preserve"> Dimensional star schema used in data warehouses</w:t>
      </w:r>
    </w:p>
    <w:p w14:paraId="385C19FA" w14:textId="3D3577F9" w:rsidR="008E504B" w:rsidRPr="00071F93" w:rsidRDefault="008D0C77" w:rsidP="006E55EC">
      <w:pPr>
        <w:pStyle w:val="Heading3"/>
        <w:rPr>
          <w:rFonts w:ascii="Arial" w:hAnsi="Arial" w:cs="Arial"/>
          <w:b/>
          <w:bCs/>
          <w:color w:val="000000" w:themeColor="text1"/>
          <w:sz w:val="26"/>
          <w:szCs w:val="26"/>
        </w:rPr>
      </w:pPr>
      <w:bookmarkStart w:id="6" w:name="_Toc212491602"/>
      <w:r>
        <w:rPr>
          <w:rFonts w:ascii="Arial" w:hAnsi="Arial" w:cs="Arial"/>
          <w:b/>
          <w:bCs/>
          <w:color w:val="000000" w:themeColor="text1"/>
          <w:sz w:val="26"/>
          <w:szCs w:val="26"/>
        </w:rPr>
        <w:lastRenderedPageBreak/>
        <w:t xml:space="preserve">1.5 </w:t>
      </w:r>
      <w:r w:rsidR="008E504B" w:rsidRPr="00071F93">
        <w:rPr>
          <w:rFonts w:ascii="Arial" w:hAnsi="Arial" w:cs="Arial"/>
          <w:b/>
          <w:bCs/>
          <w:color w:val="000000" w:themeColor="text1"/>
          <w:sz w:val="26"/>
          <w:szCs w:val="26"/>
        </w:rPr>
        <w:t>Conclusion</w:t>
      </w:r>
      <w:bookmarkEnd w:id="6"/>
    </w:p>
    <w:p w14:paraId="40B2B3BF" w14:textId="63EB0618" w:rsidR="00223B9E" w:rsidRPr="006E55EC" w:rsidRDefault="004856AC" w:rsidP="007A1339">
      <w:pPr>
        <w:spacing w:line="360" w:lineRule="auto"/>
        <w:jc w:val="both"/>
        <w:rPr>
          <w:rFonts w:ascii="Arial" w:hAnsi="Arial" w:cs="Arial"/>
          <w:color w:val="000000" w:themeColor="text1"/>
        </w:rPr>
      </w:pPr>
      <w:r w:rsidRPr="004856AC">
        <w:rPr>
          <w:rFonts w:ascii="Arial" w:hAnsi="Arial" w:cs="Arial"/>
          <w:color w:val="000000" w:themeColor="text1"/>
        </w:rPr>
        <w:t>Implementing a data warehouse would give Rags’n’Riches a clear and comprehensive view of its business performance. By integrating data from orders, stock, transport, and finance, the company would move from fragmented reporting to a single, reliable analytical foundation. Each department would access the information it needs while sharing a consistent version of the truth. This unified approach would reduce duplication, improve reporting accuracy, and enable faster, evidence-based decisions. Overall, the data warehouse would enhance cost efficiency, strengthen strategic management, and support the company’s continued growth within the expanding film and theatre production industry.</w:t>
      </w:r>
      <w:r w:rsidR="00223B9E" w:rsidRPr="006E55EC">
        <w:rPr>
          <w:rFonts w:ascii="Arial" w:hAnsi="Arial" w:cs="Arial"/>
          <w:color w:val="000000" w:themeColor="text1"/>
        </w:rPr>
        <w:br w:type="page"/>
      </w:r>
    </w:p>
    <w:p w14:paraId="25388A3B" w14:textId="77777777" w:rsidR="001740C3" w:rsidRPr="00071F93" w:rsidRDefault="001740C3" w:rsidP="006E55EC">
      <w:pPr>
        <w:pStyle w:val="Heading3"/>
        <w:rPr>
          <w:rFonts w:ascii="Arial" w:hAnsi="Arial" w:cs="Arial"/>
          <w:b/>
          <w:bCs/>
          <w:color w:val="000000" w:themeColor="text1"/>
        </w:rPr>
      </w:pPr>
      <w:bookmarkStart w:id="7" w:name="_Toc212491603"/>
      <w:r w:rsidRPr="00071F93">
        <w:rPr>
          <w:rFonts w:ascii="Arial" w:hAnsi="Arial" w:cs="Arial"/>
          <w:b/>
          <w:bCs/>
          <w:color w:val="000000" w:themeColor="text1"/>
        </w:rPr>
        <w:lastRenderedPageBreak/>
        <w:t>Task 2: Star Schema Design and Development</w:t>
      </w:r>
      <w:bookmarkEnd w:id="7"/>
    </w:p>
    <w:p w14:paraId="17FEBC07" w14:textId="77777777" w:rsidR="0001177B" w:rsidRPr="0001177B" w:rsidRDefault="0001177B" w:rsidP="0001177B"/>
    <w:p w14:paraId="051BC0B2" w14:textId="20497603" w:rsidR="001740C3" w:rsidRPr="00071F93" w:rsidRDefault="008350A6" w:rsidP="006E55EC">
      <w:pPr>
        <w:pStyle w:val="Heading3"/>
        <w:rPr>
          <w:rFonts w:ascii="Arial" w:hAnsi="Arial" w:cs="Arial"/>
          <w:b/>
          <w:bCs/>
          <w:color w:val="000000" w:themeColor="text1"/>
          <w:sz w:val="26"/>
          <w:szCs w:val="26"/>
        </w:rPr>
      </w:pPr>
      <w:bookmarkStart w:id="8" w:name="_Toc212491604"/>
      <w:r>
        <w:rPr>
          <w:rFonts w:ascii="Arial" w:hAnsi="Arial" w:cs="Arial"/>
          <w:b/>
          <w:bCs/>
          <w:color w:val="000000" w:themeColor="text1"/>
          <w:sz w:val="26"/>
          <w:szCs w:val="26"/>
        </w:rPr>
        <w:t xml:space="preserve">2.0 </w:t>
      </w:r>
      <w:r w:rsidR="001740C3" w:rsidRPr="00071F93">
        <w:rPr>
          <w:rFonts w:ascii="Arial" w:hAnsi="Arial" w:cs="Arial"/>
          <w:b/>
          <w:bCs/>
          <w:color w:val="000000" w:themeColor="text1"/>
          <w:sz w:val="26"/>
          <w:szCs w:val="26"/>
        </w:rPr>
        <w:t>Introduction</w:t>
      </w:r>
      <w:bookmarkEnd w:id="8"/>
    </w:p>
    <w:p w14:paraId="6E016FC1" w14:textId="19A0D603" w:rsidR="00502895" w:rsidRPr="001740C3" w:rsidRDefault="001740C3" w:rsidP="007A1339">
      <w:pPr>
        <w:spacing w:line="360" w:lineRule="auto"/>
        <w:jc w:val="both"/>
        <w:rPr>
          <w:rFonts w:ascii="Arial" w:hAnsi="Arial" w:cs="Arial"/>
          <w:color w:val="000000" w:themeColor="text1"/>
        </w:rPr>
      </w:pPr>
      <w:r w:rsidRPr="001740C3">
        <w:rPr>
          <w:rFonts w:ascii="Arial" w:hAnsi="Arial" w:cs="Arial"/>
          <w:color w:val="000000" w:themeColor="text1"/>
        </w:rPr>
        <w:t>Building on the concepts discussed in Task 1, this section proposes a practical data warehouse design for Rags’n’Riches Ltd. The goal is to create a unified system capable of combining operational data from orders, warehouses, transport, and finance to support consistent, data-driven decision-making. The design is based on a star schema architecture that simplifies reporting, enables efficient queries, and provides reliable insights for management. It identifies the company’s data sources, presents the proposed schema, describes how the data will be transformed and loaded, and outlines the key governance principles needed to maintain data quality over time.</w:t>
      </w:r>
    </w:p>
    <w:p w14:paraId="658B59AE" w14:textId="603A4A3B" w:rsidR="001740C3" w:rsidRPr="00071F93" w:rsidRDefault="008350A6" w:rsidP="006E55EC">
      <w:pPr>
        <w:pStyle w:val="Heading3"/>
        <w:rPr>
          <w:rFonts w:ascii="Arial" w:hAnsi="Arial" w:cs="Arial"/>
          <w:b/>
          <w:bCs/>
          <w:color w:val="000000" w:themeColor="text1"/>
          <w:sz w:val="26"/>
          <w:szCs w:val="26"/>
        </w:rPr>
      </w:pPr>
      <w:bookmarkStart w:id="9" w:name="_Toc212491605"/>
      <w:r>
        <w:rPr>
          <w:rFonts w:ascii="Arial" w:hAnsi="Arial" w:cs="Arial"/>
          <w:b/>
          <w:bCs/>
          <w:color w:val="000000" w:themeColor="text1"/>
          <w:sz w:val="26"/>
          <w:szCs w:val="26"/>
        </w:rPr>
        <w:t xml:space="preserve">2.1 </w:t>
      </w:r>
      <w:r w:rsidR="001740C3" w:rsidRPr="00071F93">
        <w:rPr>
          <w:rFonts w:ascii="Arial" w:hAnsi="Arial" w:cs="Arial"/>
          <w:b/>
          <w:bCs/>
          <w:color w:val="000000" w:themeColor="text1"/>
          <w:sz w:val="26"/>
          <w:szCs w:val="26"/>
        </w:rPr>
        <w:t>Source Systems</w:t>
      </w:r>
      <w:bookmarkEnd w:id="9"/>
    </w:p>
    <w:p w14:paraId="13863E08" w14:textId="2650507A" w:rsidR="00521E15" w:rsidRPr="00521E15" w:rsidRDefault="00521E15" w:rsidP="00521E15">
      <w:pPr>
        <w:spacing w:line="360" w:lineRule="auto"/>
        <w:jc w:val="both"/>
        <w:rPr>
          <w:rFonts w:ascii="Arial" w:hAnsi="Arial" w:cs="Arial"/>
          <w:color w:val="000000" w:themeColor="text1"/>
        </w:rPr>
      </w:pPr>
      <w:r w:rsidRPr="00521E15">
        <w:rPr>
          <w:rFonts w:ascii="Arial" w:hAnsi="Arial" w:cs="Arial"/>
          <w:color w:val="000000" w:themeColor="text1"/>
        </w:rPr>
        <w:t>Source systems are the original data repositories that supply information to a data warehouse, and they are typically classified as internal or external [11].</w:t>
      </w:r>
    </w:p>
    <w:p w14:paraId="3830F874" w14:textId="77777777" w:rsidR="00D72F46" w:rsidRDefault="00521E15" w:rsidP="00521E15">
      <w:pPr>
        <w:spacing w:line="360" w:lineRule="auto"/>
        <w:jc w:val="both"/>
        <w:rPr>
          <w:rFonts w:ascii="Arial" w:hAnsi="Arial" w:cs="Arial"/>
          <w:color w:val="000000" w:themeColor="text1"/>
        </w:rPr>
      </w:pPr>
      <w:r w:rsidRPr="00521E15">
        <w:rPr>
          <w:rFonts w:ascii="Arial" w:hAnsi="Arial" w:cs="Arial"/>
          <w:color w:val="000000" w:themeColor="text1"/>
        </w:rPr>
        <w:t xml:space="preserve">Internal source systems store operational data generated within the organisation, while external systems provide contextual information from outside the business [11]. For </w:t>
      </w:r>
      <w:proofErr w:type="spellStart"/>
      <w:r w:rsidRPr="00521E15">
        <w:rPr>
          <w:rFonts w:ascii="Arial" w:hAnsi="Arial" w:cs="Arial"/>
          <w:color w:val="000000" w:themeColor="text1"/>
        </w:rPr>
        <w:t>Rags’n’Riches</w:t>
      </w:r>
      <w:proofErr w:type="spellEnd"/>
      <w:r w:rsidRPr="00521E15">
        <w:rPr>
          <w:rFonts w:ascii="Arial" w:hAnsi="Arial" w:cs="Arial"/>
          <w:color w:val="000000" w:themeColor="text1"/>
        </w:rPr>
        <w:t>, internal sources include the order management system, which records customer transactions; the warehouse inventory database, which tracks item locations and damage; the transport system, which captures mileage and delivery confirmation; and the financial system, which stores invoices and payments. External sources include fuel price indexes, distance calculators, weather data, and seasonal calendars used for logistics and demand forecasting. Combining these datasets allows the company to analyse costs, predict seasonal trends, and improve operational planning [11].</w:t>
      </w:r>
    </w:p>
    <w:p w14:paraId="7D3B9737" w14:textId="55DDC73B" w:rsidR="001740C3" w:rsidRDefault="008350A6" w:rsidP="00521E15">
      <w:pPr>
        <w:spacing w:line="360" w:lineRule="auto"/>
        <w:jc w:val="both"/>
        <w:rPr>
          <w:rFonts w:ascii="Arial" w:hAnsi="Arial" w:cs="Arial"/>
          <w:b/>
          <w:bCs/>
          <w:color w:val="000000" w:themeColor="text1"/>
          <w:sz w:val="26"/>
          <w:szCs w:val="26"/>
        </w:rPr>
      </w:pPr>
      <w:r>
        <w:rPr>
          <w:rFonts w:ascii="Arial" w:hAnsi="Arial" w:cs="Arial"/>
          <w:b/>
          <w:bCs/>
          <w:color w:val="000000" w:themeColor="text1"/>
          <w:sz w:val="26"/>
          <w:szCs w:val="26"/>
        </w:rPr>
        <w:t xml:space="preserve">2.2 </w:t>
      </w:r>
      <w:r w:rsidR="001740C3" w:rsidRPr="004E4262">
        <w:rPr>
          <w:rFonts w:ascii="Arial" w:hAnsi="Arial" w:cs="Arial"/>
          <w:b/>
          <w:bCs/>
          <w:color w:val="000000" w:themeColor="text1"/>
          <w:sz w:val="26"/>
          <w:szCs w:val="26"/>
        </w:rPr>
        <w:t>Star Schema Design</w:t>
      </w:r>
    </w:p>
    <w:p w14:paraId="1F48A239" w14:textId="77777777" w:rsidR="006C5845" w:rsidRPr="007A2D10" w:rsidRDefault="006C5845" w:rsidP="006C5845">
      <w:pPr>
        <w:spacing w:line="360" w:lineRule="auto"/>
        <w:jc w:val="both"/>
        <w:rPr>
          <w:rFonts w:ascii="Arial" w:hAnsi="Arial" w:cs="Arial"/>
        </w:rPr>
      </w:pPr>
      <w:r w:rsidRPr="007A2D10">
        <w:rPr>
          <w:rFonts w:ascii="Arial" w:hAnsi="Arial" w:cs="Arial"/>
        </w:rPr>
        <w:t xml:space="preserve">Several data warehouse schema models can be used to structure analytical data [12]. The three most common are the Star Schema, the Snowflake Schema, and the Data Vault [12]. The Star Schema arranges data around a central fact table connected to multiple dimension tables [13]. The fact table stores measurable events, such as sales or rentals, while dimensions provide descriptive context such as customers, items, or </w:t>
      </w:r>
      <w:r w:rsidRPr="007A2D10">
        <w:rPr>
          <w:rFonts w:ascii="Arial" w:hAnsi="Arial" w:cs="Arial"/>
        </w:rPr>
        <w:lastRenderedPageBreak/>
        <w:t xml:space="preserve">time periods. Its simplicity and </w:t>
      </w:r>
      <w:proofErr w:type="spellStart"/>
      <w:r w:rsidRPr="007A2D10">
        <w:rPr>
          <w:rFonts w:ascii="Arial" w:hAnsi="Arial" w:cs="Arial"/>
        </w:rPr>
        <w:t>denormalised</w:t>
      </w:r>
      <w:proofErr w:type="spellEnd"/>
      <w:r w:rsidRPr="007A2D10">
        <w:rPr>
          <w:rFonts w:ascii="Arial" w:hAnsi="Arial" w:cs="Arial"/>
        </w:rPr>
        <w:t xml:space="preserve"> structure make it efficient for analytical queries [13].</w:t>
      </w:r>
    </w:p>
    <w:p w14:paraId="40841915" w14:textId="77777777" w:rsidR="006C5845" w:rsidRPr="007A2D10" w:rsidRDefault="006C5845" w:rsidP="006C5845">
      <w:pPr>
        <w:spacing w:line="360" w:lineRule="auto"/>
        <w:jc w:val="both"/>
        <w:rPr>
          <w:rFonts w:ascii="Arial" w:hAnsi="Arial" w:cs="Arial"/>
        </w:rPr>
      </w:pPr>
      <w:r w:rsidRPr="007A2D10">
        <w:rPr>
          <w:rFonts w:ascii="Arial" w:hAnsi="Arial" w:cs="Arial"/>
        </w:rPr>
        <w:t>The Snowflake Schema extends the star model by normalising dimension tables into sub tables [12]. This design reduces redundancy but adds complexity as each query requires more joins [12]. The Data Vault model, designed for large and dynamic organisations, separates data into hubs, links and satellites to maximise flexibility and auditability [14]. However, it is more complex to implement and requires advanced modelling skills.</w:t>
      </w:r>
    </w:p>
    <w:p w14:paraId="24C43377" w14:textId="3C0A7529" w:rsidR="006C5845" w:rsidRPr="007A2D10" w:rsidRDefault="006C5845" w:rsidP="006C5845">
      <w:pPr>
        <w:spacing w:line="360" w:lineRule="auto"/>
        <w:jc w:val="both"/>
        <w:rPr>
          <w:rFonts w:ascii="Arial" w:hAnsi="Arial" w:cs="Arial"/>
        </w:rPr>
      </w:pPr>
      <w:r w:rsidRPr="007A2D10">
        <w:rPr>
          <w:rFonts w:ascii="Arial" w:hAnsi="Arial" w:cs="Arial"/>
        </w:rPr>
        <w:t xml:space="preserve">For </w:t>
      </w:r>
      <w:proofErr w:type="spellStart"/>
      <w:r w:rsidRPr="007A2D10">
        <w:rPr>
          <w:rFonts w:ascii="Arial" w:hAnsi="Arial" w:cs="Arial"/>
        </w:rPr>
        <w:t>Rags’n’Riches</w:t>
      </w:r>
      <w:proofErr w:type="spellEnd"/>
      <w:r w:rsidR="00D61508">
        <w:rPr>
          <w:rFonts w:ascii="Arial" w:hAnsi="Arial" w:cs="Arial"/>
        </w:rPr>
        <w:t xml:space="preserve"> </w:t>
      </w:r>
      <w:r w:rsidRPr="007A2D10">
        <w:rPr>
          <w:rFonts w:ascii="Arial" w:hAnsi="Arial" w:cs="Arial"/>
        </w:rPr>
        <w:t xml:space="preserve">the Star Schema is the most suitable design. The company’s data requirements are </w:t>
      </w:r>
      <w:proofErr w:type="gramStart"/>
      <w:r w:rsidRPr="007A2D10">
        <w:rPr>
          <w:rFonts w:ascii="Arial" w:hAnsi="Arial" w:cs="Arial"/>
        </w:rPr>
        <w:t>stable</w:t>
      </w:r>
      <w:proofErr w:type="gramEnd"/>
      <w:r w:rsidRPr="007A2D10">
        <w:rPr>
          <w:rFonts w:ascii="Arial" w:hAnsi="Arial" w:cs="Arial"/>
        </w:rPr>
        <w:t xml:space="preserve"> and its main need is to integrate operational data from multiple systems into a unified analytical environment. The star structure supports quick queries, intuitive navigation, and consistent reporting across departments. It is easier to maintain and scale than a snowflake or data vault approach and offers a clear visual representation of how business processes are connected.</w:t>
      </w:r>
    </w:p>
    <w:p w14:paraId="15F72EF4" w14:textId="77777777" w:rsidR="006C5845" w:rsidRPr="007A2D10" w:rsidRDefault="006C5845" w:rsidP="006C5845">
      <w:pPr>
        <w:spacing w:line="360" w:lineRule="auto"/>
        <w:jc w:val="both"/>
        <w:rPr>
          <w:rFonts w:ascii="Arial" w:hAnsi="Arial" w:cs="Arial"/>
        </w:rPr>
      </w:pPr>
      <w:r w:rsidRPr="007A2D10">
        <w:rPr>
          <w:rFonts w:ascii="Arial" w:hAnsi="Arial" w:cs="Arial"/>
        </w:rPr>
        <w:t xml:space="preserve">The proposed Star Schema for </w:t>
      </w:r>
      <w:proofErr w:type="spellStart"/>
      <w:r w:rsidRPr="007A2D10">
        <w:rPr>
          <w:rFonts w:ascii="Arial" w:hAnsi="Arial" w:cs="Arial"/>
        </w:rPr>
        <w:t>Rags’n’Riches</w:t>
      </w:r>
      <w:proofErr w:type="spellEnd"/>
      <w:r w:rsidRPr="007A2D10">
        <w:rPr>
          <w:rFonts w:ascii="Arial" w:hAnsi="Arial" w:cs="Arial"/>
        </w:rPr>
        <w:t xml:space="preserve"> (Figure 5) is built around three fact tables: </w:t>
      </w:r>
      <w:proofErr w:type="spellStart"/>
      <w:r w:rsidRPr="007A2D10">
        <w:rPr>
          <w:rFonts w:ascii="Arial" w:hAnsi="Arial" w:cs="Arial"/>
        </w:rPr>
        <w:t>FactRental</w:t>
      </w:r>
      <w:proofErr w:type="spellEnd"/>
      <w:r w:rsidRPr="007A2D10">
        <w:rPr>
          <w:rFonts w:ascii="Arial" w:hAnsi="Arial" w:cs="Arial"/>
        </w:rPr>
        <w:t xml:space="preserve">, </w:t>
      </w:r>
      <w:proofErr w:type="spellStart"/>
      <w:r w:rsidRPr="007A2D10">
        <w:rPr>
          <w:rFonts w:ascii="Arial" w:hAnsi="Arial" w:cs="Arial"/>
        </w:rPr>
        <w:t>FactFinance</w:t>
      </w:r>
      <w:proofErr w:type="spellEnd"/>
      <w:r w:rsidRPr="007A2D10">
        <w:rPr>
          <w:rFonts w:ascii="Arial" w:hAnsi="Arial" w:cs="Arial"/>
        </w:rPr>
        <w:t xml:space="preserve">, and </w:t>
      </w:r>
      <w:proofErr w:type="spellStart"/>
      <w:r w:rsidRPr="007A2D10">
        <w:rPr>
          <w:rFonts w:ascii="Arial" w:hAnsi="Arial" w:cs="Arial"/>
        </w:rPr>
        <w:t>FactTransport</w:t>
      </w:r>
      <w:proofErr w:type="spellEnd"/>
      <w:r w:rsidRPr="007A2D10">
        <w:rPr>
          <w:rFonts w:ascii="Arial" w:hAnsi="Arial" w:cs="Arial"/>
        </w:rPr>
        <w:t>.</w:t>
      </w:r>
    </w:p>
    <w:p w14:paraId="7950CEA5" w14:textId="77777777" w:rsidR="00364227" w:rsidRDefault="00364227" w:rsidP="00192E8D">
      <w:pPr>
        <w:spacing w:line="360" w:lineRule="auto"/>
        <w:jc w:val="both"/>
        <w:rPr>
          <w:rFonts w:ascii="Arial" w:hAnsi="Arial" w:cs="Arial"/>
        </w:rPr>
      </w:pPr>
    </w:p>
    <w:p w14:paraId="7C56BBA2" w14:textId="187741F1" w:rsidR="00D4004D" w:rsidRDefault="00A54BF6" w:rsidP="006C5845">
      <w:pPr>
        <w:spacing w:line="360" w:lineRule="auto"/>
        <w:rPr>
          <w:rFonts w:ascii="Arial" w:hAnsi="Arial" w:cs="Arial"/>
        </w:rPr>
      </w:pPr>
      <w:r>
        <w:rPr>
          <w:rFonts w:ascii="Arial" w:hAnsi="Arial" w:cs="Arial"/>
          <w:noProof/>
          <w14:ligatures w14:val="standardContextual"/>
        </w:rPr>
        <w:lastRenderedPageBreak/>
        <w:drawing>
          <wp:inline distT="0" distB="0" distL="0" distR="0" wp14:anchorId="3229681C" wp14:editId="4E410B18">
            <wp:extent cx="5943600" cy="4141950"/>
            <wp:effectExtent l="0" t="0" r="0" b="0"/>
            <wp:docPr id="2050223384" name="Picture 2"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223384" name="Picture 2" descr="A diagram of a data flow&#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5946" cy="4143585"/>
                    </a:xfrm>
                    <a:prstGeom prst="rect">
                      <a:avLst/>
                    </a:prstGeom>
                  </pic:spPr>
                </pic:pic>
              </a:graphicData>
            </a:graphic>
          </wp:inline>
        </w:drawing>
      </w:r>
    </w:p>
    <w:p w14:paraId="5E41CB8F" w14:textId="24420893" w:rsidR="00F70AE1" w:rsidRDefault="00F70AE1" w:rsidP="00BB2514">
      <w:pPr>
        <w:pStyle w:val="Caption"/>
        <w:rPr>
          <w:rFonts w:ascii="Arial" w:hAnsi="Arial" w:cs="Arial"/>
          <w:sz w:val="20"/>
          <w:szCs w:val="20"/>
        </w:rPr>
      </w:pPr>
      <w:r w:rsidRPr="00232331">
        <w:rPr>
          <w:rFonts w:ascii="Arial" w:hAnsi="Arial" w:cs="Arial"/>
          <w:sz w:val="20"/>
          <w:szCs w:val="20"/>
        </w:rPr>
        <w:t xml:space="preserve">Figure </w:t>
      </w:r>
      <w:r w:rsidR="00E84D84">
        <w:rPr>
          <w:rFonts w:ascii="Arial" w:hAnsi="Arial" w:cs="Arial"/>
          <w:sz w:val="20"/>
          <w:szCs w:val="20"/>
        </w:rPr>
        <w:t>5</w:t>
      </w:r>
      <w:r w:rsidRPr="00232331">
        <w:rPr>
          <w:rFonts w:ascii="Arial" w:hAnsi="Arial" w:cs="Arial"/>
          <w:sz w:val="20"/>
          <w:szCs w:val="20"/>
        </w:rPr>
        <w:t xml:space="preserve">. </w:t>
      </w:r>
      <w:r w:rsidR="00BB2514" w:rsidRPr="00BB2514">
        <w:rPr>
          <w:rFonts w:ascii="Arial" w:hAnsi="Arial" w:cs="Arial"/>
          <w:sz w:val="20"/>
          <w:szCs w:val="20"/>
        </w:rPr>
        <w:t xml:space="preserve">Star Schema for </w:t>
      </w:r>
      <w:proofErr w:type="spellStart"/>
      <w:r w:rsidR="00BB2514" w:rsidRPr="00BB2514">
        <w:rPr>
          <w:rFonts w:ascii="Arial" w:hAnsi="Arial" w:cs="Arial"/>
          <w:sz w:val="20"/>
          <w:szCs w:val="20"/>
        </w:rPr>
        <w:t>Rags’n’Riches</w:t>
      </w:r>
      <w:proofErr w:type="spellEnd"/>
      <w:r w:rsidR="00BB2514" w:rsidRPr="00BB2514">
        <w:rPr>
          <w:rFonts w:ascii="Arial" w:hAnsi="Arial" w:cs="Arial"/>
          <w:sz w:val="20"/>
          <w:szCs w:val="20"/>
        </w:rPr>
        <w:t xml:space="preserve"> Ltd with supporting data layers.</w:t>
      </w:r>
    </w:p>
    <w:p w14:paraId="593A5737" w14:textId="77777777" w:rsidR="00D61508" w:rsidRPr="00D61508" w:rsidRDefault="00D61508" w:rsidP="00D61508"/>
    <w:p w14:paraId="027FD1AF" w14:textId="0A90D624" w:rsidR="007A2D10" w:rsidRPr="007A2D10" w:rsidRDefault="007A2D10" w:rsidP="007A2D10">
      <w:pPr>
        <w:spacing w:line="360" w:lineRule="auto"/>
        <w:jc w:val="both"/>
        <w:rPr>
          <w:rFonts w:ascii="Arial" w:hAnsi="Arial" w:cs="Arial"/>
        </w:rPr>
      </w:pPr>
      <w:proofErr w:type="spellStart"/>
      <w:r w:rsidRPr="007A2D10">
        <w:rPr>
          <w:rFonts w:ascii="Arial" w:hAnsi="Arial" w:cs="Arial"/>
        </w:rPr>
        <w:t>FactRental</w:t>
      </w:r>
      <w:proofErr w:type="spellEnd"/>
      <w:r w:rsidRPr="007A2D10">
        <w:rPr>
          <w:rFonts w:ascii="Arial" w:hAnsi="Arial" w:cs="Arial"/>
        </w:rPr>
        <w:t xml:space="preserve"> records details of customer rentals, including total cost, discount, surcharge, and rental days. </w:t>
      </w:r>
      <w:proofErr w:type="spellStart"/>
      <w:r w:rsidRPr="007A2D10">
        <w:rPr>
          <w:rFonts w:ascii="Arial" w:hAnsi="Arial" w:cs="Arial"/>
        </w:rPr>
        <w:t>FactFinance</w:t>
      </w:r>
      <w:proofErr w:type="spellEnd"/>
      <w:r w:rsidRPr="007A2D10">
        <w:rPr>
          <w:rFonts w:ascii="Arial" w:hAnsi="Arial" w:cs="Arial"/>
        </w:rPr>
        <w:t xml:space="preserve"> contains financial measures such as revenue, expenses, profit margin, and write offs. </w:t>
      </w:r>
      <w:proofErr w:type="spellStart"/>
      <w:r w:rsidRPr="007A2D10">
        <w:rPr>
          <w:rFonts w:ascii="Arial" w:hAnsi="Arial" w:cs="Arial"/>
        </w:rPr>
        <w:t>FactTransport</w:t>
      </w:r>
      <w:proofErr w:type="spellEnd"/>
      <w:r w:rsidRPr="007A2D10">
        <w:rPr>
          <w:rFonts w:ascii="Arial" w:hAnsi="Arial" w:cs="Arial"/>
        </w:rPr>
        <w:t xml:space="preserve"> stores operational metrics like mileage, delivery cost, and delay times. Each fact table is linked to a set of dimension tables that provide context for analysis [15]. Two dimensions, Warehouse and Time, are conformed dimensions shared across all three fact tables, ensuring consistent reporting for location and </w:t>
      </w:r>
      <w:r w:rsidR="00F61447" w:rsidRPr="007A2D10">
        <w:rPr>
          <w:rFonts w:ascii="Arial" w:hAnsi="Arial" w:cs="Arial"/>
        </w:rPr>
        <w:t>period-based</w:t>
      </w:r>
      <w:r w:rsidRPr="007A2D10">
        <w:rPr>
          <w:rFonts w:ascii="Arial" w:hAnsi="Arial" w:cs="Arial"/>
        </w:rPr>
        <w:t xml:space="preserve"> analysis. The Customer and Item dimensions are shared between the </w:t>
      </w:r>
      <w:proofErr w:type="spellStart"/>
      <w:r w:rsidRPr="007A2D10">
        <w:rPr>
          <w:rFonts w:ascii="Arial" w:hAnsi="Arial" w:cs="Arial"/>
        </w:rPr>
        <w:t>FactRental</w:t>
      </w:r>
      <w:proofErr w:type="spellEnd"/>
      <w:r w:rsidRPr="007A2D10">
        <w:rPr>
          <w:rFonts w:ascii="Arial" w:hAnsi="Arial" w:cs="Arial"/>
        </w:rPr>
        <w:t xml:space="preserve"> and </w:t>
      </w:r>
      <w:proofErr w:type="spellStart"/>
      <w:r w:rsidRPr="007A2D10">
        <w:rPr>
          <w:rFonts w:ascii="Arial" w:hAnsi="Arial" w:cs="Arial"/>
        </w:rPr>
        <w:t>FactFinance</w:t>
      </w:r>
      <w:proofErr w:type="spellEnd"/>
      <w:r w:rsidRPr="007A2D10">
        <w:rPr>
          <w:rFonts w:ascii="Arial" w:hAnsi="Arial" w:cs="Arial"/>
        </w:rPr>
        <w:t xml:space="preserve"> tables, maintaining alignment between operational and financial performance data, but are not required in the </w:t>
      </w:r>
      <w:proofErr w:type="spellStart"/>
      <w:r w:rsidRPr="007A2D10">
        <w:rPr>
          <w:rFonts w:ascii="Arial" w:hAnsi="Arial" w:cs="Arial"/>
        </w:rPr>
        <w:t>FactTransport</w:t>
      </w:r>
      <w:proofErr w:type="spellEnd"/>
      <w:r w:rsidRPr="007A2D10">
        <w:rPr>
          <w:rFonts w:ascii="Arial" w:hAnsi="Arial" w:cs="Arial"/>
        </w:rPr>
        <w:t xml:space="preserve"> table, which focuses on logistics specific metrics such as distance, fuel cost, and delivery time.</w:t>
      </w:r>
    </w:p>
    <w:p w14:paraId="579DDA78" w14:textId="77777777" w:rsidR="006C5845" w:rsidRDefault="007A2D10" w:rsidP="007A2D10">
      <w:pPr>
        <w:spacing w:line="360" w:lineRule="auto"/>
        <w:jc w:val="both"/>
        <w:rPr>
          <w:rFonts w:ascii="Arial" w:hAnsi="Arial" w:cs="Arial"/>
        </w:rPr>
      </w:pPr>
      <w:r w:rsidRPr="007A2D10">
        <w:rPr>
          <w:rFonts w:ascii="Arial" w:hAnsi="Arial" w:cs="Arial"/>
        </w:rPr>
        <w:t xml:space="preserve">Additional dimensions are specific to each business area: </w:t>
      </w:r>
      <w:proofErr w:type="spellStart"/>
      <w:r w:rsidRPr="007A2D10">
        <w:rPr>
          <w:rFonts w:ascii="Arial" w:hAnsi="Arial" w:cs="Arial"/>
        </w:rPr>
        <w:t>RentalScheme</w:t>
      </w:r>
      <w:proofErr w:type="spellEnd"/>
      <w:r w:rsidRPr="007A2D10">
        <w:rPr>
          <w:rFonts w:ascii="Arial" w:hAnsi="Arial" w:cs="Arial"/>
        </w:rPr>
        <w:t xml:space="preserve"> for rentals, Vehicle and Driver for transport, and Account for finance. This structure allows managers to perform both high level and detailed analyses, such as evaluating which</w:t>
      </w:r>
    </w:p>
    <w:p w14:paraId="00682927" w14:textId="2DACC211" w:rsidR="007A2D10" w:rsidRPr="007A2D10" w:rsidRDefault="007A2D10" w:rsidP="007A2D10">
      <w:pPr>
        <w:spacing w:line="360" w:lineRule="auto"/>
        <w:jc w:val="both"/>
        <w:rPr>
          <w:rFonts w:ascii="Arial" w:hAnsi="Arial" w:cs="Arial"/>
        </w:rPr>
      </w:pPr>
      <w:r w:rsidRPr="007A2D10">
        <w:rPr>
          <w:rFonts w:ascii="Arial" w:hAnsi="Arial" w:cs="Arial"/>
        </w:rPr>
        <w:lastRenderedPageBreak/>
        <w:t>customers generate the highest revenue, which warehouses operate most efficiently, or how transport delays affect profitability [15].</w:t>
      </w:r>
    </w:p>
    <w:p w14:paraId="799528E9" w14:textId="6EF24093" w:rsidR="00D62B86" w:rsidRPr="00104E53" w:rsidRDefault="007A2D10" w:rsidP="007A2D10">
      <w:pPr>
        <w:spacing w:line="360" w:lineRule="auto"/>
        <w:jc w:val="both"/>
        <w:rPr>
          <w:rFonts w:ascii="Arial" w:hAnsi="Arial" w:cs="Arial"/>
        </w:rPr>
      </w:pPr>
      <w:r w:rsidRPr="007A2D10">
        <w:rPr>
          <w:rFonts w:ascii="Arial" w:hAnsi="Arial" w:cs="Arial"/>
        </w:rPr>
        <w:t>Alongside the star schema, Figure 5 also shows three supporting data layers: Master Data, Aggregate Data and Metadata [16]. Master Data provides consistent reference information such as customer names, warehouse locations and item categories [16]. Aggregate Data holds pre calculated summaries, for example monthly revenue or average delivery cost, to improve reporting speed [16]. Metadata tracks the origin, ownership and frequency of updates for all datasets, ensuring transparency and traceability across the warehouse environment [16].</w:t>
      </w:r>
    </w:p>
    <w:p w14:paraId="78CB5603" w14:textId="2B57B2F7" w:rsidR="001740C3" w:rsidRPr="004E4262" w:rsidRDefault="008350A6" w:rsidP="006E55EC">
      <w:pPr>
        <w:pStyle w:val="Heading3"/>
        <w:rPr>
          <w:rFonts w:ascii="Arial" w:hAnsi="Arial" w:cs="Arial"/>
          <w:b/>
          <w:bCs/>
          <w:color w:val="000000" w:themeColor="text1"/>
          <w:sz w:val="26"/>
          <w:szCs w:val="26"/>
        </w:rPr>
      </w:pPr>
      <w:bookmarkStart w:id="10" w:name="_Toc212491606"/>
      <w:r>
        <w:rPr>
          <w:rFonts w:ascii="Arial" w:hAnsi="Arial" w:cs="Arial"/>
          <w:b/>
          <w:bCs/>
          <w:color w:val="000000" w:themeColor="text1"/>
          <w:sz w:val="26"/>
          <w:szCs w:val="26"/>
        </w:rPr>
        <w:t xml:space="preserve">2.3 </w:t>
      </w:r>
      <w:r w:rsidR="001740C3" w:rsidRPr="004E4262">
        <w:rPr>
          <w:rFonts w:ascii="Arial" w:hAnsi="Arial" w:cs="Arial"/>
          <w:b/>
          <w:bCs/>
          <w:color w:val="000000" w:themeColor="text1"/>
          <w:sz w:val="26"/>
          <w:szCs w:val="26"/>
        </w:rPr>
        <w:t>Data Marts</w:t>
      </w:r>
      <w:bookmarkEnd w:id="10"/>
    </w:p>
    <w:p w14:paraId="42CCE718" w14:textId="7811325F" w:rsidR="009458D9" w:rsidRDefault="00D63BE1" w:rsidP="007A1339">
      <w:pPr>
        <w:spacing w:line="360" w:lineRule="auto"/>
        <w:jc w:val="both"/>
        <w:rPr>
          <w:rFonts w:ascii="Arial" w:hAnsi="Arial" w:cs="Arial"/>
          <w:color w:val="000000" w:themeColor="text1"/>
        </w:rPr>
      </w:pPr>
      <w:proofErr w:type="spellStart"/>
      <w:r w:rsidRPr="00D63BE1">
        <w:rPr>
          <w:rFonts w:ascii="Arial" w:hAnsi="Arial" w:cs="Arial"/>
          <w:color w:val="000000" w:themeColor="text1"/>
        </w:rPr>
        <w:t>Rags’n’Riches</w:t>
      </w:r>
      <w:proofErr w:type="spellEnd"/>
      <w:r w:rsidRPr="00D63BE1">
        <w:rPr>
          <w:rFonts w:ascii="Arial" w:hAnsi="Arial" w:cs="Arial"/>
          <w:color w:val="000000" w:themeColor="text1"/>
        </w:rPr>
        <w:t xml:space="preserve"> would require three departmental data marts</w:t>
      </w:r>
      <w:r w:rsidR="00E05FC7">
        <w:rPr>
          <w:rFonts w:ascii="Arial" w:hAnsi="Arial" w:cs="Arial"/>
          <w:color w:val="000000" w:themeColor="text1"/>
        </w:rPr>
        <w:t xml:space="preserve">, </w:t>
      </w:r>
      <w:r w:rsidRPr="00D63BE1">
        <w:rPr>
          <w:rFonts w:ascii="Arial" w:hAnsi="Arial" w:cs="Arial"/>
          <w:color w:val="000000" w:themeColor="text1"/>
        </w:rPr>
        <w:t>Operations, Finance, and Sales &amp; Marketing</w:t>
      </w:r>
      <w:r w:rsidR="00E05FC7">
        <w:rPr>
          <w:rFonts w:ascii="Arial" w:hAnsi="Arial" w:cs="Arial"/>
          <w:color w:val="000000" w:themeColor="text1"/>
        </w:rPr>
        <w:t xml:space="preserve">, </w:t>
      </w:r>
      <w:r w:rsidRPr="00D63BE1">
        <w:rPr>
          <w:rFonts w:ascii="Arial" w:hAnsi="Arial" w:cs="Arial"/>
          <w:color w:val="000000" w:themeColor="text1"/>
        </w:rPr>
        <w:t>to support focused analysis for its main directors. These marts are essential to transform detailed operational data into meaningful insights that guide business performance</w:t>
      </w:r>
      <w:r w:rsidR="00235CFA">
        <w:rPr>
          <w:rFonts w:ascii="Arial" w:hAnsi="Arial" w:cs="Arial"/>
          <w:color w:val="000000" w:themeColor="text1"/>
        </w:rPr>
        <w:t xml:space="preserve"> [17]</w:t>
      </w:r>
      <w:r w:rsidRPr="00D63BE1">
        <w:rPr>
          <w:rFonts w:ascii="Arial" w:hAnsi="Arial" w:cs="Arial"/>
          <w:color w:val="000000" w:themeColor="text1"/>
        </w:rPr>
        <w:t>. Each department requires a dedicated analytical view to monitor efficiency, profitability, and customer demand while maintaining consistency across the organisation’s information systems</w:t>
      </w:r>
      <w:r w:rsidR="00D710FD">
        <w:rPr>
          <w:rFonts w:ascii="Arial" w:hAnsi="Arial" w:cs="Arial"/>
          <w:color w:val="000000" w:themeColor="text1"/>
        </w:rPr>
        <w:t xml:space="preserve"> [17]</w:t>
      </w:r>
      <w:r w:rsidRPr="00D63BE1">
        <w:rPr>
          <w:rFonts w:ascii="Arial" w:hAnsi="Arial" w:cs="Arial"/>
          <w:color w:val="000000" w:themeColor="text1"/>
        </w:rPr>
        <w:t>.</w:t>
      </w:r>
    </w:p>
    <w:p w14:paraId="6AFFAE17" w14:textId="3F01CAC6" w:rsidR="004313D0" w:rsidRDefault="001740C3" w:rsidP="007A1339">
      <w:pPr>
        <w:spacing w:line="360" w:lineRule="auto"/>
        <w:jc w:val="both"/>
        <w:rPr>
          <w:rFonts w:ascii="Arial" w:hAnsi="Arial" w:cs="Arial"/>
          <w:color w:val="000000" w:themeColor="text1"/>
        </w:rPr>
      </w:pPr>
      <w:r w:rsidRPr="00467CDE">
        <w:rPr>
          <w:rFonts w:ascii="Arial" w:hAnsi="Arial" w:cs="Arial"/>
          <w:b/>
          <w:bCs/>
          <w:color w:val="000000" w:themeColor="text1"/>
        </w:rPr>
        <w:t xml:space="preserve">The Operations Data Mart </w:t>
      </w:r>
      <w:r w:rsidR="00211243">
        <w:rPr>
          <w:rFonts w:ascii="Arial" w:hAnsi="Arial" w:cs="Arial"/>
          <w:color w:val="000000" w:themeColor="text1"/>
        </w:rPr>
        <w:t xml:space="preserve">(Figure </w:t>
      </w:r>
      <w:r w:rsidR="00A00B90">
        <w:rPr>
          <w:rFonts w:ascii="Arial" w:hAnsi="Arial" w:cs="Arial"/>
          <w:color w:val="000000" w:themeColor="text1"/>
        </w:rPr>
        <w:t xml:space="preserve">6) </w:t>
      </w:r>
      <w:r w:rsidRPr="001740C3">
        <w:rPr>
          <w:rFonts w:ascii="Arial" w:hAnsi="Arial" w:cs="Arial"/>
          <w:color w:val="000000" w:themeColor="text1"/>
        </w:rPr>
        <w:t xml:space="preserve">would draw from the </w:t>
      </w:r>
      <w:proofErr w:type="spellStart"/>
      <w:r w:rsidRPr="001740C3">
        <w:rPr>
          <w:rFonts w:ascii="Arial" w:hAnsi="Arial" w:cs="Arial"/>
          <w:color w:val="000000" w:themeColor="text1"/>
        </w:rPr>
        <w:t>FactTransport</w:t>
      </w:r>
      <w:proofErr w:type="spellEnd"/>
      <w:r w:rsidRPr="001740C3">
        <w:rPr>
          <w:rFonts w:ascii="Arial" w:hAnsi="Arial" w:cs="Arial"/>
          <w:color w:val="000000" w:themeColor="text1"/>
        </w:rPr>
        <w:t xml:space="preserve"> table and relevant dimensions to measure efficiency and capacity. It would allow the Managing Director to analyse delivery punctuality, fuel consumption, warehouse utilisation, and internal stock movements, highlighting areas where costs or delays occur most frequently.</w:t>
      </w:r>
    </w:p>
    <w:p w14:paraId="0DDFBE50" w14:textId="7E8D905E" w:rsidR="0066286A" w:rsidRDefault="00540577" w:rsidP="000364C6">
      <w:pPr>
        <w:keepNext/>
        <w:spacing w:line="360" w:lineRule="auto"/>
      </w:pPr>
      <w:r>
        <w:rPr>
          <w:noProof/>
          <w14:ligatures w14:val="standardContextual"/>
        </w:rPr>
        <w:lastRenderedPageBreak/>
        <w:drawing>
          <wp:inline distT="0" distB="0" distL="0" distR="0" wp14:anchorId="17E86E5F" wp14:editId="0A541C5B">
            <wp:extent cx="5451676" cy="4007519"/>
            <wp:effectExtent l="0" t="0" r="0" b="0"/>
            <wp:docPr id="658268722" name="Picture 4" descr="A diagram of a delivery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268722" name="Picture 4" descr="A diagram of a delivery servic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461395" cy="4014664"/>
                    </a:xfrm>
                    <a:prstGeom prst="rect">
                      <a:avLst/>
                    </a:prstGeom>
                  </pic:spPr>
                </pic:pic>
              </a:graphicData>
            </a:graphic>
          </wp:inline>
        </w:drawing>
      </w:r>
    </w:p>
    <w:p w14:paraId="30A3CB04" w14:textId="3D31CA7B" w:rsidR="00BE1D71" w:rsidRDefault="0066286A" w:rsidP="0066286A">
      <w:pPr>
        <w:pStyle w:val="Caption"/>
        <w:jc w:val="both"/>
        <w:rPr>
          <w:rFonts w:ascii="Arial" w:hAnsi="Arial" w:cs="Arial"/>
          <w:sz w:val="20"/>
          <w:szCs w:val="20"/>
        </w:rPr>
      </w:pPr>
      <w:r w:rsidRPr="0066286A">
        <w:rPr>
          <w:rFonts w:ascii="Arial" w:hAnsi="Arial" w:cs="Arial"/>
          <w:sz w:val="20"/>
          <w:szCs w:val="20"/>
        </w:rPr>
        <w:t xml:space="preserve">Figure </w:t>
      </w:r>
      <w:r w:rsidR="000664B6">
        <w:rPr>
          <w:rFonts w:ascii="Arial" w:hAnsi="Arial" w:cs="Arial"/>
          <w:sz w:val="20"/>
          <w:szCs w:val="20"/>
        </w:rPr>
        <w:t>6</w:t>
      </w:r>
      <w:r w:rsidRPr="0066286A">
        <w:rPr>
          <w:rFonts w:ascii="Arial" w:hAnsi="Arial" w:cs="Arial"/>
          <w:sz w:val="20"/>
          <w:szCs w:val="20"/>
        </w:rPr>
        <w:t>. Operations Data Mart</w:t>
      </w:r>
    </w:p>
    <w:p w14:paraId="23C250EB" w14:textId="77777777" w:rsidR="0066286A" w:rsidRPr="0066286A" w:rsidRDefault="0066286A" w:rsidP="0066286A"/>
    <w:p w14:paraId="54451DF6" w14:textId="1E867804" w:rsidR="001740C3" w:rsidRDefault="001740C3" w:rsidP="007A1339">
      <w:pPr>
        <w:spacing w:line="360" w:lineRule="auto"/>
        <w:jc w:val="both"/>
        <w:rPr>
          <w:rFonts w:ascii="Arial" w:hAnsi="Arial" w:cs="Arial"/>
          <w:color w:val="000000" w:themeColor="text1"/>
        </w:rPr>
      </w:pPr>
      <w:r w:rsidRPr="00467CDE">
        <w:rPr>
          <w:rFonts w:ascii="Arial" w:hAnsi="Arial" w:cs="Arial"/>
          <w:b/>
          <w:bCs/>
          <w:color w:val="000000" w:themeColor="text1"/>
        </w:rPr>
        <w:t>The Finance Data Mart</w:t>
      </w:r>
      <w:r w:rsidRPr="001740C3">
        <w:rPr>
          <w:rFonts w:ascii="Arial" w:hAnsi="Arial" w:cs="Arial"/>
          <w:color w:val="000000" w:themeColor="text1"/>
        </w:rPr>
        <w:t xml:space="preserve"> </w:t>
      </w:r>
      <w:r w:rsidR="00A00B90">
        <w:rPr>
          <w:rFonts w:ascii="Arial" w:hAnsi="Arial" w:cs="Arial"/>
          <w:color w:val="000000" w:themeColor="text1"/>
        </w:rPr>
        <w:t xml:space="preserve">(Figure 7) </w:t>
      </w:r>
      <w:r w:rsidRPr="001740C3">
        <w:rPr>
          <w:rFonts w:ascii="Arial" w:hAnsi="Arial" w:cs="Arial"/>
          <w:color w:val="000000" w:themeColor="text1"/>
        </w:rPr>
        <w:t xml:space="preserve">would be based on the </w:t>
      </w:r>
      <w:proofErr w:type="spellStart"/>
      <w:r w:rsidRPr="001740C3">
        <w:rPr>
          <w:rFonts w:ascii="Arial" w:hAnsi="Arial" w:cs="Arial"/>
          <w:color w:val="000000" w:themeColor="text1"/>
        </w:rPr>
        <w:t>FactFinance</w:t>
      </w:r>
      <w:proofErr w:type="spellEnd"/>
      <w:r w:rsidRPr="001740C3">
        <w:rPr>
          <w:rFonts w:ascii="Arial" w:hAnsi="Arial" w:cs="Arial"/>
          <w:color w:val="000000" w:themeColor="text1"/>
        </w:rPr>
        <w:t xml:space="preserve"> table and related dimensions. It would provide visibility of revenue, expenses, profit margins, and write-offs, </w:t>
      </w:r>
      <w:proofErr w:type="gramStart"/>
      <w:r w:rsidRPr="001740C3">
        <w:rPr>
          <w:rFonts w:ascii="Arial" w:hAnsi="Arial" w:cs="Arial"/>
          <w:color w:val="000000" w:themeColor="text1"/>
        </w:rPr>
        <w:t>helping</w:t>
      </w:r>
      <w:proofErr w:type="gramEnd"/>
      <w:r w:rsidRPr="001740C3">
        <w:rPr>
          <w:rFonts w:ascii="Arial" w:hAnsi="Arial" w:cs="Arial"/>
          <w:color w:val="000000" w:themeColor="text1"/>
        </w:rPr>
        <w:t xml:space="preserve"> the Finance Director monitor overall financial performance and assess the impact of damaged or written-off items.</w:t>
      </w:r>
    </w:p>
    <w:p w14:paraId="72EA34B5" w14:textId="18B8B8AF" w:rsidR="00DC2015" w:rsidRDefault="000364C6" w:rsidP="000364C6">
      <w:pPr>
        <w:keepNext/>
        <w:spacing w:line="360" w:lineRule="auto"/>
      </w:pPr>
      <w:r>
        <w:rPr>
          <w:noProof/>
          <w14:ligatures w14:val="standardContextual"/>
        </w:rPr>
        <w:lastRenderedPageBreak/>
        <w:drawing>
          <wp:inline distT="0" distB="0" distL="0" distR="0" wp14:anchorId="0191DEAE" wp14:editId="7D80EE9B">
            <wp:extent cx="5449856" cy="4597902"/>
            <wp:effectExtent l="0" t="0" r="0" b="0"/>
            <wp:docPr id="826596954" name="Picture 5"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96954" name="Picture 5" descr="A diagram of a company&#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467390" cy="4612695"/>
                    </a:xfrm>
                    <a:prstGeom prst="rect">
                      <a:avLst/>
                    </a:prstGeom>
                  </pic:spPr>
                </pic:pic>
              </a:graphicData>
            </a:graphic>
          </wp:inline>
        </w:drawing>
      </w:r>
    </w:p>
    <w:p w14:paraId="278D19BE" w14:textId="1DC3CFBA" w:rsidR="00A00DF9" w:rsidRPr="00DC2015" w:rsidRDefault="00DC2015" w:rsidP="00DC2015">
      <w:pPr>
        <w:pStyle w:val="Caption"/>
        <w:jc w:val="both"/>
        <w:rPr>
          <w:rFonts w:ascii="Arial" w:hAnsi="Arial" w:cs="Arial"/>
          <w:sz w:val="20"/>
          <w:szCs w:val="20"/>
        </w:rPr>
      </w:pPr>
      <w:r w:rsidRPr="00DC2015">
        <w:rPr>
          <w:rFonts w:ascii="Arial" w:hAnsi="Arial" w:cs="Arial"/>
          <w:sz w:val="20"/>
          <w:szCs w:val="20"/>
        </w:rPr>
        <w:t xml:space="preserve">Figure </w:t>
      </w:r>
      <w:r w:rsidR="000664B6">
        <w:rPr>
          <w:rFonts w:ascii="Arial" w:hAnsi="Arial" w:cs="Arial"/>
          <w:sz w:val="20"/>
          <w:szCs w:val="20"/>
        </w:rPr>
        <w:t>7</w:t>
      </w:r>
      <w:r w:rsidRPr="00DC2015">
        <w:rPr>
          <w:rFonts w:ascii="Arial" w:hAnsi="Arial" w:cs="Arial"/>
          <w:sz w:val="20"/>
          <w:szCs w:val="20"/>
        </w:rPr>
        <w:t>. Finance Data Mart</w:t>
      </w:r>
    </w:p>
    <w:p w14:paraId="2917FABD" w14:textId="77777777" w:rsidR="00DC2015" w:rsidRPr="00DC2015" w:rsidRDefault="00DC2015" w:rsidP="00DC2015"/>
    <w:p w14:paraId="7A9B5449" w14:textId="5B1EC7E4" w:rsidR="001740C3" w:rsidRPr="001740C3" w:rsidRDefault="001740C3" w:rsidP="007A1339">
      <w:pPr>
        <w:spacing w:line="360" w:lineRule="auto"/>
        <w:jc w:val="both"/>
        <w:rPr>
          <w:rFonts w:ascii="Arial" w:hAnsi="Arial" w:cs="Arial"/>
          <w:color w:val="000000" w:themeColor="text1"/>
        </w:rPr>
      </w:pPr>
      <w:r w:rsidRPr="00467CDE">
        <w:rPr>
          <w:rFonts w:ascii="Arial" w:hAnsi="Arial" w:cs="Arial"/>
          <w:b/>
          <w:bCs/>
          <w:color w:val="000000" w:themeColor="text1"/>
        </w:rPr>
        <w:t>The Sales and Marketing Data Mart</w:t>
      </w:r>
      <w:r w:rsidRPr="00A00B90">
        <w:rPr>
          <w:rFonts w:ascii="Arial" w:hAnsi="Arial" w:cs="Arial"/>
          <w:color w:val="000000" w:themeColor="text1"/>
        </w:rPr>
        <w:t xml:space="preserve"> </w:t>
      </w:r>
      <w:r w:rsidR="00A00B90">
        <w:rPr>
          <w:rFonts w:ascii="Arial" w:hAnsi="Arial" w:cs="Arial"/>
          <w:color w:val="000000" w:themeColor="text1"/>
        </w:rPr>
        <w:t xml:space="preserve">(Figure </w:t>
      </w:r>
      <w:r w:rsidR="004062B0">
        <w:rPr>
          <w:rFonts w:ascii="Arial" w:hAnsi="Arial" w:cs="Arial"/>
          <w:color w:val="000000" w:themeColor="text1"/>
        </w:rPr>
        <w:t xml:space="preserve">8) </w:t>
      </w:r>
      <w:r w:rsidRPr="001740C3">
        <w:rPr>
          <w:rFonts w:ascii="Arial" w:hAnsi="Arial" w:cs="Arial"/>
          <w:color w:val="000000" w:themeColor="text1"/>
        </w:rPr>
        <w:t xml:space="preserve">would use data from the </w:t>
      </w:r>
      <w:proofErr w:type="spellStart"/>
      <w:r w:rsidRPr="001740C3">
        <w:rPr>
          <w:rFonts w:ascii="Arial" w:hAnsi="Arial" w:cs="Arial"/>
          <w:color w:val="000000" w:themeColor="text1"/>
        </w:rPr>
        <w:t>FactRental</w:t>
      </w:r>
      <w:proofErr w:type="spellEnd"/>
      <w:r w:rsidRPr="001740C3">
        <w:rPr>
          <w:rFonts w:ascii="Arial" w:hAnsi="Arial" w:cs="Arial"/>
          <w:color w:val="000000" w:themeColor="text1"/>
        </w:rPr>
        <w:t xml:space="preserve"> table to analyse customer demand, item popularity, and seasonal trends. It would help the Sales and Marketing Director evaluate which products or rental schemes drive the highest sales and identify opportunities for targeted promotions or pricing adjustments.</w:t>
      </w:r>
    </w:p>
    <w:p w14:paraId="6EC12043" w14:textId="7FDF98D6" w:rsidR="00083283" w:rsidRDefault="000364C6" w:rsidP="000364C6">
      <w:pPr>
        <w:keepNext/>
        <w:spacing w:line="360" w:lineRule="auto"/>
      </w:pPr>
      <w:r>
        <w:rPr>
          <w:noProof/>
          <w14:ligatures w14:val="standardContextual"/>
        </w:rPr>
        <w:lastRenderedPageBreak/>
        <w:drawing>
          <wp:inline distT="0" distB="0" distL="0" distR="0" wp14:anchorId="3FF7400E" wp14:editId="6AFD1E67">
            <wp:extent cx="5870790" cy="4579034"/>
            <wp:effectExtent l="0" t="0" r="0" b="0"/>
            <wp:docPr id="1626507662" name="Picture 6"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507662" name="Picture 6" descr="A diagram of a company&#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876335" cy="4583359"/>
                    </a:xfrm>
                    <a:prstGeom prst="rect">
                      <a:avLst/>
                    </a:prstGeom>
                  </pic:spPr>
                </pic:pic>
              </a:graphicData>
            </a:graphic>
          </wp:inline>
        </w:drawing>
      </w:r>
    </w:p>
    <w:p w14:paraId="6E4B4A2E" w14:textId="5ED264A8" w:rsidR="00083283" w:rsidRDefault="00083283" w:rsidP="00083283">
      <w:pPr>
        <w:pStyle w:val="Caption"/>
        <w:jc w:val="both"/>
        <w:rPr>
          <w:rFonts w:ascii="Arial" w:hAnsi="Arial" w:cs="Arial"/>
          <w:sz w:val="20"/>
          <w:szCs w:val="20"/>
        </w:rPr>
      </w:pPr>
      <w:r w:rsidRPr="00083283">
        <w:rPr>
          <w:rFonts w:ascii="Arial" w:hAnsi="Arial" w:cs="Arial"/>
          <w:sz w:val="20"/>
          <w:szCs w:val="20"/>
        </w:rPr>
        <w:t xml:space="preserve">Figure </w:t>
      </w:r>
      <w:r w:rsidR="000664B6">
        <w:rPr>
          <w:rFonts w:ascii="Arial" w:hAnsi="Arial" w:cs="Arial"/>
          <w:sz w:val="20"/>
          <w:szCs w:val="20"/>
        </w:rPr>
        <w:t>8</w:t>
      </w:r>
      <w:r w:rsidRPr="00083283">
        <w:rPr>
          <w:rFonts w:ascii="Arial" w:hAnsi="Arial" w:cs="Arial"/>
          <w:sz w:val="20"/>
          <w:szCs w:val="20"/>
        </w:rPr>
        <w:t>. Sales and Marketing Data Mart</w:t>
      </w:r>
    </w:p>
    <w:p w14:paraId="5263F88B" w14:textId="77777777" w:rsidR="00083283" w:rsidRPr="00083283" w:rsidRDefault="00083283" w:rsidP="00083283"/>
    <w:p w14:paraId="0AB71181" w14:textId="51F30F0E" w:rsidR="00044C01" w:rsidRPr="001740C3" w:rsidRDefault="00044C01" w:rsidP="007A1339">
      <w:pPr>
        <w:spacing w:line="360" w:lineRule="auto"/>
        <w:jc w:val="both"/>
        <w:rPr>
          <w:rFonts w:ascii="Arial" w:hAnsi="Arial" w:cs="Arial"/>
          <w:color w:val="000000" w:themeColor="text1"/>
        </w:rPr>
      </w:pPr>
      <w:r w:rsidRPr="001740C3">
        <w:rPr>
          <w:rFonts w:ascii="Arial" w:hAnsi="Arial" w:cs="Arial"/>
          <w:color w:val="000000" w:themeColor="text1"/>
        </w:rPr>
        <w:t>Each mart would be a simplified subset of the warehouse, using consistent dimensions for time, warehouse, customer, and item. This ensures that reports across departments use the same definitions and can be accurately compared</w:t>
      </w:r>
      <w:r w:rsidR="003B377D">
        <w:rPr>
          <w:rFonts w:ascii="Arial" w:hAnsi="Arial" w:cs="Arial"/>
          <w:color w:val="000000" w:themeColor="text1"/>
        </w:rPr>
        <w:t xml:space="preserve"> [17]</w:t>
      </w:r>
      <w:r w:rsidRPr="001740C3">
        <w:rPr>
          <w:rFonts w:ascii="Arial" w:hAnsi="Arial" w:cs="Arial"/>
          <w:color w:val="000000" w:themeColor="text1"/>
        </w:rPr>
        <w:t>.</w:t>
      </w:r>
    </w:p>
    <w:p w14:paraId="60F79AB7" w14:textId="75B3F7CC" w:rsidR="001740C3" w:rsidRPr="006E55EC" w:rsidRDefault="008350A6" w:rsidP="006E55EC">
      <w:pPr>
        <w:pStyle w:val="Heading3"/>
        <w:rPr>
          <w:rFonts w:ascii="Arial" w:hAnsi="Arial" w:cs="Arial"/>
          <w:b/>
          <w:bCs/>
          <w:color w:val="000000" w:themeColor="text1"/>
          <w:sz w:val="24"/>
          <w:szCs w:val="24"/>
        </w:rPr>
      </w:pPr>
      <w:bookmarkStart w:id="11" w:name="_Toc212491607"/>
      <w:r>
        <w:rPr>
          <w:rFonts w:ascii="Arial" w:hAnsi="Arial" w:cs="Arial"/>
          <w:b/>
          <w:bCs/>
          <w:color w:val="000000" w:themeColor="text1"/>
          <w:sz w:val="24"/>
          <w:szCs w:val="24"/>
        </w:rPr>
        <w:t xml:space="preserve">2.4 </w:t>
      </w:r>
      <w:r w:rsidR="001740C3" w:rsidRPr="006E55EC">
        <w:rPr>
          <w:rFonts w:ascii="Arial" w:hAnsi="Arial" w:cs="Arial"/>
          <w:b/>
          <w:bCs/>
          <w:color w:val="000000" w:themeColor="text1"/>
          <w:sz w:val="24"/>
          <w:szCs w:val="24"/>
        </w:rPr>
        <w:t>Simplified ETL Plan</w:t>
      </w:r>
      <w:bookmarkEnd w:id="11"/>
    </w:p>
    <w:p w14:paraId="1AB493D3" w14:textId="1E03B73D" w:rsidR="001177A2" w:rsidRPr="001177A2" w:rsidRDefault="001177A2" w:rsidP="001177A2">
      <w:pPr>
        <w:keepNext/>
        <w:spacing w:line="360" w:lineRule="auto"/>
        <w:jc w:val="both"/>
        <w:rPr>
          <w:rFonts w:ascii="Arial" w:hAnsi="Arial" w:cs="Arial"/>
          <w:color w:val="000000" w:themeColor="text1"/>
        </w:rPr>
      </w:pPr>
      <w:r w:rsidRPr="001177A2">
        <w:rPr>
          <w:rFonts w:ascii="Arial" w:hAnsi="Arial" w:cs="Arial"/>
          <w:color w:val="000000" w:themeColor="text1"/>
        </w:rPr>
        <w:t>The ETL process defines how data will be extracted from operational systems, transformed for consistency, and loaded into the data warehouse</w:t>
      </w:r>
      <w:r w:rsidR="000276A9">
        <w:rPr>
          <w:rFonts w:ascii="Arial" w:hAnsi="Arial" w:cs="Arial"/>
          <w:color w:val="000000" w:themeColor="text1"/>
        </w:rPr>
        <w:t xml:space="preserve"> [6]</w:t>
      </w:r>
      <w:r w:rsidRPr="001177A2">
        <w:rPr>
          <w:rFonts w:ascii="Arial" w:hAnsi="Arial" w:cs="Arial"/>
          <w:color w:val="000000" w:themeColor="text1"/>
        </w:rPr>
        <w:t>. The summary in Figure 9 outlines the main tables, their source systems, and key transformations required before loading</w:t>
      </w:r>
      <w:r w:rsidR="000276A9">
        <w:rPr>
          <w:rFonts w:ascii="Arial" w:hAnsi="Arial" w:cs="Arial"/>
          <w:color w:val="000000" w:themeColor="text1"/>
        </w:rPr>
        <w:t xml:space="preserve"> [18]</w:t>
      </w:r>
      <w:r w:rsidRPr="001177A2">
        <w:rPr>
          <w:rFonts w:ascii="Arial" w:hAnsi="Arial" w:cs="Arial"/>
          <w:color w:val="000000" w:themeColor="text1"/>
        </w:rPr>
        <w:t xml:space="preserve">. These steps ensure that all datasets are compatible and accurate when integrated. For example, customer information is deduplicated and validated, rental and transport data are enriched with calculated costs and distances, and financial data is adjusted for revenue and expenses. Standardising warehouse </w:t>
      </w:r>
      <w:r w:rsidRPr="001177A2">
        <w:rPr>
          <w:rFonts w:ascii="Arial" w:hAnsi="Arial" w:cs="Arial"/>
          <w:color w:val="000000" w:themeColor="text1"/>
        </w:rPr>
        <w:lastRenderedPageBreak/>
        <w:t>codes and generating time-based records also ensures alignment across departments.</w:t>
      </w:r>
    </w:p>
    <w:p w14:paraId="3CBE56F7" w14:textId="2C996BD3" w:rsidR="001A4766" w:rsidRDefault="001177A2" w:rsidP="001177A2">
      <w:pPr>
        <w:keepNext/>
        <w:spacing w:line="360" w:lineRule="auto"/>
        <w:jc w:val="both"/>
        <w:rPr>
          <w:rFonts w:ascii="Arial" w:hAnsi="Arial" w:cs="Arial"/>
          <w:color w:val="000000" w:themeColor="text1"/>
        </w:rPr>
      </w:pPr>
      <w:r w:rsidRPr="001177A2">
        <w:rPr>
          <w:rFonts w:ascii="Arial" w:hAnsi="Arial" w:cs="Arial"/>
          <w:color w:val="000000" w:themeColor="text1"/>
        </w:rPr>
        <w:t>This ETL design guarantees that data entering the warehouse is clean, verified, and ready for analysis, providing a stable foundation for dashboards, forecasting, and long-term strategic reporting</w:t>
      </w:r>
      <w:r w:rsidR="008332B1">
        <w:rPr>
          <w:rFonts w:ascii="Arial" w:hAnsi="Arial" w:cs="Arial"/>
          <w:color w:val="000000" w:themeColor="text1"/>
        </w:rPr>
        <w:t xml:space="preserve"> [18]</w:t>
      </w:r>
      <w:r w:rsidRPr="001177A2">
        <w:rPr>
          <w:rFonts w:ascii="Arial" w:hAnsi="Arial" w:cs="Arial"/>
          <w:color w:val="000000" w:themeColor="text1"/>
        </w:rPr>
        <w:t>.</w:t>
      </w:r>
    </w:p>
    <w:p w14:paraId="7BB92C6A" w14:textId="77777777" w:rsidR="001A4766" w:rsidRDefault="001A4766" w:rsidP="001A4766">
      <w:pPr>
        <w:keepNext/>
        <w:spacing w:line="360" w:lineRule="auto"/>
        <w:jc w:val="both"/>
      </w:pPr>
      <w:r>
        <w:rPr>
          <w:noProof/>
          <w14:ligatures w14:val="standardContextual"/>
        </w:rPr>
        <w:drawing>
          <wp:inline distT="0" distB="0" distL="0" distR="0" wp14:anchorId="677CE4B5" wp14:editId="5896EC92">
            <wp:extent cx="5731510" cy="4852035"/>
            <wp:effectExtent l="0" t="0" r="2540" b="5715"/>
            <wp:docPr id="1274071440" name="Picture 12"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071440" name="Picture 12" descr="A table with text and images&#10;&#10;AI-generated content may be incorrect."/>
                    <pic:cNvPicPr/>
                  </pic:nvPicPr>
                  <pic:blipFill rotWithShape="1">
                    <a:blip r:embed="rId16">
                      <a:extLst>
                        <a:ext uri="{28A0092B-C50C-407E-A947-70E740481C1C}">
                          <a14:useLocalDpi xmlns:a14="http://schemas.microsoft.com/office/drawing/2010/main" val="0"/>
                        </a:ext>
                      </a:extLst>
                    </a:blip>
                    <a:srcRect t="-262"/>
                    <a:stretch>
                      <a:fillRect/>
                    </a:stretch>
                  </pic:blipFill>
                  <pic:spPr bwMode="auto">
                    <a:xfrm>
                      <a:off x="0" y="0"/>
                      <a:ext cx="5731510" cy="4852035"/>
                    </a:xfrm>
                    <a:prstGeom prst="rect">
                      <a:avLst/>
                    </a:prstGeom>
                    <a:ln>
                      <a:noFill/>
                    </a:ln>
                    <a:extLst>
                      <a:ext uri="{53640926-AAD7-44D8-BBD7-CCE9431645EC}">
                        <a14:shadowObscured xmlns:a14="http://schemas.microsoft.com/office/drawing/2010/main"/>
                      </a:ext>
                    </a:extLst>
                  </pic:spPr>
                </pic:pic>
              </a:graphicData>
            </a:graphic>
          </wp:inline>
        </w:drawing>
      </w:r>
    </w:p>
    <w:p w14:paraId="1745716C" w14:textId="0BAFBF98" w:rsidR="00DF5B70" w:rsidRPr="00814461" w:rsidRDefault="001A4766" w:rsidP="001A4766">
      <w:pPr>
        <w:pStyle w:val="Caption"/>
        <w:jc w:val="both"/>
        <w:rPr>
          <w:rFonts w:ascii="Arial" w:hAnsi="Arial" w:cs="Arial"/>
          <w:sz w:val="20"/>
          <w:szCs w:val="20"/>
        </w:rPr>
      </w:pPr>
      <w:r w:rsidRPr="00814461">
        <w:rPr>
          <w:rFonts w:ascii="Arial" w:hAnsi="Arial" w:cs="Arial"/>
          <w:sz w:val="20"/>
          <w:szCs w:val="20"/>
        </w:rPr>
        <w:t>Figure</w:t>
      </w:r>
      <w:r w:rsidR="000664B6">
        <w:rPr>
          <w:rFonts w:ascii="Arial" w:hAnsi="Arial" w:cs="Arial"/>
          <w:sz w:val="20"/>
          <w:szCs w:val="20"/>
        </w:rPr>
        <w:t xml:space="preserve"> 9</w:t>
      </w:r>
      <w:r w:rsidR="001940C4">
        <w:rPr>
          <w:rFonts w:ascii="Arial" w:hAnsi="Arial" w:cs="Arial"/>
          <w:noProof/>
          <w:sz w:val="20"/>
          <w:szCs w:val="20"/>
        </w:rPr>
        <w:t xml:space="preserve">. </w:t>
      </w:r>
      <w:r w:rsidR="00885C96" w:rsidRPr="00885C96">
        <w:rPr>
          <w:rFonts w:ascii="Arial" w:hAnsi="Arial" w:cs="Arial"/>
          <w:noProof/>
          <w:sz w:val="20"/>
          <w:szCs w:val="20"/>
        </w:rPr>
        <w:t>ETL Process: Data Extraction, Transformation, and Loading</w:t>
      </w:r>
    </w:p>
    <w:p w14:paraId="623A1BBA" w14:textId="77777777" w:rsidR="001C061F" w:rsidRPr="001C061F" w:rsidRDefault="001C061F" w:rsidP="001C061F"/>
    <w:p w14:paraId="016D5EF7" w14:textId="0C545DDB" w:rsidR="001740C3" w:rsidRPr="004E4262" w:rsidRDefault="008350A6" w:rsidP="006E55EC">
      <w:pPr>
        <w:pStyle w:val="Heading3"/>
        <w:rPr>
          <w:rFonts w:ascii="Arial" w:hAnsi="Arial" w:cs="Arial"/>
          <w:b/>
          <w:bCs/>
          <w:color w:val="000000" w:themeColor="text1"/>
          <w:sz w:val="26"/>
          <w:szCs w:val="26"/>
        </w:rPr>
      </w:pPr>
      <w:bookmarkStart w:id="12" w:name="_Toc212491608"/>
      <w:r>
        <w:rPr>
          <w:rFonts w:ascii="Arial" w:hAnsi="Arial" w:cs="Arial"/>
          <w:b/>
          <w:bCs/>
          <w:color w:val="000000" w:themeColor="text1"/>
          <w:sz w:val="26"/>
          <w:szCs w:val="26"/>
        </w:rPr>
        <w:t xml:space="preserve">2.5 </w:t>
      </w:r>
      <w:r w:rsidR="001740C3" w:rsidRPr="004E4262">
        <w:rPr>
          <w:rFonts w:ascii="Arial" w:hAnsi="Arial" w:cs="Arial"/>
          <w:b/>
          <w:bCs/>
          <w:color w:val="000000" w:themeColor="text1"/>
          <w:sz w:val="26"/>
          <w:szCs w:val="26"/>
        </w:rPr>
        <w:t>Data Quality and Governance</w:t>
      </w:r>
      <w:bookmarkEnd w:id="12"/>
    </w:p>
    <w:p w14:paraId="0A68E111" w14:textId="43A5080F" w:rsidR="00EE5235" w:rsidRPr="001740C3" w:rsidRDefault="0042554F" w:rsidP="007A1339">
      <w:pPr>
        <w:spacing w:line="360" w:lineRule="auto"/>
        <w:jc w:val="both"/>
        <w:rPr>
          <w:rFonts w:ascii="Arial" w:hAnsi="Arial" w:cs="Arial"/>
          <w:color w:val="000000" w:themeColor="text1"/>
        </w:rPr>
      </w:pPr>
      <w:r w:rsidRPr="0042554F">
        <w:rPr>
          <w:rFonts w:ascii="Arial" w:hAnsi="Arial" w:cs="Arial"/>
          <w:color w:val="000000" w:themeColor="text1"/>
        </w:rPr>
        <w:t xml:space="preserve">Data quality refers to the accuracy, completeness, and consistency of information stored in a data warehouse [19]. Maintaining high quality is essential for the warehouse’s long-term reliability. Data must be validated during transformation to remove duplicates, correct errors, and standardise formats [19]. Governance procedures assign ownership to each source, control transformation rules, and </w:t>
      </w:r>
      <w:r w:rsidRPr="0042554F">
        <w:rPr>
          <w:rFonts w:ascii="Arial" w:hAnsi="Arial" w:cs="Arial"/>
          <w:color w:val="000000" w:themeColor="text1"/>
        </w:rPr>
        <w:lastRenderedPageBreak/>
        <w:t>document updates through metadata</w:t>
      </w:r>
      <w:r w:rsidR="00334B4E">
        <w:rPr>
          <w:rFonts w:ascii="Arial" w:hAnsi="Arial" w:cs="Arial"/>
          <w:color w:val="000000" w:themeColor="text1"/>
        </w:rPr>
        <w:t xml:space="preserve"> </w:t>
      </w:r>
      <w:r w:rsidR="00334B4E" w:rsidRPr="0042554F">
        <w:rPr>
          <w:rFonts w:ascii="Arial" w:hAnsi="Arial" w:cs="Arial"/>
          <w:color w:val="000000" w:themeColor="text1"/>
        </w:rPr>
        <w:t>[20]</w:t>
      </w:r>
      <w:r w:rsidRPr="0042554F">
        <w:rPr>
          <w:rFonts w:ascii="Arial" w:hAnsi="Arial" w:cs="Arial"/>
          <w:color w:val="000000" w:themeColor="text1"/>
        </w:rPr>
        <w:t>. Role-based access and regular audits ensure compliance, accuracy, and trust across the system [20].</w:t>
      </w:r>
    </w:p>
    <w:p w14:paraId="0A4A818D" w14:textId="35DF7316" w:rsidR="001740C3" w:rsidRPr="004E4262" w:rsidRDefault="008350A6" w:rsidP="006E55EC">
      <w:pPr>
        <w:pStyle w:val="Heading3"/>
        <w:rPr>
          <w:rFonts w:ascii="Arial" w:hAnsi="Arial" w:cs="Arial"/>
          <w:b/>
          <w:bCs/>
          <w:color w:val="000000" w:themeColor="text1"/>
          <w:sz w:val="26"/>
          <w:szCs w:val="26"/>
        </w:rPr>
      </w:pPr>
      <w:bookmarkStart w:id="13" w:name="_Toc212491609"/>
      <w:r>
        <w:rPr>
          <w:rFonts w:ascii="Arial" w:hAnsi="Arial" w:cs="Arial"/>
          <w:b/>
          <w:bCs/>
          <w:color w:val="000000" w:themeColor="text1"/>
          <w:sz w:val="26"/>
          <w:szCs w:val="26"/>
        </w:rPr>
        <w:t xml:space="preserve">2.6 </w:t>
      </w:r>
      <w:r w:rsidR="001740C3" w:rsidRPr="004E4262">
        <w:rPr>
          <w:rFonts w:ascii="Arial" w:hAnsi="Arial" w:cs="Arial"/>
          <w:b/>
          <w:bCs/>
          <w:color w:val="000000" w:themeColor="text1"/>
          <w:sz w:val="26"/>
          <w:szCs w:val="26"/>
        </w:rPr>
        <w:t>Conclusion</w:t>
      </w:r>
      <w:bookmarkEnd w:id="13"/>
    </w:p>
    <w:p w14:paraId="73997BE1" w14:textId="78A620AF" w:rsidR="00F346F7" w:rsidRDefault="007231E3" w:rsidP="007231E3">
      <w:pPr>
        <w:spacing w:line="360" w:lineRule="auto"/>
        <w:jc w:val="both"/>
        <w:rPr>
          <w:rFonts w:ascii="Arial" w:hAnsi="Arial" w:cs="Arial"/>
          <w:color w:val="000000" w:themeColor="text1"/>
        </w:rPr>
      </w:pPr>
      <w:r w:rsidRPr="007231E3">
        <w:rPr>
          <w:rFonts w:ascii="Arial" w:hAnsi="Arial" w:cs="Arial"/>
          <w:color w:val="000000" w:themeColor="text1"/>
        </w:rPr>
        <w:t>The proposed data warehouse gives Rags’n’Riches a unified framework for managing information across its operations. The star schema, supported by master, aggregate, and metadata layers, ensures analytical depth and consistency. Departmental data marts and a disciplined ETL process enable accurate reporting, while governance safeguards data quality. Together, these components provide a robust foundation for strategic growth, financial stability, and international expansion as the company prepares for increasing demand in the film and theatre industry.</w:t>
      </w:r>
    </w:p>
    <w:p w14:paraId="29CC9D06" w14:textId="14688F50" w:rsidR="005921E8" w:rsidRPr="005921E8" w:rsidRDefault="005921E8" w:rsidP="005921E8">
      <w:pPr>
        <w:pStyle w:val="Heading1"/>
        <w:rPr>
          <w:rFonts w:ascii="Arial" w:hAnsi="Arial" w:cs="Arial"/>
          <w:b/>
          <w:bCs/>
          <w:color w:val="000000" w:themeColor="text1"/>
          <w:sz w:val="26"/>
          <w:szCs w:val="26"/>
        </w:rPr>
      </w:pPr>
      <w:bookmarkStart w:id="14" w:name="_Toc212491610"/>
      <w:r w:rsidRPr="005921E8">
        <w:rPr>
          <w:rFonts w:ascii="Arial" w:hAnsi="Arial" w:cs="Arial"/>
          <w:b/>
          <w:bCs/>
          <w:color w:val="000000" w:themeColor="text1"/>
          <w:sz w:val="26"/>
          <w:szCs w:val="26"/>
        </w:rPr>
        <w:t>References</w:t>
      </w:r>
      <w:bookmarkEnd w:id="14"/>
    </w:p>
    <w:p w14:paraId="259099CD" w14:textId="77777777" w:rsidR="009B3C3B" w:rsidRDefault="009B3C3B" w:rsidP="007231E3">
      <w:pPr>
        <w:spacing w:line="360" w:lineRule="auto"/>
        <w:jc w:val="both"/>
        <w:rPr>
          <w:rFonts w:ascii="Arial" w:hAnsi="Arial" w:cs="Arial"/>
          <w:color w:val="000000" w:themeColor="text1"/>
        </w:rPr>
      </w:pPr>
      <w:r w:rsidRPr="009B3C3B">
        <w:rPr>
          <w:rFonts w:ascii="Arial" w:hAnsi="Arial" w:cs="Arial"/>
          <w:color w:val="000000" w:themeColor="text1"/>
        </w:rPr>
        <w:t xml:space="preserve">[1] J. Thangaraj, </w:t>
      </w:r>
      <w:r w:rsidRPr="009B3C3B">
        <w:rPr>
          <w:rFonts w:ascii="Arial" w:hAnsi="Arial" w:cs="Arial"/>
          <w:i/>
          <w:iCs/>
          <w:color w:val="000000" w:themeColor="text1"/>
        </w:rPr>
        <w:t>OLTP Database Solutions for Today’s Transactions.</w:t>
      </w:r>
      <w:r w:rsidRPr="009B3C3B">
        <w:rPr>
          <w:rFonts w:ascii="Arial" w:hAnsi="Arial" w:cs="Arial"/>
          <w:color w:val="000000" w:themeColor="text1"/>
        </w:rPr>
        <w:t xml:space="preserve"> IBM, 2023. </w:t>
      </w:r>
    </w:p>
    <w:p w14:paraId="609E4490" w14:textId="77777777" w:rsidR="00043B86" w:rsidRDefault="00043B86" w:rsidP="007231E3">
      <w:pPr>
        <w:spacing w:line="360" w:lineRule="auto"/>
        <w:jc w:val="both"/>
        <w:rPr>
          <w:rFonts w:ascii="Arial" w:hAnsi="Arial" w:cs="Arial"/>
          <w:color w:val="000000" w:themeColor="text1"/>
        </w:rPr>
      </w:pPr>
      <w:r w:rsidRPr="00043B86">
        <w:rPr>
          <w:rFonts w:ascii="Arial" w:hAnsi="Arial" w:cs="Arial"/>
          <w:color w:val="000000" w:themeColor="text1"/>
        </w:rPr>
        <w:t xml:space="preserve">[2] A. Khalil and M. </w:t>
      </w:r>
      <w:proofErr w:type="spellStart"/>
      <w:r w:rsidRPr="00043B86">
        <w:rPr>
          <w:rFonts w:ascii="Arial" w:hAnsi="Arial" w:cs="Arial"/>
          <w:color w:val="000000" w:themeColor="text1"/>
        </w:rPr>
        <w:t>Belaïssaoui</w:t>
      </w:r>
      <w:proofErr w:type="spellEnd"/>
      <w:r w:rsidRPr="00043B86">
        <w:rPr>
          <w:rFonts w:ascii="Arial" w:hAnsi="Arial" w:cs="Arial"/>
          <w:color w:val="000000" w:themeColor="text1"/>
        </w:rPr>
        <w:t xml:space="preserve">, “Key-value data warehouse: Models and OLAP analysis,” </w:t>
      </w:r>
      <w:r w:rsidRPr="00043B86">
        <w:rPr>
          <w:rFonts w:ascii="Arial" w:hAnsi="Arial" w:cs="Arial"/>
          <w:i/>
          <w:iCs/>
          <w:color w:val="000000" w:themeColor="text1"/>
        </w:rPr>
        <w:t>Proc. 2020 IEEE 2nd Int. Conf. on Electronics, Control, Optimization and Computer Science (ICECOCS)</w:t>
      </w:r>
      <w:r w:rsidRPr="00043B86">
        <w:rPr>
          <w:rFonts w:ascii="Arial" w:hAnsi="Arial" w:cs="Arial"/>
          <w:color w:val="000000" w:themeColor="text1"/>
        </w:rPr>
        <w:t xml:space="preserve">, IEEE, 2020. </w:t>
      </w:r>
    </w:p>
    <w:p w14:paraId="7FF79456" w14:textId="41634102" w:rsidR="000A0AE0" w:rsidRDefault="00043496" w:rsidP="007231E3">
      <w:pPr>
        <w:spacing w:line="360" w:lineRule="auto"/>
        <w:jc w:val="both"/>
        <w:rPr>
          <w:rFonts w:ascii="Arial" w:hAnsi="Arial" w:cs="Arial"/>
          <w:color w:val="000000" w:themeColor="text1"/>
        </w:rPr>
      </w:pPr>
      <w:r w:rsidRPr="00043496">
        <w:rPr>
          <w:rFonts w:ascii="Arial" w:hAnsi="Arial" w:cs="Arial"/>
          <w:color w:val="000000" w:themeColor="text1"/>
        </w:rPr>
        <w:t>[3] K. Jameel, A. Adil, and M. Bahjat, “Analyses</w:t>
      </w:r>
      <w:r w:rsidR="00A03DD7">
        <w:rPr>
          <w:rFonts w:ascii="Arial" w:hAnsi="Arial" w:cs="Arial"/>
          <w:color w:val="000000" w:themeColor="text1"/>
        </w:rPr>
        <w:t xml:space="preserve"> </w:t>
      </w:r>
      <w:r w:rsidRPr="00043496">
        <w:rPr>
          <w:rFonts w:ascii="Arial" w:hAnsi="Arial" w:cs="Arial"/>
          <w:color w:val="000000" w:themeColor="text1"/>
        </w:rPr>
        <w:t xml:space="preserve">the performance of data warehouse architecture types,” </w:t>
      </w:r>
      <w:r w:rsidRPr="00043496">
        <w:rPr>
          <w:rFonts w:ascii="Arial" w:hAnsi="Arial" w:cs="Arial"/>
          <w:i/>
          <w:iCs/>
          <w:color w:val="000000" w:themeColor="text1"/>
        </w:rPr>
        <w:t>J. Soft Comput. Data Mining</w:t>
      </w:r>
      <w:r w:rsidRPr="00043496">
        <w:rPr>
          <w:rFonts w:ascii="Arial" w:hAnsi="Arial" w:cs="Arial"/>
          <w:color w:val="000000" w:themeColor="text1"/>
        </w:rPr>
        <w:t>, vol. 3, no. 1, pp. 45–57, 2022.</w:t>
      </w:r>
      <w:r w:rsidR="000A0AE0">
        <w:rPr>
          <w:rFonts w:ascii="Arial" w:hAnsi="Arial" w:cs="Arial"/>
          <w:color w:val="000000" w:themeColor="text1"/>
        </w:rPr>
        <w:t xml:space="preserve">  </w:t>
      </w:r>
    </w:p>
    <w:p w14:paraId="618EBAD1" w14:textId="2E33DA94" w:rsidR="00043496" w:rsidRDefault="00043496" w:rsidP="007231E3">
      <w:pPr>
        <w:spacing w:line="360" w:lineRule="auto"/>
        <w:jc w:val="both"/>
        <w:rPr>
          <w:rFonts w:ascii="Arial" w:hAnsi="Arial" w:cs="Arial"/>
          <w:color w:val="000000" w:themeColor="text1"/>
        </w:rPr>
      </w:pPr>
      <w:r w:rsidRPr="00043496">
        <w:rPr>
          <w:rFonts w:ascii="Arial" w:hAnsi="Arial" w:cs="Arial"/>
          <w:color w:val="000000" w:themeColor="text1"/>
        </w:rPr>
        <w:t xml:space="preserve">[4] D. </w:t>
      </w:r>
      <w:proofErr w:type="spellStart"/>
      <w:r w:rsidRPr="00043496">
        <w:rPr>
          <w:rFonts w:ascii="Arial" w:hAnsi="Arial" w:cs="Arial"/>
          <w:color w:val="000000" w:themeColor="text1"/>
        </w:rPr>
        <w:t>Solodovnikova</w:t>
      </w:r>
      <w:proofErr w:type="spellEnd"/>
      <w:r w:rsidRPr="00043496">
        <w:rPr>
          <w:rFonts w:ascii="Arial" w:hAnsi="Arial" w:cs="Arial"/>
          <w:color w:val="000000" w:themeColor="text1"/>
        </w:rPr>
        <w:t xml:space="preserve">, L. </w:t>
      </w:r>
      <w:proofErr w:type="spellStart"/>
      <w:r w:rsidRPr="00043496">
        <w:rPr>
          <w:rFonts w:ascii="Arial" w:hAnsi="Arial" w:cs="Arial"/>
          <w:color w:val="000000" w:themeColor="text1"/>
        </w:rPr>
        <w:t>Niedrite</w:t>
      </w:r>
      <w:proofErr w:type="spellEnd"/>
      <w:r w:rsidRPr="00043496">
        <w:rPr>
          <w:rFonts w:ascii="Arial" w:hAnsi="Arial" w:cs="Arial"/>
          <w:color w:val="000000" w:themeColor="text1"/>
        </w:rPr>
        <w:t xml:space="preserve">, and L. </w:t>
      </w:r>
      <w:proofErr w:type="spellStart"/>
      <w:r w:rsidRPr="00043496">
        <w:rPr>
          <w:rFonts w:ascii="Arial" w:hAnsi="Arial" w:cs="Arial"/>
          <w:color w:val="000000" w:themeColor="text1"/>
        </w:rPr>
        <w:t>Svilpe</w:t>
      </w:r>
      <w:proofErr w:type="spellEnd"/>
      <w:r w:rsidRPr="00043496">
        <w:rPr>
          <w:rFonts w:ascii="Arial" w:hAnsi="Arial" w:cs="Arial"/>
          <w:color w:val="000000" w:themeColor="text1"/>
        </w:rPr>
        <w:t xml:space="preserve">, “Managing evolution of heterogeneous data sources of a data warehouse,” </w:t>
      </w:r>
      <w:r w:rsidR="00E1065A" w:rsidRPr="00E1065A">
        <w:rPr>
          <w:rFonts w:ascii="Arial" w:hAnsi="Arial" w:cs="Arial"/>
          <w:i/>
          <w:iCs/>
          <w:color w:val="000000" w:themeColor="text1"/>
        </w:rPr>
        <w:t>Proc. 23rd Int. Conf. on Enterprise Information Systems (ICEIS), 2021.</w:t>
      </w:r>
    </w:p>
    <w:p w14:paraId="5C7E6AFA" w14:textId="77777777" w:rsidR="00343010" w:rsidRDefault="00BA1E05" w:rsidP="007231E3">
      <w:pPr>
        <w:spacing w:line="360" w:lineRule="auto"/>
        <w:jc w:val="both"/>
        <w:rPr>
          <w:rFonts w:ascii="Arial" w:hAnsi="Arial" w:cs="Arial"/>
          <w:color w:val="000000" w:themeColor="text1"/>
        </w:rPr>
      </w:pPr>
      <w:r w:rsidRPr="00BA1E05">
        <w:rPr>
          <w:rFonts w:ascii="Arial" w:hAnsi="Arial" w:cs="Arial"/>
          <w:color w:val="000000" w:themeColor="text1"/>
        </w:rPr>
        <w:t xml:space="preserve">[5] D. Duma, “Recognizing the value of data in business operations: A study on gathering internal and external data and ways to utilize it in business strategies,” </w:t>
      </w:r>
      <w:proofErr w:type="gramStart"/>
      <w:r w:rsidRPr="00BA1E05">
        <w:rPr>
          <w:rFonts w:ascii="Arial" w:hAnsi="Arial" w:cs="Arial"/>
          <w:color w:val="000000" w:themeColor="text1"/>
        </w:rPr>
        <w:t>Bachelor’s</w:t>
      </w:r>
      <w:proofErr w:type="gramEnd"/>
      <w:r w:rsidRPr="00BA1E05">
        <w:rPr>
          <w:rFonts w:ascii="Arial" w:hAnsi="Arial" w:cs="Arial"/>
          <w:color w:val="000000" w:themeColor="text1"/>
        </w:rPr>
        <w:t xml:space="preserve"> thesis, </w:t>
      </w:r>
      <w:proofErr w:type="spellStart"/>
      <w:r w:rsidRPr="00BA1E05">
        <w:rPr>
          <w:rFonts w:ascii="Arial" w:hAnsi="Arial" w:cs="Arial"/>
          <w:color w:val="000000" w:themeColor="text1"/>
        </w:rPr>
        <w:t>Centria</w:t>
      </w:r>
      <w:proofErr w:type="spellEnd"/>
      <w:r w:rsidRPr="00BA1E05">
        <w:rPr>
          <w:rFonts w:ascii="Arial" w:hAnsi="Arial" w:cs="Arial"/>
          <w:color w:val="000000" w:themeColor="text1"/>
        </w:rPr>
        <w:t xml:space="preserve"> University of Applied Sciences, Theseus.fi, 2021. </w:t>
      </w:r>
    </w:p>
    <w:p w14:paraId="7869062B" w14:textId="11C20D21" w:rsidR="00FB0259" w:rsidRDefault="00FB0259" w:rsidP="007231E3">
      <w:pPr>
        <w:spacing w:line="360" w:lineRule="auto"/>
        <w:jc w:val="both"/>
        <w:rPr>
          <w:rFonts w:ascii="Arial" w:hAnsi="Arial" w:cs="Arial"/>
          <w:color w:val="000000" w:themeColor="text1"/>
        </w:rPr>
      </w:pPr>
      <w:r w:rsidRPr="00FB0259">
        <w:rPr>
          <w:rFonts w:ascii="Arial" w:hAnsi="Arial" w:cs="Arial"/>
          <w:color w:val="000000" w:themeColor="text1"/>
        </w:rPr>
        <w:t xml:space="preserve">[6] B. Khan, S. Jan, W. Khan, and M. I. Chughtai, “An overview of ETL techniques, tools, processes and evaluations in data warehousing,” </w:t>
      </w:r>
      <w:r w:rsidRPr="00FB0259">
        <w:rPr>
          <w:rFonts w:ascii="Arial" w:hAnsi="Arial" w:cs="Arial"/>
          <w:i/>
          <w:iCs/>
          <w:color w:val="000000" w:themeColor="text1"/>
        </w:rPr>
        <w:t>J. Big Data</w:t>
      </w:r>
      <w:r w:rsidRPr="00FB0259">
        <w:rPr>
          <w:rFonts w:ascii="Arial" w:hAnsi="Arial" w:cs="Arial"/>
          <w:color w:val="000000" w:themeColor="text1"/>
        </w:rPr>
        <w:t xml:space="preserve">, vol. 6, 2024. </w:t>
      </w:r>
    </w:p>
    <w:p w14:paraId="06ADE5AB" w14:textId="77777777" w:rsidR="00B636E3" w:rsidRDefault="00B636E3" w:rsidP="00526492">
      <w:pPr>
        <w:spacing w:line="360" w:lineRule="auto"/>
        <w:jc w:val="both"/>
        <w:rPr>
          <w:rFonts w:ascii="Arial" w:hAnsi="Arial" w:cs="Arial"/>
          <w:color w:val="000000" w:themeColor="text1"/>
        </w:rPr>
      </w:pPr>
      <w:r w:rsidRPr="00B636E3">
        <w:rPr>
          <w:rFonts w:ascii="Arial" w:hAnsi="Arial" w:cs="Arial"/>
          <w:color w:val="000000" w:themeColor="text1"/>
        </w:rPr>
        <w:t xml:space="preserve">[7] A. Lamer, C. Saint-Dizier, N. Paris, and E. </w:t>
      </w:r>
      <w:proofErr w:type="spellStart"/>
      <w:r w:rsidRPr="00B636E3">
        <w:rPr>
          <w:rFonts w:ascii="Arial" w:hAnsi="Arial" w:cs="Arial"/>
          <w:color w:val="000000" w:themeColor="text1"/>
        </w:rPr>
        <w:t>Chazard</w:t>
      </w:r>
      <w:proofErr w:type="spellEnd"/>
      <w:r w:rsidRPr="00B636E3">
        <w:rPr>
          <w:rFonts w:ascii="Arial" w:hAnsi="Arial" w:cs="Arial"/>
          <w:color w:val="000000" w:themeColor="text1"/>
        </w:rPr>
        <w:t>, “</w:t>
      </w:r>
      <w:proofErr w:type="gramStart"/>
      <w:r w:rsidRPr="00B636E3">
        <w:rPr>
          <w:rFonts w:ascii="Arial" w:hAnsi="Arial" w:cs="Arial"/>
          <w:color w:val="000000" w:themeColor="text1"/>
        </w:rPr>
        <w:t>Data lake</w:t>
      </w:r>
      <w:proofErr w:type="gramEnd"/>
      <w:r w:rsidRPr="00B636E3">
        <w:rPr>
          <w:rFonts w:ascii="Arial" w:hAnsi="Arial" w:cs="Arial"/>
          <w:color w:val="000000" w:themeColor="text1"/>
        </w:rPr>
        <w:t xml:space="preserve">, data warehouse, </w:t>
      </w:r>
      <w:proofErr w:type="spellStart"/>
      <w:r w:rsidRPr="00B636E3">
        <w:rPr>
          <w:rFonts w:ascii="Arial" w:hAnsi="Arial" w:cs="Arial"/>
          <w:color w:val="000000" w:themeColor="text1"/>
        </w:rPr>
        <w:t>datamart</w:t>
      </w:r>
      <w:proofErr w:type="spellEnd"/>
      <w:r w:rsidRPr="00B636E3">
        <w:rPr>
          <w:rFonts w:ascii="Arial" w:hAnsi="Arial" w:cs="Arial"/>
          <w:color w:val="000000" w:themeColor="text1"/>
        </w:rPr>
        <w:t xml:space="preserve">, and feature store: Their contributions to the complete data reuse pipeline,” </w:t>
      </w:r>
      <w:r w:rsidRPr="00B636E3">
        <w:rPr>
          <w:rFonts w:ascii="Arial" w:hAnsi="Arial" w:cs="Arial"/>
          <w:i/>
          <w:iCs/>
          <w:color w:val="000000" w:themeColor="text1"/>
        </w:rPr>
        <w:t>JMIR Med. Inform.</w:t>
      </w:r>
      <w:r w:rsidRPr="00B636E3">
        <w:rPr>
          <w:rFonts w:ascii="Arial" w:hAnsi="Arial" w:cs="Arial"/>
          <w:color w:val="000000" w:themeColor="text1"/>
        </w:rPr>
        <w:t xml:space="preserve">, vol. 12, e54590, 2024. </w:t>
      </w:r>
    </w:p>
    <w:p w14:paraId="19B0F9C3" w14:textId="77777777" w:rsidR="00775743" w:rsidRDefault="00775743" w:rsidP="007231E3">
      <w:pPr>
        <w:spacing w:line="360" w:lineRule="auto"/>
        <w:jc w:val="both"/>
        <w:rPr>
          <w:rFonts w:ascii="Arial" w:hAnsi="Arial" w:cs="Arial"/>
          <w:color w:val="000000" w:themeColor="text1"/>
        </w:rPr>
      </w:pPr>
      <w:r w:rsidRPr="00775743">
        <w:rPr>
          <w:rFonts w:ascii="Arial" w:hAnsi="Arial" w:cs="Arial"/>
          <w:color w:val="000000" w:themeColor="text1"/>
        </w:rPr>
        <w:lastRenderedPageBreak/>
        <w:t xml:space="preserve">[8] R. A. Jaleel and T. M. J. Abbas, “Design and implementation of efficient decision support system using data mart architecture,” </w:t>
      </w:r>
      <w:r w:rsidRPr="00775743">
        <w:rPr>
          <w:rFonts w:ascii="Arial" w:hAnsi="Arial" w:cs="Arial"/>
          <w:i/>
          <w:iCs/>
          <w:color w:val="000000" w:themeColor="text1"/>
        </w:rPr>
        <w:t>Proc. 2020 Int. Conf. on Electrical, Communication, and Computer Engineering (ICECCE)</w:t>
      </w:r>
      <w:r w:rsidRPr="00775743">
        <w:rPr>
          <w:rFonts w:ascii="Arial" w:hAnsi="Arial" w:cs="Arial"/>
          <w:color w:val="000000" w:themeColor="text1"/>
        </w:rPr>
        <w:t xml:space="preserve">, IEEE, 2020. </w:t>
      </w:r>
    </w:p>
    <w:p w14:paraId="5F741215" w14:textId="77777777" w:rsidR="00775743" w:rsidRDefault="00775743" w:rsidP="007231E3">
      <w:pPr>
        <w:spacing w:line="360" w:lineRule="auto"/>
        <w:jc w:val="both"/>
        <w:rPr>
          <w:rFonts w:ascii="Arial" w:hAnsi="Arial" w:cs="Arial"/>
          <w:color w:val="000000" w:themeColor="text1"/>
        </w:rPr>
      </w:pPr>
      <w:r w:rsidRPr="00775743">
        <w:rPr>
          <w:rFonts w:ascii="Arial" w:hAnsi="Arial" w:cs="Arial"/>
          <w:color w:val="000000" w:themeColor="text1"/>
        </w:rPr>
        <w:t xml:space="preserve">[9] L. </w:t>
      </w:r>
      <w:proofErr w:type="spellStart"/>
      <w:r w:rsidRPr="00775743">
        <w:rPr>
          <w:rFonts w:ascii="Arial" w:hAnsi="Arial" w:cs="Arial"/>
          <w:color w:val="000000" w:themeColor="text1"/>
        </w:rPr>
        <w:t>Mbangata</w:t>
      </w:r>
      <w:proofErr w:type="spellEnd"/>
      <w:r w:rsidRPr="00775743">
        <w:rPr>
          <w:rFonts w:ascii="Arial" w:hAnsi="Arial" w:cs="Arial"/>
          <w:color w:val="000000" w:themeColor="text1"/>
        </w:rPr>
        <w:t xml:space="preserve"> and U. G. Singh, “A literature review on teaching and learning database normalisation: Approaches and tools,” </w:t>
      </w:r>
      <w:r w:rsidRPr="00775743">
        <w:rPr>
          <w:rFonts w:ascii="Arial" w:hAnsi="Arial" w:cs="Arial"/>
          <w:i/>
          <w:iCs/>
          <w:color w:val="000000" w:themeColor="text1"/>
        </w:rPr>
        <w:t xml:space="preserve">Int. </w:t>
      </w:r>
      <w:proofErr w:type="spellStart"/>
      <w:r w:rsidRPr="00775743">
        <w:rPr>
          <w:rFonts w:ascii="Arial" w:hAnsi="Arial" w:cs="Arial"/>
          <w:i/>
          <w:iCs/>
          <w:color w:val="000000" w:themeColor="text1"/>
        </w:rPr>
        <w:t>Congr</w:t>
      </w:r>
      <w:proofErr w:type="spellEnd"/>
      <w:r w:rsidRPr="00775743">
        <w:rPr>
          <w:rFonts w:ascii="Arial" w:hAnsi="Arial" w:cs="Arial"/>
          <w:i/>
          <w:iCs/>
          <w:color w:val="000000" w:themeColor="text1"/>
        </w:rPr>
        <w:t>. on Information and Communication Technology</w:t>
      </w:r>
      <w:r w:rsidRPr="00775743">
        <w:rPr>
          <w:rFonts w:ascii="Arial" w:hAnsi="Arial" w:cs="Arial"/>
          <w:color w:val="000000" w:themeColor="text1"/>
        </w:rPr>
        <w:t xml:space="preserve">, Springer, Singapore, 2024. </w:t>
      </w:r>
    </w:p>
    <w:p w14:paraId="798EAA0C" w14:textId="77777777" w:rsidR="00954848" w:rsidRDefault="00954848" w:rsidP="007231E3">
      <w:pPr>
        <w:spacing w:line="360" w:lineRule="auto"/>
        <w:jc w:val="both"/>
        <w:rPr>
          <w:rFonts w:ascii="Arial" w:hAnsi="Arial" w:cs="Arial"/>
          <w:color w:val="000000" w:themeColor="text1"/>
        </w:rPr>
      </w:pPr>
      <w:r w:rsidRPr="00954848">
        <w:rPr>
          <w:rFonts w:ascii="Arial" w:hAnsi="Arial" w:cs="Arial"/>
          <w:color w:val="000000" w:themeColor="text1"/>
        </w:rPr>
        <w:t xml:space="preserve">[10] A. M. M. Fattah, T. Ridwan, and N. </w:t>
      </w:r>
      <w:proofErr w:type="spellStart"/>
      <w:r w:rsidRPr="00954848">
        <w:rPr>
          <w:rFonts w:ascii="Arial" w:hAnsi="Arial" w:cs="Arial"/>
          <w:color w:val="000000" w:themeColor="text1"/>
        </w:rPr>
        <w:t>Sulistiyowati</w:t>
      </w:r>
      <w:proofErr w:type="spellEnd"/>
      <w:r w:rsidRPr="00954848">
        <w:rPr>
          <w:rFonts w:ascii="Arial" w:hAnsi="Arial" w:cs="Arial"/>
          <w:color w:val="000000" w:themeColor="text1"/>
        </w:rPr>
        <w:t xml:space="preserve">, “Dimensional data design for event feedback data warehouse,” </w:t>
      </w:r>
      <w:r w:rsidRPr="00954848">
        <w:rPr>
          <w:rFonts w:ascii="Arial" w:hAnsi="Arial" w:cs="Arial"/>
          <w:i/>
          <w:iCs/>
          <w:color w:val="000000" w:themeColor="text1"/>
        </w:rPr>
        <w:t xml:space="preserve">JISA (J. </w:t>
      </w:r>
      <w:proofErr w:type="spellStart"/>
      <w:r w:rsidRPr="00954848">
        <w:rPr>
          <w:rFonts w:ascii="Arial" w:hAnsi="Arial" w:cs="Arial"/>
          <w:i/>
          <w:iCs/>
          <w:color w:val="000000" w:themeColor="text1"/>
        </w:rPr>
        <w:t>Informatika</w:t>
      </w:r>
      <w:proofErr w:type="spellEnd"/>
      <w:r w:rsidRPr="00954848">
        <w:rPr>
          <w:rFonts w:ascii="Arial" w:hAnsi="Arial" w:cs="Arial"/>
          <w:i/>
          <w:iCs/>
          <w:color w:val="000000" w:themeColor="text1"/>
        </w:rPr>
        <w:t xml:space="preserve"> dan Sains)</w:t>
      </w:r>
      <w:r w:rsidRPr="00954848">
        <w:rPr>
          <w:rFonts w:ascii="Arial" w:hAnsi="Arial" w:cs="Arial"/>
          <w:color w:val="000000" w:themeColor="text1"/>
        </w:rPr>
        <w:t xml:space="preserve">, vol. 6, no. 1, pp. 69–73, 2023. </w:t>
      </w:r>
    </w:p>
    <w:p w14:paraId="1FD4C050" w14:textId="77777777" w:rsidR="00954848" w:rsidRDefault="00954848" w:rsidP="007231E3">
      <w:pPr>
        <w:spacing w:line="360" w:lineRule="auto"/>
        <w:jc w:val="both"/>
        <w:rPr>
          <w:rFonts w:ascii="Arial" w:hAnsi="Arial" w:cs="Arial"/>
          <w:color w:val="000000" w:themeColor="text1"/>
        </w:rPr>
      </w:pPr>
      <w:r w:rsidRPr="00954848">
        <w:rPr>
          <w:rFonts w:ascii="Arial" w:hAnsi="Arial" w:cs="Arial"/>
          <w:color w:val="000000" w:themeColor="text1"/>
        </w:rPr>
        <w:t xml:space="preserve">[11] A. C. </w:t>
      </w:r>
      <w:proofErr w:type="spellStart"/>
      <w:r w:rsidRPr="00954848">
        <w:rPr>
          <w:rFonts w:ascii="Arial" w:hAnsi="Arial" w:cs="Arial"/>
          <w:color w:val="000000" w:themeColor="text1"/>
        </w:rPr>
        <w:t>Ikegwu</w:t>
      </w:r>
      <w:proofErr w:type="spellEnd"/>
      <w:r w:rsidRPr="00954848">
        <w:rPr>
          <w:rFonts w:ascii="Arial" w:hAnsi="Arial" w:cs="Arial"/>
          <w:color w:val="000000" w:themeColor="text1"/>
        </w:rPr>
        <w:t xml:space="preserve">, B. E. Eze, M. N. </w:t>
      </w:r>
      <w:proofErr w:type="spellStart"/>
      <w:r w:rsidRPr="00954848">
        <w:rPr>
          <w:rFonts w:ascii="Arial" w:hAnsi="Arial" w:cs="Arial"/>
          <w:color w:val="000000" w:themeColor="text1"/>
        </w:rPr>
        <w:t>Ogbuabor</w:t>
      </w:r>
      <w:proofErr w:type="spellEnd"/>
      <w:r w:rsidRPr="00954848">
        <w:rPr>
          <w:rFonts w:ascii="Arial" w:hAnsi="Arial" w:cs="Arial"/>
          <w:color w:val="000000" w:themeColor="text1"/>
        </w:rPr>
        <w:t xml:space="preserve">, C. F. Mbah, and O. A. Okafor, “Big data analytics for data-driven industry: A review of data sources, tools, challenges, solutions, and research directions,” </w:t>
      </w:r>
      <w:r w:rsidRPr="00954848">
        <w:rPr>
          <w:rFonts w:ascii="Arial" w:hAnsi="Arial" w:cs="Arial"/>
          <w:i/>
          <w:iCs/>
          <w:color w:val="000000" w:themeColor="text1"/>
        </w:rPr>
        <w:t>Cluster Comput.</w:t>
      </w:r>
      <w:r w:rsidRPr="00954848">
        <w:rPr>
          <w:rFonts w:ascii="Arial" w:hAnsi="Arial" w:cs="Arial"/>
          <w:color w:val="000000" w:themeColor="text1"/>
        </w:rPr>
        <w:t xml:space="preserve">, vol. 25, no. 5, pp. 3343–3387, 2022. </w:t>
      </w:r>
    </w:p>
    <w:p w14:paraId="78172425" w14:textId="7B8CCA96" w:rsidR="00330D29" w:rsidRDefault="0063578D" w:rsidP="007231E3">
      <w:pPr>
        <w:spacing w:line="360" w:lineRule="auto"/>
        <w:jc w:val="both"/>
        <w:rPr>
          <w:rFonts w:ascii="Arial" w:hAnsi="Arial" w:cs="Arial"/>
          <w:color w:val="000000" w:themeColor="text1"/>
        </w:rPr>
      </w:pPr>
      <w:r w:rsidRPr="0063578D">
        <w:rPr>
          <w:rFonts w:ascii="Arial" w:hAnsi="Arial" w:cs="Arial"/>
          <w:color w:val="000000" w:themeColor="text1"/>
        </w:rPr>
        <w:t xml:space="preserve">[12] K. Rajasekaran, P. Saravanan, and P. Prabakaran, “Comparative study on data warehouse tables and schema—An overview,” </w:t>
      </w:r>
      <w:r w:rsidRPr="0063578D">
        <w:rPr>
          <w:rFonts w:ascii="Arial" w:hAnsi="Arial" w:cs="Arial"/>
          <w:i/>
          <w:iCs/>
          <w:color w:val="000000" w:themeColor="text1"/>
        </w:rPr>
        <w:t>Adalya J.</w:t>
      </w:r>
      <w:r w:rsidRPr="0063578D">
        <w:rPr>
          <w:rFonts w:ascii="Arial" w:hAnsi="Arial" w:cs="Arial"/>
          <w:color w:val="000000" w:themeColor="text1"/>
        </w:rPr>
        <w:t>, vol. 9, pp. 126–132, 2020.</w:t>
      </w:r>
      <w:r w:rsidR="00081DF5">
        <w:rPr>
          <w:rFonts w:ascii="Arial" w:hAnsi="Arial" w:cs="Arial"/>
          <w:color w:val="000000" w:themeColor="text1"/>
        </w:rPr>
        <w:t xml:space="preserve"> </w:t>
      </w:r>
    </w:p>
    <w:p w14:paraId="6B74CFD2" w14:textId="29899A3C" w:rsidR="003F2651" w:rsidRDefault="00724D5E" w:rsidP="007231E3">
      <w:pPr>
        <w:spacing w:line="360" w:lineRule="auto"/>
        <w:jc w:val="both"/>
        <w:rPr>
          <w:rFonts w:ascii="Arial" w:hAnsi="Arial" w:cs="Arial"/>
          <w:color w:val="000000" w:themeColor="text1"/>
        </w:rPr>
      </w:pPr>
      <w:r>
        <w:rPr>
          <w:rFonts w:ascii="Arial" w:hAnsi="Arial" w:cs="Arial"/>
          <w:color w:val="000000" w:themeColor="text1"/>
        </w:rPr>
        <w:t xml:space="preserve">[13] </w:t>
      </w:r>
      <w:r w:rsidR="001B5913" w:rsidRPr="001B5913">
        <w:rPr>
          <w:rFonts w:ascii="Arial" w:hAnsi="Arial" w:cs="Arial"/>
          <w:color w:val="000000" w:themeColor="text1"/>
        </w:rPr>
        <w:t xml:space="preserve">S. Panda, “Dimensional design and star schema structures in data processing and </w:t>
      </w:r>
      <w:proofErr w:type="spellStart"/>
      <w:r w:rsidR="001B5913" w:rsidRPr="001B5913">
        <w:rPr>
          <w:rFonts w:ascii="Arial" w:hAnsi="Arial" w:cs="Arial"/>
          <w:color w:val="000000" w:themeColor="text1"/>
        </w:rPr>
        <w:t>modeling</w:t>
      </w:r>
      <w:proofErr w:type="spellEnd"/>
      <w:r w:rsidR="001B5913" w:rsidRPr="001B5913">
        <w:rPr>
          <w:rFonts w:ascii="Arial" w:hAnsi="Arial" w:cs="Arial"/>
          <w:color w:val="000000" w:themeColor="text1"/>
        </w:rPr>
        <w:t xml:space="preserve">,” </w:t>
      </w:r>
      <w:r w:rsidR="001B5913" w:rsidRPr="001B5913">
        <w:rPr>
          <w:rFonts w:ascii="Arial" w:hAnsi="Arial" w:cs="Arial"/>
          <w:i/>
          <w:iCs/>
          <w:color w:val="000000" w:themeColor="text1"/>
        </w:rPr>
        <w:t>in Big Data Analytics with Microsoft: Scalable Intelligence Using Azure Synapse, Fabric, and Power BI</w:t>
      </w:r>
      <w:r w:rsidR="001B5913" w:rsidRPr="001B5913">
        <w:rPr>
          <w:rFonts w:ascii="Arial" w:hAnsi="Arial" w:cs="Arial"/>
          <w:color w:val="000000" w:themeColor="text1"/>
        </w:rPr>
        <w:t>, p. 170, 2025.</w:t>
      </w:r>
    </w:p>
    <w:p w14:paraId="0B194D24" w14:textId="77777777" w:rsidR="004708EC" w:rsidRDefault="004708EC" w:rsidP="007231E3">
      <w:pPr>
        <w:spacing w:line="360" w:lineRule="auto"/>
        <w:jc w:val="both"/>
        <w:rPr>
          <w:rFonts w:ascii="Arial" w:hAnsi="Arial" w:cs="Arial"/>
          <w:color w:val="000000" w:themeColor="text1"/>
        </w:rPr>
      </w:pPr>
      <w:r w:rsidRPr="004708EC">
        <w:rPr>
          <w:rFonts w:ascii="Arial" w:hAnsi="Arial" w:cs="Arial"/>
          <w:color w:val="000000" w:themeColor="text1"/>
        </w:rPr>
        <w:t xml:space="preserve">[14] A. Vineş and R.-E. </w:t>
      </w:r>
      <w:proofErr w:type="spellStart"/>
      <w:r w:rsidRPr="004708EC">
        <w:rPr>
          <w:rFonts w:ascii="Arial" w:hAnsi="Arial" w:cs="Arial"/>
          <w:color w:val="000000" w:themeColor="text1"/>
        </w:rPr>
        <w:t>Samoilă</w:t>
      </w:r>
      <w:proofErr w:type="spellEnd"/>
      <w:r w:rsidRPr="004708EC">
        <w:rPr>
          <w:rFonts w:ascii="Arial" w:hAnsi="Arial" w:cs="Arial"/>
          <w:color w:val="000000" w:themeColor="text1"/>
        </w:rPr>
        <w:t xml:space="preserve">, “An overview of data vault methodology and its benefits,” </w:t>
      </w:r>
      <w:r w:rsidRPr="004708EC">
        <w:rPr>
          <w:rFonts w:ascii="Arial" w:hAnsi="Arial" w:cs="Arial"/>
          <w:i/>
          <w:iCs/>
          <w:color w:val="000000" w:themeColor="text1"/>
        </w:rPr>
        <w:t>Informatica Economica</w:t>
      </w:r>
      <w:r w:rsidRPr="004708EC">
        <w:rPr>
          <w:rFonts w:ascii="Arial" w:hAnsi="Arial" w:cs="Arial"/>
          <w:color w:val="000000" w:themeColor="text1"/>
        </w:rPr>
        <w:t xml:space="preserve">, vol. 27, no. 2, pp. 15–24, 2023. </w:t>
      </w:r>
    </w:p>
    <w:p w14:paraId="5F00915C" w14:textId="77777777" w:rsidR="004708EC" w:rsidRDefault="004708EC" w:rsidP="007231E3">
      <w:pPr>
        <w:spacing w:line="360" w:lineRule="auto"/>
        <w:jc w:val="both"/>
        <w:rPr>
          <w:rFonts w:ascii="Arial" w:hAnsi="Arial" w:cs="Arial"/>
          <w:color w:val="000000" w:themeColor="text1"/>
        </w:rPr>
      </w:pPr>
      <w:r w:rsidRPr="004708EC">
        <w:rPr>
          <w:rFonts w:ascii="Arial" w:hAnsi="Arial" w:cs="Arial"/>
          <w:color w:val="000000" w:themeColor="text1"/>
        </w:rPr>
        <w:t xml:space="preserve">[15] W. Wijaya and J. </w:t>
      </w:r>
      <w:proofErr w:type="spellStart"/>
      <w:r w:rsidRPr="004708EC">
        <w:rPr>
          <w:rFonts w:ascii="Arial" w:hAnsi="Arial" w:cs="Arial"/>
          <w:color w:val="000000" w:themeColor="text1"/>
        </w:rPr>
        <w:t>Wiratama</w:t>
      </w:r>
      <w:proofErr w:type="spellEnd"/>
      <w:r w:rsidRPr="004708EC">
        <w:rPr>
          <w:rFonts w:ascii="Arial" w:hAnsi="Arial" w:cs="Arial"/>
          <w:color w:val="000000" w:themeColor="text1"/>
        </w:rPr>
        <w:t xml:space="preserve">, “The implementation of data warehouse and star schema for optimizing property business decision making,” </w:t>
      </w:r>
      <w:r w:rsidRPr="004708EC">
        <w:rPr>
          <w:rFonts w:ascii="Arial" w:hAnsi="Arial" w:cs="Arial"/>
          <w:i/>
          <w:iCs/>
          <w:color w:val="000000" w:themeColor="text1"/>
        </w:rPr>
        <w:t xml:space="preserve">G-Tech: J. </w:t>
      </w:r>
      <w:proofErr w:type="spellStart"/>
      <w:r w:rsidRPr="004708EC">
        <w:rPr>
          <w:rFonts w:ascii="Arial" w:hAnsi="Arial" w:cs="Arial"/>
          <w:i/>
          <w:iCs/>
          <w:color w:val="000000" w:themeColor="text1"/>
        </w:rPr>
        <w:t>Teknologi</w:t>
      </w:r>
      <w:proofErr w:type="spellEnd"/>
      <w:r w:rsidRPr="004708EC">
        <w:rPr>
          <w:rFonts w:ascii="Arial" w:hAnsi="Arial" w:cs="Arial"/>
          <w:i/>
          <w:iCs/>
          <w:color w:val="000000" w:themeColor="text1"/>
        </w:rPr>
        <w:t xml:space="preserve"> </w:t>
      </w:r>
      <w:proofErr w:type="spellStart"/>
      <w:r w:rsidRPr="004708EC">
        <w:rPr>
          <w:rFonts w:ascii="Arial" w:hAnsi="Arial" w:cs="Arial"/>
          <w:i/>
          <w:iCs/>
          <w:color w:val="000000" w:themeColor="text1"/>
        </w:rPr>
        <w:t>Terapan</w:t>
      </w:r>
      <w:proofErr w:type="spellEnd"/>
      <w:r w:rsidRPr="004708EC">
        <w:rPr>
          <w:rFonts w:ascii="Arial" w:hAnsi="Arial" w:cs="Arial"/>
          <w:color w:val="000000" w:themeColor="text1"/>
        </w:rPr>
        <w:t xml:space="preserve">, vol. 8, no. 2, pp. 1242–1250, 2024. </w:t>
      </w:r>
    </w:p>
    <w:p w14:paraId="50796F11" w14:textId="77777777" w:rsidR="00D54053" w:rsidRDefault="00D54053" w:rsidP="007231E3">
      <w:pPr>
        <w:spacing w:line="360" w:lineRule="auto"/>
        <w:jc w:val="both"/>
        <w:rPr>
          <w:rFonts w:ascii="Arial" w:hAnsi="Arial" w:cs="Arial"/>
          <w:color w:val="000000" w:themeColor="text1"/>
        </w:rPr>
      </w:pPr>
      <w:r w:rsidRPr="00D54053">
        <w:rPr>
          <w:rFonts w:ascii="Arial" w:hAnsi="Arial" w:cs="Arial"/>
          <w:color w:val="000000" w:themeColor="text1"/>
        </w:rPr>
        <w:t xml:space="preserve">[16] A. Nambiar and D. Mundra, “An overview of data warehouse and data lake in modern enterprise data management,” </w:t>
      </w:r>
      <w:r w:rsidRPr="00D54053">
        <w:rPr>
          <w:rFonts w:ascii="Arial" w:hAnsi="Arial" w:cs="Arial"/>
          <w:i/>
          <w:iCs/>
          <w:color w:val="000000" w:themeColor="text1"/>
        </w:rPr>
        <w:t>Big Data and Cognitive Comput.</w:t>
      </w:r>
      <w:r w:rsidRPr="00D54053">
        <w:rPr>
          <w:rFonts w:ascii="Arial" w:hAnsi="Arial" w:cs="Arial"/>
          <w:color w:val="000000" w:themeColor="text1"/>
        </w:rPr>
        <w:t xml:space="preserve">, vol. 6, no. 4, p. 132, 2022. </w:t>
      </w:r>
    </w:p>
    <w:p w14:paraId="3EF4D9C5" w14:textId="77777777" w:rsidR="00D54053" w:rsidRDefault="00D54053" w:rsidP="007231E3">
      <w:pPr>
        <w:spacing w:line="360" w:lineRule="auto"/>
        <w:jc w:val="both"/>
        <w:rPr>
          <w:rFonts w:ascii="Arial" w:hAnsi="Arial" w:cs="Arial"/>
          <w:color w:val="000000" w:themeColor="text1"/>
        </w:rPr>
      </w:pPr>
      <w:r w:rsidRPr="00D54053">
        <w:rPr>
          <w:rFonts w:ascii="Arial" w:hAnsi="Arial" w:cs="Arial"/>
          <w:color w:val="000000" w:themeColor="text1"/>
        </w:rPr>
        <w:t xml:space="preserve">[17] F. </w:t>
      </w:r>
      <w:proofErr w:type="spellStart"/>
      <w:r w:rsidRPr="00D54053">
        <w:rPr>
          <w:rFonts w:ascii="Arial" w:hAnsi="Arial" w:cs="Arial"/>
          <w:color w:val="000000" w:themeColor="text1"/>
        </w:rPr>
        <w:t>Khoshbakht</w:t>
      </w:r>
      <w:proofErr w:type="spellEnd"/>
      <w:r w:rsidRPr="00D54053">
        <w:rPr>
          <w:rFonts w:ascii="Arial" w:hAnsi="Arial" w:cs="Arial"/>
          <w:color w:val="000000" w:themeColor="text1"/>
        </w:rPr>
        <w:t xml:space="preserve">, A. Shiranzaei, and S. M. K. Quadri, “Design &amp; develop: Data warehouse &amp; data mart for business organization,” </w:t>
      </w:r>
      <w:r w:rsidRPr="00D54053">
        <w:rPr>
          <w:rFonts w:ascii="Arial" w:hAnsi="Arial" w:cs="Arial"/>
          <w:i/>
          <w:iCs/>
          <w:color w:val="000000" w:themeColor="text1"/>
        </w:rPr>
        <w:t xml:space="preserve">Int. J. </w:t>
      </w:r>
      <w:proofErr w:type="spellStart"/>
      <w:r w:rsidRPr="00D54053">
        <w:rPr>
          <w:rFonts w:ascii="Arial" w:hAnsi="Arial" w:cs="Arial"/>
          <w:i/>
          <w:iCs/>
          <w:color w:val="000000" w:themeColor="text1"/>
        </w:rPr>
        <w:t>Intell</w:t>
      </w:r>
      <w:proofErr w:type="spellEnd"/>
      <w:r w:rsidRPr="00D54053">
        <w:rPr>
          <w:rFonts w:ascii="Arial" w:hAnsi="Arial" w:cs="Arial"/>
          <w:i/>
          <w:iCs/>
          <w:color w:val="000000" w:themeColor="text1"/>
        </w:rPr>
        <w:t>. Syst. Appl. Eng.</w:t>
      </w:r>
      <w:r w:rsidRPr="00D54053">
        <w:rPr>
          <w:rFonts w:ascii="Arial" w:hAnsi="Arial" w:cs="Arial"/>
          <w:color w:val="000000" w:themeColor="text1"/>
        </w:rPr>
        <w:t xml:space="preserve">, vol. 11, no. 3s, pp. 260–265, 2023. </w:t>
      </w:r>
    </w:p>
    <w:p w14:paraId="6A660EC1" w14:textId="77777777" w:rsidR="005377C9" w:rsidRDefault="005377C9" w:rsidP="007231E3">
      <w:pPr>
        <w:spacing w:line="360" w:lineRule="auto"/>
        <w:jc w:val="both"/>
        <w:rPr>
          <w:rFonts w:ascii="Arial" w:hAnsi="Arial" w:cs="Arial"/>
          <w:color w:val="000000" w:themeColor="text1"/>
        </w:rPr>
      </w:pPr>
      <w:r w:rsidRPr="005377C9">
        <w:rPr>
          <w:rFonts w:ascii="Arial" w:hAnsi="Arial" w:cs="Arial"/>
          <w:color w:val="000000" w:themeColor="text1"/>
        </w:rPr>
        <w:lastRenderedPageBreak/>
        <w:t xml:space="preserve">[18] P. Badgujar, “Optimizing ETL processes for large-scale data warehouses,” </w:t>
      </w:r>
      <w:r w:rsidRPr="005377C9">
        <w:rPr>
          <w:rFonts w:ascii="Arial" w:hAnsi="Arial" w:cs="Arial"/>
          <w:i/>
          <w:iCs/>
          <w:color w:val="000000" w:themeColor="text1"/>
        </w:rPr>
        <w:t xml:space="preserve">J. Technol. </w:t>
      </w:r>
      <w:proofErr w:type="spellStart"/>
      <w:r w:rsidRPr="005377C9">
        <w:rPr>
          <w:rFonts w:ascii="Arial" w:hAnsi="Arial" w:cs="Arial"/>
          <w:i/>
          <w:iCs/>
          <w:color w:val="000000" w:themeColor="text1"/>
        </w:rPr>
        <w:t>Innov</w:t>
      </w:r>
      <w:proofErr w:type="spellEnd"/>
      <w:r w:rsidRPr="005377C9">
        <w:rPr>
          <w:rFonts w:ascii="Arial" w:hAnsi="Arial" w:cs="Arial"/>
          <w:i/>
          <w:iCs/>
          <w:color w:val="000000" w:themeColor="text1"/>
        </w:rPr>
        <w:t>.</w:t>
      </w:r>
      <w:r w:rsidRPr="005377C9">
        <w:rPr>
          <w:rFonts w:ascii="Arial" w:hAnsi="Arial" w:cs="Arial"/>
          <w:color w:val="000000" w:themeColor="text1"/>
        </w:rPr>
        <w:t xml:space="preserve">, vol. 2, no. 4, 2021. </w:t>
      </w:r>
    </w:p>
    <w:p w14:paraId="68817812" w14:textId="77777777" w:rsidR="005377C9" w:rsidRDefault="005377C9" w:rsidP="007231E3">
      <w:pPr>
        <w:spacing w:line="360" w:lineRule="auto"/>
        <w:jc w:val="both"/>
        <w:rPr>
          <w:rFonts w:ascii="Arial" w:hAnsi="Arial" w:cs="Arial"/>
          <w:color w:val="000000" w:themeColor="text1"/>
        </w:rPr>
      </w:pPr>
      <w:r w:rsidRPr="005377C9">
        <w:rPr>
          <w:rFonts w:ascii="Arial" w:hAnsi="Arial" w:cs="Arial"/>
          <w:color w:val="000000" w:themeColor="text1"/>
        </w:rPr>
        <w:t xml:space="preserve">[19] T. Z. Ali, R. K. Al-Jubouri, A. S. Al-Dahash, M. F. Al-Rawi, and H. M. Ali, “A framework for improving data quality in data warehouse: A case study,” </w:t>
      </w:r>
      <w:r w:rsidRPr="005377C9">
        <w:rPr>
          <w:rFonts w:ascii="Arial" w:hAnsi="Arial" w:cs="Arial"/>
          <w:i/>
          <w:iCs/>
          <w:color w:val="000000" w:themeColor="text1"/>
        </w:rPr>
        <w:t>Proc. 2020 21st Int. Arab Conf. on Information Technology (ACIT)</w:t>
      </w:r>
      <w:r w:rsidRPr="005377C9">
        <w:rPr>
          <w:rFonts w:ascii="Arial" w:hAnsi="Arial" w:cs="Arial"/>
          <w:color w:val="000000" w:themeColor="text1"/>
        </w:rPr>
        <w:t xml:space="preserve">, IEEE, 2020. </w:t>
      </w:r>
    </w:p>
    <w:p w14:paraId="0C06389B" w14:textId="7672FD4F" w:rsidR="00B17E5F" w:rsidRDefault="007544AC" w:rsidP="007231E3">
      <w:pPr>
        <w:spacing w:line="360" w:lineRule="auto"/>
        <w:jc w:val="both"/>
        <w:rPr>
          <w:rFonts w:ascii="Arial" w:hAnsi="Arial" w:cs="Arial"/>
          <w:color w:val="000000" w:themeColor="text1"/>
        </w:rPr>
      </w:pPr>
      <w:r w:rsidRPr="007544AC">
        <w:rPr>
          <w:rFonts w:ascii="Arial" w:hAnsi="Arial" w:cs="Arial"/>
          <w:color w:val="000000" w:themeColor="text1"/>
        </w:rPr>
        <w:t xml:space="preserve">[20] J. C. </w:t>
      </w:r>
      <w:proofErr w:type="spellStart"/>
      <w:r w:rsidRPr="007544AC">
        <w:rPr>
          <w:rFonts w:ascii="Arial" w:hAnsi="Arial" w:cs="Arial"/>
          <w:color w:val="000000" w:themeColor="text1"/>
        </w:rPr>
        <w:t>Ogeawuchi</w:t>
      </w:r>
      <w:proofErr w:type="spellEnd"/>
      <w:r w:rsidRPr="007544AC">
        <w:rPr>
          <w:rFonts w:ascii="Arial" w:hAnsi="Arial" w:cs="Arial"/>
          <w:color w:val="000000" w:themeColor="text1"/>
        </w:rPr>
        <w:t>, E. S. Nwachukwu, N. N. Anyanwu, C. O. Okorie, and C. O. Eze, “Systematic review of advanced data governance strategies for securing cloud-based data warehouses and pipelines,” Iconic Res. Eng. J., vol. 6, no. 1, pp. 784–794, 2022.</w:t>
      </w:r>
    </w:p>
    <w:p w14:paraId="4AEF6A7C" w14:textId="77777777" w:rsidR="007A6FB4" w:rsidRDefault="007A6FB4" w:rsidP="007231E3">
      <w:pPr>
        <w:spacing w:line="360" w:lineRule="auto"/>
        <w:jc w:val="both"/>
        <w:rPr>
          <w:rFonts w:ascii="Arial" w:hAnsi="Arial" w:cs="Arial"/>
          <w:color w:val="000000" w:themeColor="text1"/>
        </w:rPr>
      </w:pPr>
    </w:p>
    <w:p w14:paraId="7696D9C3" w14:textId="77777777" w:rsidR="00526492" w:rsidRDefault="00526492">
      <w:pPr>
        <w:spacing w:line="360" w:lineRule="auto"/>
        <w:jc w:val="both"/>
        <w:rPr>
          <w:rFonts w:ascii="Arial" w:hAnsi="Arial" w:cs="Arial"/>
          <w:color w:val="000000" w:themeColor="text1"/>
        </w:rPr>
      </w:pPr>
    </w:p>
    <w:p w14:paraId="32BCAA4D" w14:textId="77777777" w:rsidR="00263520" w:rsidRDefault="00263520">
      <w:pPr>
        <w:spacing w:line="360" w:lineRule="auto"/>
        <w:jc w:val="both"/>
        <w:rPr>
          <w:rFonts w:ascii="Arial" w:hAnsi="Arial" w:cs="Arial"/>
          <w:color w:val="000000" w:themeColor="text1"/>
        </w:rPr>
      </w:pPr>
    </w:p>
    <w:p w14:paraId="056664DF" w14:textId="77777777" w:rsidR="00263520" w:rsidRPr="006E55EC" w:rsidRDefault="00263520">
      <w:pPr>
        <w:spacing w:line="360" w:lineRule="auto"/>
        <w:jc w:val="both"/>
        <w:rPr>
          <w:rFonts w:ascii="Arial" w:hAnsi="Arial" w:cs="Arial"/>
          <w:color w:val="000000" w:themeColor="text1"/>
        </w:rPr>
      </w:pPr>
    </w:p>
    <w:sectPr w:rsidR="00263520" w:rsidRPr="006E55E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7FA73" w14:textId="77777777" w:rsidR="00AE2425" w:rsidRPr="00AA207E" w:rsidRDefault="00AE2425" w:rsidP="00EC3AD4">
      <w:pPr>
        <w:spacing w:after="0" w:line="240" w:lineRule="auto"/>
      </w:pPr>
      <w:r w:rsidRPr="00AA207E">
        <w:separator/>
      </w:r>
    </w:p>
  </w:endnote>
  <w:endnote w:type="continuationSeparator" w:id="0">
    <w:p w14:paraId="10E4A2FA" w14:textId="77777777" w:rsidR="00AE2425" w:rsidRPr="00AA207E" w:rsidRDefault="00AE2425" w:rsidP="00EC3AD4">
      <w:pPr>
        <w:spacing w:after="0" w:line="240" w:lineRule="auto"/>
      </w:pPr>
      <w:r w:rsidRPr="00AA207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3336280"/>
      <w:docPartObj>
        <w:docPartGallery w:val="Page Numbers (Bottom of Page)"/>
        <w:docPartUnique/>
      </w:docPartObj>
    </w:sdtPr>
    <w:sdtEndPr>
      <w:rPr>
        <w:noProof/>
      </w:rPr>
    </w:sdtEndPr>
    <w:sdtContent>
      <w:p w14:paraId="23D47056" w14:textId="481CD38D" w:rsidR="0083660C" w:rsidRDefault="008366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69A67B" w14:textId="77777777" w:rsidR="0083660C" w:rsidRDefault="00836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25A92" w14:textId="77777777" w:rsidR="00AE2425" w:rsidRPr="00AA207E" w:rsidRDefault="00AE2425" w:rsidP="00EC3AD4">
      <w:pPr>
        <w:spacing w:after="0" w:line="240" w:lineRule="auto"/>
      </w:pPr>
      <w:r w:rsidRPr="00AA207E">
        <w:separator/>
      </w:r>
    </w:p>
  </w:footnote>
  <w:footnote w:type="continuationSeparator" w:id="0">
    <w:p w14:paraId="4A74B6ED" w14:textId="77777777" w:rsidR="00AE2425" w:rsidRPr="00AA207E" w:rsidRDefault="00AE2425" w:rsidP="00EC3AD4">
      <w:pPr>
        <w:spacing w:after="0" w:line="240" w:lineRule="auto"/>
      </w:pPr>
      <w:r w:rsidRPr="00AA207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2717E0"/>
    <w:multiLevelType w:val="hybridMultilevel"/>
    <w:tmpl w:val="2E001726"/>
    <w:lvl w:ilvl="0" w:tplc="C89E1306">
      <w:start w:val="1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5238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E2"/>
    <w:rsid w:val="00001725"/>
    <w:rsid w:val="0000490D"/>
    <w:rsid w:val="0001177B"/>
    <w:rsid w:val="00014E45"/>
    <w:rsid w:val="000227B8"/>
    <w:rsid w:val="00026CD3"/>
    <w:rsid w:val="000276A9"/>
    <w:rsid w:val="00034212"/>
    <w:rsid w:val="0003485F"/>
    <w:rsid w:val="000364C6"/>
    <w:rsid w:val="00041F06"/>
    <w:rsid w:val="000428F5"/>
    <w:rsid w:val="00043496"/>
    <w:rsid w:val="00043B86"/>
    <w:rsid w:val="00044C01"/>
    <w:rsid w:val="0004772F"/>
    <w:rsid w:val="00051D48"/>
    <w:rsid w:val="00063632"/>
    <w:rsid w:val="000664B6"/>
    <w:rsid w:val="00071F93"/>
    <w:rsid w:val="00081DF5"/>
    <w:rsid w:val="00083283"/>
    <w:rsid w:val="000852D8"/>
    <w:rsid w:val="000877F9"/>
    <w:rsid w:val="00090B58"/>
    <w:rsid w:val="000931E2"/>
    <w:rsid w:val="0009450A"/>
    <w:rsid w:val="00096758"/>
    <w:rsid w:val="000A0262"/>
    <w:rsid w:val="000A0AE0"/>
    <w:rsid w:val="000C278F"/>
    <w:rsid w:val="000C46DF"/>
    <w:rsid w:val="000D3E6C"/>
    <w:rsid w:val="000D6EA2"/>
    <w:rsid w:val="000F7510"/>
    <w:rsid w:val="00102250"/>
    <w:rsid w:val="00104E53"/>
    <w:rsid w:val="00105722"/>
    <w:rsid w:val="001177A2"/>
    <w:rsid w:val="00123685"/>
    <w:rsid w:val="0012573A"/>
    <w:rsid w:val="00141E99"/>
    <w:rsid w:val="00167C18"/>
    <w:rsid w:val="001725C5"/>
    <w:rsid w:val="001740C3"/>
    <w:rsid w:val="001746F8"/>
    <w:rsid w:val="001815CE"/>
    <w:rsid w:val="00187E8A"/>
    <w:rsid w:val="001929F3"/>
    <w:rsid w:val="00192E8D"/>
    <w:rsid w:val="001940C4"/>
    <w:rsid w:val="0019671F"/>
    <w:rsid w:val="001A40CE"/>
    <w:rsid w:val="001A4766"/>
    <w:rsid w:val="001A4C7F"/>
    <w:rsid w:val="001B5913"/>
    <w:rsid w:val="001B6F5A"/>
    <w:rsid w:val="001C061F"/>
    <w:rsid w:val="001D75A0"/>
    <w:rsid w:val="001F0AD1"/>
    <w:rsid w:val="001F1607"/>
    <w:rsid w:val="001F3B0E"/>
    <w:rsid w:val="00204140"/>
    <w:rsid w:val="00204A0E"/>
    <w:rsid w:val="0020532C"/>
    <w:rsid w:val="002070A0"/>
    <w:rsid w:val="00211243"/>
    <w:rsid w:val="002120E5"/>
    <w:rsid w:val="00212BD2"/>
    <w:rsid w:val="002217E9"/>
    <w:rsid w:val="00223B9E"/>
    <w:rsid w:val="002248AE"/>
    <w:rsid w:val="00232331"/>
    <w:rsid w:val="00232D5F"/>
    <w:rsid w:val="00235CFA"/>
    <w:rsid w:val="00236C0A"/>
    <w:rsid w:val="002408CA"/>
    <w:rsid w:val="00242E9A"/>
    <w:rsid w:val="00251016"/>
    <w:rsid w:val="002544E1"/>
    <w:rsid w:val="00255FEB"/>
    <w:rsid w:val="0026123D"/>
    <w:rsid w:val="00263520"/>
    <w:rsid w:val="00267209"/>
    <w:rsid w:val="00270B0C"/>
    <w:rsid w:val="00276A02"/>
    <w:rsid w:val="00286F9D"/>
    <w:rsid w:val="00291492"/>
    <w:rsid w:val="002A12DE"/>
    <w:rsid w:val="002A20D5"/>
    <w:rsid w:val="002B1DC8"/>
    <w:rsid w:val="002C4EE7"/>
    <w:rsid w:val="002D1598"/>
    <w:rsid w:val="002D1808"/>
    <w:rsid w:val="002F1C48"/>
    <w:rsid w:val="00300FA5"/>
    <w:rsid w:val="0031071B"/>
    <w:rsid w:val="00321CAA"/>
    <w:rsid w:val="0032440B"/>
    <w:rsid w:val="00330D29"/>
    <w:rsid w:val="0033267D"/>
    <w:rsid w:val="00334B4E"/>
    <w:rsid w:val="00336A04"/>
    <w:rsid w:val="00343010"/>
    <w:rsid w:val="0034561C"/>
    <w:rsid w:val="00347732"/>
    <w:rsid w:val="0035250B"/>
    <w:rsid w:val="003567A0"/>
    <w:rsid w:val="00363361"/>
    <w:rsid w:val="00364227"/>
    <w:rsid w:val="00383178"/>
    <w:rsid w:val="003B377D"/>
    <w:rsid w:val="003D4414"/>
    <w:rsid w:val="003E66C9"/>
    <w:rsid w:val="003E6CC5"/>
    <w:rsid w:val="003F2651"/>
    <w:rsid w:val="003F3696"/>
    <w:rsid w:val="004062B0"/>
    <w:rsid w:val="00407C76"/>
    <w:rsid w:val="00415B36"/>
    <w:rsid w:val="0042554F"/>
    <w:rsid w:val="004313D0"/>
    <w:rsid w:val="00460375"/>
    <w:rsid w:val="00466B26"/>
    <w:rsid w:val="00467CDE"/>
    <w:rsid w:val="004708EC"/>
    <w:rsid w:val="004744E9"/>
    <w:rsid w:val="004856AC"/>
    <w:rsid w:val="004916D4"/>
    <w:rsid w:val="004A073A"/>
    <w:rsid w:val="004A3881"/>
    <w:rsid w:val="004B01DD"/>
    <w:rsid w:val="004B58FF"/>
    <w:rsid w:val="004B5EF7"/>
    <w:rsid w:val="004B77B5"/>
    <w:rsid w:val="004B794F"/>
    <w:rsid w:val="004C6368"/>
    <w:rsid w:val="004D0757"/>
    <w:rsid w:val="004D2AC1"/>
    <w:rsid w:val="004D7F65"/>
    <w:rsid w:val="004E06B8"/>
    <w:rsid w:val="004E0A84"/>
    <w:rsid w:val="004E1A0E"/>
    <w:rsid w:val="004E3310"/>
    <w:rsid w:val="004E4262"/>
    <w:rsid w:val="00502895"/>
    <w:rsid w:val="00507077"/>
    <w:rsid w:val="00521E15"/>
    <w:rsid w:val="00526492"/>
    <w:rsid w:val="00530C56"/>
    <w:rsid w:val="005377C9"/>
    <w:rsid w:val="005403FA"/>
    <w:rsid w:val="00540577"/>
    <w:rsid w:val="005461F8"/>
    <w:rsid w:val="00572E9A"/>
    <w:rsid w:val="005739EE"/>
    <w:rsid w:val="00580E09"/>
    <w:rsid w:val="005921E8"/>
    <w:rsid w:val="00595F4A"/>
    <w:rsid w:val="005A37B7"/>
    <w:rsid w:val="005A4121"/>
    <w:rsid w:val="005A4A67"/>
    <w:rsid w:val="005B1BD5"/>
    <w:rsid w:val="005B3AFD"/>
    <w:rsid w:val="005C1984"/>
    <w:rsid w:val="005C1F40"/>
    <w:rsid w:val="005C2AA3"/>
    <w:rsid w:val="005C3A62"/>
    <w:rsid w:val="005C72CC"/>
    <w:rsid w:val="005D065D"/>
    <w:rsid w:val="005D46BF"/>
    <w:rsid w:val="005E1D24"/>
    <w:rsid w:val="005E2DED"/>
    <w:rsid w:val="005E5C09"/>
    <w:rsid w:val="005E773D"/>
    <w:rsid w:val="005E7EF6"/>
    <w:rsid w:val="00601082"/>
    <w:rsid w:val="00602848"/>
    <w:rsid w:val="00620155"/>
    <w:rsid w:val="0063578D"/>
    <w:rsid w:val="00637B62"/>
    <w:rsid w:val="00646D51"/>
    <w:rsid w:val="00660EBF"/>
    <w:rsid w:val="0066286A"/>
    <w:rsid w:val="006A3A18"/>
    <w:rsid w:val="006B2D33"/>
    <w:rsid w:val="006C5845"/>
    <w:rsid w:val="006D1A34"/>
    <w:rsid w:val="006D6ABA"/>
    <w:rsid w:val="006E493C"/>
    <w:rsid w:val="006E55EC"/>
    <w:rsid w:val="00722665"/>
    <w:rsid w:val="00722FAF"/>
    <w:rsid w:val="007231E3"/>
    <w:rsid w:val="007236BE"/>
    <w:rsid w:val="00724D5E"/>
    <w:rsid w:val="00724F65"/>
    <w:rsid w:val="00734A20"/>
    <w:rsid w:val="00741626"/>
    <w:rsid w:val="00746D66"/>
    <w:rsid w:val="00753592"/>
    <w:rsid w:val="007544AC"/>
    <w:rsid w:val="00756380"/>
    <w:rsid w:val="00756AE8"/>
    <w:rsid w:val="00765E66"/>
    <w:rsid w:val="00775743"/>
    <w:rsid w:val="00786C16"/>
    <w:rsid w:val="00792CC9"/>
    <w:rsid w:val="00792DD2"/>
    <w:rsid w:val="00793178"/>
    <w:rsid w:val="007A1339"/>
    <w:rsid w:val="007A2D10"/>
    <w:rsid w:val="007A6FB4"/>
    <w:rsid w:val="007A72DB"/>
    <w:rsid w:val="007B38B9"/>
    <w:rsid w:val="007C2F35"/>
    <w:rsid w:val="007D105E"/>
    <w:rsid w:val="007D3607"/>
    <w:rsid w:val="007E69FA"/>
    <w:rsid w:val="007F20D7"/>
    <w:rsid w:val="00803030"/>
    <w:rsid w:val="008102C4"/>
    <w:rsid w:val="00814461"/>
    <w:rsid w:val="0081480D"/>
    <w:rsid w:val="008159C3"/>
    <w:rsid w:val="00820763"/>
    <w:rsid w:val="008332B1"/>
    <w:rsid w:val="008340A3"/>
    <w:rsid w:val="008350A6"/>
    <w:rsid w:val="0083660C"/>
    <w:rsid w:val="00847DDC"/>
    <w:rsid w:val="008524EC"/>
    <w:rsid w:val="008631B4"/>
    <w:rsid w:val="00870581"/>
    <w:rsid w:val="0087099F"/>
    <w:rsid w:val="0087239C"/>
    <w:rsid w:val="00876DD8"/>
    <w:rsid w:val="00885C96"/>
    <w:rsid w:val="008A3A29"/>
    <w:rsid w:val="008A5CAC"/>
    <w:rsid w:val="008B5912"/>
    <w:rsid w:val="008C1CE2"/>
    <w:rsid w:val="008C268B"/>
    <w:rsid w:val="008D0C77"/>
    <w:rsid w:val="008D111E"/>
    <w:rsid w:val="008D5C71"/>
    <w:rsid w:val="008D5CBC"/>
    <w:rsid w:val="008D60F3"/>
    <w:rsid w:val="008E504B"/>
    <w:rsid w:val="008E5412"/>
    <w:rsid w:val="008F40E0"/>
    <w:rsid w:val="008F4197"/>
    <w:rsid w:val="00910B9D"/>
    <w:rsid w:val="009262C1"/>
    <w:rsid w:val="00931B04"/>
    <w:rsid w:val="00932F64"/>
    <w:rsid w:val="009374E8"/>
    <w:rsid w:val="0094036B"/>
    <w:rsid w:val="00945527"/>
    <w:rsid w:val="009458D9"/>
    <w:rsid w:val="00953447"/>
    <w:rsid w:val="00953A19"/>
    <w:rsid w:val="00954848"/>
    <w:rsid w:val="00957EE4"/>
    <w:rsid w:val="00960A42"/>
    <w:rsid w:val="00985D3F"/>
    <w:rsid w:val="00987B9E"/>
    <w:rsid w:val="009B3C3B"/>
    <w:rsid w:val="009C3CC3"/>
    <w:rsid w:val="009C428E"/>
    <w:rsid w:val="009C5467"/>
    <w:rsid w:val="009C63E4"/>
    <w:rsid w:val="009E67CD"/>
    <w:rsid w:val="009F54E4"/>
    <w:rsid w:val="009F5701"/>
    <w:rsid w:val="009F61B5"/>
    <w:rsid w:val="009F761C"/>
    <w:rsid w:val="00A007E7"/>
    <w:rsid w:val="00A00B90"/>
    <w:rsid w:val="00A00DF9"/>
    <w:rsid w:val="00A03DD7"/>
    <w:rsid w:val="00A0775B"/>
    <w:rsid w:val="00A10FE1"/>
    <w:rsid w:val="00A1194E"/>
    <w:rsid w:val="00A213AB"/>
    <w:rsid w:val="00A23B06"/>
    <w:rsid w:val="00A27740"/>
    <w:rsid w:val="00A36E56"/>
    <w:rsid w:val="00A40FE9"/>
    <w:rsid w:val="00A428A7"/>
    <w:rsid w:val="00A50A22"/>
    <w:rsid w:val="00A54BF6"/>
    <w:rsid w:val="00A56B80"/>
    <w:rsid w:val="00A56CC3"/>
    <w:rsid w:val="00A663E3"/>
    <w:rsid w:val="00A72BC1"/>
    <w:rsid w:val="00A72F57"/>
    <w:rsid w:val="00A83242"/>
    <w:rsid w:val="00A87AA2"/>
    <w:rsid w:val="00A93626"/>
    <w:rsid w:val="00AA207E"/>
    <w:rsid w:val="00AA4F3F"/>
    <w:rsid w:val="00AA708B"/>
    <w:rsid w:val="00AB149E"/>
    <w:rsid w:val="00AB714B"/>
    <w:rsid w:val="00AC0165"/>
    <w:rsid w:val="00AC2348"/>
    <w:rsid w:val="00AC24CB"/>
    <w:rsid w:val="00AD0C5E"/>
    <w:rsid w:val="00AD2EFE"/>
    <w:rsid w:val="00AE2425"/>
    <w:rsid w:val="00B043BE"/>
    <w:rsid w:val="00B05EF9"/>
    <w:rsid w:val="00B07764"/>
    <w:rsid w:val="00B12F5E"/>
    <w:rsid w:val="00B13B2A"/>
    <w:rsid w:val="00B13FF7"/>
    <w:rsid w:val="00B16E52"/>
    <w:rsid w:val="00B17E5F"/>
    <w:rsid w:val="00B2210D"/>
    <w:rsid w:val="00B268C0"/>
    <w:rsid w:val="00B33DB2"/>
    <w:rsid w:val="00B540E2"/>
    <w:rsid w:val="00B55120"/>
    <w:rsid w:val="00B56665"/>
    <w:rsid w:val="00B636E3"/>
    <w:rsid w:val="00B800EA"/>
    <w:rsid w:val="00B842E0"/>
    <w:rsid w:val="00B90BD6"/>
    <w:rsid w:val="00B911C8"/>
    <w:rsid w:val="00B929FE"/>
    <w:rsid w:val="00BA1E05"/>
    <w:rsid w:val="00BB0809"/>
    <w:rsid w:val="00BB2514"/>
    <w:rsid w:val="00BB3E24"/>
    <w:rsid w:val="00BD0F8C"/>
    <w:rsid w:val="00BD1AC9"/>
    <w:rsid w:val="00BD35C9"/>
    <w:rsid w:val="00BD5E59"/>
    <w:rsid w:val="00BD608B"/>
    <w:rsid w:val="00BE1D71"/>
    <w:rsid w:val="00BE7EC8"/>
    <w:rsid w:val="00C04D4B"/>
    <w:rsid w:val="00C15E10"/>
    <w:rsid w:val="00C51B68"/>
    <w:rsid w:val="00C57015"/>
    <w:rsid w:val="00C744D8"/>
    <w:rsid w:val="00C74627"/>
    <w:rsid w:val="00C824C6"/>
    <w:rsid w:val="00C8734C"/>
    <w:rsid w:val="00C95D0B"/>
    <w:rsid w:val="00C97147"/>
    <w:rsid w:val="00CA52BF"/>
    <w:rsid w:val="00CA5C24"/>
    <w:rsid w:val="00CB24D7"/>
    <w:rsid w:val="00CC0E7F"/>
    <w:rsid w:val="00CD5D3F"/>
    <w:rsid w:val="00CF6D5F"/>
    <w:rsid w:val="00D178CC"/>
    <w:rsid w:val="00D3395D"/>
    <w:rsid w:val="00D3463B"/>
    <w:rsid w:val="00D4004D"/>
    <w:rsid w:val="00D424A0"/>
    <w:rsid w:val="00D43A61"/>
    <w:rsid w:val="00D54016"/>
    <w:rsid w:val="00D54053"/>
    <w:rsid w:val="00D56D28"/>
    <w:rsid w:val="00D61508"/>
    <w:rsid w:val="00D62A3F"/>
    <w:rsid w:val="00D62B86"/>
    <w:rsid w:val="00D63BE1"/>
    <w:rsid w:val="00D67EB0"/>
    <w:rsid w:val="00D710FD"/>
    <w:rsid w:val="00D72679"/>
    <w:rsid w:val="00D72F46"/>
    <w:rsid w:val="00D74B3B"/>
    <w:rsid w:val="00D8035F"/>
    <w:rsid w:val="00D86C1B"/>
    <w:rsid w:val="00D924A0"/>
    <w:rsid w:val="00D96623"/>
    <w:rsid w:val="00DA2700"/>
    <w:rsid w:val="00DA4739"/>
    <w:rsid w:val="00DA522F"/>
    <w:rsid w:val="00DB4FFB"/>
    <w:rsid w:val="00DC0D31"/>
    <w:rsid w:val="00DC2015"/>
    <w:rsid w:val="00DC44F6"/>
    <w:rsid w:val="00DC482B"/>
    <w:rsid w:val="00DC7BB8"/>
    <w:rsid w:val="00DD40ED"/>
    <w:rsid w:val="00DD55BA"/>
    <w:rsid w:val="00DE2026"/>
    <w:rsid w:val="00DF2DDB"/>
    <w:rsid w:val="00DF5B70"/>
    <w:rsid w:val="00E05224"/>
    <w:rsid w:val="00E05FC7"/>
    <w:rsid w:val="00E1065A"/>
    <w:rsid w:val="00E14757"/>
    <w:rsid w:val="00E23516"/>
    <w:rsid w:val="00E24543"/>
    <w:rsid w:val="00E34BBA"/>
    <w:rsid w:val="00E36BBF"/>
    <w:rsid w:val="00E37B4C"/>
    <w:rsid w:val="00E37BCA"/>
    <w:rsid w:val="00E40B33"/>
    <w:rsid w:val="00E444B9"/>
    <w:rsid w:val="00E46344"/>
    <w:rsid w:val="00E47FB3"/>
    <w:rsid w:val="00E60D31"/>
    <w:rsid w:val="00E76393"/>
    <w:rsid w:val="00E84D84"/>
    <w:rsid w:val="00E8692D"/>
    <w:rsid w:val="00E9366D"/>
    <w:rsid w:val="00E97A18"/>
    <w:rsid w:val="00EA18DA"/>
    <w:rsid w:val="00EA2675"/>
    <w:rsid w:val="00EB358D"/>
    <w:rsid w:val="00EB3CDA"/>
    <w:rsid w:val="00EB46ED"/>
    <w:rsid w:val="00EC3AD4"/>
    <w:rsid w:val="00EC4889"/>
    <w:rsid w:val="00ED07CC"/>
    <w:rsid w:val="00ED2A3E"/>
    <w:rsid w:val="00EE5235"/>
    <w:rsid w:val="00F00FF6"/>
    <w:rsid w:val="00F01F24"/>
    <w:rsid w:val="00F10985"/>
    <w:rsid w:val="00F30ECD"/>
    <w:rsid w:val="00F346F7"/>
    <w:rsid w:val="00F54DE6"/>
    <w:rsid w:val="00F61447"/>
    <w:rsid w:val="00F641FE"/>
    <w:rsid w:val="00F66BE0"/>
    <w:rsid w:val="00F70AE1"/>
    <w:rsid w:val="00F7336F"/>
    <w:rsid w:val="00F73C54"/>
    <w:rsid w:val="00F90D88"/>
    <w:rsid w:val="00F92B11"/>
    <w:rsid w:val="00F94377"/>
    <w:rsid w:val="00FA00DC"/>
    <w:rsid w:val="00FA5E24"/>
    <w:rsid w:val="00FB0259"/>
    <w:rsid w:val="00FB7361"/>
    <w:rsid w:val="00FC013D"/>
    <w:rsid w:val="00FC2F7C"/>
    <w:rsid w:val="00FC668C"/>
    <w:rsid w:val="00FC6AB0"/>
    <w:rsid w:val="00FD371E"/>
    <w:rsid w:val="00FD3F73"/>
    <w:rsid w:val="00FF14B4"/>
    <w:rsid w:val="00FF5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DBEC7"/>
  <w15:chartTrackingRefBased/>
  <w15:docId w15:val="{066B1641-1C55-4BA5-9461-D07EFEE6B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C48"/>
    <w:pPr>
      <w:spacing w:line="279" w:lineRule="auto"/>
    </w:pPr>
    <w:rPr>
      <w:rFonts w:eastAsiaTheme="minorEastAsia"/>
      <w:kern w:val="0"/>
      <w:sz w:val="24"/>
      <w:szCs w:val="24"/>
      <w:lang w:eastAsia="ja-JP"/>
      <w14:ligatures w14:val="none"/>
    </w:rPr>
  </w:style>
  <w:style w:type="paragraph" w:styleId="Heading1">
    <w:name w:val="heading 1"/>
    <w:basedOn w:val="Normal"/>
    <w:next w:val="Normal"/>
    <w:link w:val="Heading1Char"/>
    <w:uiPriority w:val="9"/>
    <w:qFormat/>
    <w:rsid w:val="008C1C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1C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1C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C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C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C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C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C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C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C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1C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1C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C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C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C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C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C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CE2"/>
    <w:rPr>
      <w:rFonts w:eastAsiaTheme="majorEastAsia" w:cstheme="majorBidi"/>
      <w:color w:val="272727" w:themeColor="text1" w:themeTint="D8"/>
    </w:rPr>
  </w:style>
  <w:style w:type="paragraph" w:styleId="Title">
    <w:name w:val="Title"/>
    <w:basedOn w:val="Normal"/>
    <w:next w:val="Normal"/>
    <w:link w:val="TitleChar"/>
    <w:uiPriority w:val="10"/>
    <w:qFormat/>
    <w:rsid w:val="008C1C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C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C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C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CE2"/>
    <w:pPr>
      <w:spacing w:before="160"/>
      <w:jc w:val="center"/>
    </w:pPr>
    <w:rPr>
      <w:i/>
      <w:iCs/>
      <w:color w:val="404040" w:themeColor="text1" w:themeTint="BF"/>
    </w:rPr>
  </w:style>
  <w:style w:type="character" w:customStyle="1" w:styleId="QuoteChar">
    <w:name w:val="Quote Char"/>
    <w:basedOn w:val="DefaultParagraphFont"/>
    <w:link w:val="Quote"/>
    <w:uiPriority w:val="29"/>
    <w:rsid w:val="008C1CE2"/>
    <w:rPr>
      <w:i/>
      <w:iCs/>
      <w:color w:val="404040" w:themeColor="text1" w:themeTint="BF"/>
    </w:rPr>
  </w:style>
  <w:style w:type="paragraph" w:styleId="ListParagraph">
    <w:name w:val="List Paragraph"/>
    <w:basedOn w:val="Normal"/>
    <w:uiPriority w:val="34"/>
    <w:qFormat/>
    <w:rsid w:val="008C1CE2"/>
    <w:pPr>
      <w:ind w:left="720"/>
      <w:contextualSpacing/>
    </w:pPr>
  </w:style>
  <w:style w:type="character" w:styleId="IntenseEmphasis">
    <w:name w:val="Intense Emphasis"/>
    <w:basedOn w:val="DefaultParagraphFont"/>
    <w:uiPriority w:val="21"/>
    <w:qFormat/>
    <w:rsid w:val="008C1CE2"/>
    <w:rPr>
      <w:i/>
      <w:iCs/>
      <w:color w:val="0F4761" w:themeColor="accent1" w:themeShade="BF"/>
    </w:rPr>
  </w:style>
  <w:style w:type="paragraph" w:styleId="IntenseQuote">
    <w:name w:val="Intense Quote"/>
    <w:basedOn w:val="Normal"/>
    <w:next w:val="Normal"/>
    <w:link w:val="IntenseQuoteChar"/>
    <w:uiPriority w:val="30"/>
    <w:qFormat/>
    <w:rsid w:val="008C1C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CE2"/>
    <w:rPr>
      <w:i/>
      <w:iCs/>
      <w:color w:val="0F4761" w:themeColor="accent1" w:themeShade="BF"/>
    </w:rPr>
  </w:style>
  <w:style w:type="character" w:styleId="IntenseReference">
    <w:name w:val="Intense Reference"/>
    <w:basedOn w:val="DefaultParagraphFont"/>
    <w:uiPriority w:val="32"/>
    <w:qFormat/>
    <w:rsid w:val="008C1CE2"/>
    <w:rPr>
      <w:b/>
      <w:bCs/>
      <w:smallCaps/>
      <w:color w:val="0F4761" w:themeColor="accent1" w:themeShade="BF"/>
      <w:spacing w:val="5"/>
    </w:rPr>
  </w:style>
  <w:style w:type="paragraph" w:styleId="TOCHeading">
    <w:name w:val="TOC Heading"/>
    <w:basedOn w:val="Heading1"/>
    <w:next w:val="Normal"/>
    <w:uiPriority w:val="39"/>
    <w:unhideWhenUsed/>
    <w:qFormat/>
    <w:rsid w:val="00D43A61"/>
    <w:pPr>
      <w:spacing w:before="240" w:after="0"/>
      <w:outlineLvl w:val="9"/>
    </w:pPr>
    <w:rPr>
      <w:sz w:val="32"/>
      <w:szCs w:val="32"/>
      <w:lang w:val="en-US"/>
    </w:rPr>
  </w:style>
  <w:style w:type="paragraph" w:styleId="Header">
    <w:name w:val="header"/>
    <w:basedOn w:val="Normal"/>
    <w:link w:val="HeaderChar"/>
    <w:uiPriority w:val="99"/>
    <w:unhideWhenUsed/>
    <w:rsid w:val="00EC3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AD4"/>
    <w:rPr>
      <w:rFonts w:eastAsiaTheme="minorEastAsia"/>
      <w:kern w:val="0"/>
      <w:sz w:val="24"/>
      <w:szCs w:val="24"/>
      <w:lang w:val="en-US" w:eastAsia="ja-JP"/>
      <w14:ligatures w14:val="none"/>
    </w:rPr>
  </w:style>
  <w:style w:type="paragraph" w:styleId="Footer">
    <w:name w:val="footer"/>
    <w:basedOn w:val="Normal"/>
    <w:link w:val="FooterChar"/>
    <w:uiPriority w:val="99"/>
    <w:unhideWhenUsed/>
    <w:rsid w:val="00EC3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AD4"/>
    <w:rPr>
      <w:rFonts w:eastAsiaTheme="minorEastAsia"/>
      <w:kern w:val="0"/>
      <w:sz w:val="24"/>
      <w:szCs w:val="24"/>
      <w:lang w:val="en-US" w:eastAsia="ja-JP"/>
      <w14:ligatures w14:val="none"/>
    </w:rPr>
  </w:style>
  <w:style w:type="character" w:styleId="Strong">
    <w:name w:val="Strong"/>
    <w:basedOn w:val="DefaultParagraphFont"/>
    <w:uiPriority w:val="22"/>
    <w:qFormat/>
    <w:rsid w:val="00870581"/>
    <w:rPr>
      <w:b/>
      <w:bCs/>
    </w:rPr>
  </w:style>
  <w:style w:type="paragraph" w:styleId="NormalWeb">
    <w:name w:val="Normal (Web)"/>
    <w:basedOn w:val="Normal"/>
    <w:uiPriority w:val="99"/>
    <w:semiHidden/>
    <w:unhideWhenUsed/>
    <w:rsid w:val="00870581"/>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Style1">
    <w:name w:val="Style1"/>
    <w:basedOn w:val="Normal"/>
    <w:link w:val="Style1Char"/>
    <w:qFormat/>
    <w:rsid w:val="00985D3F"/>
    <w:pPr>
      <w:spacing w:line="360" w:lineRule="auto"/>
      <w:jc w:val="both"/>
    </w:pPr>
    <w:rPr>
      <w:rFonts w:ascii="Arial" w:hAnsi="Arial" w:cs="Arial"/>
      <w:b/>
      <w:bCs/>
    </w:rPr>
  </w:style>
  <w:style w:type="character" w:customStyle="1" w:styleId="Style1Char">
    <w:name w:val="Style1 Char"/>
    <w:basedOn w:val="DefaultParagraphFont"/>
    <w:link w:val="Style1"/>
    <w:rsid w:val="00985D3F"/>
    <w:rPr>
      <w:rFonts w:ascii="Arial" w:eastAsiaTheme="minorEastAsia" w:hAnsi="Arial" w:cs="Arial"/>
      <w:b/>
      <w:bCs/>
      <w:kern w:val="0"/>
      <w:sz w:val="24"/>
      <w:szCs w:val="24"/>
      <w:lang w:eastAsia="ja-JP"/>
      <w14:ligatures w14:val="none"/>
    </w:rPr>
  </w:style>
  <w:style w:type="paragraph" w:styleId="TOC2">
    <w:name w:val="toc 2"/>
    <w:basedOn w:val="Normal"/>
    <w:next w:val="Normal"/>
    <w:autoRedefine/>
    <w:uiPriority w:val="39"/>
    <w:unhideWhenUsed/>
    <w:rsid w:val="006E55EC"/>
    <w:pPr>
      <w:spacing w:after="100"/>
      <w:ind w:left="240"/>
    </w:pPr>
  </w:style>
  <w:style w:type="paragraph" w:styleId="TOC3">
    <w:name w:val="toc 3"/>
    <w:basedOn w:val="Normal"/>
    <w:next w:val="Normal"/>
    <w:autoRedefine/>
    <w:uiPriority w:val="39"/>
    <w:unhideWhenUsed/>
    <w:rsid w:val="006E55EC"/>
    <w:pPr>
      <w:spacing w:after="100"/>
      <w:ind w:left="480"/>
    </w:pPr>
  </w:style>
  <w:style w:type="character" w:styleId="Hyperlink">
    <w:name w:val="Hyperlink"/>
    <w:basedOn w:val="DefaultParagraphFont"/>
    <w:uiPriority w:val="99"/>
    <w:unhideWhenUsed/>
    <w:rsid w:val="006E55EC"/>
    <w:rPr>
      <w:color w:val="467886" w:themeColor="hyperlink"/>
      <w:u w:val="single"/>
    </w:rPr>
  </w:style>
  <w:style w:type="paragraph" w:styleId="Caption">
    <w:name w:val="caption"/>
    <w:basedOn w:val="Normal"/>
    <w:next w:val="Normal"/>
    <w:uiPriority w:val="35"/>
    <w:unhideWhenUsed/>
    <w:qFormat/>
    <w:rsid w:val="00932F64"/>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F30E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7413</TotalTime>
  <Pages>21</Pages>
  <Words>3923</Words>
  <Characters>22367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Rita Zambito (2245801)</dc:creator>
  <cp:keywords/>
  <dc:description/>
  <cp:lastModifiedBy>Rita Zambito (2245801)</cp:lastModifiedBy>
  <cp:revision>426</cp:revision>
  <dcterms:created xsi:type="dcterms:W3CDTF">2025-10-06T18:32:00Z</dcterms:created>
  <dcterms:modified xsi:type="dcterms:W3CDTF">2025-10-27T21:59:00Z</dcterms:modified>
</cp:coreProperties>
</file>