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C17FF" w14:textId="77777777" w:rsidR="00821C9C" w:rsidRDefault="00821C9C" w:rsidP="00821C9C">
      <w:pPr>
        <w:jc w:val="center"/>
        <w:rPr>
          <w:rFonts w:ascii="Arial" w:hAnsi="Arial" w:cs="Arial"/>
          <w:b/>
          <w:bCs/>
        </w:rPr>
      </w:pPr>
      <w:r>
        <w:rPr>
          <w:noProof/>
        </w:rPr>
        <w:drawing>
          <wp:inline distT="0" distB="0" distL="0" distR="0" wp14:anchorId="64730C1F" wp14:editId="2CA4E66B">
            <wp:extent cx="3533775" cy="1323975"/>
            <wp:effectExtent l="0" t="0" r="9525" b="9525"/>
            <wp:docPr id="1275624857"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24857" name="Picture 1" descr="A close up of a sign&#10;&#10;AI-generated content may be incorrect."/>
                    <pic:cNvPicPr/>
                  </pic:nvPicPr>
                  <pic:blipFill>
                    <a:blip r:embed="rId8"/>
                    <a:stretch>
                      <a:fillRect/>
                    </a:stretch>
                  </pic:blipFill>
                  <pic:spPr>
                    <a:xfrm>
                      <a:off x="0" y="0"/>
                      <a:ext cx="3533775" cy="1323975"/>
                    </a:xfrm>
                    <a:prstGeom prst="rect">
                      <a:avLst/>
                    </a:prstGeom>
                  </pic:spPr>
                </pic:pic>
              </a:graphicData>
            </a:graphic>
          </wp:inline>
        </w:drawing>
      </w:r>
    </w:p>
    <w:p w14:paraId="0411657C" w14:textId="77777777" w:rsidR="00821C9C" w:rsidRDefault="00821C9C" w:rsidP="00821C9C">
      <w:pPr>
        <w:jc w:val="center"/>
        <w:rPr>
          <w:rFonts w:ascii="Arial" w:hAnsi="Arial" w:cs="Arial"/>
          <w:b/>
          <w:bCs/>
        </w:rPr>
      </w:pPr>
      <w:r w:rsidRPr="007101C9">
        <w:rPr>
          <w:rFonts w:ascii="Arial" w:hAnsi="Arial" w:cs="Arial"/>
          <w:b/>
          <w:bCs/>
        </w:rPr>
        <w:t>Assessment component 1: Marketing Environment Analysis</w:t>
      </w:r>
    </w:p>
    <w:p w14:paraId="2A6F0357" w14:textId="77777777" w:rsidR="00821C9C" w:rsidRDefault="00821C9C" w:rsidP="00821C9C">
      <w:pPr>
        <w:jc w:val="center"/>
        <w:rPr>
          <w:rFonts w:ascii="Arial" w:hAnsi="Arial" w:cs="Arial"/>
          <w:b/>
          <w:bCs/>
        </w:rPr>
      </w:pPr>
    </w:p>
    <w:p w14:paraId="7FDFEA68" w14:textId="77777777" w:rsidR="00821C9C" w:rsidRPr="00233C2A" w:rsidRDefault="00821C9C" w:rsidP="00821C9C">
      <w:pPr>
        <w:spacing w:before="240" w:after="240"/>
        <w:jc w:val="center"/>
        <w:rPr>
          <w:rFonts w:ascii="Arial" w:hAnsi="Arial" w:cs="Arial"/>
          <w:b/>
          <w:bCs/>
        </w:rPr>
      </w:pPr>
      <w:r w:rsidRPr="00233C2A">
        <w:rPr>
          <w:rFonts w:ascii="Arial" w:hAnsi="Arial" w:cs="Arial"/>
          <w:b/>
          <w:bCs/>
        </w:rPr>
        <w:t>Programme Name: Master of Business Administration</w:t>
      </w:r>
    </w:p>
    <w:p w14:paraId="4C3094C3" w14:textId="77777777" w:rsidR="00821C9C" w:rsidRDefault="00821C9C" w:rsidP="00821C9C">
      <w:pPr>
        <w:jc w:val="center"/>
        <w:rPr>
          <w:rFonts w:ascii="Arial" w:hAnsi="Arial" w:cs="Arial"/>
          <w:b/>
          <w:bCs/>
        </w:rPr>
      </w:pPr>
      <w:r w:rsidRPr="007843F9">
        <w:rPr>
          <w:rFonts w:ascii="Arial" w:hAnsi="Arial" w:cs="Arial"/>
          <w:b/>
          <w:bCs/>
        </w:rPr>
        <w:t>Student Name:</w:t>
      </w:r>
      <w:r>
        <w:rPr>
          <w:rFonts w:ascii="Arial" w:hAnsi="Arial" w:cs="Arial"/>
          <w:b/>
          <w:bCs/>
        </w:rPr>
        <w:t xml:space="preserve"> </w:t>
      </w:r>
      <w:r w:rsidRPr="00B54363">
        <w:rPr>
          <w:b/>
          <w:bCs/>
        </w:rPr>
        <w:t>Delwar Hussen Raju</w:t>
      </w:r>
    </w:p>
    <w:p w14:paraId="7EC7D5C7" w14:textId="77777777" w:rsidR="00821C9C" w:rsidRDefault="00821C9C" w:rsidP="00821C9C">
      <w:pPr>
        <w:jc w:val="center"/>
        <w:rPr>
          <w:rFonts w:ascii="Arial" w:hAnsi="Arial" w:cs="Arial"/>
          <w:b/>
          <w:bCs/>
        </w:rPr>
      </w:pPr>
      <w:r w:rsidRPr="007843F9">
        <w:rPr>
          <w:rFonts w:ascii="Arial" w:hAnsi="Arial" w:cs="Arial"/>
          <w:b/>
          <w:bCs/>
        </w:rPr>
        <w:t>Student ID:</w:t>
      </w:r>
      <w:r w:rsidRPr="006C3B02">
        <w:rPr>
          <w:b/>
          <w:bCs/>
        </w:rPr>
        <w:t xml:space="preserve"> </w:t>
      </w:r>
      <w:r w:rsidRPr="00B54363">
        <w:rPr>
          <w:b/>
          <w:bCs/>
        </w:rPr>
        <w:t>2506700</w:t>
      </w:r>
    </w:p>
    <w:p w14:paraId="5361246F" w14:textId="77777777" w:rsidR="00821C9C" w:rsidRDefault="00821C9C" w:rsidP="00821C9C">
      <w:pPr>
        <w:jc w:val="center"/>
        <w:rPr>
          <w:rFonts w:ascii="Arial" w:hAnsi="Arial" w:cs="Arial"/>
          <w:b/>
          <w:bCs/>
        </w:rPr>
      </w:pPr>
      <w:r w:rsidRPr="007843F9">
        <w:rPr>
          <w:rFonts w:ascii="Arial" w:hAnsi="Arial" w:cs="Arial"/>
          <w:b/>
          <w:bCs/>
        </w:rPr>
        <w:t>Module Name: Marketing Management Module</w:t>
      </w:r>
    </w:p>
    <w:p w14:paraId="50BF9AF4" w14:textId="77777777" w:rsidR="00821C9C" w:rsidRDefault="00821C9C" w:rsidP="00821C9C">
      <w:pPr>
        <w:jc w:val="center"/>
        <w:rPr>
          <w:rFonts w:ascii="Arial" w:hAnsi="Arial" w:cs="Arial"/>
          <w:b/>
          <w:bCs/>
        </w:rPr>
      </w:pPr>
      <w:r w:rsidRPr="007843F9">
        <w:rPr>
          <w:rFonts w:ascii="Arial" w:hAnsi="Arial" w:cs="Arial"/>
          <w:b/>
          <w:bCs/>
        </w:rPr>
        <w:t>Code: LCMB7024</w:t>
      </w:r>
    </w:p>
    <w:p w14:paraId="61A85A4E" w14:textId="789D9ADF" w:rsidR="00821C9C" w:rsidRDefault="00821C9C" w:rsidP="00821C9C">
      <w:pPr>
        <w:jc w:val="center"/>
        <w:rPr>
          <w:rFonts w:ascii="Arial" w:hAnsi="Arial" w:cs="Arial"/>
          <w:b/>
          <w:bCs/>
        </w:rPr>
      </w:pPr>
      <w:r w:rsidRPr="007843F9">
        <w:rPr>
          <w:rFonts w:ascii="Arial" w:hAnsi="Arial" w:cs="Arial"/>
          <w:b/>
          <w:bCs/>
        </w:rPr>
        <w:t xml:space="preserve">Lecturer’s Name: </w:t>
      </w:r>
      <w:r>
        <w:rPr>
          <w:rFonts w:ascii="Arial" w:hAnsi="Arial" w:cs="Arial"/>
          <w:b/>
          <w:bCs/>
        </w:rPr>
        <w:t>D</w:t>
      </w:r>
      <w:r w:rsidR="005851E9">
        <w:rPr>
          <w:rFonts w:ascii="Arial" w:hAnsi="Arial" w:cs="Arial"/>
          <w:b/>
          <w:bCs/>
        </w:rPr>
        <w:t>r.</w:t>
      </w:r>
      <w:r w:rsidR="00922F30">
        <w:rPr>
          <w:rFonts w:ascii="Arial" w:hAnsi="Arial" w:cs="Arial"/>
          <w:b/>
          <w:bCs/>
        </w:rPr>
        <w:t xml:space="preserve"> Jaya Gopal</w:t>
      </w:r>
      <w:r w:rsidR="003865F7">
        <w:rPr>
          <w:rFonts w:ascii="Arial" w:hAnsi="Arial" w:cs="Arial"/>
          <w:b/>
          <w:bCs/>
        </w:rPr>
        <w:t>krishnan</w:t>
      </w:r>
    </w:p>
    <w:p w14:paraId="129D501C" w14:textId="17B0BF5D" w:rsidR="00821C9C" w:rsidRDefault="00821C9C" w:rsidP="00821C9C">
      <w:pPr>
        <w:jc w:val="center"/>
        <w:rPr>
          <w:rFonts w:ascii="Arial" w:hAnsi="Arial" w:cs="Arial"/>
          <w:b/>
          <w:bCs/>
        </w:rPr>
      </w:pPr>
      <w:r w:rsidRPr="007843F9">
        <w:rPr>
          <w:rFonts w:ascii="Arial" w:hAnsi="Arial" w:cs="Arial"/>
          <w:b/>
          <w:bCs/>
        </w:rPr>
        <w:t xml:space="preserve">Work Count: </w:t>
      </w:r>
      <w:r>
        <w:rPr>
          <w:rFonts w:ascii="Arial" w:hAnsi="Arial" w:cs="Arial"/>
          <w:b/>
          <w:bCs/>
        </w:rPr>
        <w:t>2</w:t>
      </w:r>
      <w:r w:rsidR="00AB0874">
        <w:rPr>
          <w:rFonts w:ascii="Arial" w:hAnsi="Arial" w:cs="Arial"/>
          <w:b/>
          <w:bCs/>
        </w:rPr>
        <w:t>620</w:t>
      </w:r>
    </w:p>
    <w:p w14:paraId="3816F99F" w14:textId="77777777" w:rsidR="00821C9C" w:rsidRPr="007843F9" w:rsidRDefault="00821C9C" w:rsidP="00821C9C">
      <w:pPr>
        <w:jc w:val="center"/>
        <w:rPr>
          <w:rFonts w:ascii="Arial" w:hAnsi="Arial" w:cs="Arial"/>
          <w:b/>
          <w:bCs/>
        </w:rPr>
      </w:pPr>
      <w:r>
        <w:rPr>
          <w:rFonts w:ascii="Arial" w:hAnsi="Arial" w:cs="Arial"/>
          <w:b/>
          <w:bCs/>
        </w:rPr>
        <w:t>Submission Date: 20 November 2025</w:t>
      </w:r>
    </w:p>
    <w:p w14:paraId="03B57833" w14:textId="17782055" w:rsidR="00821C9C" w:rsidRDefault="00821C9C">
      <w:r>
        <w:br w:type="page"/>
      </w:r>
    </w:p>
    <w:sdt>
      <w:sdtPr>
        <w:rPr>
          <w:rFonts w:asciiTheme="minorHAnsi" w:eastAsiaTheme="minorHAnsi" w:hAnsiTheme="minorHAnsi" w:cstheme="minorBidi"/>
          <w:color w:val="auto"/>
          <w:kern w:val="2"/>
          <w:sz w:val="24"/>
          <w:szCs w:val="24"/>
          <w14:ligatures w14:val="standardContextual"/>
        </w:rPr>
        <w:id w:val="1112632097"/>
        <w:docPartObj>
          <w:docPartGallery w:val="Table of Contents"/>
          <w:docPartUnique/>
        </w:docPartObj>
      </w:sdtPr>
      <w:sdtEndPr>
        <w:rPr>
          <w:b/>
          <w:bCs/>
          <w:noProof/>
        </w:rPr>
      </w:sdtEndPr>
      <w:sdtContent>
        <w:p w14:paraId="15B5B6A1" w14:textId="635724BA" w:rsidR="00821C9C" w:rsidRDefault="00821C9C">
          <w:pPr>
            <w:pStyle w:val="TOCHeading"/>
          </w:pPr>
          <w:r>
            <w:t>Contents</w:t>
          </w:r>
        </w:p>
        <w:p w14:paraId="0A15DC46" w14:textId="5A9D22A5" w:rsidR="00AB0874" w:rsidRDefault="00821C9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4442941" w:history="1">
            <w:r w:rsidR="00AB0874" w:rsidRPr="007B19A8">
              <w:rPr>
                <w:rStyle w:val="Hyperlink"/>
                <w:rFonts w:ascii="Arial" w:hAnsi="Arial" w:cs="Arial"/>
                <w:b/>
                <w:bCs/>
                <w:noProof/>
              </w:rPr>
              <w:t>1.0 Introduction</w:t>
            </w:r>
            <w:r w:rsidR="00AB0874">
              <w:rPr>
                <w:noProof/>
                <w:webHidden/>
              </w:rPr>
              <w:tab/>
            </w:r>
            <w:r w:rsidR="00AB0874">
              <w:rPr>
                <w:noProof/>
                <w:webHidden/>
              </w:rPr>
              <w:fldChar w:fldCharType="begin"/>
            </w:r>
            <w:r w:rsidR="00AB0874">
              <w:rPr>
                <w:noProof/>
                <w:webHidden/>
              </w:rPr>
              <w:instrText xml:space="preserve"> PAGEREF _Toc214442941 \h </w:instrText>
            </w:r>
            <w:r w:rsidR="00AB0874">
              <w:rPr>
                <w:noProof/>
                <w:webHidden/>
              </w:rPr>
            </w:r>
            <w:r w:rsidR="00AB0874">
              <w:rPr>
                <w:noProof/>
                <w:webHidden/>
              </w:rPr>
              <w:fldChar w:fldCharType="separate"/>
            </w:r>
            <w:r w:rsidR="00AB0874">
              <w:rPr>
                <w:noProof/>
                <w:webHidden/>
              </w:rPr>
              <w:t>3</w:t>
            </w:r>
            <w:r w:rsidR="00AB0874">
              <w:rPr>
                <w:noProof/>
                <w:webHidden/>
              </w:rPr>
              <w:fldChar w:fldCharType="end"/>
            </w:r>
          </w:hyperlink>
        </w:p>
        <w:p w14:paraId="03B01ABD" w14:textId="1375A84D" w:rsidR="00AB0874" w:rsidRDefault="00AB0874">
          <w:pPr>
            <w:pStyle w:val="TOC1"/>
            <w:tabs>
              <w:tab w:val="right" w:leader="dot" w:pos="9350"/>
            </w:tabs>
            <w:rPr>
              <w:rFonts w:eastAsiaTheme="minorEastAsia"/>
              <w:noProof/>
            </w:rPr>
          </w:pPr>
          <w:hyperlink w:anchor="_Toc214442942" w:history="1">
            <w:r w:rsidRPr="007B19A8">
              <w:rPr>
                <w:rStyle w:val="Hyperlink"/>
                <w:rFonts w:ascii="Arial" w:hAnsi="Arial" w:cs="Arial"/>
                <w:b/>
                <w:bCs/>
                <w:noProof/>
              </w:rPr>
              <w:t>2.0 Task 1 Critical Analysis of the Macro Marketing Environment</w:t>
            </w:r>
            <w:r>
              <w:rPr>
                <w:noProof/>
                <w:webHidden/>
              </w:rPr>
              <w:tab/>
            </w:r>
            <w:r>
              <w:rPr>
                <w:noProof/>
                <w:webHidden/>
              </w:rPr>
              <w:fldChar w:fldCharType="begin"/>
            </w:r>
            <w:r>
              <w:rPr>
                <w:noProof/>
                <w:webHidden/>
              </w:rPr>
              <w:instrText xml:space="preserve"> PAGEREF _Toc214442942 \h </w:instrText>
            </w:r>
            <w:r>
              <w:rPr>
                <w:noProof/>
                <w:webHidden/>
              </w:rPr>
            </w:r>
            <w:r>
              <w:rPr>
                <w:noProof/>
                <w:webHidden/>
              </w:rPr>
              <w:fldChar w:fldCharType="separate"/>
            </w:r>
            <w:r>
              <w:rPr>
                <w:noProof/>
                <w:webHidden/>
              </w:rPr>
              <w:t>4</w:t>
            </w:r>
            <w:r>
              <w:rPr>
                <w:noProof/>
                <w:webHidden/>
              </w:rPr>
              <w:fldChar w:fldCharType="end"/>
            </w:r>
          </w:hyperlink>
        </w:p>
        <w:p w14:paraId="15FE65B5" w14:textId="0B799AE3" w:rsidR="00AB0874" w:rsidRDefault="00AB0874">
          <w:pPr>
            <w:pStyle w:val="TOC1"/>
            <w:tabs>
              <w:tab w:val="right" w:leader="dot" w:pos="9350"/>
            </w:tabs>
            <w:rPr>
              <w:rFonts w:eastAsiaTheme="minorEastAsia"/>
              <w:noProof/>
            </w:rPr>
          </w:pPr>
          <w:hyperlink w:anchor="_Toc214442943" w:history="1">
            <w:r w:rsidRPr="007B19A8">
              <w:rPr>
                <w:rStyle w:val="Hyperlink"/>
                <w:rFonts w:ascii="Arial" w:hAnsi="Arial" w:cs="Arial"/>
                <w:b/>
                <w:bCs/>
                <w:noProof/>
              </w:rPr>
              <w:t>2.1 Macro Marketing Environment Overview.</w:t>
            </w:r>
            <w:r>
              <w:rPr>
                <w:noProof/>
                <w:webHidden/>
              </w:rPr>
              <w:tab/>
            </w:r>
            <w:r>
              <w:rPr>
                <w:noProof/>
                <w:webHidden/>
              </w:rPr>
              <w:fldChar w:fldCharType="begin"/>
            </w:r>
            <w:r>
              <w:rPr>
                <w:noProof/>
                <w:webHidden/>
              </w:rPr>
              <w:instrText xml:space="preserve"> PAGEREF _Toc214442943 \h </w:instrText>
            </w:r>
            <w:r>
              <w:rPr>
                <w:noProof/>
                <w:webHidden/>
              </w:rPr>
            </w:r>
            <w:r>
              <w:rPr>
                <w:noProof/>
                <w:webHidden/>
              </w:rPr>
              <w:fldChar w:fldCharType="separate"/>
            </w:r>
            <w:r>
              <w:rPr>
                <w:noProof/>
                <w:webHidden/>
              </w:rPr>
              <w:t>4</w:t>
            </w:r>
            <w:r>
              <w:rPr>
                <w:noProof/>
                <w:webHidden/>
              </w:rPr>
              <w:fldChar w:fldCharType="end"/>
            </w:r>
          </w:hyperlink>
        </w:p>
        <w:p w14:paraId="5B908833" w14:textId="1C11969C" w:rsidR="00AB0874" w:rsidRDefault="00AB0874">
          <w:pPr>
            <w:pStyle w:val="TOC2"/>
            <w:tabs>
              <w:tab w:val="right" w:leader="dot" w:pos="9350"/>
            </w:tabs>
            <w:rPr>
              <w:rFonts w:eastAsiaTheme="minorEastAsia"/>
              <w:noProof/>
            </w:rPr>
          </w:pPr>
          <w:hyperlink w:anchor="_Toc214442944" w:history="1">
            <w:r w:rsidRPr="007B19A8">
              <w:rPr>
                <w:rStyle w:val="Hyperlink"/>
                <w:rFonts w:ascii="Arial" w:hAnsi="Arial" w:cs="Arial"/>
                <w:b/>
                <w:bCs/>
                <w:noProof/>
              </w:rPr>
              <w:t>Technological Actor</w:t>
            </w:r>
            <w:r>
              <w:rPr>
                <w:noProof/>
                <w:webHidden/>
              </w:rPr>
              <w:tab/>
            </w:r>
            <w:r>
              <w:rPr>
                <w:noProof/>
                <w:webHidden/>
              </w:rPr>
              <w:fldChar w:fldCharType="begin"/>
            </w:r>
            <w:r>
              <w:rPr>
                <w:noProof/>
                <w:webHidden/>
              </w:rPr>
              <w:instrText xml:space="preserve"> PAGEREF _Toc214442944 \h </w:instrText>
            </w:r>
            <w:r>
              <w:rPr>
                <w:noProof/>
                <w:webHidden/>
              </w:rPr>
            </w:r>
            <w:r>
              <w:rPr>
                <w:noProof/>
                <w:webHidden/>
              </w:rPr>
              <w:fldChar w:fldCharType="separate"/>
            </w:r>
            <w:r>
              <w:rPr>
                <w:noProof/>
                <w:webHidden/>
              </w:rPr>
              <w:t>4</w:t>
            </w:r>
            <w:r>
              <w:rPr>
                <w:noProof/>
                <w:webHidden/>
              </w:rPr>
              <w:fldChar w:fldCharType="end"/>
            </w:r>
          </w:hyperlink>
        </w:p>
        <w:p w14:paraId="52C5F640" w14:textId="43EE93BE" w:rsidR="00AB0874" w:rsidRDefault="00AB0874">
          <w:pPr>
            <w:pStyle w:val="TOC2"/>
            <w:tabs>
              <w:tab w:val="right" w:leader="dot" w:pos="9350"/>
            </w:tabs>
            <w:rPr>
              <w:rFonts w:eastAsiaTheme="minorEastAsia"/>
              <w:noProof/>
            </w:rPr>
          </w:pPr>
          <w:hyperlink w:anchor="_Toc214442945" w:history="1">
            <w:r w:rsidRPr="007B19A8">
              <w:rPr>
                <w:rStyle w:val="Hyperlink"/>
                <w:rFonts w:ascii="Arial" w:hAnsi="Arial" w:cs="Arial"/>
                <w:b/>
                <w:bCs/>
                <w:noProof/>
              </w:rPr>
              <w:t>Opportunities and Threats of the Technological Actor.</w:t>
            </w:r>
            <w:r>
              <w:rPr>
                <w:noProof/>
                <w:webHidden/>
              </w:rPr>
              <w:tab/>
            </w:r>
            <w:r>
              <w:rPr>
                <w:noProof/>
                <w:webHidden/>
              </w:rPr>
              <w:fldChar w:fldCharType="begin"/>
            </w:r>
            <w:r>
              <w:rPr>
                <w:noProof/>
                <w:webHidden/>
              </w:rPr>
              <w:instrText xml:space="preserve"> PAGEREF _Toc214442945 \h </w:instrText>
            </w:r>
            <w:r>
              <w:rPr>
                <w:noProof/>
                <w:webHidden/>
              </w:rPr>
            </w:r>
            <w:r>
              <w:rPr>
                <w:noProof/>
                <w:webHidden/>
              </w:rPr>
              <w:fldChar w:fldCharType="separate"/>
            </w:r>
            <w:r>
              <w:rPr>
                <w:noProof/>
                <w:webHidden/>
              </w:rPr>
              <w:t>6</w:t>
            </w:r>
            <w:r>
              <w:rPr>
                <w:noProof/>
                <w:webHidden/>
              </w:rPr>
              <w:fldChar w:fldCharType="end"/>
            </w:r>
          </w:hyperlink>
        </w:p>
        <w:p w14:paraId="0F84DA68" w14:textId="3EF91EB1" w:rsidR="00AB0874" w:rsidRDefault="00AB0874">
          <w:pPr>
            <w:pStyle w:val="TOC2"/>
            <w:tabs>
              <w:tab w:val="right" w:leader="dot" w:pos="9350"/>
            </w:tabs>
            <w:rPr>
              <w:rFonts w:eastAsiaTheme="minorEastAsia"/>
              <w:noProof/>
            </w:rPr>
          </w:pPr>
          <w:hyperlink w:anchor="_Toc214442946" w:history="1">
            <w:r w:rsidRPr="007B19A8">
              <w:rPr>
                <w:rStyle w:val="Hyperlink"/>
                <w:rFonts w:ascii="Arial" w:hAnsi="Arial" w:cs="Arial"/>
                <w:b/>
                <w:bCs/>
                <w:noProof/>
              </w:rPr>
              <w:t>Natural/Environmental Actor.</w:t>
            </w:r>
            <w:r>
              <w:rPr>
                <w:noProof/>
                <w:webHidden/>
              </w:rPr>
              <w:tab/>
            </w:r>
            <w:r>
              <w:rPr>
                <w:noProof/>
                <w:webHidden/>
              </w:rPr>
              <w:fldChar w:fldCharType="begin"/>
            </w:r>
            <w:r>
              <w:rPr>
                <w:noProof/>
                <w:webHidden/>
              </w:rPr>
              <w:instrText xml:space="preserve"> PAGEREF _Toc214442946 \h </w:instrText>
            </w:r>
            <w:r>
              <w:rPr>
                <w:noProof/>
                <w:webHidden/>
              </w:rPr>
            </w:r>
            <w:r>
              <w:rPr>
                <w:noProof/>
                <w:webHidden/>
              </w:rPr>
              <w:fldChar w:fldCharType="separate"/>
            </w:r>
            <w:r>
              <w:rPr>
                <w:noProof/>
                <w:webHidden/>
              </w:rPr>
              <w:t>6</w:t>
            </w:r>
            <w:r>
              <w:rPr>
                <w:noProof/>
                <w:webHidden/>
              </w:rPr>
              <w:fldChar w:fldCharType="end"/>
            </w:r>
          </w:hyperlink>
        </w:p>
        <w:p w14:paraId="76BB837F" w14:textId="11782C92" w:rsidR="00AB0874" w:rsidRDefault="00AB0874">
          <w:pPr>
            <w:pStyle w:val="TOC2"/>
            <w:tabs>
              <w:tab w:val="right" w:leader="dot" w:pos="9350"/>
            </w:tabs>
            <w:rPr>
              <w:rFonts w:eastAsiaTheme="minorEastAsia"/>
              <w:noProof/>
            </w:rPr>
          </w:pPr>
          <w:hyperlink w:anchor="_Toc214442947" w:history="1">
            <w:r w:rsidRPr="007B19A8">
              <w:rPr>
                <w:rStyle w:val="Hyperlink"/>
                <w:rFonts w:ascii="Arial" w:hAnsi="Arial" w:cs="Arial"/>
                <w:b/>
                <w:bCs/>
                <w:noProof/>
              </w:rPr>
              <w:t>Opportunities and Threats created by the Natural/Environmental Actor.</w:t>
            </w:r>
            <w:r>
              <w:rPr>
                <w:noProof/>
                <w:webHidden/>
              </w:rPr>
              <w:tab/>
            </w:r>
            <w:r>
              <w:rPr>
                <w:noProof/>
                <w:webHidden/>
              </w:rPr>
              <w:fldChar w:fldCharType="begin"/>
            </w:r>
            <w:r>
              <w:rPr>
                <w:noProof/>
                <w:webHidden/>
              </w:rPr>
              <w:instrText xml:space="preserve"> PAGEREF _Toc214442947 \h </w:instrText>
            </w:r>
            <w:r>
              <w:rPr>
                <w:noProof/>
                <w:webHidden/>
              </w:rPr>
            </w:r>
            <w:r>
              <w:rPr>
                <w:noProof/>
                <w:webHidden/>
              </w:rPr>
              <w:fldChar w:fldCharType="separate"/>
            </w:r>
            <w:r>
              <w:rPr>
                <w:noProof/>
                <w:webHidden/>
              </w:rPr>
              <w:t>7</w:t>
            </w:r>
            <w:r>
              <w:rPr>
                <w:noProof/>
                <w:webHidden/>
              </w:rPr>
              <w:fldChar w:fldCharType="end"/>
            </w:r>
          </w:hyperlink>
        </w:p>
        <w:p w14:paraId="12B0966D" w14:textId="5BEF3017" w:rsidR="00AB0874" w:rsidRDefault="00AB0874">
          <w:pPr>
            <w:pStyle w:val="TOC1"/>
            <w:tabs>
              <w:tab w:val="right" w:leader="dot" w:pos="9350"/>
            </w:tabs>
            <w:rPr>
              <w:rFonts w:eastAsiaTheme="minorEastAsia"/>
              <w:noProof/>
            </w:rPr>
          </w:pPr>
          <w:hyperlink w:anchor="_Toc214442948" w:history="1">
            <w:r w:rsidRPr="007B19A8">
              <w:rPr>
                <w:rStyle w:val="Hyperlink"/>
                <w:rFonts w:ascii="Arial" w:hAnsi="Arial" w:cs="Arial"/>
                <w:b/>
                <w:bCs/>
                <w:noProof/>
              </w:rPr>
              <w:t>2.3 Critical Analysis of Each Actor</w:t>
            </w:r>
            <w:r>
              <w:rPr>
                <w:noProof/>
                <w:webHidden/>
              </w:rPr>
              <w:tab/>
            </w:r>
            <w:r>
              <w:rPr>
                <w:noProof/>
                <w:webHidden/>
              </w:rPr>
              <w:fldChar w:fldCharType="begin"/>
            </w:r>
            <w:r>
              <w:rPr>
                <w:noProof/>
                <w:webHidden/>
              </w:rPr>
              <w:instrText xml:space="preserve"> PAGEREF _Toc214442948 \h </w:instrText>
            </w:r>
            <w:r>
              <w:rPr>
                <w:noProof/>
                <w:webHidden/>
              </w:rPr>
            </w:r>
            <w:r>
              <w:rPr>
                <w:noProof/>
                <w:webHidden/>
              </w:rPr>
              <w:fldChar w:fldCharType="separate"/>
            </w:r>
            <w:r>
              <w:rPr>
                <w:noProof/>
                <w:webHidden/>
              </w:rPr>
              <w:t>8</w:t>
            </w:r>
            <w:r>
              <w:rPr>
                <w:noProof/>
                <w:webHidden/>
              </w:rPr>
              <w:fldChar w:fldCharType="end"/>
            </w:r>
          </w:hyperlink>
        </w:p>
        <w:p w14:paraId="1B878DAB" w14:textId="7295840A" w:rsidR="00AB0874" w:rsidRDefault="00AB0874">
          <w:pPr>
            <w:pStyle w:val="TOC2"/>
            <w:tabs>
              <w:tab w:val="right" w:leader="dot" w:pos="9350"/>
            </w:tabs>
            <w:rPr>
              <w:rFonts w:eastAsiaTheme="minorEastAsia"/>
              <w:noProof/>
            </w:rPr>
          </w:pPr>
          <w:hyperlink w:anchor="_Toc214442949" w:history="1">
            <w:r w:rsidRPr="007B19A8">
              <w:rPr>
                <w:rStyle w:val="Hyperlink"/>
                <w:rFonts w:ascii="Arial" w:hAnsi="Arial" w:cs="Arial"/>
                <w:b/>
                <w:bCs/>
                <w:noProof/>
              </w:rPr>
              <w:t>Table-Technological Actor: Tesla vs BYD</w:t>
            </w:r>
            <w:r>
              <w:rPr>
                <w:noProof/>
                <w:webHidden/>
              </w:rPr>
              <w:tab/>
            </w:r>
            <w:r>
              <w:rPr>
                <w:noProof/>
                <w:webHidden/>
              </w:rPr>
              <w:fldChar w:fldCharType="begin"/>
            </w:r>
            <w:r>
              <w:rPr>
                <w:noProof/>
                <w:webHidden/>
              </w:rPr>
              <w:instrText xml:space="preserve"> PAGEREF _Toc214442949 \h </w:instrText>
            </w:r>
            <w:r>
              <w:rPr>
                <w:noProof/>
                <w:webHidden/>
              </w:rPr>
            </w:r>
            <w:r>
              <w:rPr>
                <w:noProof/>
                <w:webHidden/>
              </w:rPr>
              <w:fldChar w:fldCharType="separate"/>
            </w:r>
            <w:r>
              <w:rPr>
                <w:noProof/>
                <w:webHidden/>
              </w:rPr>
              <w:t>8</w:t>
            </w:r>
            <w:r>
              <w:rPr>
                <w:noProof/>
                <w:webHidden/>
              </w:rPr>
              <w:fldChar w:fldCharType="end"/>
            </w:r>
          </w:hyperlink>
        </w:p>
        <w:p w14:paraId="3A52AA32" w14:textId="67ABB4E3" w:rsidR="00AB0874" w:rsidRDefault="00AB0874">
          <w:pPr>
            <w:pStyle w:val="TOC2"/>
            <w:tabs>
              <w:tab w:val="right" w:leader="dot" w:pos="9350"/>
            </w:tabs>
            <w:rPr>
              <w:rFonts w:eastAsiaTheme="minorEastAsia"/>
              <w:noProof/>
            </w:rPr>
          </w:pPr>
          <w:hyperlink w:anchor="_Toc214442950" w:history="1">
            <w:r w:rsidRPr="007B19A8">
              <w:rPr>
                <w:rStyle w:val="Hyperlink"/>
                <w:rFonts w:ascii="Arial" w:hAnsi="Arial" w:cs="Arial"/>
                <w:b/>
                <w:bCs/>
                <w:noProof/>
              </w:rPr>
              <w:t>Table-Natural / Environmental Actor: Patagonia vs The North Face</w:t>
            </w:r>
            <w:r>
              <w:rPr>
                <w:noProof/>
                <w:webHidden/>
              </w:rPr>
              <w:tab/>
            </w:r>
            <w:r>
              <w:rPr>
                <w:noProof/>
                <w:webHidden/>
              </w:rPr>
              <w:fldChar w:fldCharType="begin"/>
            </w:r>
            <w:r>
              <w:rPr>
                <w:noProof/>
                <w:webHidden/>
              </w:rPr>
              <w:instrText xml:space="preserve"> PAGEREF _Toc214442950 \h </w:instrText>
            </w:r>
            <w:r>
              <w:rPr>
                <w:noProof/>
                <w:webHidden/>
              </w:rPr>
            </w:r>
            <w:r>
              <w:rPr>
                <w:noProof/>
                <w:webHidden/>
              </w:rPr>
              <w:fldChar w:fldCharType="separate"/>
            </w:r>
            <w:r>
              <w:rPr>
                <w:noProof/>
                <w:webHidden/>
              </w:rPr>
              <w:t>9</w:t>
            </w:r>
            <w:r>
              <w:rPr>
                <w:noProof/>
                <w:webHidden/>
              </w:rPr>
              <w:fldChar w:fldCharType="end"/>
            </w:r>
          </w:hyperlink>
        </w:p>
        <w:p w14:paraId="1058082C" w14:textId="68B2DA62" w:rsidR="00AB0874" w:rsidRDefault="00AB0874">
          <w:pPr>
            <w:pStyle w:val="TOC1"/>
            <w:tabs>
              <w:tab w:val="right" w:leader="dot" w:pos="9350"/>
            </w:tabs>
            <w:rPr>
              <w:rFonts w:eastAsiaTheme="minorEastAsia"/>
              <w:noProof/>
            </w:rPr>
          </w:pPr>
          <w:hyperlink w:anchor="_Toc214442951" w:history="1">
            <w:r w:rsidRPr="007B19A8">
              <w:rPr>
                <w:rStyle w:val="Hyperlink"/>
                <w:rFonts w:ascii="Arial" w:hAnsi="Arial" w:cs="Arial"/>
                <w:b/>
                <w:bCs/>
                <w:noProof/>
              </w:rPr>
              <w:t>3.Task 2 Strategic Responses of Pioneer and Follower Organisations.</w:t>
            </w:r>
            <w:r>
              <w:rPr>
                <w:noProof/>
                <w:webHidden/>
              </w:rPr>
              <w:tab/>
            </w:r>
            <w:r>
              <w:rPr>
                <w:noProof/>
                <w:webHidden/>
              </w:rPr>
              <w:fldChar w:fldCharType="begin"/>
            </w:r>
            <w:r>
              <w:rPr>
                <w:noProof/>
                <w:webHidden/>
              </w:rPr>
              <w:instrText xml:space="preserve"> PAGEREF _Toc214442951 \h </w:instrText>
            </w:r>
            <w:r>
              <w:rPr>
                <w:noProof/>
                <w:webHidden/>
              </w:rPr>
            </w:r>
            <w:r>
              <w:rPr>
                <w:noProof/>
                <w:webHidden/>
              </w:rPr>
              <w:fldChar w:fldCharType="separate"/>
            </w:r>
            <w:r>
              <w:rPr>
                <w:noProof/>
                <w:webHidden/>
              </w:rPr>
              <w:t>10</w:t>
            </w:r>
            <w:r>
              <w:rPr>
                <w:noProof/>
                <w:webHidden/>
              </w:rPr>
              <w:fldChar w:fldCharType="end"/>
            </w:r>
          </w:hyperlink>
        </w:p>
        <w:p w14:paraId="1C3E48D1" w14:textId="7029EBD7" w:rsidR="00AB0874" w:rsidRDefault="00AB0874">
          <w:pPr>
            <w:pStyle w:val="TOC1"/>
            <w:tabs>
              <w:tab w:val="right" w:leader="dot" w:pos="9350"/>
            </w:tabs>
            <w:rPr>
              <w:rFonts w:eastAsiaTheme="minorEastAsia"/>
              <w:noProof/>
            </w:rPr>
          </w:pPr>
          <w:hyperlink w:anchor="_Toc214442952" w:history="1">
            <w:r w:rsidRPr="007B19A8">
              <w:rPr>
                <w:rStyle w:val="Hyperlink"/>
                <w:rFonts w:ascii="Arial" w:hAnsi="Arial" w:cs="Arial"/>
                <w:b/>
                <w:bCs/>
                <w:noProof/>
              </w:rPr>
              <w:t>3.1 Strategy Respondences of Pioneering Organisations.</w:t>
            </w:r>
            <w:r>
              <w:rPr>
                <w:noProof/>
                <w:webHidden/>
              </w:rPr>
              <w:tab/>
            </w:r>
            <w:r>
              <w:rPr>
                <w:noProof/>
                <w:webHidden/>
              </w:rPr>
              <w:fldChar w:fldCharType="begin"/>
            </w:r>
            <w:r>
              <w:rPr>
                <w:noProof/>
                <w:webHidden/>
              </w:rPr>
              <w:instrText xml:space="preserve"> PAGEREF _Toc214442952 \h </w:instrText>
            </w:r>
            <w:r>
              <w:rPr>
                <w:noProof/>
                <w:webHidden/>
              </w:rPr>
            </w:r>
            <w:r>
              <w:rPr>
                <w:noProof/>
                <w:webHidden/>
              </w:rPr>
              <w:fldChar w:fldCharType="separate"/>
            </w:r>
            <w:r>
              <w:rPr>
                <w:noProof/>
                <w:webHidden/>
              </w:rPr>
              <w:t>10</w:t>
            </w:r>
            <w:r>
              <w:rPr>
                <w:noProof/>
                <w:webHidden/>
              </w:rPr>
              <w:fldChar w:fldCharType="end"/>
            </w:r>
          </w:hyperlink>
        </w:p>
        <w:p w14:paraId="1C7C42AF" w14:textId="07E592F8" w:rsidR="00AB0874" w:rsidRDefault="00AB0874">
          <w:pPr>
            <w:pStyle w:val="TOC2"/>
            <w:tabs>
              <w:tab w:val="right" w:leader="dot" w:pos="9350"/>
            </w:tabs>
            <w:rPr>
              <w:rFonts w:eastAsiaTheme="minorEastAsia"/>
              <w:noProof/>
            </w:rPr>
          </w:pPr>
          <w:hyperlink w:anchor="_Toc214442953" w:history="1">
            <w:r w:rsidRPr="007B19A8">
              <w:rPr>
                <w:rStyle w:val="Hyperlink"/>
                <w:rFonts w:ascii="Arial" w:hAnsi="Arial" w:cs="Arial"/>
                <w:b/>
                <w:bCs/>
                <w:noProof/>
              </w:rPr>
              <w:t>Tesla (Technological Pioneer)</w:t>
            </w:r>
            <w:r>
              <w:rPr>
                <w:noProof/>
                <w:webHidden/>
              </w:rPr>
              <w:tab/>
            </w:r>
            <w:r>
              <w:rPr>
                <w:noProof/>
                <w:webHidden/>
              </w:rPr>
              <w:fldChar w:fldCharType="begin"/>
            </w:r>
            <w:r>
              <w:rPr>
                <w:noProof/>
                <w:webHidden/>
              </w:rPr>
              <w:instrText xml:space="preserve"> PAGEREF _Toc214442953 \h </w:instrText>
            </w:r>
            <w:r>
              <w:rPr>
                <w:noProof/>
                <w:webHidden/>
              </w:rPr>
            </w:r>
            <w:r>
              <w:rPr>
                <w:noProof/>
                <w:webHidden/>
              </w:rPr>
              <w:fldChar w:fldCharType="separate"/>
            </w:r>
            <w:r>
              <w:rPr>
                <w:noProof/>
                <w:webHidden/>
              </w:rPr>
              <w:t>10</w:t>
            </w:r>
            <w:r>
              <w:rPr>
                <w:noProof/>
                <w:webHidden/>
              </w:rPr>
              <w:fldChar w:fldCharType="end"/>
            </w:r>
          </w:hyperlink>
        </w:p>
        <w:p w14:paraId="6616F55C" w14:textId="0170B9B5" w:rsidR="00AB0874" w:rsidRDefault="00AB0874">
          <w:pPr>
            <w:pStyle w:val="TOC2"/>
            <w:tabs>
              <w:tab w:val="right" w:leader="dot" w:pos="9350"/>
            </w:tabs>
            <w:rPr>
              <w:rFonts w:eastAsiaTheme="minorEastAsia"/>
              <w:noProof/>
            </w:rPr>
          </w:pPr>
          <w:hyperlink w:anchor="_Toc214442954" w:history="1">
            <w:r w:rsidRPr="007B19A8">
              <w:rPr>
                <w:rStyle w:val="Hyperlink"/>
                <w:rFonts w:ascii="Arial" w:hAnsi="Arial" w:cs="Arial"/>
                <w:b/>
                <w:bCs/>
                <w:noProof/>
              </w:rPr>
              <w:t>Patagonia (Natural Pioneer)</w:t>
            </w:r>
            <w:r>
              <w:rPr>
                <w:noProof/>
                <w:webHidden/>
              </w:rPr>
              <w:tab/>
            </w:r>
            <w:r>
              <w:rPr>
                <w:noProof/>
                <w:webHidden/>
              </w:rPr>
              <w:fldChar w:fldCharType="begin"/>
            </w:r>
            <w:r>
              <w:rPr>
                <w:noProof/>
                <w:webHidden/>
              </w:rPr>
              <w:instrText xml:space="preserve"> PAGEREF _Toc214442954 \h </w:instrText>
            </w:r>
            <w:r>
              <w:rPr>
                <w:noProof/>
                <w:webHidden/>
              </w:rPr>
            </w:r>
            <w:r>
              <w:rPr>
                <w:noProof/>
                <w:webHidden/>
              </w:rPr>
              <w:fldChar w:fldCharType="separate"/>
            </w:r>
            <w:r>
              <w:rPr>
                <w:noProof/>
                <w:webHidden/>
              </w:rPr>
              <w:t>11</w:t>
            </w:r>
            <w:r>
              <w:rPr>
                <w:noProof/>
                <w:webHidden/>
              </w:rPr>
              <w:fldChar w:fldCharType="end"/>
            </w:r>
          </w:hyperlink>
        </w:p>
        <w:p w14:paraId="19CFB6B2" w14:textId="40FE87BD" w:rsidR="00AB0874" w:rsidRDefault="00AB0874">
          <w:pPr>
            <w:pStyle w:val="TOC1"/>
            <w:tabs>
              <w:tab w:val="right" w:leader="dot" w:pos="9350"/>
            </w:tabs>
            <w:rPr>
              <w:rFonts w:eastAsiaTheme="minorEastAsia"/>
              <w:noProof/>
            </w:rPr>
          </w:pPr>
          <w:hyperlink w:anchor="_Toc214442955" w:history="1">
            <w:r w:rsidRPr="007B19A8">
              <w:rPr>
                <w:rStyle w:val="Hyperlink"/>
                <w:rFonts w:ascii="Arial" w:hAnsi="Arial" w:cs="Arial"/>
                <w:b/>
                <w:bCs/>
                <w:noProof/>
              </w:rPr>
              <w:t>3.2 Strategic Responses of Follower Organisations.</w:t>
            </w:r>
            <w:r>
              <w:rPr>
                <w:noProof/>
                <w:webHidden/>
              </w:rPr>
              <w:tab/>
            </w:r>
            <w:r>
              <w:rPr>
                <w:noProof/>
                <w:webHidden/>
              </w:rPr>
              <w:fldChar w:fldCharType="begin"/>
            </w:r>
            <w:r>
              <w:rPr>
                <w:noProof/>
                <w:webHidden/>
              </w:rPr>
              <w:instrText xml:space="preserve"> PAGEREF _Toc214442955 \h </w:instrText>
            </w:r>
            <w:r>
              <w:rPr>
                <w:noProof/>
                <w:webHidden/>
              </w:rPr>
            </w:r>
            <w:r>
              <w:rPr>
                <w:noProof/>
                <w:webHidden/>
              </w:rPr>
              <w:fldChar w:fldCharType="separate"/>
            </w:r>
            <w:r>
              <w:rPr>
                <w:noProof/>
                <w:webHidden/>
              </w:rPr>
              <w:t>12</w:t>
            </w:r>
            <w:r>
              <w:rPr>
                <w:noProof/>
                <w:webHidden/>
              </w:rPr>
              <w:fldChar w:fldCharType="end"/>
            </w:r>
          </w:hyperlink>
        </w:p>
        <w:p w14:paraId="50A09032" w14:textId="409E757B" w:rsidR="00AB0874" w:rsidRDefault="00AB0874">
          <w:pPr>
            <w:pStyle w:val="TOC2"/>
            <w:tabs>
              <w:tab w:val="right" w:leader="dot" w:pos="9350"/>
            </w:tabs>
            <w:rPr>
              <w:rFonts w:eastAsiaTheme="minorEastAsia"/>
              <w:noProof/>
            </w:rPr>
          </w:pPr>
          <w:hyperlink w:anchor="_Toc214442956" w:history="1">
            <w:r w:rsidRPr="007B19A8">
              <w:rPr>
                <w:rStyle w:val="Hyperlink"/>
                <w:rFonts w:ascii="Arial" w:hAnsi="Arial" w:cs="Arial"/>
                <w:b/>
                <w:bCs/>
                <w:noProof/>
              </w:rPr>
              <w:t>BYD (Technological Follower)</w:t>
            </w:r>
            <w:r>
              <w:rPr>
                <w:noProof/>
                <w:webHidden/>
              </w:rPr>
              <w:tab/>
            </w:r>
            <w:r>
              <w:rPr>
                <w:noProof/>
                <w:webHidden/>
              </w:rPr>
              <w:fldChar w:fldCharType="begin"/>
            </w:r>
            <w:r>
              <w:rPr>
                <w:noProof/>
                <w:webHidden/>
              </w:rPr>
              <w:instrText xml:space="preserve"> PAGEREF _Toc214442956 \h </w:instrText>
            </w:r>
            <w:r>
              <w:rPr>
                <w:noProof/>
                <w:webHidden/>
              </w:rPr>
            </w:r>
            <w:r>
              <w:rPr>
                <w:noProof/>
                <w:webHidden/>
              </w:rPr>
              <w:fldChar w:fldCharType="separate"/>
            </w:r>
            <w:r>
              <w:rPr>
                <w:noProof/>
                <w:webHidden/>
              </w:rPr>
              <w:t>12</w:t>
            </w:r>
            <w:r>
              <w:rPr>
                <w:noProof/>
                <w:webHidden/>
              </w:rPr>
              <w:fldChar w:fldCharType="end"/>
            </w:r>
          </w:hyperlink>
        </w:p>
        <w:p w14:paraId="3AC8BD95" w14:textId="1F7FD9C4" w:rsidR="00AB0874" w:rsidRDefault="00AB0874">
          <w:pPr>
            <w:pStyle w:val="TOC2"/>
            <w:tabs>
              <w:tab w:val="right" w:leader="dot" w:pos="9350"/>
            </w:tabs>
            <w:rPr>
              <w:rFonts w:eastAsiaTheme="minorEastAsia"/>
              <w:noProof/>
            </w:rPr>
          </w:pPr>
          <w:hyperlink w:anchor="_Toc214442957" w:history="1">
            <w:r w:rsidRPr="007B19A8">
              <w:rPr>
                <w:rStyle w:val="Hyperlink"/>
                <w:rFonts w:ascii="Arial" w:hAnsi="Arial" w:cs="Arial"/>
                <w:b/>
                <w:bCs/>
                <w:noProof/>
              </w:rPr>
              <w:t>The North Face (Natural Follower)</w:t>
            </w:r>
            <w:r>
              <w:rPr>
                <w:noProof/>
                <w:webHidden/>
              </w:rPr>
              <w:tab/>
            </w:r>
            <w:r>
              <w:rPr>
                <w:noProof/>
                <w:webHidden/>
              </w:rPr>
              <w:fldChar w:fldCharType="begin"/>
            </w:r>
            <w:r>
              <w:rPr>
                <w:noProof/>
                <w:webHidden/>
              </w:rPr>
              <w:instrText xml:space="preserve"> PAGEREF _Toc214442957 \h </w:instrText>
            </w:r>
            <w:r>
              <w:rPr>
                <w:noProof/>
                <w:webHidden/>
              </w:rPr>
            </w:r>
            <w:r>
              <w:rPr>
                <w:noProof/>
                <w:webHidden/>
              </w:rPr>
              <w:fldChar w:fldCharType="separate"/>
            </w:r>
            <w:r>
              <w:rPr>
                <w:noProof/>
                <w:webHidden/>
              </w:rPr>
              <w:t>13</w:t>
            </w:r>
            <w:r>
              <w:rPr>
                <w:noProof/>
                <w:webHidden/>
              </w:rPr>
              <w:fldChar w:fldCharType="end"/>
            </w:r>
          </w:hyperlink>
        </w:p>
        <w:p w14:paraId="421DDACA" w14:textId="3FDF76CB" w:rsidR="00AB0874" w:rsidRDefault="00AB0874">
          <w:pPr>
            <w:pStyle w:val="TOC2"/>
            <w:tabs>
              <w:tab w:val="right" w:leader="dot" w:pos="9350"/>
            </w:tabs>
            <w:rPr>
              <w:rFonts w:eastAsiaTheme="minorEastAsia"/>
              <w:noProof/>
            </w:rPr>
          </w:pPr>
          <w:hyperlink w:anchor="_Toc214442958" w:history="1">
            <w:r w:rsidRPr="007B19A8">
              <w:rPr>
                <w:rStyle w:val="Hyperlink"/>
                <w:rFonts w:ascii="Arial" w:hAnsi="Arial" w:cs="Arial"/>
                <w:b/>
                <w:bCs/>
                <w:noProof/>
              </w:rPr>
              <w:t>Comparative Table: Strategic Responses</w:t>
            </w:r>
            <w:r>
              <w:rPr>
                <w:noProof/>
                <w:webHidden/>
              </w:rPr>
              <w:tab/>
            </w:r>
            <w:r>
              <w:rPr>
                <w:noProof/>
                <w:webHidden/>
              </w:rPr>
              <w:fldChar w:fldCharType="begin"/>
            </w:r>
            <w:r>
              <w:rPr>
                <w:noProof/>
                <w:webHidden/>
              </w:rPr>
              <w:instrText xml:space="preserve"> PAGEREF _Toc214442958 \h </w:instrText>
            </w:r>
            <w:r>
              <w:rPr>
                <w:noProof/>
                <w:webHidden/>
              </w:rPr>
            </w:r>
            <w:r>
              <w:rPr>
                <w:noProof/>
                <w:webHidden/>
              </w:rPr>
              <w:fldChar w:fldCharType="separate"/>
            </w:r>
            <w:r>
              <w:rPr>
                <w:noProof/>
                <w:webHidden/>
              </w:rPr>
              <w:t>14</w:t>
            </w:r>
            <w:r>
              <w:rPr>
                <w:noProof/>
                <w:webHidden/>
              </w:rPr>
              <w:fldChar w:fldCharType="end"/>
            </w:r>
          </w:hyperlink>
        </w:p>
        <w:p w14:paraId="0E5F532C" w14:textId="11857957" w:rsidR="00AB0874" w:rsidRDefault="00AB0874">
          <w:pPr>
            <w:pStyle w:val="TOC2"/>
            <w:tabs>
              <w:tab w:val="right" w:leader="dot" w:pos="9350"/>
            </w:tabs>
            <w:rPr>
              <w:rFonts w:eastAsiaTheme="minorEastAsia"/>
              <w:noProof/>
            </w:rPr>
          </w:pPr>
          <w:hyperlink w:anchor="_Toc214442959" w:history="1">
            <w:r w:rsidRPr="007B19A8">
              <w:rPr>
                <w:rStyle w:val="Hyperlink"/>
                <w:rFonts w:ascii="Arial" w:hAnsi="Arial" w:cs="Arial"/>
                <w:b/>
                <w:bCs/>
                <w:noProof/>
              </w:rPr>
              <w:t>Implications and Insights to the Strategy.</w:t>
            </w:r>
            <w:r>
              <w:rPr>
                <w:noProof/>
                <w:webHidden/>
              </w:rPr>
              <w:tab/>
            </w:r>
            <w:r>
              <w:rPr>
                <w:noProof/>
                <w:webHidden/>
              </w:rPr>
              <w:fldChar w:fldCharType="begin"/>
            </w:r>
            <w:r>
              <w:rPr>
                <w:noProof/>
                <w:webHidden/>
              </w:rPr>
              <w:instrText xml:space="preserve"> PAGEREF _Toc214442959 \h </w:instrText>
            </w:r>
            <w:r>
              <w:rPr>
                <w:noProof/>
                <w:webHidden/>
              </w:rPr>
            </w:r>
            <w:r>
              <w:rPr>
                <w:noProof/>
                <w:webHidden/>
              </w:rPr>
              <w:fldChar w:fldCharType="separate"/>
            </w:r>
            <w:r>
              <w:rPr>
                <w:noProof/>
                <w:webHidden/>
              </w:rPr>
              <w:t>15</w:t>
            </w:r>
            <w:r>
              <w:rPr>
                <w:noProof/>
                <w:webHidden/>
              </w:rPr>
              <w:fldChar w:fldCharType="end"/>
            </w:r>
          </w:hyperlink>
        </w:p>
        <w:p w14:paraId="7A068603" w14:textId="579BACAE" w:rsidR="00AB0874" w:rsidRDefault="00AB0874">
          <w:pPr>
            <w:pStyle w:val="TOC1"/>
            <w:tabs>
              <w:tab w:val="right" w:leader="dot" w:pos="9350"/>
            </w:tabs>
            <w:rPr>
              <w:rFonts w:eastAsiaTheme="minorEastAsia"/>
              <w:noProof/>
            </w:rPr>
          </w:pPr>
          <w:hyperlink w:anchor="_Toc214442960" w:history="1">
            <w:r w:rsidRPr="007B19A8">
              <w:rPr>
                <w:rStyle w:val="Hyperlink"/>
                <w:rFonts w:ascii="Arial" w:hAnsi="Arial" w:cs="Arial"/>
                <w:b/>
                <w:bCs/>
                <w:noProof/>
              </w:rPr>
              <w:t>4.Conclusion</w:t>
            </w:r>
            <w:r>
              <w:rPr>
                <w:noProof/>
                <w:webHidden/>
              </w:rPr>
              <w:tab/>
            </w:r>
            <w:r>
              <w:rPr>
                <w:noProof/>
                <w:webHidden/>
              </w:rPr>
              <w:fldChar w:fldCharType="begin"/>
            </w:r>
            <w:r>
              <w:rPr>
                <w:noProof/>
                <w:webHidden/>
              </w:rPr>
              <w:instrText xml:space="preserve"> PAGEREF _Toc214442960 \h </w:instrText>
            </w:r>
            <w:r>
              <w:rPr>
                <w:noProof/>
                <w:webHidden/>
              </w:rPr>
            </w:r>
            <w:r>
              <w:rPr>
                <w:noProof/>
                <w:webHidden/>
              </w:rPr>
              <w:fldChar w:fldCharType="separate"/>
            </w:r>
            <w:r>
              <w:rPr>
                <w:noProof/>
                <w:webHidden/>
              </w:rPr>
              <w:t>15</w:t>
            </w:r>
            <w:r>
              <w:rPr>
                <w:noProof/>
                <w:webHidden/>
              </w:rPr>
              <w:fldChar w:fldCharType="end"/>
            </w:r>
          </w:hyperlink>
        </w:p>
        <w:p w14:paraId="675028C8" w14:textId="4D208C2B" w:rsidR="00AB0874" w:rsidRDefault="00AB0874">
          <w:pPr>
            <w:pStyle w:val="TOC1"/>
            <w:tabs>
              <w:tab w:val="right" w:leader="dot" w:pos="9350"/>
            </w:tabs>
            <w:rPr>
              <w:rFonts w:eastAsiaTheme="minorEastAsia"/>
              <w:noProof/>
            </w:rPr>
          </w:pPr>
          <w:hyperlink w:anchor="_Toc214442961" w:history="1">
            <w:r w:rsidRPr="007B19A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_Toc214442961 \h </w:instrText>
            </w:r>
            <w:r>
              <w:rPr>
                <w:noProof/>
                <w:webHidden/>
              </w:rPr>
            </w:r>
            <w:r>
              <w:rPr>
                <w:noProof/>
                <w:webHidden/>
              </w:rPr>
              <w:fldChar w:fldCharType="separate"/>
            </w:r>
            <w:r>
              <w:rPr>
                <w:noProof/>
                <w:webHidden/>
              </w:rPr>
              <w:t>16</w:t>
            </w:r>
            <w:r>
              <w:rPr>
                <w:noProof/>
                <w:webHidden/>
              </w:rPr>
              <w:fldChar w:fldCharType="end"/>
            </w:r>
          </w:hyperlink>
        </w:p>
        <w:p w14:paraId="772BEAC5" w14:textId="09397F10" w:rsidR="00821C9C" w:rsidRDefault="00821C9C">
          <w:r>
            <w:rPr>
              <w:b/>
              <w:bCs/>
              <w:noProof/>
            </w:rPr>
            <w:fldChar w:fldCharType="end"/>
          </w:r>
        </w:p>
      </w:sdtContent>
    </w:sdt>
    <w:p w14:paraId="081945BA" w14:textId="77777777" w:rsidR="00821C9C" w:rsidRDefault="00821C9C">
      <w:r>
        <w:br w:type="page"/>
      </w:r>
    </w:p>
    <w:p w14:paraId="1D3EAE8F" w14:textId="5A65A289" w:rsidR="00C9069F" w:rsidRPr="00FF475B" w:rsidRDefault="00C9069F" w:rsidP="00FF475B">
      <w:pPr>
        <w:pStyle w:val="Heading1"/>
        <w:rPr>
          <w:rFonts w:ascii="Arial" w:hAnsi="Arial" w:cs="Arial"/>
          <w:b/>
          <w:bCs/>
          <w:color w:val="auto"/>
          <w:sz w:val="24"/>
          <w:szCs w:val="24"/>
        </w:rPr>
      </w:pPr>
      <w:bookmarkStart w:id="0" w:name="_Toc214442941"/>
      <w:r w:rsidRPr="00FF475B">
        <w:rPr>
          <w:rFonts w:ascii="Arial" w:hAnsi="Arial" w:cs="Arial"/>
          <w:b/>
          <w:bCs/>
          <w:color w:val="auto"/>
          <w:sz w:val="24"/>
          <w:szCs w:val="24"/>
        </w:rPr>
        <w:t>1</w:t>
      </w:r>
      <w:r w:rsidR="00C86989" w:rsidRPr="00FF475B">
        <w:rPr>
          <w:rFonts w:ascii="Arial" w:hAnsi="Arial" w:cs="Arial"/>
          <w:b/>
          <w:bCs/>
          <w:color w:val="auto"/>
          <w:sz w:val="24"/>
          <w:szCs w:val="24"/>
        </w:rPr>
        <w:t xml:space="preserve">.0 </w:t>
      </w:r>
      <w:r w:rsidRPr="00FF475B">
        <w:rPr>
          <w:rFonts w:ascii="Arial" w:hAnsi="Arial" w:cs="Arial"/>
          <w:b/>
          <w:bCs/>
          <w:color w:val="auto"/>
          <w:sz w:val="24"/>
          <w:szCs w:val="24"/>
        </w:rPr>
        <w:t>Introduction</w:t>
      </w:r>
      <w:bookmarkEnd w:id="0"/>
    </w:p>
    <w:p w14:paraId="1796F0F1" w14:textId="72D096EA" w:rsidR="00C9069F" w:rsidRPr="00C9069F" w:rsidRDefault="00C9069F" w:rsidP="001C7D45">
      <w:pPr>
        <w:spacing w:after="0" w:line="360" w:lineRule="auto"/>
        <w:jc w:val="both"/>
        <w:rPr>
          <w:rFonts w:ascii="Arial" w:hAnsi="Arial" w:cs="Arial"/>
        </w:rPr>
      </w:pPr>
      <w:r w:rsidRPr="00C9069F">
        <w:rPr>
          <w:rFonts w:ascii="Arial" w:hAnsi="Arial" w:cs="Arial"/>
        </w:rPr>
        <w:t>The report examines the impacts of strategic decisions of pioneers and followers to the key changes in the macro marketing environment. Organisations are in a complex environment that is influenced by technological, ecological, economic, political, sociocultural and legal forces. The evaluation of these factors is crucial to the marketing success in the long-term perspective, enabling companies to take advantage of opportunities and cut down threats (OpenStax, 2019).</w:t>
      </w:r>
    </w:p>
    <w:p w14:paraId="42EC13E6" w14:textId="3EEF7ECB" w:rsidR="00C9069F" w:rsidRPr="00C9069F" w:rsidRDefault="00C86989" w:rsidP="001C7D45">
      <w:pPr>
        <w:spacing w:after="0" w:line="360" w:lineRule="auto"/>
        <w:jc w:val="both"/>
        <w:rPr>
          <w:rFonts w:ascii="Arial" w:hAnsi="Arial" w:cs="Arial"/>
        </w:rPr>
      </w:pPr>
      <w:r>
        <w:rPr>
          <w:rFonts w:ascii="Arial" w:hAnsi="Arial" w:cs="Arial"/>
        </w:rPr>
        <w:t>It</w:t>
      </w:r>
      <w:r w:rsidR="00C9069F" w:rsidRPr="00C9069F">
        <w:rPr>
          <w:rFonts w:ascii="Arial" w:hAnsi="Arial" w:cs="Arial"/>
        </w:rPr>
        <w:t xml:space="preserve"> involves two macro-environmental actors transforming industries, Technological actor and Natural / Environmental actor. The technological advances, such as the digital innovation, AI, and battery breakthroughs, change the production, customer experiences, and market structures. The environmental pressures, including climate changes, scarcity of resources, and sustainability requirements, are redefining consumer demands and corporate liabilities (Fibre2Fashion, n.d.; Chalmers University, 2017).</w:t>
      </w:r>
    </w:p>
    <w:p w14:paraId="059CF662" w14:textId="5AEE683E" w:rsidR="00C9069F" w:rsidRPr="00C9069F" w:rsidRDefault="00C86989" w:rsidP="001C7D45">
      <w:pPr>
        <w:spacing w:after="0" w:line="360" w:lineRule="auto"/>
        <w:jc w:val="both"/>
        <w:rPr>
          <w:rFonts w:ascii="Arial" w:hAnsi="Arial" w:cs="Arial"/>
        </w:rPr>
      </w:pPr>
      <w:r>
        <w:rPr>
          <w:rFonts w:ascii="Arial" w:hAnsi="Arial" w:cs="Arial"/>
        </w:rPr>
        <w:t>E</w:t>
      </w:r>
      <w:r w:rsidR="00C9069F" w:rsidRPr="00C9069F">
        <w:rPr>
          <w:rFonts w:ascii="Arial" w:hAnsi="Arial" w:cs="Arial"/>
        </w:rPr>
        <w:t>xample of these dynamics, two pairs of pioneers and followers are discussed Tesla (Pioneer) vs BYD (Follower) in EVs, where the response to technological disruption is observed, and Patagonia (Pioneer) vs The North Face (Follower) in outdoor apparel, where the response to sustainability pressures is observed.</w:t>
      </w:r>
    </w:p>
    <w:p w14:paraId="56260108" w14:textId="2A3DBB77" w:rsidR="00C9069F" w:rsidRDefault="00C9069F" w:rsidP="001C7D45">
      <w:pPr>
        <w:spacing w:after="0" w:line="360" w:lineRule="auto"/>
        <w:jc w:val="both"/>
        <w:rPr>
          <w:rFonts w:ascii="Arial" w:hAnsi="Arial" w:cs="Arial"/>
        </w:rPr>
      </w:pPr>
      <w:r w:rsidRPr="00C9069F">
        <w:rPr>
          <w:rFonts w:ascii="Arial" w:hAnsi="Arial" w:cs="Arial"/>
        </w:rPr>
        <w:t>The analysis has been divided into Task 1</w:t>
      </w:r>
      <w:r w:rsidR="00C86989">
        <w:rPr>
          <w:rFonts w:ascii="Arial" w:hAnsi="Arial" w:cs="Arial"/>
        </w:rPr>
        <w:t>-</w:t>
      </w:r>
      <w:r w:rsidRPr="00C9069F">
        <w:rPr>
          <w:rFonts w:ascii="Arial" w:hAnsi="Arial" w:cs="Arial"/>
        </w:rPr>
        <w:t>measures macro-environmental actors, and Task 2</w:t>
      </w:r>
      <w:r w:rsidR="00C86989">
        <w:rPr>
          <w:rFonts w:ascii="Arial" w:hAnsi="Arial" w:cs="Arial"/>
        </w:rPr>
        <w:t>-</w:t>
      </w:r>
      <w:r w:rsidRPr="00C9069F">
        <w:rPr>
          <w:rFonts w:ascii="Arial" w:hAnsi="Arial" w:cs="Arial"/>
        </w:rPr>
        <w:t>measures strategic responses based on the Porters Generic Strategies and Ansoff Growth Matrix (Nosratabadi et al., 2019).</w:t>
      </w:r>
    </w:p>
    <w:p w14:paraId="7376BE4E" w14:textId="3F0F40A7" w:rsidR="000E3682" w:rsidRDefault="000E3682" w:rsidP="001C7D45">
      <w:pPr>
        <w:spacing w:after="0" w:line="360" w:lineRule="auto"/>
        <w:jc w:val="both"/>
        <w:rPr>
          <w:rFonts w:ascii="Arial" w:hAnsi="Arial" w:cs="Arial"/>
        </w:rPr>
      </w:pPr>
      <w:r>
        <w:rPr>
          <w:noProof/>
        </w:rPr>
        <w:drawing>
          <wp:inline distT="0" distB="0" distL="0" distR="0" wp14:anchorId="0A2B247B" wp14:editId="68DD0F61">
            <wp:extent cx="5867400" cy="2628900"/>
            <wp:effectExtent l="0" t="0" r="0" b="0"/>
            <wp:docPr id="836382791" name="Picture 1" descr="Image of the PESTEL Analysi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Image of the PESTEL Analysis framewor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4214" cy="2649875"/>
                    </a:xfrm>
                    <a:prstGeom prst="rect">
                      <a:avLst/>
                    </a:prstGeom>
                    <a:noFill/>
                    <a:ln>
                      <a:noFill/>
                    </a:ln>
                  </pic:spPr>
                </pic:pic>
              </a:graphicData>
            </a:graphic>
          </wp:inline>
        </w:drawing>
      </w:r>
    </w:p>
    <w:p w14:paraId="7A4EDEC6" w14:textId="626B88D9" w:rsidR="00B050B0" w:rsidRPr="00C86989" w:rsidRDefault="00C86989" w:rsidP="00C86989">
      <w:pPr>
        <w:pStyle w:val="Heading1"/>
        <w:rPr>
          <w:rFonts w:ascii="Arial" w:hAnsi="Arial" w:cs="Arial"/>
          <w:b/>
          <w:bCs/>
          <w:color w:val="auto"/>
          <w:sz w:val="24"/>
          <w:szCs w:val="24"/>
        </w:rPr>
      </w:pPr>
      <w:bookmarkStart w:id="1" w:name="_Toc214442942"/>
      <w:r w:rsidRPr="00C86989">
        <w:rPr>
          <w:rFonts w:ascii="Arial" w:hAnsi="Arial" w:cs="Arial"/>
          <w:b/>
          <w:bCs/>
          <w:color w:val="auto"/>
          <w:sz w:val="24"/>
          <w:szCs w:val="24"/>
        </w:rPr>
        <w:t xml:space="preserve">2.0 </w:t>
      </w:r>
      <w:r w:rsidR="00B050B0" w:rsidRPr="00C86989">
        <w:rPr>
          <w:rFonts w:ascii="Arial" w:hAnsi="Arial" w:cs="Arial"/>
          <w:b/>
          <w:bCs/>
          <w:color w:val="auto"/>
          <w:sz w:val="24"/>
          <w:szCs w:val="24"/>
        </w:rPr>
        <w:t>Task 1 Critical Analysis of the Macro Marketing Environment</w:t>
      </w:r>
      <w:bookmarkEnd w:id="1"/>
    </w:p>
    <w:p w14:paraId="3EC548D7" w14:textId="77777777" w:rsidR="00B050B0" w:rsidRPr="00C86989" w:rsidRDefault="00B050B0" w:rsidP="00C86989">
      <w:pPr>
        <w:pStyle w:val="Heading1"/>
        <w:rPr>
          <w:rFonts w:ascii="Arial" w:hAnsi="Arial" w:cs="Arial"/>
          <w:b/>
          <w:bCs/>
          <w:color w:val="auto"/>
          <w:sz w:val="24"/>
          <w:szCs w:val="24"/>
        </w:rPr>
      </w:pPr>
      <w:bookmarkStart w:id="2" w:name="_Toc214442943"/>
      <w:r w:rsidRPr="00C86989">
        <w:rPr>
          <w:rFonts w:ascii="Arial" w:hAnsi="Arial" w:cs="Arial"/>
          <w:b/>
          <w:bCs/>
          <w:color w:val="auto"/>
          <w:sz w:val="24"/>
          <w:szCs w:val="24"/>
        </w:rPr>
        <w:t>2.1 Macro Marketing Environment Overview.</w:t>
      </w:r>
      <w:bookmarkEnd w:id="2"/>
    </w:p>
    <w:p w14:paraId="31884423" w14:textId="77777777" w:rsidR="00B050B0" w:rsidRPr="00C9069F" w:rsidRDefault="00B050B0" w:rsidP="001C7D45">
      <w:pPr>
        <w:spacing w:after="0" w:line="360" w:lineRule="auto"/>
        <w:jc w:val="both"/>
        <w:rPr>
          <w:rFonts w:ascii="Arial" w:hAnsi="Arial" w:cs="Arial"/>
        </w:rPr>
      </w:pPr>
      <w:r w:rsidRPr="00C9069F">
        <w:rPr>
          <w:rFonts w:ascii="Arial" w:hAnsi="Arial" w:cs="Arial"/>
        </w:rPr>
        <w:t>The macro marketing environment is the term used to describe the external factors which impact the capacity of a firm to operate yet a firm has little control over them (OpenStax, 2019). These forces influence opportunities and threats, influences strategic decision making, competitive positioning and customer satisfaction. To be competitive, firms should be able to keep up with these external factors by continually keeping an eye on them.</w:t>
      </w:r>
    </w:p>
    <w:p w14:paraId="53AAB8FF" w14:textId="4152EEDB" w:rsidR="00B050B0" w:rsidRPr="00C9069F" w:rsidRDefault="00B050B0" w:rsidP="001C7D45">
      <w:pPr>
        <w:spacing w:after="0" w:line="360" w:lineRule="auto"/>
        <w:jc w:val="both"/>
        <w:rPr>
          <w:rFonts w:ascii="Arial" w:hAnsi="Arial" w:cs="Arial"/>
        </w:rPr>
      </w:pPr>
      <w:r w:rsidRPr="00C9069F">
        <w:rPr>
          <w:rFonts w:ascii="Arial" w:hAnsi="Arial" w:cs="Arial"/>
        </w:rPr>
        <w:t xml:space="preserve">One of the commonly adopted models of the external forces is PESTEL: Political, Economic, Sociocultural, Technological, Environmental/Natural, and Legal (Raider Pressbooks, 2025). All these dimensions have the capacity to affect the marketing strategy to a great extent. </w:t>
      </w:r>
      <w:r w:rsidR="00EF0757">
        <w:rPr>
          <w:rFonts w:ascii="Arial" w:hAnsi="Arial" w:cs="Arial"/>
        </w:rPr>
        <w:t>Example as</w:t>
      </w:r>
      <w:r w:rsidRPr="00C9069F">
        <w:rPr>
          <w:rFonts w:ascii="Arial" w:hAnsi="Arial" w:cs="Arial"/>
        </w:rPr>
        <w:t>, sustainable production techniques might be demanded by regulatory modifications (Legal) which in turn influence prices and cost policies (Economic). Similarly, technological solutions may also form new product categories, such as in the EV industry</w:t>
      </w:r>
      <w:r w:rsidR="00D048D7">
        <w:rPr>
          <w:rFonts w:ascii="Arial" w:hAnsi="Arial" w:cs="Arial"/>
        </w:rPr>
        <w:t xml:space="preserve"> </w:t>
      </w:r>
      <w:r w:rsidR="00D048D7" w:rsidRPr="00D048D7">
        <w:rPr>
          <w:rFonts w:ascii="Arial" w:hAnsi="Arial" w:cs="Arial"/>
        </w:rPr>
        <w:t>(Bohnsack, Pinkse and Kolk, 2014)</w:t>
      </w:r>
      <w:r w:rsidRPr="00C9069F">
        <w:rPr>
          <w:rFonts w:ascii="Arial" w:hAnsi="Arial" w:cs="Arial"/>
        </w:rPr>
        <w:t>.</w:t>
      </w:r>
    </w:p>
    <w:p w14:paraId="161C08E8" w14:textId="2A07DE8C" w:rsidR="00B050B0" w:rsidRPr="00C9069F" w:rsidRDefault="00B050B0" w:rsidP="001C7D45">
      <w:pPr>
        <w:spacing w:after="0" w:line="360" w:lineRule="auto"/>
        <w:jc w:val="both"/>
        <w:rPr>
          <w:rFonts w:ascii="Arial" w:hAnsi="Arial" w:cs="Arial"/>
        </w:rPr>
      </w:pPr>
      <w:r w:rsidRPr="00C9069F">
        <w:rPr>
          <w:rFonts w:ascii="Arial" w:hAnsi="Arial" w:cs="Arial"/>
        </w:rPr>
        <w:t>The inability to trace these changes may lead to either strategic obsolescence, missed opportunities, or a competitive advantage (Nosratabadi et al., 2019). Thus, both pioneering and following firms have to have a systematic analysis of macro-environmental actors to predict trends and respond in advance.</w:t>
      </w:r>
    </w:p>
    <w:p w14:paraId="0DD6DD53" w14:textId="77777777" w:rsidR="00B050B0" w:rsidRPr="00C9069F" w:rsidRDefault="00B050B0" w:rsidP="001C7D45">
      <w:pPr>
        <w:spacing w:after="0" w:line="360" w:lineRule="auto"/>
        <w:jc w:val="both"/>
        <w:rPr>
          <w:rFonts w:ascii="Arial" w:hAnsi="Arial" w:cs="Arial"/>
        </w:rPr>
      </w:pPr>
      <w:r w:rsidRPr="00C9069F">
        <w:rPr>
          <w:rFonts w:ascii="Arial" w:hAnsi="Arial" w:cs="Arial"/>
        </w:rPr>
        <w:t>In this report, Technological and Natural / Environmental forces are the two macro-environmental players chosen. These players are very powerful in the EV and outdoor apparel industries.</w:t>
      </w:r>
    </w:p>
    <w:p w14:paraId="06F565E3" w14:textId="77777777" w:rsidR="00B050B0" w:rsidRPr="00C86989" w:rsidRDefault="00B050B0" w:rsidP="00C86989">
      <w:pPr>
        <w:pStyle w:val="Heading2"/>
        <w:rPr>
          <w:rFonts w:ascii="Arial" w:hAnsi="Arial" w:cs="Arial"/>
          <w:b/>
          <w:bCs/>
          <w:color w:val="auto"/>
          <w:sz w:val="24"/>
          <w:szCs w:val="24"/>
        </w:rPr>
      </w:pPr>
      <w:bookmarkStart w:id="3" w:name="_Toc214442944"/>
      <w:r w:rsidRPr="00C86989">
        <w:rPr>
          <w:rFonts w:ascii="Arial" w:hAnsi="Arial" w:cs="Arial"/>
          <w:b/>
          <w:bCs/>
          <w:color w:val="auto"/>
          <w:sz w:val="24"/>
          <w:szCs w:val="24"/>
        </w:rPr>
        <w:t>Technological Actor</w:t>
      </w:r>
      <w:bookmarkEnd w:id="3"/>
    </w:p>
    <w:p w14:paraId="0F5279CE" w14:textId="77777777" w:rsidR="00B050B0" w:rsidRPr="00C9069F" w:rsidRDefault="00B050B0" w:rsidP="001C7D45">
      <w:pPr>
        <w:spacing w:after="0" w:line="360" w:lineRule="auto"/>
        <w:jc w:val="both"/>
        <w:rPr>
          <w:rFonts w:ascii="Arial" w:hAnsi="Arial" w:cs="Arial"/>
        </w:rPr>
      </w:pPr>
      <w:r w:rsidRPr="00C9069F">
        <w:rPr>
          <w:rFonts w:ascii="Arial" w:hAnsi="Arial" w:cs="Arial"/>
        </w:rPr>
        <w:t>The technological environment includes the digital platform, automation, AI, and energy storage innovations. Technology is the source of differentiation and competitive advantage in the EV industry:</w:t>
      </w:r>
    </w:p>
    <w:p w14:paraId="6A177A1F" w14:textId="6B789C8F" w:rsidR="00B050B0" w:rsidRPr="00C86989" w:rsidRDefault="00B050B0" w:rsidP="00C86989">
      <w:pPr>
        <w:pStyle w:val="ListParagraph"/>
        <w:numPr>
          <w:ilvl w:val="0"/>
          <w:numId w:val="40"/>
        </w:numPr>
        <w:spacing w:after="0" w:line="360" w:lineRule="auto"/>
        <w:jc w:val="both"/>
        <w:rPr>
          <w:rFonts w:ascii="Arial" w:hAnsi="Arial" w:cs="Arial"/>
        </w:rPr>
      </w:pPr>
      <w:r w:rsidRPr="00C86989">
        <w:rPr>
          <w:rFonts w:ascii="Arial" w:hAnsi="Arial" w:cs="Arial"/>
          <w:b/>
          <w:bCs/>
        </w:rPr>
        <w:t>Tesla (Pioneer</w:t>
      </w:r>
      <w:r w:rsidRPr="00C86989">
        <w:rPr>
          <w:rFonts w:ascii="Arial" w:hAnsi="Arial" w:cs="Arial"/>
        </w:rPr>
        <w:t>): Has software-defined cars, autonomous driving features, and battery technology (Automotive Manufacturing Solutions, 2025).</w:t>
      </w:r>
    </w:p>
    <w:p w14:paraId="21B4F07F" w14:textId="77777777" w:rsidR="00B050B0" w:rsidRDefault="00B050B0" w:rsidP="00C86989">
      <w:pPr>
        <w:pStyle w:val="ListParagraph"/>
        <w:numPr>
          <w:ilvl w:val="0"/>
          <w:numId w:val="40"/>
        </w:numPr>
        <w:spacing w:after="0" w:line="360" w:lineRule="auto"/>
        <w:jc w:val="both"/>
        <w:rPr>
          <w:rFonts w:ascii="Arial" w:hAnsi="Arial" w:cs="Arial"/>
        </w:rPr>
      </w:pPr>
      <w:r w:rsidRPr="00C86989">
        <w:rPr>
          <w:rFonts w:ascii="Arial" w:hAnsi="Arial" w:cs="Arial"/>
          <w:b/>
          <w:bCs/>
        </w:rPr>
        <w:t>BYD (Follower):</w:t>
      </w:r>
      <w:r w:rsidRPr="00C86989">
        <w:rPr>
          <w:rFonts w:ascii="Arial" w:hAnsi="Arial" w:cs="Arial"/>
        </w:rPr>
        <w:t xml:space="preserve"> uses vertical integration and AI-enabled manufacturing to scale effectively and save money, and uses successful technologies of the leaders (Collins, 2025).</w:t>
      </w:r>
    </w:p>
    <w:p w14:paraId="429CBE8F" w14:textId="77777777" w:rsidR="00E37FFD" w:rsidRDefault="00E37FFD" w:rsidP="00E37FFD">
      <w:pPr>
        <w:spacing w:after="0" w:line="360" w:lineRule="auto"/>
        <w:jc w:val="both"/>
        <w:rPr>
          <w:rFonts w:ascii="Arial" w:hAnsi="Arial" w:cs="Arial"/>
          <w:noProof/>
        </w:rPr>
      </w:pPr>
    </w:p>
    <w:p w14:paraId="4FD20397" w14:textId="2DE8449B" w:rsidR="00E37FFD" w:rsidRPr="00E37FFD" w:rsidRDefault="00E37FFD" w:rsidP="002841BB">
      <w:pPr>
        <w:spacing w:after="0" w:line="360" w:lineRule="auto"/>
        <w:jc w:val="center"/>
        <w:rPr>
          <w:rFonts w:ascii="Arial" w:hAnsi="Arial" w:cs="Arial"/>
        </w:rPr>
      </w:pPr>
      <w:r>
        <w:rPr>
          <w:rFonts w:ascii="Arial" w:hAnsi="Arial" w:cs="Arial"/>
          <w:noProof/>
        </w:rPr>
        <w:drawing>
          <wp:inline distT="0" distB="0" distL="0" distR="0" wp14:anchorId="0357197F" wp14:editId="739C54B9">
            <wp:extent cx="5267155" cy="3190875"/>
            <wp:effectExtent l="0" t="0" r="0" b="0"/>
            <wp:docPr id="1192542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42261" name="Picture 1192542261"/>
                    <pic:cNvPicPr/>
                  </pic:nvPicPr>
                  <pic:blipFill rotWithShape="1">
                    <a:blip r:embed="rId10">
                      <a:extLst>
                        <a:ext uri="{28A0092B-C50C-407E-A947-70E740481C1C}">
                          <a14:useLocalDpi xmlns:a14="http://schemas.microsoft.com/office/drawing/2010/main" val="0"/>
                        </a:ext>
                      </a:extLst>
                    </a:blip>
                    <a:srcRect b="9455"/>
                    <a:stretch>
                      <a:fillRect/>
                    </a:stretch>
                  </pic:blipFill>
                  <pic:spPr bwMode="auto">
                    <a:xfrm>
                      <a:off x="0" y="0"/>
                      <a:ext cx="5309659" cy="3216624"/>
                    </a:xfrm>
                    <a:prstGeom prst="rect">
                      <a:avLst/>
                    </a:prstGeom>
                    <a:ln>
                      <a:noFill/>
                    </a:ln>
                    <a:extLst>
                      <a:ext uri="{53640926-AAD7-44D8-BBD7-CCE9431645EC}">
                        <a14:shadowObscured xmlns:a14="http://schemas.microsoft.com/office/drawing/2010/main"/>
                      </a:ext>
                    </a:extLst>
                  </pic:spPr>
                </pic:pic>
              </a:graphicData>
            </a:graphic>
          </wp:inline>
        </w:drawing>
      </w:r>
    </w:p>
    <w:p w14:paraId="357B0DEE" w14:textId="77777777" w:rsidR="00B050B0" w:rsidRDefault="00B050B0" w:rsidP="001C7D45">
      <w:pPr>
        <w:spacing w:after="0" w:line="360" w:lineRule="auto"/>
        <w:jc w:val="both"/>
        <w:rPr>
          <w:rFonts w:ascii="Arial" w:hAnsi="Arial" w:cs="Arial"/>
        </w:rPr>
      </w:pPr>
      <w:r w:rsidRPr="00C9069F">
        <w:rPr>
          <w:rFonts w:ascii="Arial" w:hAnsi="Arial" w:cs="Arial"/>
        </w:rPr>
        <w:t>The technological changes influence the production processes, speed-to-market, and customer experience. Companies that possess the control over the core technologies are able to attain sustainable competitive advantage, whereas followers need to be keen to monitor and implement the innovations as a way of avoiding risk.</w:t>
      </w:r>
    </w:p>
    <w:p w14:paraId="28011082" w14:textId="3ADB7E40" w:rsidR="00AA04B7" w:rsidRPr="00AA04B7" w:rsidRDefault="00AA04B7" w:rsidP="00AA04B7">
      <w:pPr>
        <w:pStyle w:val="Heading2"/>
        <w:rPr>
          <w:rFonts w:ascii="Arial" w:hAnsi="Arial" w:cs="Arial"/>
          <w:b/>
          <w:bCs/>
          <w:color w:val="auto"/>
          <w:sz w:val="24"/>
          <w:szCs w:val="24"/>
        </w:rPr>
      </w:pPr>
      <w:bookmarkStart w:id="4" w:name="_Toc214442945"/>
      <w:r w:rsidRPr="00AA04B7">
        <w:rPr>
          <w:rFonts w:ascii="Arial" w:hAnsi="Arial" w:cs="Arial"/>
          <w:b/>
          <w:bCs/>
          <w:color w:val="auto"/>
          <w:sz w:val="24"/>
          <w:szCs w:val="24"/>
        </w:rPr>
        <w:t>Opportunities and Threats of the Technological Actor.</w:t>
      </w:r>
      <w:bookmarkEnd w:id="4"/>
    </w:p>
    <w:p w14:paraId="6F2B262E" w14:textId="0D9E6F7C" w:rsidR="00AA04B7" w:rsidRPr="00AA04B7" w:rsidRDefault="00AA04B7" w:rsidP="00AA04B7">
      <w:pPr>
        <w:spacing w:after="0" w:line="360" w:lineRule="auto"/>
        <w:jc w:val="both"/>
        <w:rPr>
          <w:rFonts w:ascii="Arial" w:hAnsi="Arial" w:cs="Arial"/>
        </w:rPr>
      </w:pPr>
      <w:r>
        <w:rPr>
          <w:rFonts w:ascii="Arial" w:hAnsi="Arial" w:cs="Arial"/>
          <w:noProof/>
        </w:rPr>
        <w:drawing>
          <wp:inline distT="0" distB="0" distL="0" distR="0" wp14:anchorId="26A227CC" wp14:editId="3692C825">
            <wp:extent cx="6629400" cy="2714625"/>
            <wp:effectExtent l="0" t="38100" r="0" b="28575"/>
            <wp:docPr id="15568479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CD23C7A" w14:textId="77777777" w:rsidR="00B050B0" w:rsidRPr="00C86989" w:rsidRDefault="00B050B0" w:rsidP="00C86989">
      <w:pPr>
        <w:pStyle w:val="Heading2"/>
        <w:rPr>
          <w:rFonts w:ascii="Arial" w:hAnsi="Arial" w:cs="Arial"/>
          <w:b/>
          <w:bCs/>
          <w:color w:val="auto"/>
          <w:sz w:val="24"/>
          <w:szCs w:val="24"/>
        </w:rPr>
      </w:pPr>
      <w:bookmarkStart w:id="5" w:name="_Toc214442946"/>
      <w:r w:rsidRPr="00C86989">
        <w:rPr>
          <w:rFonts w:ascii="Arial" w:hAnsi="Arial" w:cs="Arial"/>
          <w:b/>
          <w:bCs/>
          <w:color w:val="auto"/>
          <w:sz w:val="24"/>
          <w:szCs w:val="24"/>
        </w:rPr>
        <w:t>Natural/Environmental Actor.</w:t>
      </w:r>
      <w:bookmarkEnd w:id="5"/>
    </w:p>
    <w:p w14:paraId="3866E611" w14:textId="7B636093" w:rsidR="00B050B0" w:rsidRPr="00C9069F" w:rsidRDefault="00B050B0" w:rsidP="001C7D45">
      <w:pPr>
        <w:spacing w:after="0" w:line="360" w:lineRule="auto"/>
        <w:jc w:val="both"/>
        <w:rPr>
          <w:rFonts w:ascii="Arial" w:hAnsi="Arial" w:cs="Arial"/>
        </w:rPr>
      </w:pPr>
      <w:r w:rsidRPr="00C9069F">
        <w:rPr>
          <w:rFonts w:ascii="Arial" w:hAnsi="Arial" w:cs="Arial"/>
        </w:rPr>
        <w:t>The forces in the environment have been of key strategic concern because of climate change, scarcity of resources and increasing regulatory demands</w:t>
      </w:r>
      <w:r w:rsidR="00D048D7">
        <w:rPr>
          <w:rFonts w:ascii="Arial" w:hAnsi="Arial" w:cs="Arial"/>
        </w:rPr>
        <w:t xml:space="preserve"> </w:t>
      </w:r>
      <w:r w:rsidR="00D048D7" w:rsidRPr="00D048D7">
        <w:rPr>
          <w:rFonts w:ascii="Arial" w:hAnsi="Arial" w:cs="Arial"/>
        </w:rPr>
        <w:t>(World Bank, 2011)</w:t>
      </w:r>
      <w:r w:rsidRPr="00C9069F">
        <w:rPr>
          <w:rFonts w:ascii="Arial" w:hAnsi="Arial" w:cs="Arial"/>
        </w:rPr>
        <w:t>. Sustainability and ethical sourcing affect the operational decisions and brand image:</w:t>
      </w:r>
    </w:p>
    <w:p w14:paraId="5E94FA88" w14:textId="67F7C1E4" w:rsidR="00B050B0" w:rsidRPr="00C86989" w:rsidRDefault="00B050B0" w:rsidP="00C86989">
      <w:pPr>
        <w:pStyle w:val="ListParagraph"/>
        <w:numPr>
          <w:ilvl w:val="0"/>
          <w:numId w:val="39"/>
        </w:numPr>
        <w:spacing w:after="0" w:line="360" w:lineRule="auto"/>
        <w:jc w:val="both"/>
        <w:rPr>
          <w:rFonts w:ascii="Arial" w:hAnsi="Arial" w:cs="Arial"/>
        </w:rPr>
      </w:pPr>
      <w:r w:rsidRPr="00C86989">
        <w:rPr>
          <w:rFonts w:ascii="Arial" w:hAnsi="Arial" w:cs="Arial"/>
          <w:b/>
          <w:bCs/>
        </w:rPr>
        <w:t>Patagonia (Pioneer):</w:t>
      </w:r>
      <w:r w:rsidRPr="00C86989">
        <w:rPr>
          <w:rFonts w:ascii="Arial" w:hAnsi="Arial" w:cs="Arial"/>
        </w:rPr>
        <w:t xml:space="preserve"> Makes environmental activism a part of its business model. Circularity, durability, and customer loyalty are encouraged via programmes such as Worn Wear (Business of Fashion, n.d.).</w:t>
      </w:r>
    </w:p>
    <w:p w14:paraId="6EC7BB80" w14:textId="476D3BCF" w:rsidR="00E37FFD" w:rsidRDefault="00B050B0" w:rsidP="00E37FFD">
      <w:pPr>
        <w:pStyle w:val="ListParagraph"/>
        <w:numPr>
          <w:ilvl w:val="0"/>
          <w:numId w:val="39"/>
        </w:numPr>
        <w:spacing w:after="0" w:line="360" w:lineRule="auto"/>
        <w:jc w:val="both"/>
        <w:rPr>
          <w:rFonts w:ascii="Arial" w:hAnsi="Arial" w:cs="Arial"/>
        </w:rPr>
      </w:pPr>
      <w:r w:rsidRPr="00C86989">
        <w:rPr>
          <w:rFonts w:ascii="Arial" w:hAnsi="Arial" w:cs="Arial"/>
          <w:b/>
          <w:bCs/>
        </w:rPr>
        <w:t>The North Face (Follower):</w:t>
      </w:r>
      <w:r w:rsidRPr="00C86989">
        <w:rPr>
          <w:rFonts w:ascii="Arial" w:hAnsi="Arial" w:cs="Arial"/>
        </w:rPr>
        <w:t xml:space="preserve"> This is the one that puts adaptive sustainability practises into play, recycling and using renewable resources and aligning environmental practises with the mainstream consumer interest (Chalmers University, 2017).</w:t>
      </w:r>
    </w:p>
    <w:p w14:paraId="4DE9ACA8" w14:textId="2042831A" w:rsidR="002841BB" w:rsidRPr="00E37FFD" w:rsidRDefault="002841BB" w:rsidP="002841BB">
      <w:pPr>
        <w:pStyle w:val="ListParagraph"/>
        <w:spacing w:after="0" w:line="360" w:lineRule="auto"/>
        <w:jc w:val="both"/>
        <w:rPr>
          <w:rFonts w:ascii="Arial" w:hAnsi="Arial" w:cs="Arial"/>
        </w:rPr>
      </w:pPr>
      <w:r>
        <w:rPr>
          <w:rFonts w:ascii="Arial" w:hAnsi="Arial" w:cs="Arial"/>
          <w:noProof/>
        </w:rPr>
        <w:drawing>
          <wp:inline distT="0" distB="0" distL="0" distR="0" wp14:anchorId="32AC3B76" wp14:editId="138DF9CB">
            <wp:extent cx="5153025" cy="3000375"/>
            <wp:effectExtent l="0" t="0" r="9525" b="9525"/>
            <wp:docPr id="138104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47731" name="Picture 1381047731"/>
                    <pic:cNvPicPr/>
                  </pic:nvPicPr>
                  <pic:blipFill>
                    <a:blip r:embed="rId16">
                      <a:extLst>
                        <a:ext uri="{28A0092B-C50C-407E-A947-70E740481C1C}">
                          <a14:useLocalDpi xmlns:a14="http://schemas.microsoft.com/office/drawing/2010/main" val="0"/>
                        </a:ext>
                      </a:extLst>
                    </a:blip>
                    <a:stretch>
                      <a:fillRect/>
                    </a:stretch>
                  </pic:blipFill>
                  <pic:spPr>
                    <a:xfrm>
                      <a:off x="0" y="0"/>
                      <a:ext cx="5153025" cy="3000375"/>
                    </a:xfrm>
                    <a:prstGeom prst="rect">
                      <a:avLst/>
                    </a:prstGeom>
                  </pic:spPr>
                </pic:pic>
              </a:graphicData>
            </a:graphic>
          </wp:inline>
        </w:drawing>
      </w:r>
    </w:p>
    <w:p w14:paraId="6C0E4CBA" w14:textId="62FFF5E2" w:rsidR="00B218B5" w:rsidRDefault="00B050B0" w:rsidP="001C7D45">
      <w:pPr>
        <w:spacing w:after="0" w:line="360" w:lineRule="auto"/>
        <w:jc w:val="both"/>
        <w:rPr>
          <w:rFonts w:ascii="Arial" w:hAnsi="Arial" w:cs="Arial"/>
        </w:rPr>
      </w:pPr>
      <w:r w:rsidRPr="00C9069F">
        <w:rPr>
          <w:rFonts w:ascii="Arial" w:hAnsi="Arial" w:cs="Arial"/>
        </w:rPr>
        <w:t>These forces have an impact on the supply chain, sourcing of materials, production process, and consumer expectations. Those companies that do not react face the threat of reputational losses and fines.</w:t>
      </w:r>
    </w:p>
    <w:p w14:paraId="4259F02B" w14:textId="26FC5A92" w:rsidR="00E8511D" w:rsidRDefault="00E8511D" w:rsidP="00D97C31">
      <w:pPr>
        <w:pStyle w:val="Heading2"/>
        <w:rPr>
          <w:rFonts w:ascii="Arial" w:hAnsi="Arial" w:cs="Arial"/>
          <w:b/>
          <w:bCs/>
          <w:color w:val="auto"/>
          <w:sz w:val="24"/>
          <w:szCs w:val="24"/>
        </w:rPr>
      </w:pPr>
      <w:bookmarkStart w:id="6" w:name="_Toc214442947"/>
      <w:r w:rsidRPr="00D97C31">
        <w:rPr>
          <w:rFonts w:ascii="Arial" w:hAnsi="Arial" w:cs="Arial"/>
          <w:b/>
          <w:bCs/>
          <w:color w:val="auto"/>
          <w:sz w:val="24"/>
          <w:szCs w:val="24"/>
        </w:rPr>
        <w:t>Opportunities and Threats created by the Natural/Environmental Actor.</w:t>
      </w:r>
      <w:bookmarkEnd w:id="6"/>
    </w:p>
    <w:p w14:paraId="2D1F9AE1" w14:textId="0C0D2257" w:rsidR="00D97C31" w:rsidRPr="00D97C31" w:rsidRDefault="00D97C31" w:rsidP="00D97C31">
      <w:r>
        <w:rPr>
          <w:noProof/>
        </w:rPr>
        <w:drawing>
          <wp:inline distT="0" distB="0" distL="0" distR="0" wp14:anchorId="6EEB1222" wp14:editId="2C221BA0">
            <wp:extent cx="6610350" cy="3467100"/>
            <wp:effectExtent l="0" t="57150" r="0" b="57150"/>
            <wp:docPr id="162405299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B3D12DA" w14:textId="77777777" w:rsidR="00E8511D" w:rsidRPr="00AA04B7" w:rsidRDefault="00E8511D" w:rsidP="00E8511D">
      <w:pPr>
        <w:spacing w:after="0" w:line="360" w:lineRule="auto"/>
        <w:jc w:val="both"/>
        <w:rPr>
          <w:rFonts w:ascii="Arial" w:hAnsi="Arial" w:cs="Arial"/>
        </w:rPr>
      </w:pPr>
    </w:p>
    <w:p w14:paraId="7BA26238" w14:textId="77777777" w:rsidR="00B218B5" w:rsidRPr="00C86989" w:rsidRDefault="00B218B5" w:rsidP="00C86989">
      <w:pPr>
        <w:pStyle w:val="Heading1"/>
        <w:rPr>
          <w:rFonts w:ascii="Arial" w:hAnsi="Arial" w:cs="Arial"/>
          <w:b/>
          <w:bCs/>
          <w:color w:val="auto"/>
          <w:sz w:val="24"/>
          <w:szCs w:val="24"/>
        </w:rPr>
      </w:pPr>
      <w:bookmarkStart w:id="7" w:name="_Toc214442948"/>
      <w:r w:rsidRPr="00C86989">
        <w:rPr>
          <w:rFonts w:ascii="Arial" w:hAnsi="Arial" w:cs="Arial"/>
          <w:b/>
          <w:bCs/>
          <w:color w:val="auto"/>
          <w:sz w:val="24"/>
          <w:szCs w:val="24"/>
        </w:rPr>
        <w:t>2.3 Critical Analysis of Each Actor</w:t>
      </w:r>
      <w:bookmarkEnd w:id="7"/>
    </w:p>
    <w:p w14:paraId="1F9EF8DB" w14:textId="60396107" w:rsidR="00B218B5" w:rsidRPr="00C86989" w:rsidRDefault="00C86989" w:rsidP="00C86989">
      <w:pPr>
        <w:pStyle w:val="Heading2"/>
        <w:rPr>
          <w:rFonts w:ascii="Arial" w:hAnsi="Arial" w:cs="Arial"/>
          <w:b/>
          <w:bCs/>
          <w:color w:val="auto"/>
          <w:sz w:val="24"/>
          <w:szCs w:val="24"/>
        </w:rPr>
      </w:pPr>
      <w:bookmarkStart w:id="8" w:name="_Toc214442949"/>
      <w:r w:rsidRPr="00C86989">
        <w:rPr>
          <w:rFonts w:ascii="Arial" w:hAnsi="Arial" w:cs="Arial"/>
          <w:b/>
          <w:bCs/>
          <w:color w:val="auto"/>
          <w:sz w:val="24"/>
          <w:szCs w:val="24"/>
        </w:rPr>
        <w:t>Table-</w:t>
      </w:r>
      <w:r w:rsidR="00B218B5" w:rsidRPr="00C86989">
        <w:rPr>
          <w:rFonts w:ascii="Arial" w:hAnsi="Arial" w:cs="Arial"/>
          <w:b/>
          <w:bCs/>
          <w:color w:val="auto"/>
          <w:sz w:val="24"/>
          <w:szCs w:val="24"/>
        </w:rPr>
        <w:t>Technological Actor: Tesla vs BYD</w:t>
      </w:r>
      <w:bookmarkEnd w:id="8"/>
    </w:p>
    <w:tbl>
      <w:tblPr>
        <w:tblStyle w:val="GridTable4-Accent6"/>
        <w:tblW w:w="0" w:type="auto"/>
        <w:tblLook w:val="04A0" w:firstRow="1" w:lastRow="0" w:firstColumn="1" w:lastColumn="0" w:noHBand="0" w:noVBand="1"/>
      </w:tblPr>
      <w:tblGrid>
        <w:gridCol w:w="2361"/>
        <w:gridCol w:w="2991"/>
        <w:gridCol w:w="3998"/>
      </w:tblGrid>
      <w:tr w:rsidR="00B218B5" w:rsidRPr="00C9069F" w14:paraId="2C98D33B" w14:textId="77777777" w:rsidTr="00EF07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D9C70" w14:textId="77777777" w:rsidR="00B218B5" w:rsidRPr="00C9069F" w:rsidRDefault="00B218B5" w:rsidP="001C7D45">
            <w:pPr>
              <w:spacing w:line="360" w:lineRule="auto"/>
              <w:jc w:val="both"/>
              <w:rPr>
                <w:rFonts w:ascii="Arial" w:hAnsi="Arial" w:cs="Arial"/>
              </w:rPr>
            </w:pPr>
            <w:r w:rsidRPr="00C9069F">
              <w:rPr>
                <w:rFonts w:ascii="Arial" w:hAnsi="Arial" w:cs="Arial"/>
              </w:rPr>
              <w:t>Strategic Dimension</w:t>
            </w:r>
          </w:p>
        </w:tc>
        <w:tc>
          <w:tcPr>
            <w:tcW w:w="0" w:type="auto"/>
            <w:hideMark/>
          </w:tcPr>
          <w:p w14:paraId="752734F9" w14:textId="77777777" w:rsidR="00B218B5" w:rsidRPr="00C9069F" w:rsidRDefault="00B218B5"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Tesla (Pioneer)</w:t>
            </w:r>
          </w:p>
        </w:tc>
        <w:tc>
          <w:tcPr>
            <w:tcW w:w="0" w:type="auto"/>
            <w:hideMark/>
          </w:tcPr>
          <w:p w14:paraId="7C282ED0" w14:textId="77777777" w:rsidR="00B218B5" w:rsidRPr="00C9069F" w:rsidRDefault="00B218B5"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BYD (Follower)</w:t>
            </w:r>
          </w:p>
        </w:tc>
      </w:tr>
      <w:tr w:rsidR="00B218B5" w:rsidRPr="00C9069F" w14:paraId="03E39669" w14:textId="77777777" w:rsidTr="00EF07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C4709" w14:textId="77777777" w:rsidR="00B218B5" w:rsidRPr="00C9069F" w:rsidRDefault="00B218B5" w:rsidP="001C7D45">
            <w:pPr>
              <w:spacing w:line="360" w:lineRule="auto"/>
              <w:jc w:val="both"/>
              <w:rPr>
                <w:rFonts w:ascii="Arial" w:hAnsi="Arial" w:cs="Arial"/>
              </w:rPr>
            </w:pPr>
            <w:r w:rsidRPr="00C9069F">
              <w:rPr>
                <w:rFonts w:ascii="Arial" w:hAnsi="Arial" w:cs="Arial"/>
              </w:rPr>
              <w:t>Product Innovation</w:t>
            </w:r>
          </w:p>
        </w:tc>
        <w:tc>
          <w:tcPr>
            <w:tcW w:w="0" w:type="auto"/>
            <w:hideMark/>
          </w:tcPr>
          <w:p w14:paraId="6C6E24D8"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Radical, software-defined, autonomy-focused</w:t>
            </w:r>
          </w:p>
        </w:tc>
        <w:tc>
          <w:tcPr>
            <w:tcW w:w="0" w:type="auto"/>
            <w:hideMark/>
          </w:tcPr>
          <w:p w14:paraId="588866FB"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Incremental, manufacturing-driven, battery-focused</w:t>
            </w:r>
          </w:p>
        </w:tc>
      </w:tr>
      <w:tr w:rsidR="00B218B5" w:rsidRPr="00C9069F" w14:paraId="0D1C8035" w14:textId="77777777" w:rsidTr="00EF0757">
        <w:tc>
          <w:tcPr>
            <w:cnfStyle w:val="001000000000" w:firstRow="0" w:lastRow="0" w:firstColumn="1" w:lastColumn="0" w:oddVBand="0" w:evenVBand="0" w:oddHBand="0" w:evenHBand="0" w:firstRowFirstColumn="0" w:firstRowLastColumn="0" w:lastRowFirstColumn="0" w:lastRowLastColumn="0"/>
            <w:tcW w:w="0" w:type="auto"/>
            <w:hideMark/>
          </w:tcPr>
          <w:p w14:paraId="4D0DEAD9" w14:textId="77777777" w:rsidR="00B218B5" w:rsidRPr="00C9069F" w:rsidRDefault="00B218B5" w:rsidP="001C7D45">
            <w:pPr>
              <w:spacing w:line="360" w:lineRule="auto"/>
              <w:jc w:val="both"/>
              <w:rPr>
                <w:rFonts w:ascii="Arial" w:hAnsi="Arial" w:cs="Arial"/>
              </w:rPr>
            </w:pPr>
            <w:r w:rsidRPr="00C9069F">
              <w:rPr>
                <w:rFonts w:ascii="Arial" w:hAnsi="Arial" w:cs="Arial"/>
              </w:rPr>
              <w:t>Market Entry</w:t>
            </w:r>
          </w:p>
        </w:tc>
        <w:tc>
          <w:tcPr>
            <w:tcW w:w="0" w:type="auto"/>
            <w:hideMark/>
          </w:tcPr>
          <w:p w14:paraId="29F76338"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Direct-to-consumer, global expansion via brand prestige</w:t>
            </w:r>
          </w:p>
        </w:tc>
        <w:tc>
          <w:tcPr>
            <w:tcW w:w="0" w:type="auto"/>
            <w:hideMark/>
          </w:tcPr>
          <w:p w14:paraId="12A633C3"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Domestic market dominance, affordable global models via platform standardization</w:t>
            </w:r>
          </w:p>
        </w:tc>
      </w:tr>
      <w:tr w:rsidR="00B218B5" w:rsidRPr="00C9069F" w14:paraId="65A4BE4B" w14:textId="77777777" w:rsidTr="00EF07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F25DB" w14:textId="77777777" w:rsidR="00B218B5" w:rsidRPr="00C9069F" w:rsidRDefault="00B218B5" w:rsidP="001C7D45">
            <w:pPr>
              <w:spacing w:line="360" w:lineRule="auto"/>
              <w:jc w:val="both"/>
              <w:rPr>
                <w:rFonts w:ascii="Arial" w:hAnsi="Arial" w:cs="Arial"/>
              </w:rPr>
            </w:pPr>
            <w:r w:rsidRPr="00C9069F">
              <w:rPr>
                <w:rFonts w:ascii="Arial" w:hAnsi="Arial" w:cs="Arial"/>
              </w:rPr>
              <w:t>Competitive Advantage</w:t>
            </w:r>
          </w:p>
        </w:tc>
        <w:tc>
          <w:tcPr>
            <w:tcW w:w="0" w:type="auto"/>
            <w:hideMark/>
          </w:tcPr>
          <w:p w14:paraId="580C09AA"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First-mover lead in software and brand prestige</w:t>
            </w:r>
          </w:p>
        </w:tc>
        <w:tc>
          <w:tcPr>
            <w:tcW w:w="0" w:type="auto"/>
            <w:hideMark/>
          </w:tcPr>
          <w:p w14:paraId="60DBA70E"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Cost leadership via vertical integration, supply chain resilience</w:t>
            </w:r>
          </w:p>
        </w:tc>
      </w:tr>
      <w:tr w:rsidR="00B218B5" w:rsidRPr="00C9069F" w14:paraId="72D1E776" w14:textId="77777777" w:rsidTr="00EF0757">
        <w:tc>
          <w:tcPr>
            <w:cnfStyle w:val="001000000000" w:firstRow="0" w:lastRow="0" w:firstColumn="1" w:lastColumn="0" w:oddVBand="0" w:evenVBand="0" w:oddHBand="0" w:evenHBand="0" w:firstRowFirstColumn="0" w:firstRowLastColumn="0" w:lastRowFirstColumn="0" w:lastRowLastColumn="0"/>
            <w:tcW w:w="0" w:type="auto"/>
            <w:hideMark/>
          </w:tcPr>
          <w:p w14:paraId="7C2526E6" w14:textId="77777777" w:rsidR="00B218B5" w:rsidRPr="00C9069F" w:rsidRDefault="00B218B5" w:rsidP="001C7D45">
            <w:pPr>
              <w:spacing w:line="360" w:lineRule="auto"/>
              <w:jc w:val="both"/>
              <w:rPr>
                <w:rFonts w:ascii="Arial" w:hAnsi="Arial" w:cs="Arial"/>
              </w:rPr>
            </w:pPr>
            <w:r w:rsidRPr="00C9069F">
              <w:rPr>
                <w:rFonts w:ascii="Arial" w:hAnsi="Arial" w:cs="Arial"/>
              </w:rPr>
              <w:t>Customer Value Proposition (CVP)</w:t>
            </w:r>
          </w:p>
        </w:tc>
        <w:tc>
          <w:tcPr>
            <w:tcW w:w="0" w:type="auto"/>
            <w:hideMark/>
          </w:tcPr>
          <w:p w14:paraId="385235B9"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Premium, high-performance, cutting-edge technology</w:t>
            </w:r>
          </w:p>
        </w:tc>
        <w:tc>
          <w:tcPr>
            <w:tcW w:w="0" w:type="auto"/>
            <w:hideMark/>
          </w:tcPr>
          <w:p w14:paraId="44E3D0E6"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Affordable, safe, accessible green mobility</w:t>
            </w:r>
          </w:p>
        </w:tc>
      </w:tr>
    </w:tbl>
    <w:p w14:paraId="0BB33B2C" w14:textId="77777777" w:rsidR="00C86989" w:rsidRDefault="00C86989" w:rsidP="001C7D45">
      <w:pPr>
        <w:spacing w:after="0" w:line="360" w:lineRule="auto"/>
        <w:jc w:val="both"/>
        <w:rPr>
          <w:rFonts w:ascii="Arial" w:hAnsi="Arial" w:cs="Arial"/>
          <w:b/>
          <w:bCs/>
        </w:rPr>
      </w:pPr>
    </w:p>
    <w:p w14:paraId="70F68C8B" w14:textId="10AB0388" w:rsidR="00C9069F" w:rsidRPr="00C9069F" w:rsidRDefault="00C9069F" w:rsidP="001C7D45">
      <w:pPr>
        <w:spacing w:after="0" w:line="360" w:lineRule="auto"/>
        <w:jc w:val="both"/>
        <w:rPr>
          <w:rFonts w:ascii="Arial" w:hAnsi="Arial" w:cs="Arial"/>
        </w:rPr>
      </w:pPr>
      <w:r w:rsidRPr="00C86989">
        <w:rPr>
          <w:rFonts w:ascii="Arial" w:hAnsi="Arial" w:cs="Arial"/>
          <w:b/>
          <w:bCs/>
        </w:rPr>
        <w:t>Tesla Strategy:</w:t>
      </w:r>
      <w:r w:rsidRPr="00C9069F">
        <w:rPr>
          <w:rFonts w:ascii="Arial" w:hAnsi="Arial" w:cs="Arial"/>
        </w:rPr>
        <w:t xml:space="preserve"> Tesla has the first-mover advantage because it has combined battery management systems and software into an ecosystem. Differentiation is enhanced by over-the-air updates and such innovations as Full Self-Driving Beta. The threat is great research and development and technological risk (Automotive Manufacturing Solutions, 2025).</w:t>
      </w:r>
    </w:p>
    <w:p w14:paraId="19C4CAF2" w14:textId="012A7BBC" w:rsidR="00D97C31" w:rsidRDefault="00C9069F" w:rsidP="001C7D45">
      <w:pPr>
        <w:spacing w:after="0" w:line="360" w:lineRule="auto"/>
        <w:jc w:val="both"/>
        <w:rPr>
          <w:rFonts w:ascii="Arial" w:hAnsi="Arial" w:cs="Arial"/>
        </w:rPr>
      </w:pPr>
      <w:r w:rsidRPr="00C86989">
        <w:rPr>
          <w:rFonts w:ascii="Arial" w:hAnsi="Arial" w:cs="Arial"/>
          <w:b/>
          <w:bCs/>
        </w:rPr>
        <w:t>BYD Strategy:</w:t>
      </w:r>
      <w:r w:rsidRPr="00C9069F">
        <w:rPr>
          <w:rFonts w:ascii="Arial" w:hAnsi="Arial" w:cs="Arial"/>
        </w:rPr>
        <w:t xml:space="preserve"> BYD uses vertical integration, whereby it has control over battery, semiconductor and assembly. It relies on platform standardisation to create various types of vehicles in a cost-effective and large-volume manner. This follower approach is less risky and a broader market niche (Collins, 2025).</w:t>
      </w:r>
    </w:p>
    <w:p w14:paraId="6F2BDF82" w14:textId="17B7030D" w:rsidR="00B218B5" w:rsidRPr="00C9069F" w:rsidRDefault="00D97C31" w:rsidP="00D97C31">
      <w:pPr>
        <w:rPr>
          <w:rFonts w:ascii="Arial" w:hAnsi="Arial" w:cs="Arial"/>
        </w:rPr>
      </w:pPr>
      <w:r>
        <w:rPr>
          <w:rFonts w:ascii="Arial" w:hAnsi="Arial" w:cs="Arial"/>
        </w:rPr>
        <w:br w:type="page"/>
      </w:r>
    </w:p>
    <w:p w14:paraId="2DAA63E2" w14:textId="4C5269A0" w:rsidR="00B218B5" w:rsidRPr="00C86989" w:rsidRDefault="00C86989" w:rsidP="00C86989">
      <w:pPr>
        <w:pStyle w:val="Heading2"/>
        <w:rPr>
          <w:rFonts w:ascii="Arial" w:hAnsi="Arial" w:cs="Arial"/>
          <w:b/>
          <w:bCs/>
          <w:color w:val="auto"/>
          <w:sz w:val="24"/>
          <w:szCs w:val="24"/>
        </w:rPr>
      </w:pPr>
      <w:bookmarkStart w:id="9" w:name="_Toc214442950"/>
      <w:r>
        <w:rPr>
          <w:rFonts w:ascii="Arial" w:hAnsi="Arial" w:cs="Arial"/>
          <w:b/>
          <w:bCs/>
          <w:color w:val="auto"/>
          <w:sz w:val="24"/>
          <w:szCs w:val="24"/>
        </w:rPr>
        <w:t>Table-</w:t>
      </w:r>
      <w:r w:rsidR="00B218B5" w:rsidRPr="00C86989">
        <w:rPr>
          <w:rFonts w:ascii="Arial" w:hAnsi="Arial" w:cs="Arial"/>
          <w:b/>
          <w:bCs/>
          <w:color w:val="auto"/>
          <w:sz w:val="24"/>
          <w:szCs w:val="24"/>
        </w:rPr>
        <w:t>Natural / Environmental Actor: Patagonia vs The North Face</w:t>
      </w:r>
      <w:bookmarkEnd w:id="9"/>
    </w:p>
    <w:tbl>
      <w:tblPr>
        <w:tblStyle w:val="GridTable4-Accent3"/>
        <w:tblW w:w="0" w:type="auto"/>
        <w:tblLook w:val="04A0" w:firstRow="1" w:lastRow="0" w:firstColumn="1" w:lastColumn="0" w:noHBand="0" w:noVBand="1"/>
      </w:tblPr>
      <w:tblGrid>
        <w:gridCol w:w="1911"/>
        <w:gridCol w:w="3000"/>
        <w:gridCol w:w="4439"/>
      </w:tblGrid>
      <w:tr w:rsidR="00B218B5" w:rsidRPr="00C9069F" w14:paraId="50D72CDE" w14:textId="77777777" w:rsidTr="002841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690E4" w14:textId="77777777" w:rsidR="00B218B5" w:rsidRPr="00C9069F" w:rsidRDefault="00B218B5" w:rsidP="001C7D45">
            <w:pPr>
              <w:spacing w:line="360" w:lineRule="auto"/>
              <w:jc w:val="both"/>
              <w:rPr>
                <w:rFonts w:ascii="Arial" w:hAnsi="Arial" w:cs="Arial"/>
                <w:b w:val="0"/>
                <w:bCs w:val="0"/>
              </w:rPr>
            </w:pPr>
            <w:r w:rsidRPr="00C9069F">
              <w:rPr>
                <w:rFonts w:ascii="Arial" w:hAnsi="Arial" w:cs="Arial"/>
              </w:rPr>
              <w:t>Strategic Dimension</w:t>
            </w:r>
          </w:p>
        </w:tc>
        <w:tc>
          <w:tcPr>
            <w:tcW w:w="0" w:type="auto"/>
            <w:hideMark/>
          </w:tcPr>
          <w:p w14:paraId="68B17915" w14:textId="77777777" w:rsidR="00B218B5" w:rsidRPr="00C9069F" w:rsidRDefault="00B218B5"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9069F">
              <w:rPr>
                <w:rFonts w:ascii="Arial" w:hAnsi="Arial" w:cs="Arial"/>
              </w:rPr>
              <w:t>Patagonia (Pioneer – Purpose-Driven)</w:t>
            </w:r>
          </w:p>
        </w:tc>
        <w:tc>
          <w:tcPr>
            <w:tcW w:w="0" w:type="auto"/>
            <w:hideMark/>
          </w:tcPr>
          <w:p w14:paraId="7B7EF703" w14:textId="77777777" w:rsidR="00B218B5" w:rsidRPr="00C9069F" w:rsidRDefault="00B218B5"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9069F">
              <w:rPr>
                <w:rFonts w:ascii="Arial" w:hAnsi="Arial" w:cs="Arial"/>
              </w:rPr>
              <w:t>The North Face (Follower – Adaptive)</w:t>
            </w:r>
          </w:p>
        </w:tc>
      </w:tr>
      <w:tr w:rsidR="00B218B5" w:rsidRPr="00C9069F" w14:paraId="2C914AFE" w14:textId="77777777" w:rsidTr="002841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1275F" w14:textId="77777777" w:rsidR="00B218B5" w:rsidRPr="00C9069F" w:rsidRDefault="00B218B5" w:rsidP="001C7D45">
            <w:pPr>
              <w:spacing w:line="360" w:lineRule="auto"/>
              <w:jc w:val="both"/>
              <w:rPr>
                <w:rFonts w:ascii="Arial" w:hAnsi="Arial" w:cs="Arial"/>
              </w:rPr>
            </w:pPr>
            <w:r w:rsidRPr="00C9069F">
              <w:rPr>
                <w:rFonts w:ascii="Arial" w:hAnsi="Arial" w:cs="Arial"/>
              </w:rPr>
              <w:t>Sourcing &amp; Production</w:t>
            </w:r>
          </w:p>
        </w:tc>
        <w:tc>
          <w:tcPr>
            <w:tcW w:w="0" w:type="auto"/>
            <w:hideMark/>
          </w:tcPr>
          <w:p w14:paraId="7DB068D6"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Organic/recycled materials, high standards, premium pricing</w:t>
            </w:r>
          </w:p>
        </w:tc>
        <w:tc>
          <w:tcPr>
            <w:tcW w:w="0" w:type="auto"/>
            <w:hideMark/>
          </w:tcPr>
          <w:p w14:paraId="73B2C736"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Aggressive targets for recycled/renewable materials, integration with technical performance</w:t>
            </w:r>
          </w:p>
        </w:tc>
      </w:tr>
      <w:tr w:rsidR="00B218B5" w:rsidRPr="00C9069F" w14:paraId="3C894302" w14:textId="77777777" w:rsidTr="002841BB">
        <w:tc>
          <w:tcPr>
            <w:cnfStyle w:val="001000000000" w:firstRow="0" w:lastRow="0" w:firstColumn="1" w:lastColumn="0" w:oddVBand="0" w:evenVBand="0" w:oddHBand="0" w:evenHBand="0" w:firstRowFirstColumn="0" w:firstRowLastColumn="0" w:lastRowFirstColumn="0" w:lastRowLastColumn="0"/>
            <w:tcW w:w="0" w:type="auto"/>
            <w:hideMark/>
          </w:tcPr>
          <w:p w14:paraId="5CF6CD29" w14:textId="77777777" w:rsidR="00B218B5" w:rsidRPr="00C9069F" w:rsidRDefault="00B218B5" w:rsidP="001C7D45">
            <w:pPr>
              <w:spacing w:line="360" w:lineRule="auto"/>
              <w:jc w:val="both"/>
              <w:rPr>
                <w:rFonts w:ascii="Arial" w:hAnsi="Arial" w:cs="Arial"/>
              </w:rPr>
            </w:pPr>
            <w:r w:rsidRPr="00C9069F">
              <w:rPr>
                <w:rFonts w:ascii="Arial" w:hAnsi="Arial" w:cs="Arial"/>
              </w:rPr>
              <w:t>Branding &amp; Perception</w:t>
            </w:r>
          </w:p>
        </w:tc>
        <w:tc>
          <w:tcPr>
            <w:tcW w:w="0" w:type="auto"/>
            <w:hideMark/>
          </w:tcPr>
          <w:p w14:paraId="03298467"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Environmental activism, anti-consumerism</w:t>
            </w:r>
          </w:p>
        </w:tc>
        <w:tc>
          <w:tcPr>
            <w:tcW w:w="0" w:type="auto"/>
            <w:hideMark/>
          </w:tcPr>
          <w:p w14:paraId="6AC9031C"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Innovation-focused, sustainability integrated to meet market expectations</w:t>
            </w:r>
          </w:p>
        </w:tc>
      </w:tr>
      <w:tr w:rsidR="00B218B5" w:rsidRPr="00C9069F" w14:paraId="6957D228" w14:textId="77777777" w:rsidTr="002841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C7B9D" w14:textId="77777777" w:rsidR="00B218B5" w:rsidRPr="00C9069F" w:rsidRDefault="00B218B5" w:rsidP="001C7D45">
            <w:pPr>
              <w:spacing w:line="360" w:lineRule="auto"/>
              <w:jc w:val="both"/>
              <w:rPr>
                <w:rFonts w:ascii="Arial" w:hAnsi="Arial" w:cs="Arial"/>
              </w:rPr>
            </w:pPr>
            <w:r w:rsidRPr="00C9069F">
              <w:rPr>
                <w:rFonts w:ascii="Arial" w:hAnsi="Arial" w:cs="Arial"/>
              </w:rPr>
              <w:t>Supply Chain Risks</w:t>
            </w:r>
          </w:p>
        </w:tc>
        <w:tc>
          <w:tcPr>
            <w:tcW w:w="0" w:type="auto"/>
            <w:hideMark/>
          </w:tcPr>
          <w:p w14:paraId="3D7F38B6"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Cost of premium materials</w:t>
            </w:r>
          </w:p>
        </w:tc>
        <w:tc>
          <w:tcPr>
            <w:tcW w:w="0" w:type="auto"/>
            <w:hideMark/>
          </w:tcPr>
          <w:p w14:paraId="54AF6F90" w14:textId="77777777" w:rsidR="00B218B5" w:rsidRPr="00C9069F" w:rsidRDefault="00B218B5"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Risk of fast-moving supply chains failing to meet ESG reporting</w:t>
            </w:r>
          </w:p>
        </w:tc>
      </w:tr>
      <w:tr w:rsidR="00B218B5" w:rsidRPr="00C9069F" w14:paraId="30AEA960" w14:textId="77777777" w:rsidTr="002841BB">
        <w:tc>
          <w:tcPr>
            <w:cnfStyle w:val="001000000000" w:firstRow="0" w:lastRow="0" w:firstColumn="1" w:lastColumn="0" w:oddVBand="0" w:evenVBand="0" w:oddHBand="0" w:evenHBand="0" w:firstRowFirstColumn="0" w:firstRowLastColumn="0" w:lastRowFirstColumn="0" w:lastRowLastColumn="0"/>
            <w:tcW w:w="0" w:type="auto"/>
            <w:hideMark/>
          </w:tcPr>
          <w:p w14:paraId="6926497B" w14:textId="77777777" w:rsidR="00B218B5" w:rsidRPr="00C9069F" w:rsidRDefault="00B218B5" w:rsidP="001C7D45">
            <w:pPr>
              <w:spacing w:line="360" w:lineRule="auto"/>
              <w:jc w:val="both"/>
              <w:rPr>
                <w:rFonts w:ascii="Arial" w:hAnsi="Arial" w:cs="Arial"/>
              </w:rPr>
            </w:pPr>
            <w:r w:rsidRPr="00C9069F">
              <w:rPr>
                <w:rFonts w:ascii="Arial" w:hAnsi="Arial" w:cs="Arial"/>
              </w:rPr>
              <w:t>Customer Engagement</w:t>
            </w:r>
          </w:p>
        </w:tc>
        <w:tc>
          <w:tcPr>
            <w:tcW w:w="0" w:type="auto"/>
            <w:hideMark/>
          </w:tcPr>
          <w:p w14:paraId="7CDDE4AC"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Repair and reuse (Worn Wear)</w:t>
            </w:r>
          </w:p>
        </w:tc>
        <w:tc>
          <w:tcPr>
            <w:tcW w:w="0" w:type="auto"/>
            <w:hideMark/>
          </w:tcPr>
          <w:p w14:paraId="679A9763" w14:textId="77777777" w:rsidR="00B218B5" w:rsidRPr="00C9069F" w:rsidRDefault="00B218B5"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Refurbishment/secondary market programs (Renewed)</w:t>
            </w:r>
          </w:p>
        </w:tc>
      </w:tr>
    </w:tbl>
    <w:p w14:paraId="0AB2EAFD" w14:textId="77777777" w:rsidR="00E71BC3" w:rsidRDefault="00E71BC3" w:rsidP="00E71BC3">
      <w:pPr>
        <w:spacing w:after="0" w:line="360" w:lineRule="auto"/>
        <w:jc w:val="both"/>
        <w:rPr>
          <w:rFonts w:ascii="Arial" w:hAnsi="Arial" w:cs="Arial"/>
          <w:b/>
          <w:bCs/>
        </w:rPr>
      </w:pPr>
    </w:p>
    <w:p w14:paraId="15C5CB16" w14:textId="0A0907CB" w:rsidR="00E71BC3" w:rsidRPr="00E71BC3" w:rsidRDefault="00E71BC3" w:rsidP="00E71BC3">
      <w:pPr>
        <w:spacing w:after="0" w:line="360" w:lineRule="auto"/>
        <w:jc w:val="both"/>
        <w:rPr>
          <w:rFonts w:ascii="Arial" w:hAnsi="Arial" w:cs="Arial"/>
        </w:rPr>
      </w:pPr>
      <w:r w:rsidRPr="00E71BC3">
        <w:rPr>
          <w:rFonts w:ascii="Arial" w:hAnsi="Arial" w:cs="Arial"/>
          <w:b/>
          <w:bCs/>
        </w:rPr>
        <w:t>Patagonia Strategy:</w:t>
      </w:r>
      <w:r w:rsidRPr="00E71BC3">
        <w:rPr>
          <w:rFonts w:ascii="Arial" w:hAnsi="Arial" w:cs="Arial"/>
        </w:rPr>
        <w:t xml:space="preserve"> Patagonia is a circular economy that implements repair and resale schemes that minimize the environmental footprint and enhance brand devotion. Its value proposition is sustainability-centred, and is made attractive to purpose-driven consumers (Business of Fashion, n.d.).</w:t>
      </w:r>
    </w:p>
    <w:p w14:paraId="62AC2202" w14:textId="7D463916" w:rsidR="00E71BC3" w:rsidRPr="00E71BC3" w:rsidRDefault="00E71BC3" w:rsidP="00E71BC3">
      <w:pPr>
        <w:spacing w:after="0" w:line="360" w:lineRule="auto"/>
        <w:jc w:val="both"/>
        <w:rPr>
          <w:rFonts w:ascii="Arial" w:hAnsi="Arial" w:cs="Arial"/>
        </w:rPr>
      </w:pPr>
      <w:r w:rsidRPr="00E71BC3">
        <w:rPr>
          <w:rFonts w:ascii="Arial" w:hAnsi="Arial" w:cs="Arial"/>
          <w:b/>
          <w:bCs/>
        </w:rPr>
        <w:t xml:space="preserve">The North Face Strategy: </w:t>
      </w:r>
      <w:r w:rsidRPr="00E71BC3">
        <w:rPr>
          <w:rFonts w:ascii="Arial" w:hAnsi="Arial" w:cs="Arial"/>
        </w:rPr>
        <w:t>TNF incorporates the use of sustainable materials, product refurbishment and environment standards in its lines. It is also balanced in terms of sustainability, performance, and affordability without being greenwashed but fulfilling the expectations of consumers (Chalmers University, 2017).</w:t>
      </w:r>
    </w:p>
    <w:p w14:paraId="00A18990" w14:textId="77777777" w:rsidR="00E71BC3" w:rsidRPr="00E71BC3" w:rsidRDefault="00E71BC3" w:rsidP="00E71BC3">
      <w:pPr>
        <w:spacing w:after="0" w:line="360" w:lineRule="auto"/>
        <w:jc w:val="both"/>
        <w:rPr>
          <w:rFonts w:ascii="Arial" w:hAnsi="Arial" w:cs="Arial"/>
          <w:b/>
          <w:bCs/>
        </w:rPr>
      </w:pPr>
      <w:r w:rsidRPr="00E71BC3">
        <w:rPr>
          <w:rFonts w:ascii="Arial" w:hAnsi="Arial" w:cs="Arial"/>
          <w:b/>
          <w:bCs/>
        </w:rPr>
        <w:t>Macro-Actor Impact:</w:t>
      </w:r>
    </w:p>
    <w:p w14:paraId="5026FCD4" w14:textId="77777777" w:rsidR="00E71BC3" w:rsidRPr="00E71BC3" w:rsidRDefault="00E71BC3" w:rsidP="00E71BC3">
      <w:pPr>
        <w:spacing w:after="0" w:line="360" w:lineRule="auto"/>
        <w:jc w:val="both"/>
        <w:rPr>
          <w:rFonts w:ascii="Arial" w:hAnsi="Arial" w:cs="Arial"/>
        </w:rPr>
      </w:pPr>
      <w:r w:rsidRPr="00E71BC3">
        <w:rPr>
          <w:rFonts w:ascii="Arial" w:hAnsi="Arial" w:cs="Arial"/>
        </w:rPr>
        <w:t>Both pioneers and followers have pressures created by technological and natural/environmental forces.</w:t>
      </w:r>
    </w:p>
    <w:p w14:paraId="79D1B5E5" w14:textId="77777777" w:rsidR="00E71BC3" w:rsidRDefault="00E71BC3" w:rsidP="00E71BC3">
      <w:pPr>
        <w:pStyle w:val="ListParagraph"/>
        <w:numPr>
          <w:ilvl w:val="0"/>
          <w:numId w:val="48"/>
        </w:numPr>
        <w:spacing w:after="0" w:line="360" w:lineRule="auto"/>
        <w:jc w:val="both"/>
        <w:rPr>
          <w:rFonts w:ascii="Arial" w:hAnsi="Arial" w:cs="Arial"/>
        </w:rPr>
      </w:pPr>
      <w:r w:rsidRPr="00E71BC3">
        <w:rPr>
          <w:rFonts w:ascii="Arial" w:hAnsi="Arial" w:cs="Arial"/>
        </w:rPr>
        <w:t>The innovators have to risk and spend big to establish industry standards.</w:t>
      </w:r>
    </w:p>
    <w:p w14:paraId="550EAA3A" w14:textId="5F87DA61" w:rsidR="00E71BC3" w:rsidRPr="00E71BC3" w:rsidRDefault="00E71BC3" w:rsidP="00E71BC3">
      <w:pPr>
        <w:pStyle w:val="ListParagraph"/>
        <w:numPr>
          <w:ilvl w:val="0"/>
          <w:numId w:val="48"/>
        </w:numPr>
        <w:spacing w:after="0" w:line="360" w:lineRule="auto"/>
        <w:jc w:val="both"/>
        <w:rPr>
          <w:rFonts w:ascii="Arial" w:hAnsi="Arial" w:cs="Arial"/>
        </w:rPr>
      </w:pPr>
      <w:r w:rsidRPr="00E71BC3">
        <w:rPr>
          <w:rFonts w:ascii="Arial" w:hAnsi="Arial" w:cs="Arial"/>
        </w:rPr>
        <w:t>Disciples become effective followers by scaling innovations that have been proven.</w:t>
      </w:r>
    </w:p>
    <w:p w14:paraId="2EA55C93" w14:textId="77777777" w:rsidR="00E71BC3" w:rsidRPr="00E71BC3" w:rsidRDefault="00E71BC3" w:rsidP="00E71BC3">
      <w:pPr>
        <w:pStyle w:val="ListParagraph"/>
        <w:numPr>
          <w:ilvl w:val="0"/>
          <w:numId w:val="48"/>
        </w:numPr>
        <w:spacing w:after="0" w:line="360" w:lineRule="auto"/>
        <w:jc w:val="both"/>
        <w:rPr>
          <w:rFonts w:ascii="Arial" w:hAnsi="Arial" w:cs="Arial"/>
        </w:rPr>
      </w:pPr>
      <w:r w:rsidRPr="00E71BC3">
        <w:rPr>
          <w:rFonts w:ascii="Arial" w:hAnsi="Arial" w:cs="Arial"/>
        </w:rPr>
        <w:t>All in all, differentiation, scalability and long-term competitive advantage require strategic alignment with macro-environmental forces.</w:t>
      </w:r>
    </w:p>
    <w:p w14:paraId="37C1518A" w14:textId="77777777" w:rsidR="00C9069F" w:rsidRPr="00C9069F" w:rsidRDefault="00C9069F" w:rsidP="001C7D45">
      <w:pPr>
        <w:spacing w:after="0" w:line="360" w:lineRule="auto"/>
        <w:jc w:val="both"/>
        <w:rPr>
          <w:rFonts w:ascii="Arial" w:hAnsi="Arial" w:cs="Arial"/>
        </w:rPr>
      </w:pPr>
    </w:p>
    <w:p w14:paraId="2E9B9235" w14:textId="7DC1B112" w:rsidR="00E71BC3" w:rsidRPr="00E71BC3" w:rsidRDefault="00C9069F" w:rsidP="00E71BC3">
      <w:pPr>
        <w:pStyle w:val="Heading1"/>
        <w:rPr>
          <w:rFonts w:ascii="Arial" w:hAnsi="Arial" w:cs="Arial"/>
          <w:b/>
          <w:bCs/>
          <w:color w:val="auto"/>
          <w:sz w:val="24"/>
          <w:szCs w:val="24"/>
        </w:rPr>
      </w:pPr>
      <w:bookmarkStart w:id="10" w:name="_Toc214442951"/>
      <w:r w:rsidRPr="00C86989">
        <w:rPr>
          <w:rFonts w:ascii="Arial" w:hAnsi="Arial" w:cs="Arial"/>
          <w:b/>
          <w:bCs/>
          <w:color w:val="auto"/>
          <w:sz w:val="24"/>
          <w:szCs w:val="24"/>
        </w:rPr>
        <w:t>3</w:t>
      </w:r>
      <w:r w:rsidR="00C86989">
        <w:rPr>
          <w:rFonts w:ascii="Arial" w:hAnsi="Arial" w:cs="Arial"/>
          <w:b/>
          <w:bCs/>
          <w:color w:val="auto"/>
          <w:sz w:val="24"/>
          <w:szCs w:val="24"/>
        </w:rPr>
        <w:t>.</w:t>
      </w:r>
      <w:r w:rsidRPr="00C86989">
        <w:rPr>
          <w:rFonts w:ascii="Arial" w:hAnsi="Arial" w:cs="Arial"/>
          <w:b/>
          <w:bCs/>
          <w:color w:val="auto"/>
          <w:sz w:val="24"/>
          <w:szCs w:val="24"/>
        </w:rPr>
        <w:t>Task 2 Strategic Responses of Pioneer and Follower Organisations.</w:t>
      </w:r>
      <w:bookmarkEnd w:id="10"/>
      <w:r w:rsidRPr="00C86989">
        <w:rPr>
          <w:rFonts w:ascii="Arial" w:hAnsi="Arial" w:cs="Arial"/>
          <w:b/>
          <w:bCs/>
          <w:color w:val="auto"/>
          <w:sz w:val="24"/>
          <w:szCs w:val="24"/>
        </w:rPr>
        <w:t xml:space="preserve"> </w:t>
      </w:r>
    </w:p>
    <w:p w14:paraId="64E716F9" w14:textId="5AD34E12" w:rsidR="00E71BC3" w:rsidRPr="00E71BC3" w:rsidRDefault="00E71BC3" w:rsidP="00E71BC3">
      <w:pPr>
        <w:spacing w:after="0" w:line="360" w:lineRule="auto"/>
        <w:jc w:val="both"/>
        <w:rPr>
          <w:rFonts w:ascii="Arial" w:hAnsi="Arial" w:cs="Arial"/>
        </w:rPr>
      </w:pPr>
      <w:r w:rsidRPr="00E71BC3">
        <w:rPr>
          <w:rFonts w:ascii="Arial" w:hAnsi="Arial" w:cs="Arial"/>
        </w:rPr>
        <w:t>The macro-environmental forces that were identified in Task 1 pose different strategic needs to pioneers and followers. Pioneers work in uncertain settings, and they need to invest heavily in new technology, venture into unexplored markets as well as influence the consumer expectations (Zahra, Nash and Bickford, 1995). This puts them at a disadvantage of incurring high costs in R&amp;D, lack of certainty in market adoption and risk in regulation. The followers, in turn, have the advantage of seeing the pioneer results and can implement more efficient and scalable and cost-effective strategies based on already available market data and adaptive innovation. These opposite behaviours develop competitive advantage in dynamic industries (Green, Larsen and Kao, 2008). This part uses the Generic Strategies and the Ansoff Matrix to the EV and outdoor apparel companies.</w:t>
      </w:r>
    </w:p>
    <w:p w14:paraId="349C0096" w14:textId="77777777" w:rsidR="00C9069F" w:rsidRPr="00C86989" w:rsidRDefault="00C9069F" w:rsidP="00C86989">
      <w:pPr>
        <w:pStyle w:val="Heading1"/>
        <w:rPr>
          <w:rFonts w:ascii="Arial" w:hAnsi="Arial" w:cs="Arial"/>
          <w:b/>
          <w:bCs/>
          <w:color w:val="auto"/>
          <w:sz w:val="24"/>
          <w:szCs w:val="24"/>
        </w:rPr>
      </w:pPr>
      <w:bookmarkStart w:id="11" w:name="_Toc214442952"/>
      <w:r w:rsidRPr="00C86989">
        <w:rPr>
          <w:rFonts w:ascii="Arial" w:hAnsi="Arial" w:cs="Arial"/>
          <w:b/>
          <w:bCs/>
          <w:color w:val="auto"/>
          <w:sz w:val="24"/>
          <w:szCs w:val="24"/>
        </w:rPr>
        <w:t>3.1 Strategy Respondences of Pioneering Organisations.</w:t>
      </w:r>
      <w:bookmarkEnd w:id="11"/>
    </w:p>
    <w:p w14:paraId="5FCF45F2" w14:textId="77777777" w:rsidR="00C9069F" w:rsidRPr="00C86989" w:rsidRDefault="00C9069F" w:rsidP="00C86989">
      <w:pPr>
        <w:pStyle w:val="Heading2"/>
        <w:rPr>
          <w:rFonts w:ascii="Arial" w:hAnsi="Arial" w:cs="Arial"/>
          <w:b/>
          <w:bCs/>
          <w:color w:val="auto"/>
          <w:sz w:val="24"/>
          <w:szCs w:val="24"/>
        </w:rPr>
      </w:pPr>
      <w:bookmarkStart w:id="12" w:name="_Toc214442953"/>
      <w:r w:rsidRPr="00C86989">
        <w:rPr>
          <w:rFonts w:ascii="Arial" w:hAnsi="Arial" w:cs="Arial"/>
          <w:b/>
          <w:bCs/>
          <w:color w:val="auto"/>
          <w:sz w:val="24"/>
          <w:szCs w:val="24"/>
        </w:rPr>
        <w:t>Tesla (Technological Pioneer)</w:t>
      </w:r>
      <w:bookmarkEnd w:id="12"/>
    </w:p>
    <w:p w14:paraId="2DBB2B62" w14:textId="479DFAB1" w:rsidR="00C9069F" w:rsidRPr="00C9069F" w:rsidRDefault="00C9069F" w:rsidP="001C7D45">
      <w:pPr>
        <w:spacing w:after="0" w:line="360" w:lineRule="auto"/>
        <w:jc w:val="both"/>
        <w:rPr>
          <w:rFonts w:ascii="Arial" w:hAnsi="Arial" w:cs="Arial"/>
        </w:rPr>
      </w:pPr>
      <w:r w:rsidRPr="00C9069F">
        <w:rPr>
          <w:rFonts w:ascii="Arial" w:hAnsi="Arial" w:cs="Arial"/>
        </w:rPr>
        <w:t>Tesla is a technology innovator, transforming the automotive industry with an unending stream of innovations, digitalization, and energy solution integration. Its strategic model is based on radical differentiation, first-mover advantages and aggressive international expansion</w:t>
      </w:r>
      <w:r w:rsidR="00F45FC3">
        <w:rPr>
          <w:rFonts w:ascii="Arial" w:hAnsi="Arial" w:cs="Arial"/>
        </w:rPr>
        <w:t xml:space="preserve"> </w:t>
      </w:r>
      <w:r w:rsidR="00F45FC3" w:rsidRPr="00F45FC3">
        <w:rPr>
          <w:rFonts w:ascii="Arial" w:hAnsi="Arial" w:cs="Arial"/>
        </w:rPr>
        <w:t>(Daylan, Majid and Sandberg, 2023)</w:t>
      </w:r>
      <w:r w:rsidRPr="00C9069F">
        <w:rPr>
          <w:rFonts w:ascii="Arial" w:hAnsi="Arial" w:cs="Arial"/>
        </w:rPr>
        <w:t>. The innovative approach adopted by Tesla needs to coordinate the development of technologies, supply chain issues, and the informational process in the market in order to make consumers accept EVs.</w:t>
      </w:r>
    </w:p>
    <w:p w14:paraId="007C199C" w14:textId="77777777" w:rsidR="00C9069F" w:rsidRPr="00C86989" w:rsidRDefault="00C9069F" w:rsidP="001C7D45">
      <w:pPr>
        <w:spacing w:after="0" w:line="360" w:lineRule="auto"/>
        <w:jc w:val="both"/>
        <w:rPr>
          <w:rFonts w:ascii="Arial" w:hAnsi="Arial" w:cs="Arial"/>
          <w:b/>
          <w:bCs/>
        </w:rPr>
      </w:pPr>
      <w:r w:rsidRPr="00C86989">
        <w:rPr>
          <w:rFonts w:ascii="Arial" w:hAnsi="Arial" w:cs="Arial"/>
          <w:b/>
          <w:bCs/>
        </w:rPr>
        <w:t>The Differentiation Leadership by Porter:</w:t>
      </w:r>
    </w:p>
    <w:p w14:paraId="1C0A9411" w14:textId="77777777" w:rsidR="00C86989" w:rsidRDefault="00C9069F" w:rsidP="00C86989">
      <w:pPr>
        <w:pStyle w:val="ListParagraph"/>
        <w:numPr>
          <w:ilvl w:val="0"/>
          <w:numId w:val="34"/>
        </w:numPr>
        <w:spacing w:after="0" w:line="360" w:lineRule="auto"/>
        <w:jc w:val="both"/>
        <w:rPr>
          <w:rFonts w:ascii="Arial" w:hAnsi="Arial" w:cs="Arial"/>
        </w:rPr>
      </w:pPr>
      <w:r w:rsidRPr="00C86989">
        <w:rPr>
          <w:rFonts w:ascii="Arial" w:hAnsi="Arial" w:cs="Arial"/>
        </w:rPr>
        <w:t>Software-Defined Vehicles: Tesla cars have an embedded proprietary software that allows them to update over-the-air, have an autopilot mode, and be connected to the grid (Automotive Manufacturing Solutions, 2025). This strategy transforms vehicles into dynamic technological platforms increasing customer experience and establishing high switching costs.</w:t>
      </w:r>
    </w:p>
    <w:p w14:paraId="1785E1C3" w14:textId="49843E82" w:rsidR="001A6D06" w:rsidRPr="00E71BC3" w:rsidRDefault="00C9069F" w:rsidP="00E71BC3">
      <w:pPr>
        <w:pStyle w:val="ListParagraph"/>
        <w:numPr>
          <w:ilvl w:val="0"/>
          <w:numId w:val="34"/>
        </w:numPr>
        <w:spacing w:after="0" w:line="360" w:lineRule="auto"/>
        <w:jc w:val="both"/>
        <w:rPr>
          <w:rFonts w:ascii="Arial" w:hAnsi="Arial" w:cs="Arial"/>
        </w:rPr>
      </w:pPr>
      <w:r w:rsidRPr="00C86989">
        <w:rPr>
          <w:rFonts w:ascii="Arial" w:hAnsi="Arial" w:cs="Arial"/>
        </w:rPr>
        <w:t>Ecosystem Integration: Tesla is no longer just a vehicle maker, and it aims to incorporate energy storage and renewable energy products (Powerwall, Solar Roof) that allow them to build a unified ecosystem. Tesla gives its customers a holistic sustainability experience, which sets it apart in comparison to traditional automotive rivals (Tesla, 2024).</w:t>
      </w:r>
    </w:p>
    <w:p w14:paraId="24101FBA" w14:textId="715EE661" w:rsidR="00134FD8" w:rsidRPr="001C7D45" w:rsidRDefault="00C9069F" w:rsidP="00E71BC3">
      <w:pPr>
        <w:spacing w:after="0" w:line="360" w:lineRule="auto"/>
        <w:jc w:val="both"/>
        <w:rPr>
          <w:rFonts w:ascii="Arial" w:hAnsi="Arial" w:cs="Arial"/>
          <w:b/>
          <w:bCs/>
        </w:rPr>
      </w:pPr>
      <w:r w:rsidRPr="001C7D45">
        <w:rPr>
          <w:rFonts w:ascii="Arial" w:hAnsi="Arial" w:cs="Arial"/>
          <w:b/>
          <w:bCs/>
        </w:rPr>
        <w:t>Ansoff Growth Matrix Application Ansoff:</w:t>
      </w:r>
    </w:p>
    <w:p w14:paraId="39E97314" w14:textId="77777777" w:rsidR="00C9069F" w:rsidRPr="001C7D45" w:rsidRDefault="00C9069F" w:rsidP="001C7D45">
      <w:pPr>
        <w:pStyle w:val="ListParagraph"/>
        <w:numPr>
          <w:ilvl w:val="0"/>
          <w:numId w:val="33"/>
        </w:numPr>
        <w:spacing w:after="0" w:line="360" w:lineRule="auto"/>
        <w:jc w:val="both"/>
        <w:rPr>
          <w:rFonts w:ascii="Arial" w:hAnsi="Arial" w:cs="Arial"/>
        </w:rPr>
      </w:pPr>
      <w:r w:rsidRPr="001C7D45">
        <w:rPr>
          <w:rFonts w:ascii="Arial" w:hAnsi="Arial" w:cs="Arial"/>
          <w:b/>
          <w:bCs/>
        </w:rPr>
        <w:t>Product Development</w:t>
      </w:r>
      <w:r w:rsidRPr="001C7D45">
        <w:rPr>
          <w:rFonts w:ascii="Arial" w:hAnsi="Arial" w:cs="Arial"/>
        </w:rPr>
        <w:t>: Tesla is also technologically progressive (4680 cell batteries) and diversified (Cybertruck, Semi) indicating a tendency towards technical progress and new customer experiences.</w:t>
      </w:r>
    </w:p>
    <w:p w14:paraId="4BF0905F" w14:textId="77777777" w:rsidR="00C9069F" w:rsidRPr="001C7D45" w:rsidRDefault="00C9069F" w:rsidP="001C7D45">
      <w:pPr>
        <w:pStyle w:val="ListParagraph"/>
        <w:numPr>
          <w:ilvl w:val="0"/>
          <w:numId w:val="33"/>
        </w:numPr>
        <w:spacing w:after="0" w:line="360" w:lineRule="auto"/>
        <w:jc w:val="both"/>
        <w:rPr>
          <w:rFonts w:ascii="Arial" w:hAnsi="Arial" w:cs="Arial"/>
        </w:rPr>
      </w:pPr>
      <w:r w:rsidRPr="001C7D45">
        <w:rPr>
          <w:rFonts w:ascii="Arial" w:hAnsi="Arial" w:cs="Arial"/>
          <w:b/>
          <w:bCs/>
        </w:rPr>
        <w:t>The third strategy involves rapid market penetration</w:t>
      </w:r>
      <w:r w:rsidRPr="001C7D45">
        <w:rPr>
          <w:rFonts w:ascii="Arial" w:hAnsi="Arial" w:cs="Arial"/>
        </w:rPr>
        <w:t>: strategic pricing of Model 3 and Model Y, and scaling of production in global gigafactories, facilitates the adoption and increases the market presence.</w:t>
      </w:r>
    </w:p>
    <w:p w14:paraId="7A407A09" w14:textId="77777777" w:rsidR="001C7D45" w:rsidRDefault="00C9069F" w:rsidP="001C7D45">
      <w:pPr>
        <w:pStyle w:val="ListParagraph"/>
        <w:numPr>
          <w:ilvl w:val="0"/>
          <w:numId w:val="33"/>
        </w:numPr>
        <w:spacing w:after="0" w:line="360" w:lineRule="auto"/>
        <w:jc w:val="both"/>
        <w:rPr>
          <w:rFonts w:ascii="Arial" w:hAnsi="Arial" w:cs="Arial"/>
        </w:rPr>
      </w:pPr>
      <w:r w:rsidRPr="001C7D45">
        <w:rPr>
          <w:rFonts w:ascii="Arial" w:hAnsi="Arial" w:cs="Arial"/>
          <w:b/>
          <w:bCs/>
        </w:rPr>
        <w:t>Market Development</w:t>
      </w:r>
      <w:r w:rsidRPr="001C7D45">
        <w:rPr>
          <w:rFonts w:ascii="Arial" w:hAnsi="Arial" w:cs="Arial"/>
        </w:rPr>
        <w:t>: Tesla has entered the emerging markets including India, Thailand and Latin America which indicates its dedication to expansion globally and adjusting to the local infrastructure limitations.</w:t>
      </w:r>
    </w:p>
    <w:p w14:paraId="21585409" w14:textId="1313D0DD" w:rsidR="00C9069F" w:rsidRPr="001C7D45" w:rsidRDefault="00C9069F" w:rsidP="001C7D45">
      <w:pPr>
        <w:pStyle w:val="ListParagraph"/>
        <w:numPr>
          <w:ilvl w:val="0"/>
          <w:numId w:val="33"/>
        </w:numPr>
        <w:spacing w:after="0" w:line="360" w:lineRule="auto"/>
        <w:jc w:val="both"/>
        <w:rPr>
          <w:rFonts w:ascii="Arial" w:hAnsi="Arial" w:cs="Arial"/>
        </w:rPr>
      </w:pPr>
      <w:r w:rsidRPr="001C7D45">
        <w:rPr>
          <w:rFonts w:ascii="Arial" w:hAnsi="Arial" w:cs="Arial"/>
          <w:b/>
          <w:bCs/>
        </w:rPr>
        <w:t>Diversification</w:t>
      </w:r>
      <w:r w:rsidRPr="001C7D45">
        <w:rPr>
          <w:rFonts w:ascii="Arial" w:hAnsi="Arial" w:cs="Arial"/>
        </w:rPr>
        <w:t>: Tesla enters the robotics (Optimus) and grid-scale energy storage, which are new steps into completely different industries and introduces several sources of revenue (Tesla, 2024).</w:t>
      </w:r>
    </w:p>
    <w:p w14:paraId="549CA98C" w14:textId="77777777" w:rsidR="00C9069F" w:rsidRPr="00C9069F" w:rsidRDefault="00C9069F" w:rsidP="001C7D45">
      <w:pPr>
        <w:spacing w:after="0" w:line="360" w:lineRule="auto"/>
        <w:jc w:val="both"/>
        <w:rPr>
          <w:rFonts w:ascii="Arial" w:hAnsi="Arial" w:cs="Arial"/>
        </w:rPr>
      </w:pPr>
      <w:r w:rsidRPr="00C9069F">
        <w:rPr>
          <w:rFonts w:ascii="Arial" w:hAnsi="Arial" w:cs="Arial"/>
        </w:rPr>
        <w:t>The innovative approach to Tesla includes heavy investment in research and development and the willingness to take technological risks but it makes the company to influence the industry standard, set the expectations of customers and gain the first mover advantage, which can hardly be followed by the followers.</w:t>
      </w:r>
    </w:p>
    <w:p w14:paraId="2A2B1FA6" w14:textId="77777777" w:rsidR="00C9069F" w:rsidRPr="001C7D45" w:rsidRDefault="00C9069F" w:rsidP="001C7D45">
      <w:pPr>
        <w:pStyle w:val="Heading2"/>
        <w:rPr>
          <w:rFonts w:ascii="Arial" w:hAnsi="Arial" w:cs="Arial"/>
          <w:b/>
          <w:bCs/>
          <w:color w:val="auto"/>
          <w:sz w:val="24"/>
          <w:szCs w:val="24"/>
        </w:rPr>
      </w:pPr>
      <w:bookmarkStart w:id="13" w:name="_Toc214442954"/>
      <w:r w:rsidRPr="001C7D45">
        <w:rPr>
          <w:rFonts w:ascii="Arial" w:hAnsi="Arial" w:cs="Arial"/>
          <w:b/>
          <w:bCs/>
          <w:color w:val="auto"/>
          <w:sz w:val="24"/>
          <w:szCs w:val="24"/>
        </w:rPr>
        <w:t>Patagonia (Natural Pioneer)</w:t>
      </w:r>
      <w:bookmarkEnd w:id="13"/>
    </w:p>
    <w:p w14:paraId="5369FA72" w14:textId="77777777" w:rsidR="00C9069F" w:rsidRPr="00C9069F" w:rsidRDefault="00C9069F" w:rsidP="001C7D45">
      <w:pPr>
        <w:spacing w:after="0" w:line="360" w:lineRule="auto"/>
        <w:jc w:val="both"/>
        <w:rPr>
          <w:rFonts w:ascii="Arial" w:hAnsi="Arial" w:cs="Arial"/>
        </w:rPr>
      </w:pPr>
      <w:r w:rsidRPr="00C9069F">
        <w:rPr>
          <w:rFonts w:ascii="Arial" w:hAnsi="Arial" w:cs="Arial"/>
        </w:rPr>
        <w:t>Patagonia is a trendsetter in the natural/environmental sphere, as it has made sustainability a part of its business strategy and leveraged environmental responsibility as a competitive edge. The way it strategically differentiated is driven by purpose and has a balance between ethical leadership and performance in the market.</w:t>
      </w:r>
    </w:p>
    <w:p w14:paraId="23B9CAC5" w14:textId="77777777" w:rsidR="00C9069F" w:rsidRPr="001C7D45" w:rsidRDefault="00C9069F" w:rsidP="001C7D45">
      <w:pPr>
        <w:spacing w:after="0" w:line="360" w:lineRule="auto"/>
        <w:jc w:val="both"/>
        <w:rPr>
          <w:rFonts w:ascii="Arial" w:hAnsi="Arial" w:cs="Arial"/>
          <w:b/>
          <w:bCs/>
        </w:rPr>
      </w:pPr>
      <w:r w:rsidRPr="001C7D45">
        <w:rPr>
          <w:rFonts w:ascii="Arial" w:hAnsi="Arial" w:cs="Arial"/>
          <w:b/>
          <w:bCs/>
        </w:rPr>
        <w:t>Differentiation Leadership of Porter:</w:t>
      </w:r>
    </w:p>
    <w:p w14:paraId="29A4BBDD" w14:textId="49DB3AB8" w:rsidR="00C9069F" w:rsidRPr="001C7D45" w:rsidRDefault="00C9069F" w:rsidP="001C7D45">
      <w:pPr>
        <w:pStyle w:val="ListParagraph"/>
        <w:numPr>
          <w:ilvl w:val="0"/>
          <w:numId w:val="31"/>
        </w:numPr>
        <w:spacing w:after="0" w:line="360" w:lineRule="auto"/>
        <w:jc w:val="both"/>
        <w:rPr>
          <w:rFonts w:ascii="Arial" w:hAnsi="Arial" w:cs="Arial"/>
        </w:rPr>
      </w:pPr>
      <w:r w:rsidRPr="001C7D45">
        <w:rPr>
          <w:rFonts w:ascii="Arial" w:hAnsi="Arial" w:cs="Arial"/>
          <w:b/>
          <w:bCs/>
        </w:rPr>
        <w:t>Repair and Longevity of the Products:</w:t>
      </w:r>
      <w:r w:rsidRPr="001C7D45">
        <w:rPr>
          <w:rFonts w:ascii="Arial" w:hAnsi="Arial" w:cs="Arial"/>
        </w:rPr>
        <w:t xml:space="preserve"> The Worn Wear programme by Patagonia helps to increase the product durability and circularity, decreasing the environmental impact and establishing a high level of customer loyalty (Business of Fashion, n.d.).</w:t>
      </w:r>
    </w:p>
    <w:p w14:paraId="2FC7CE06" w14:textId="6D594F71" w:rsidR="00C9069F" w:rsidRPr="001C7D45" w:rsidRDefault="00C9069F" w:rsidP="001C7D45">
      <w:pPr>
        <w:pStyle w:val="ListParagraph"/>
        <w:numPr>
          <w:ilvl w:val="0"/>
          <w:numId w:val="31"/>
        </w:numPr>
        <w:spacing w:after="0" w:line="360" w:lineRule="auto"/>
        <w:jc w:val="both"/>
        <w:rPr>
          <w:rFonts w:ascii="Arial" w:hAnsi="Arial" w:cs="Arial"/>
        </w:rPr>
      </w:pPr>
      <w:r w:rsidRPr="001C7D45">
        <w:rPr>
          <w:rFonts w:ascii="Arial" w:hAnsi="Arial" w:cs="Arial"/>
          <w:b/>
          <w:bCs/>
        </w:rPr>
        <w:t>Activism as Branding:</w:t>
      </w:r>
      <w:r w:rsidRPr="001C7D45">
        <w:rPr>
          <w:rFonts w:ascii="Arial" w:hAnsi="Arial" w:cs="Arial"/>
        </w:rPr>
        <w:t xml:space="preserve"> Don’t Buy This Jacket and donating 1 per cent of sales to environmental causes are two campaigns that support the brand ethically and show that the brand is authentic in sustainability leadership.</w:t>
      </w:r>
    </w:p>
    <w:p w14:paraId="1F3793A0" w14:textId="77777777" w:rsidR="00C9069F" w:rsidRPr="001C7D45" w:rsidRDefault="00C9069F" w:rsidP="001C7D45">
      <w:pPr>
        <w:spacing w:after="0" w:line="360" w:lineRule="auto"/>
        <w:jc w:val="both"/>
        <w:rPr>
          <w:rFonts w:ascii="Arial" w:hAnsi="Arial" w:cs="Arial"/>
          <w:b/>
          <w:bCs/>
        </w:rPr>
      </w:pPr>
      <w:r w:rsidRPr="001C7D45">
        <w:rPr>
          <w:rFonts w:ascii="Arial" w:hAnsi="Arial" w:cs="Arial"/>
          <w:b/>
          <w:bCs/>
        </w:rPr>
        <w:t>Growth Matrix Application developed by Ansoff:</w:t>
      </w:r>
    </w:p>
    <w:p w14:paraId="322713A1" w14:textId="6C37DE11" w:rsidR="00C9069F" w:rsidRPr="001C7D45" w:rsidRDefault="00C9069F" w:rsidP="001C7D45">
      <w:pPr>
        <w:pStyle w:val="ListParagraph"/>
        <w:numPr>
          <w:ilvl w:val="0"/>
          <w:numId w:val="30"/>
        </w:numPr>
        <w:spacing w:after="0" w:line="360" w:lineRule="auto"/>
        <w:jc w:val="both"/>
        <w:rPr>
          <w:rFonts w:ascii="Arial" w:hAnsi="Arial" w:cs="Arial"/>
        </w:rPr>
      </w:pPr>
      <w:r w:rsidRPr="001C7D45">
        <w:rPr>
          <w:rFonts w:ascii="Arial" w:hAnsi="Arial" w:cs="Arial"/>
          <w:b/>
          <w:bCs/>
        </w:rPr>
        <w:t>Product Development:</w:t>
      </w:r>
      <w:r w:rsidRPr="001C7D45">
        <w:rPr>
          <w:rFonts w:ascii="Arial" w:hAnsi="Arial" w:cs="Arial"/>
        </w:rPr>
        <w:t xml:space="preserve"> The use of low-impact materials, such as organic cotton and recycled synthetics, is an innovation that does not impact the quality of products.</w:t>
      </w:r>
    </w:p>
    <w:p w14:paraId="2028CB4D" w14:textId="77777777" w:rsidR="00C9069F" w:rsidRPr="001C7D45" w:rsidRDefault="00C9069F" w:rsidP="001C7D45">
      <w:pPr>
        <w:pStyle w:val="ListParagraph"/>
        <w:numPr>
          <w:ilvl w:val="0"/>
          <w:numId w:val="30"/>
        </w:numPr>
        <w:spacing w:after="0" w:line="360" w:lineRule="auto"/>
        <w:jc w:val="both"/>
        <w:rPr>
          <w:rFonts w:ascii="Arial" w:hAnsi="Arial" w:cs="Arial"/>
        </w:rPr>
      </w:pPr>
      <w:r w:rsidRPr="001C7D45">
        <w:rPr>
          <w:rFonts w:ascii="Arial" w:hAnsi="Arial" w:cs="Arial"/>
          <w:b/>
          <w:bCs/>
        </w:rPr>
        <w:t>Market Development:</w:t>
      </w:r>
      <w:r w:rsidRPr="001C7D45">
        <w:rPr>
          <w:rFonts w:ascii="Arial" w:hAnsi="Arial" w:cs="Arial"/>
        </w:rPr>
        <w:t xml:space="preserve"> Patagonia enters new neighbouring markets, e.g., Patagonia Provisions, which provides environmentally sustainable food products to current consumers and extends the ethical footprint of the brand (Chalmers University, 2017).</w:t>
      </w:r>
    </w:p>
    <w:p w14:paraId="580C0B35" w14:textId="77777777" w:rsidR="00C9069F" w:rsidRPr="001C7D45" w:rsidRDefault="00C9069F" w:rsidP="001C7D45">
      <w:pPr>
        <w:spacing w:after="0" w:line="360" w:lineRule="auto"/>
        <w:jc w:val="both"/>
        <w:rPr>
          <w:rFonts w:ascii="Arial" w:hAnsi="Arial" w:cs="Arial"/>
        </w:rPr>
      </w:pPr>
      <w:r w:rsidRPr="001C7D45">
        <w:rPr>
          <w:rFonts w:ascii="Arial" w:hAnsi="Arial" w:cs="Arial"/>
        </w:rPr>
        <w:t>The approach of Patagonia is an example of how leaders in the green movement can build a brand equity and brand differentiation in the long term without taking reputational risks through authentic alignment of operations with consumer values.</w:t>
      </w:r>
    </w:p>
    <w:p w14:paraId="785664F1" w14:textId="77777777" w:rsidR="00C9069F" w:rsidRPr="001C7D45" w:rsidRDefault="00C9069F" w:rsidP="001C7D45">
      <w:pPr>
        <w:pStyle w:val="Heading1"/>
        <w:rPr>
          <w:rFonts w:ascii="Arial" w:hAnsi="Arial" w:cs="Arial"/>
          <w:b/>
          <w:bCs/>
          <w:color w:val="auto"/>
          <w:sz w:val="24"/>
          <w:szCs w:val="24"/>
        </w:rPr>
      </w:pPr>
      <w:bookmarkStart w:id="14" w:name="_Toc214442955"/>
      <w:r w:rsidRPr="001C7D45">
        <w:rPr>
          <w:rFonts w:ascii="Arial" w:hAnsi="Arial" w:cs="Arial"/>
          <w:b/>
          <w:bCs/>
          <w:color w:val="auto"/>
          <w:sz w:val="24"/>
          <w:szCs w:val="24"/>
        </w:rPr>
        <w:t>3.2 Strategic Responses of Follower Organisations.</w:t>
      </w:r>
      <w:bookmarkEnd w:id="14"/>
    </w:p>
    <w:p w14:paraId="256B702E" w14:textId="77777777" w:rsidR="00C9069F" w:rsidRPr="001C7D45" w:rsidRDefault="00C9069F" w:rsidP="001C7D45">
      <w:pPr>
        <w:pStyle w:val="Heading2"/>
        <w:rPr>
          <w:rFonts w:ascii="Arial" w:hAnsi="Arial" w:cs="Arial"/>
          <w:b/>
          <w:bCs/>
          <w:color w:val="auto"/>
          <w:sz w:val="24"/>
          <w:szCs w:val="24"/>
        </w:rPr>
      </w:pPr>
      <w:bookmarkStart w:id="15" w:name="_Toc214442956"/>
      <w:r w:rsidRPr="001C7D45">
        <w:rPr>
          <w:rFonts w:ascii="Arial" w:hAnsi="Arial" w:cs="Arial"/>
          <w:b/>
          <w:bCs/>
          <w:color w:val="auto"/>
          <w:sz w:val="24"/>
          <w:szCs w:val="24"/>
        </w:rPr>
        <w:t>BYD (Technological Follower)</w:t>
      </w:r>
      <w:bookmarkEnd w:id="15"/>
    </w:p>
    <w:p w14:paraId="25BB6DA7" w14:textId="77777777" w:rsidR="00C9069F" w:rsidRPr="00C9069F" w:rsidRDefault="00C9069F" w:rsidP="001C7D45">
      <w:pPr>
        <w:spacing w:after="0" w:line="360" w:lineRule="auto"/>
        <w:jc w:val="both"/>
        <w:rPr>
          <w:rFonts w:ascii="Arial" w:hAnsi="Arial" w:cs="Arial"/>
        </w:rPr>
      </w:pPr>
      <w:r w:rsidRPr="00C9069F">
        <w:rPr>
          <w:rFonts w:ascii="Arial" w:hAnsi="Arial" w:cs="Arial"/>
        </w:rPr>
        <w:t>BYD shows how the follower strategy can be applied in the EV industry, with the pioneering investments of Tesla to provide cost efficiency, market penetration, and scale. Disciples such as BYD are also in a position to see the trends in technology, adoption in the market and regulatory changes without having to invest in it on large scale.</w:t>
      </w:r>
    </w:p>
    <w:p w14:paraId="226A6A73" w14:textId="77777777" w:rsidR="00C9069F" w:rsidRPr="001C7D45" w:rsidRDefault="00C9069F" w:rsidP="001C7D45">
      <w:pPr>
        <w:spacing w:after="0" w:line="360" w:lineRule="auto"/>
        <w:jc w:val="both"/>
        <w:rPr>
          <w:rFonts w:ascii="Arial" w:hAnsi="Arial" w:cs="Arial"/>
          <w:b/>
          <w:bCs/>
        </w:rPr>
      </w:pPr>
      <w:r w:rsidRPr="001C7D45">
        <w:rPr>
          <w:rFonts w:ascii="Arial" w:hAnsi="Arial" w:cs="Arial"/>
          <w:b/>
          <w:bCs/>
        </w:rPr>
        <w:t>Key Strategies:</w:t>
      </w:r>
    </w:p>
    <w:p w14:paraId="67827BE4" w14:textId="2FFC8DFA" w:rsidR="00C9069F" w:rsidRPr="001C7D45" w:rsidRDefault="00C9069F" w:rsidP="001C7D45">
      <w:pPr>
        <w:pStyle w:val="ListParagraph"/>
        <w:numPr>
          <w:ilvl w:val="0"/>
          <w:numId w:val="26"/>
        </w:numPr>
        <w:spacing w:after="0" w:line="360" w:lineRule="auto"/>
        <w:jc w:val="both"/>
        <w:rPr>
          <w:rFonts w:ascii="Arial" w:hAnsi="Arial" w:cs="Arial"/>
        </w:rPr>
      </w:pPr>
      <w:r w:rsidRPr="001C7D45">
        <w:rPr>
          <w:rFonts w:ascii="Arial" w:hAnsi="Arial" w:cs="Arial"/>
        </w:rPr>
        <w:t>Vertical Integration: BYD has the battery (Blade Battery) production, semiconductor manufacturing, and vehicle assembly procedures, minimising supply chain risk and decreasing the cost of production (Collins, 2025).</w:t>
      </w:r>
    </w:p>
    <w:p w14:paraId="13D7C9ED" w14:textId="77777777" w:rsidR="00C9069F" w:rsidRPr="00C9069F" w:rsidRDefault="00C9069F" w:rsidP="001C7D45">
      <w:pPr>
        <w:spacing w:after="0" w:line="360" w:lineRule="auto"/>
        <w:jc w:val="both"/>
        <w:rPr>
          <w:rFonts w:ascii="Arial" w:hAnsi="Arial" w:cs="Arial"/>
        </w:rPr>
      </w:pPr>
      <w:r w:rsidRPr="00C9069F">
        <w:rPr>
          <w:rFonts w:ascii="Arial" w:hAnsi="Arial" w:cs="Arial"/>
        </w:rPr>
        <w:t>Technology Adaptation: BYD does not work on developing high-energy batteries but instead concentrates on the lithium iron phosphate (LFP) technology that is safer, cheaper and can be adopted by the mass-market.</w:t>
      </w:r>
    </w:p>
    <w:p w14:paraId="586A3262" w14:textId="77777777" w:rsidR="00C9069F" w:rsidRPr="001C7D45" w:rsidRDefault="00C9069F" w:rsidP="001C7D45">
      <w:pPr>
        <w:spacing w:after="0" w:line="360" w:lineRule="auto"/>
        <w:jc w:val="both"/>
        <w:rPr>
          <w:rFonts w:ascii="Arial" w:hAnsi="Arial" w:cs="Arial"/>
          <w:b/>
          <w:bCs/>
        </w:rPr>
      </w:pPr>
      <w:r w:rsidRPr="001C7D45">
        <w:rPr>
          <w:rFonts w:ascii="Arial" w:hAnsi="Arial" w:cs="Arial"/>
          <w:b/>
          <w:bCs/>
        </w:rPr>
        <w:t>Ansoff Strategies:</w:t>
      </w:r>
    </w:p>
    <w:p w14:paraId="2EC081C9" w14:textId="77777777" w:rsidR="001C7D45" w:rsidRDefault="00C9069F" w:rsidP="001C7D45">
      <w:pPr>
        <w:pStyle w:val="ListParagraph"/>
        <w:numPr>
          <w:ilvl w:val="0"/>
          <w:numId w:val="25"/>
        </w:numPr>
        <w:spacing w:after="0" w:line="360" w:lineRule="auto"/>
        <w:jc w:val="both"/>
        <w:rPr>
          <w:rFonts w:ascii="Arial" w:hAnsi="Arial" w:cs="Arial"/>
        </w:rPr>
      </w:pPr>
      <w:r w:rsidRPr="001C7D45">
        <w:rPr>
          <w:rFonts w:ascii="Arial" w:hAnsi="Arial" w:cs="Arial"/>
        </w:rPr>
        <w:t>Market Penetration: BYD is able to expand into new markets quickly with the use of its cost leadership strategy and affordability to drive high uptake and become the leader in plug-in vehicle sales over Tesla.</w:t>
      </w:r>
    </w:p>
    <w:p w14:paraId="2B3B622A" w14:textId="4DED96D6" w:rsidR="00C9069F" w:rsidRPr="001C7D45" w:rsidRDefault="00C9069F" w:rsidP="001C7D45">
      <w:pPr>
        <w:pStyle w:val="ListParagraph"/>
        <w:numPr>
          <w:ilvl w:val="0"/>
          <w:numId w:val="25"/>
        </w:numPr>
        <w:spacing w:after="0" w:line="360" w:lineRule="auto"/>
        <w:jc w:val="both"/>
        <w:rPr>
          <w:rFonts w:ascii="Arial" w:hAnsi="Arial" w:cs="Arial"/>
        </w:rPr>
      </w:pPr>
      <w:r w:rsidRPr="001C7D45">
        <w:rPr>
          <w:rFonts w:ascii="Arial" w:hAnsi="Arial" w:cs="Arial"/>
        </w:rPr>
        <w:t>Product Development: With the e-Platform 3.0, it is possible to create multiple types of vehicles (sedans, SUVs, taxis, buses) in a standardised, scalable way, which allows adopting to market demand quickly and entering fleet markets (Automotive Manufacturing Solutions, 2025).</w:t>
      </w:r>
    </w:p>
    <w:p w14:paraId="2031A6F9" w14:textId="77777777" w:rsidR="00C9069F" w:rsidRPr="00C9069F" w:rsidRDefault="00C9069F" w:rsidP="001C7D45">
      <w:pPr>
        <w:spacing w:after="0" w:line="360" w:lineRule="auto"/>
        <w:jc w:val="both"/>
        <w:rPr>
          <w:rFonts w:ascii="Arial" w:hAnsi="Arial" w:cs="Arial"/>
        </w:rPr>
      </w:pPr>
      <w:r w:rsidRPr="00C9069F">
        <w:rPr>
          <w:rFonts w:ascii="Arial" w:hAnsi="Arial" w:cs="Arial"/>
        </w:rPr>
        <w:t>The strategy at BYD shows how the followers can reduce technology and market risks and at the same time capitalise on operational efficiency and use pioneer knowledge to successfully scale.</w:t>
      </w:r>
    </w:p>
    <w:p w14:paraId="330EDBB6" w14:textId="77777777" w:rsidR="00C9069F" w:rsidRPr="001C7D45" w:rsidRDefault="00C9069F" w:rsidP="001C7D45">
      <w:pPr>
        <w:pStyle w:val="Heading2"/>
        <w:rPr>
          <w:rFonts w:ascii="Arial" w:hAnsi="Arial" w:cs="Arial"/>
          <w:b/>
          <w:bCs/>
          <w:color w:val="auto"/>
          <w:sz w:val="24"/>
          <w:szCs w:val="24"/>
        </w:rPr>
      </w:pPr>
      <w:bookmarkStart w:id="16" w:name="_Toc214442957"/>
      <w:r w:rsidRPr="001C7D45">
        <w:rPr>
          <w:rFonts w:ascii="Arial" w:hAnsi="Arial" w:cs="Arial"/>
          <w:b/>
          <w:bCs/>
          <w:color w:val="auto"/>
          <w:sz w:val="24"/>
          <w:szCs w:val="24"/>
        </w:rPr>
        <w:t>The North Face (Natural Follower)</w:t>
      </w:r>
      <w:bookmarkEnd w:id="16"/>
    </w:p>
    <w:p w14:paraId="5C0F9DCC" w14:textId="6FE8E97F" w:rsidR="00C9069F" w:rsidRPr="00C9069F" w:rsidRDefault="00C9069F" w:rsidP="001C7D45">
      <w:pPr>
        <w:spacing w:after="0" w:line="360" w:lineRule="auto"/>
        <w:jc w:val="both"/>
        <w:rPr>
          <w:rFonts w:ascii="Arial" w:hAnsi="Arial" w:cs="Arial"/>
        </w:rPr>
      </w:pPr>
      <w:r w:rsidRPr="00C9069F">
        <w:rPr>
          <w:rFonts w:ascii="Arial" w:hAnsi="Arial" w:cs="Arial"/>
        </w:rPr>
        <w:t>The North Face (TNF) has follower approaches when it comes to sustainability where it employs adaptive differentiation as it incorporates environmental initiatives without affecting its mainstream performance and affordability</w:t>
      </w:r>
      <w:r w:rsidR="00F45FC3">
        <w:rPr>
          <w:rFonts w:ascii="Arial" w:hAnsi="Arial" w:cs="Arial"/>
        </w:rPr>
        <w:t xml:space="preserve"> </w:t>
      </w:r>
      <w:r w:rsidR="00F45FC3" w:rsidRPr="00F45FC3">
        <w:rPr>
          <w:rFonts w:ascii="Arial" w:hAnsi="Arial" w:cs="Arial"/>
        </w:rPr>
        <w:t>(Brown, 2022)</w:t>
      </w:r>
      <w:r w:rsidRPr="00C9069F">
        <w:rPr>
          <w:rFonts w:ascii="Arial" w:hAnsi="Arial" w:cs="Arial"/>
        </w:rPr>
        <w:t>. TNF monitors the activities of such pioneers as Patagonia and selectively applies such initiatives to attract eco-conscious customers and retain their interest at the same time as not to lose their relevance in the wider markets.</w:t>
      </w:r>
    </w:p>
    <w:p w14:paraId="5E257C4A" w14:textId="77777777" w:rsidR="00C9069F" w:rsidRPr="001C7D45" w:rsidRDefault="00C9069F" w:rsidP="001C7D45">
      <w:pPr>
        <w:spacing w:after="0" w:line="360" w:lineRule="auto"/>
        <w:jc w:val="both"/>
        <w:rPr>
          <w:rFonts w:ascii="Arial" w:hAnsi="Arial" w:cs="Arial"/>
          <w:b/>
          <w:bCs/>
        </w:rPr>
      </w:pPr>
      <w:r w:rsidRPr="001C7D45">
        <w:rPr>
          <w:rFonts w:ascii="Arial" w:hAnsi="Arial" w:cs="Arial"/>
          <w:b/>
          <w:bCs/>
        </w:rPr>
        <w:t>Strategic Actions:</w:t>
      </w:r>
    </w:p>
    <w:p w14:paraId="5F1E1346" w14:textId="1DCE97F5" w:rsidR="00C9069F" w:rsidRPr="001C7D45" w:rsidRDefault="00C9069F" w:rsidP="001C7D45">
      <w:pPr>
        <w:pStyle w:val="ListParagraph"/>
        <w:numPr>
          <w:ilvl w:val="0"/>
          <w:numId w:val="23"/>
        </w:numPr>
        <w:spacing w:after="0" w:line="360" w:lineRule="auto"/>
        <w:jc w:val="both"/>
        <w:rPr>
          <w:rFonts w:ascii="Arial" w:hAnsi="Arial" w:cs="Arial"/>
        </w:rPr>
      </w:pPr>
      <w:r w:rsidRPr="001C7D45">
        <w:rPr>
          <w:rFonts w:ascii="Arial" w:hAnsi="Arial" w:cs="Arial"/>
        </w:rPr>
        <w:t>Differentiation Focus: TNF presents recycled and renewable materials and maintains the high level of performance like ThermoBall insulation (Chalmers University, 2017).</w:t>
      </w:r>
    </w:p>
    <w:p w14:paraId="1FD64FF4" w14:textId="7F818FC2" w:rsidR="00C9069F" w:rsidRPr="001C7D45" w:rsidRDefault="00C9069F" w:rsidP="001C7D45">
      <w:pPr>
        <w:pStyle w:val="ListParagraph"/>
        <w:numPr>
          <w:ilvl w:val="0"/>
          <w:numId w:val="23"/>
        </w:numPr>
        <w:spacing w:after="0" w:line="360" w:lineRule="auto"/>
        <w:jc w:val="both"/>
        <w:rPr>
          <w:rFonts w:ascii="Arial" w:hAnsi="Arial" w:cs="Arial"/>
        </w:rPr>
      </w:pPr>
      <w:r w:rsidRPr="001C7D45">
        <w:rPr>
          <w:rFonts w:ascii="Arial" w:hAnsi="Arial" w:cs="Arial"/>
        </w:rPr>
        <w:t>Refurbishment Programmes: TNF can follow the example of Patagonia with its Worn Wear, and its Renewed programme can help to capture the value of the second-hand market, increase the concept of circularity, and strengthen the idea of sustainable consumption.</w:t>
      </w:r>
    </w:p>
    <w:p w14:paraId="7BC61037" w14:textId="77777777" w:rsidR="00C9069F" w:rsidRPr="001C7D45" w:rsidRDefault="00C9069F" w:rsidP="001C7D45">
      <w:pPr>
        <w:spacing w:after="0" w:line="360" w:lineRule="auto"/>
        <w:jc w:val="both"/>
        <w:rPr>
          <w:rFonts w:ascii="Arial" w:hAnsi="Arial" w:cs="Arial"/>
          <w:b/>
          <w:bCs/>
        </w:rPr>
      </w:pPr>
      <w:r w:rsidRPr="001C7D45">
        <w:rPr>
          <w:rFonts w:ascii="Arial" w:hAnsi="Arial" w:cs="Arial"/>
          <w:b/>
          <w:bCs/>
        </w:rPr>
        <w:t>Ansoff Application:</w:t>
      </w:r>
    </w:p>
    <w:p w14:paraId="7869003E" w14:textId="2169D428" w:rsidR="00C9069F" w:rsidRPr="001C7D45" w:rsidRDefault="00C9069F" w:rsidP="001C7D45">
      <w:pPr>
        <w:pStyle w:val="ListParagraph"/>
        <w:numPr>
          <w:ilvl w:val="0"/>
          <w:numId w:val="21"/>
        </w:numPr>
        <w:spacing w:after="0" w:line="360" w:lineRule="auto"/>
        <w:jc w:val="both"/>
        <w:rPr>
          <w:rFonts w:ascii="Arial" w:hAnsi="Arial" w:cs="Arial"/>
        </w:rPr>
      </w:pPr>
      <w:r w:rsidRPr="001C7D45">
        <w:rPr>
          <w:rFonts w:ascii="Arial" w:hAnsi="Arial" w:cs="Arial"/>
          <w:b/>
          <w:bCs/>
        </w:rPr>
        <w:t>Product Development:</w:t>
      </w:r>
      <w:r w:rsidRPr="001C7D45">
        <w:rPr>
          <w:rFonts w:ascii="Arial" w:hAnsi="Arial" w:cs="Arial"/>
        </w:rPr>
        <w:t xml:space="preserve"> TNF is gradually transforming product lines into sustainable materials (recycled synthetics, Climate Conscious Cotton), with little to no impact on technical performance, but meeting environmental expectations.</w:t>
      </w:r>
    </w:p>
    <w:p w14:paraId="6F3B4AE0" w14:textId="1E94FCDF" w:rsidR="00C9069F" w:rsidRPr="001C7D45" w:rsidRDefault="00C9069F" w:rsidP="001C7D45">
      <w:pPr>
        <w:pStyle w:val="ListParagraph"/>
        <w:numPr>
          <w:ilvl w:val="0"/>
          <w:numId w:val="21"/>
        </w:numPr>
        <w:spacing w:after="0" w:line="360" w:lineRule="auto"/>
        <w:jc w:val="both"/>
        <w:rPr>
          <w:rFonts w:ascii="Arial" w:hAnsi="Arial" w:cs="Arial"/>
        </w:rPr>
      </w:pPr>
      <w:r w:rsidRPr="001C7D45">
        <w:rPr>
          <w:rFonts w:ascii="Arial" w:hAnsi="Arial" w:cs="Arial"/>
          <w:b/>
          <w:bCs/>
        </w:rPr>
        <w:t>Market Penetration:</w:t>
      </w:r>
      <w:r w:rsidRPr="001C7D45">
        <w:rPr>
          <w:rFonts w:ascii="Arial" w:hAnsi="Arial" w:cs="Arial"/>
        </w:rPr>
        <w:t xml:space="preserve"> TNF enhances the availability of sustainable products to a broader demographic with a balance between the price, performance and ethical accountability.</w:t>
      </w:r>
    </w:p>
    <w:p w14:paraId="50B4530F" w14:textId="63D9408C" w:rsidR="00C9069F" w:rsidRPr="001C7D45" w:rsidRDefault="00C9069F" w:rsidP="001C7D45">
      <w:pPr>
        <w:pStyle w:val="ListParagraph"/>
        <w:numPr>
          <w:ilvl w:val="0"/>
          <w:numId w:val="21"/>
        </w:numPr>
        <w:spacing w:after="0" w:line="360" w:lineRule="auto"/>
        <w:jc w:val="both"/>
        <w:rPr>
          <w:rFonts w:ascii="Arial" w:hAnsi="Arial" w:cs="Arial"/>
        </w:rPr>
      </w:pPr>
      <w:r w:rsidRPr="001C7D45">
        <w:rPr>
          <w:rFonts w:ascii="Arial" w:hAnsi="Arial" w:cs="Arial"/>
          <w:b/>
          <w:bCs/>
        </w:rPr>
        <w:t>Greenwashing avoidance:</w:t>
      </w:r>
      <w:r w:rsidRPr="001C7D45">
        <w:rPr>
          <w:rFonts w:ascii="Arial" w:hAnsi="Arial" w:cs="Arial"/>
        </w:rPr>
        <w:t xml:space="preserve"> TNF provides credibility through setting of measurable environmental goals (Scope 1 and 2 emissions reduction) and by following the certifications, like the Responsible Down Standard (RDS), to prove that it is green (Chalmers University, 2017).</w:t>
      </w:r>
    </w:p>
    <w:p w14:paraId="543828D3" w14:textId="3DB26091" w:rsidR="002D2E67" w:rsidRPr="001C7D45" w:rsidRDefault="00C9069F" w:rsidP="001C7D45">
      <w:pPr>
        <w:spacing w:after="0" w:line="360" w:lineRule="auto"/>
        <w:jc w:val="both"/>
        <w:rPr>
          <w:rFonts w:ascii="Arial" w:hAnsi="Arial" w:cs="Arial"/>
        </w:rPr>
      </w:pPr>
      <w:r w:rsidRPr="001C7D45">
        <w:rPr>
          <w:rFonts w:ascii="Arial" w:hAnsi="Arial" w:cs="Arial"/>
        </w:rPr>
        <w:t>TNF approach emphasises the strategic integration of followers, i.e. balancing between adaptation and operational scalability, reducing reputational and competitive risk and attracting environmentally conscious customers.</w:t>
      </w:r>
    </w:p>
    <w:p w14:paraId="09830B23" w14:textId="77777777" w:rsidR="002D2E67" w:rsidRPr="001C7D45" w:rsidRDefault="002D2E67" w:rsidP="001C7D45">
      <w:pPr>
        <w:pStyle w:val="Heading2"/>
        <w:rPr>
          <w:rFonts w:ascii="Arial" w:hAnsi="Arial" w:cs="Arial"/>
          <w:b/>
          <w:bCs/>
          <w:color w:val="auto"/>
          <w:sz w:val="24"/>
          <w:szCs w:val="24"/>
        </w:rPr>
      </w:pPr>
      <w:bookmarkStart w:id="17" w:name="_Toc214442958"/>
      <w:r w:rsidRPr="001C7D45">
        <w:rPr>
          <w:rFonts w:ascii="Arial" w:hAnsi="Arial" w:cs="Arial"/>
          <w:b/>
          <w:bCs/>
          <w:color w:val="auto"/>
          <w:sz w:val="24"/>
          <w:szCs w:val="24"/>
        </w:rPr>
        <w:t>Comparative Table: Strategic Responses</w:t>
      </w:r>
      <w:bookmarkEnd w:id="17"/>
    </w:p>
    <w:tbl>
      <w:tblPr>
        <w:tblStyle w:val="GridTable4-Accent6"/>
        <w:tblW w:w="0" w:type="auto"/>
        <w:tblLook w:val="04A0" w:firstRow="1" w:lastRow="0" w:firstColumn="1" w:lastColumn="0" w:noHBand="0" w:noVBand="1"/>
      </w:tblPr>
      <w:tblGrid>
        <w:gridCol w:w="1482"/>
        <w:gridCol w:w="2119"/>
        <w:gridCol w:w="1693"/>
        <w:gridCol w:w="2219"/>
        <w:gridCol w:w="1837"/>
      </w:tblGrid>
      <w:tr w:rsidR="002D2E67" w:rsidRPr="00C9069F" w14:paraId="29A550B2" w14:textId="77777777" w:rsidTr="00EF07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EE116" w14:textId="77777777" w:rsidR="002D2E67" w:rsidRPr="00C9069F" w:rsidRDefault="002D2E67" w:rsidP="001C7D45">
            <w:pPr>
              <w:spacing w:line="360" w:lineRule="auto"/>
              <w:jc w:val="both"/>
              <w:rPr>
                <w:rFonts w:ascii="Arial" w:hAnsi="Arial" w:cs="Arial"/>
              </w:rPr>
            </w:pPr>
            <w:r w:rsidRPr="00C9069F">
              <w:rPr>
                <w:rFonts w:ascii="Arial" w:hAnsi="Arial" w:cs="Arial"/>
              </w:rPr>
              <w:t>Strategic Dimension</w:t>
            </w:r>
          </w:p>
        </w:tc>
        <w:tc>
          <w:tcPr>
            <w:tcW w:w="0" w:type="auto"/>
            <w:hideMark/>
          </w:tcPr>
          <w:p w14:paraId="041DB248" w14:textId="77777777" w:rsidR="002D2E67" w:rsidRPr="00C9069F" w:rsidRDefault="002D2E67"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Tesla (Pioneer)</w:t>
            </w:r>
          </w:p>
        </w:tc>
        <w:tc>
          <w:tcPr>
            <w:tcW w:w="0" w:type="auto"/>
            <w:hideMark/>
          </w:tcPr>
          <w:p w14:paraId="024D2ADC" w14:textId="77777777" w:rsidR="002D2E67" w:rsidRPr="00C9069F" w:rsidRDefault="002D2E67"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BYD (Follower)</w:t>
            </w:r>
          </w:p>
        </w:tc>
        <w:tc>
          <w:tcPr>
            <w:tcW w:w="0" w:type="auto"/>
            <w:hideMark/>
          </w:tcPr>
          <w:p w14:paraId="6571F4F4" w14:textId="77777777" w:rsidR="002D2E67" w:rsidRPr="00C9069F" w:rsidRDefault="002D2E67"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Patagonia (Pioneer)</w:t>
            </w:r>
          </w:p>
        </w:tc>
        <w:tc>
          <w:tcPr>
            <w:tcW w:w="0" w:type="auto"/>
            <w:hideMark/>
          </w:tcPr>
          <w:p w14:paraId="5FCF2AAE" w14:textId="77777777" w:rsidR="002D2E67" w:rsidRPr="00C9069F" w:rsidRDefault="002D2E67" w:rsidP="001C7D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The North Face (Follower)</w:t>
            </w:r>
          </w:p>
        </w:tc>
      </w:tr>
      <w:tr w:rsidR="002D2E67" w:rsidRPr="00C9069F" w14:paraId="205535DE" w14:textId="77777777" w:rsidTr="00EF07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57D54" w14:textId="77777777" w:rsidR="002D2E67" w:rsidRPr="00C9069F" w:rsidRDefault="002D2E67" w:rsidP="001C7D45">
            <w:pPr>
              <w:spacing w:line="360" w:lineRule="auto"/>
              <w:jc w:val="both"/>
              <w:rPr>
                <w:rFonts w:ascii="Arial" w:hAnsi="Arial" w:cs="Arial"/>
              </w:rPr>
            </w:pPr>
            <w:r w:rsidRPr="00C9069F">
              <w:rPr>
                <w:rFonts w:ascii="Arial" w:hAnsi="Arial" w:cs="Arial"/>
              </w:rPr>
              <w:t>Porter’s Strategy</w:t>
            </w:r>
          </w:p>
        </w:tc>
        <w:tc>
          <w:tcPr>
            <w:tcW w:w="0" w:type="auto"/>
            <w:hideMark/>
          </w:tcPr>
          <w:p w14:paraId="4175CFFD"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Differentiation Leadership</w:t>
            </w:r>
          </w:p>
        </w:tc>
        <w:tc>
          <w:tcPr>
            <w:tcW w:w="0" w:type="auto"/>
            <w:hideMark/>
          </w:tcPr>
          <w:p w14:paraId="5FB8F9E5"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Cost Leadership</w:t>
            </w:r>
          </w:p>
        </w:tc>
        <w:tc>
          <w:tcPr>
            <w:tcW w:w="0" w:type="auto"/>
            <w:hideMark/>
          </w:tcPr>
          <w:p w14:paraId="5657AFFD"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Differentiation Leadership (Focused)</w:t>
            </w:r>
          </w:p>
        </w:tc>
        <w:tc>
          <w:tcPr>
            <w:tcW w:w="0" w:type="auto"/>
            <w:hideMark/>
          </w:tcPr>
          <w:p w14:paraId="7D076907"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Differentiation Focus (Adaptive)</w:t>
            </w:r>
          </w:p>
        </w:tc>
      </w:tr>
      <w:tr w:rsidR="002D2E67" w:rsidRPr="00C9069F" w14:paraId="5DA8FE16" w14:textId="77777777" w:rsidTr="00EF0757">
        <w:tc>
          <w:tcPr>
            <w:cnfStyle w:val="001000000000" w:firstRow="0" w:lastRow="0" w:firstColumn="1" w:lastColumn="0" w:oddVBand="0" w:evenVBand="0" w:oddHBand="0" w:evenHBand="0" w:firstRowFirstColumn="0" w:firstRowLastColumn="0" w:lastRowFirstColumn="0" w:lastRowLastColumn="0"/>
            <w:tcW w:w="0" w:type="auto"/>
            <w:hideMark/>
          </w:tcPr>
          <w:p w14:paraId="0000571A" w14:textId="77777777" w:rsidR="002D2E67" w:rsidRPr="00C9069F" w:rsidRDefault="002D2E67" w:rsidP="001C7D45">
            <w:pPr>
              <w:spacing w:line="360" w:lineRule="auto"/>
              <w:jc w:val="both"/>
              <w:rPr>
                <w:rFonts w:ascii="Arial" w:hAnsi="Arial" w:cs="Arial"/>
              </w:rPr>
            </w:pPr>
            <w:r w:rsidRPr="00C9069F">
              <w:rPr>
                <w:rFonts w:ascii="Arial" w:hAnsi="Arial" w:cs="Arial"/>
              </w:rPr>
              <w:t>Ansoff Focus</w:t>
            </w:r>
          </w:p>
        </w:tc>
        <w:tc>
          <w:tcPr>
            <w:tcW w:w="0" w:type="auto"/>
            <w:hideMark/>
          </w:tcPr>
          <w:p w14:paraId="281A1E91"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Diversification / Product Development</w:t>
            </w:r>
          </w:p>
        </w:tc>
        <w:tc>
          <w:tcPr>
            <w:tcW w:w="0" w:type="auto"/>
            <w:hideMark/>
          </w:tcPr>
          <w:p w14:paraId="0D137B45"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Market Penetration / Product Development</w:t>
            </w:r>
          </w:p>
        </w:tc>
        <w:tc>
          <w:tcPr>
            <w:tcW w:w="0" w:type="auto"/>
            <w:hideMark/>
          </w:tcPr>
          <w:p w14:paraId="3F6CB81E"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Product Development / Market Development</w:t>
            </w:r>
          </w:p>
        </w:tc>
        <w:tc>
          <w:tcPr>
            <w:tcW w:w="0" w:type="auto"/>
            <w:hideMark/>
          </w:tcPr>
          <w:p w14:paraId="48E03DA0"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Product Development / Market Penetration</w:t>
            </w:r>
          </w:p>
        </w:tc>
      </w:tr>
      <w:tr w:rsidR="002D2E67" w:rsidRPr="00C9069F" w14:paraId="156C6E6E" w14:textId="77777777" w:rsidTr="00EF07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87F77" w14:textId="77777777" w:rsidR="002D2E67" w:rsidRPr="00C9069F" w:rsidRDefault="002D2E67" w:rsidP="001C7D45">
            <w:pPr>
              <w:spacing w:line="360" w:lineRule="auto"/>
              <w:jc w:val="both"/>
              <w:rPr>
                <w:rFonts w:ascii="Arial" w:hAnsi="Arial" w:cs="Arial"/>
              </w:rPr>
            </w:pPr>
            <w:r w:rsidRPr="00C9069F">
              <w:rPr>
                <w:rFonts w:ascii="Arial" w:hAnsi="Arial" w:cs="Arial"/>
              </w:rPr>
              <w:t>Core Value Chain Response</w:t>
            </w:r>
          </w:p>
        </w:tc>
        <w:tc>
          <w:tcPr>
            <w:tcW w:w="0" w:type="auto"/>
            <w:hideMark/>
          </w:tcPr>
          <w:p w14:paraId="27AEBA2B"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Vertical Integration (Software/Battery IP)</w:t>
            </w:r>
          </w:p>
        </w:tc>
        <w:tc>
          <w:tcPr>
            <w:tcW w:w="0" w:type="auto"/>
            <w:hideMark/>
          </w:tcPr>
          <w:p w14:paraId="7528D777"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Vertical Integration (Cost &amp; Supply Chain)</w:t>
            </w:r>
          </w:p>
        </w:tc>
        <w:tc>
          <w:tcPr>
            <w:tcW w:w="0" w:type="auto"/>
            <w:hideMark/>
          </w:tcPr>
          <w:p w14:paraId="3ADED3E3"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Circularity &amp; Durability</w:t>
            </w:r>
          </w:p>
        </w:tc>
        <w:tc>
          <w:tcPr>
            <w:tcW w:w="0" w:type="auto"/>
            <w:hideMark/>
          </w:tcPr>
          <w:p w14:paraId="1173756C" w14:textId="77777777" w:rsidR="002D2E67" w:rsidRPr="00C9069F" w:rsidRDefault="002D2E67" w:rsidP="001C7D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9069F">
              <w:rPr>
                <w:rFonts w:ascii="Arial" w:hAnsi="Arial" w:cs="Arial"/>
              </w:rPr>
              <w:t>Recycled Materials &amp; Performance Integration</w:t>
            </w:r>
          </w:p>
        </w:tc>
      </w:tr>
      <w:tr w:rsidR="002D2E67" w:rsidRPr="00C9069F" w14:paraId="6A97BAD8" w14:textId="77777777" w:rsidTr="00EF0757">
        <w:tc>
          <w:tcPr>
            <w:cnfStyle w:val="001000000000" w:firstRow="0" w:lastRow="0" w:firstColumn="1" w:lastColumn="0" w:oddVBand="0" w:evenVBand="0" w:oddHBand="0" w:evenHBand="0" w:firstRowFirstColumn="0" w:firstRowLastColumn="0" w:lastRowFirstColumn="0" w:lastRowLastColumn="0"/>
            <w:tcW w:w="0" w:type="auto"/>
            <w:hideMark/>
          </w:tcPr>
          <w:p w14:paraId="7BD51C4B" w14:textId="77777777" w:rsidR="002D2E67" w:rsidRPr="00C9069F" w:rsidRDefault="002D2E67" w:rsidP="001C7D45">
            <w:pPr>
              <w:spacing w:line="360" w:lineRule="auto"/>
              <w:jc w:val="both"/>
              <w:rPr>
                <w:rFonts w:ascii="Arial" w:hAnsi="Arial" w:cs="Arial"/>
              </w:rPr>
            </w:pPr>
            <w:r w:rsidRPr="00C9069F">
              <w:rPr>
                <w:rFonts w:ascii="Arial" w:hAnsi="Arial" w:cs="Arial"/>
              </w:rPr>
              <w:t>Risk Handling</w:t>
            </w:r>
          </w:p>
        </w:tc>
        <w:tc>
          <w:tcPr>
            <w:tcW w:w="0" w:type="auto"/>
            <w:hideMark/>
          </w:tcPr>
          <w:p w14:paraId="39AB5B23"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High R&amp;D / Tech Uncertainty</w:t>
            </w:r>
          </w:p>
        </w:tc>
        <w:tc>
          <w:tcPr>
            <w:tcW w:w="0" w:type="auto"/>
            <w:hideMark/>
          </w:tcPr>
          <w:p w14:paraId="7DD42B26"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Mitigate Supply Chain &amp; Market Risks</w:t>
            </w:r>
          </w:p>
        </w:tc>
        <w:tc>
          <w:tcPr>
            <w:tcW w:w="0" w:type="auto"/>
            <w:hideMark/>
          </w:tcPr>
          <w:p w14:paraId="4F883E0D"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Ethical/Reputation Risk Mitigation</w:t>
            </w:r>
          </w:p>
        </w:tc>
        <w:tc>
          <w:tcPr>
            <w:tcW w:w="0" w:type="auto"/>
            <w:hideMark/>
          </w:tcPr>
          <w:p w14:paraId="38C14C45" w14:textId="77777777" w:rsidR="002D2E67" w:rsidRPr="00C9069F" w:rsidRDefault="002D2E67" w:rsidP="001C7D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9069F">
              <w:rPr>
                <w:rFonts w:ascii="Arial" w:hAnsi="Arial" w:cs="Arial"/>
              </w:rPr>
              <w:t>Greenwashing / Market Credibility Risk Mitigation</w:t>
            </w:r>
          </w:p>
        </w:tc>
      </w:tr>
    </w:tbl>
    <w:p w14:paraId="59E7F11F" w14:textId="25CE118C" w:rsidR="002D2E67" w:rsidRPr="00C9069F" w:rsidRDefault="002D2E67" w:rsidP="001C7D45">
      <w:pPr>
        <w:spacing w:after="0" w:line="360" w:lineRule="auto"/>
        <w:jc w:val="both"/>
        <w:rPr>
          <w:rFonts w:ascii="Arial" w:hAnsi="Arial" w:cs="Arial"/>
        </w:rPr>
      </w:pPr>
    </w:p>
    <w:p w14:paraId="06E49C4E" w14:textId="77777777" w:rsidR="00E71BC3" w:rsidRPr="00E71BC3" w:rsidRDefault="00E71BC3" w:rsidP="00E71BC3">
      <w:pPr>
        <w:pStyle w:val="Heading2"/>
        <w:rPr>
          <w:rFonts w:ascii="Arial" w:hAnsi="Arial" w:cs="Arial"/>
          <w:b/>
          <w:bCs/>
          <w:color w:val="auto"/>
          <w:sz w:val="24"/>
          <w:szCs w:val="24"/>
        </w:rPr>
      </w:pPr>
      <w:bookmarkStart w:id="18" w:name="_Toc214442959"/>
      <w:r w:rsidRPr="00E71BC3">
        <w:rPr>
          <w:rFonts w:ascii="Arial" w:hAnsi="Arial" w:cs="Arial"/>
          <w:b/>
          <w:bCs/>
          <w:color w:val="auto"/>
          <w:sz w:val="24"/>
          <w:szCs w:val="24"/>
        </w:rPr>
        <w:t>Implications and Insights to the Strategy.</w:t>
      </w:r>
      <w:bookmarkEnd w:id="18"/>
    </w:p>
    <w:p w14:paraId="620EE927" w14:textId="60B8F951" w:rsidR="001A6D06" w:rsidRDefault="00E71BC3" w:rsidP="00E71BC3">
      <w:pPr>
        <w:spacing w:after="0" w:line="360" w:lineRule="auto"/>
        <w:jc w:val="both"/>
        <w:rPr>
          <w:rFonts w:ascii="Arial" w:eastAsiaTheme="majorEastAsia" w:hAnsi="Arial" w:cs="Arial"/>
          <w:b/>
          <w:bCs/>
        </w:rPr>
      </w:pPr>
      <w:r w:rsidRPr="00E71BC3">
        <w:rPr>
          <w:rFonts w:ascii="Arial" w:hAnsi="Arial" w:cs="Arial"/>
        </w:rPr>
        <w:t>Innovators influence industry landscapes by differentiating, enjoying first-mover advantage and having a purpose-driven innovation. Tesla and Patagonia make technology leadership, genuine sustainability, and integration with the ecosystem investments and embrace high uncertainty to establish standards in the market. The followers focus on efficiency, scalability, and minimised risks. Adaptive differentiation, cost leadership, and incremental innovation help BYD and TNF refine the existing practices and increase their cost-effectiveness and market reach. All in all, strategic reactions to the macro environment rely on the innovation status of a firm, i.e. pioneer or follower, steering sustainable competitive advantage in terms of differentiation, operational efficiency, and purpose-driven innovation.</w:t>
      </w:r>
    </w:p>
    <w:p w14:paraId="110117D6" w14:textId="0632B323" w:rsidR="001C7D45" w:rsidRPr="001C7D45" w:rsidRDefault="001C7D45" w:rsidP="001C7D45">
      <w:pPr>
        <w:pStyle w:val="Heading1"/>
        <w:rPr>
          <w:rFonts w:ascii="Arial" w:hAnsi="Arial" w:cs="Arial"/>
          <w:b/>
          <w:bCs/>
          <w:color w:val="auto"/>
          <w:sz w:val="24"/>
          <w:szCs w:val="24"/>
        </w:rPr>
      </w:pPr>
      <w:bookmarkStart w:id="19" w:name="_Toc214442960"/>
      <w:r w:rsidRPr="001C7D45">
        <w:rPr>
          <w:rFonts w:ascii="Arial" w:hAnsi="Arial" w:cs="Arial"/>
          <w:b/>
          <w:bCs/>
          <w:color w:val="auto"/>
          <w:sz w:val="24"/>
          <w:szCs w:val="24"/>
        </w:rPr>
        <w:t>4.Conclusion</w:t>
      </w:r>
      <w:bookmarkEnd w:id="19"/>
    </w:p>
    <w:p w14:paraId="6FD19CFF" w14:textId="11A37594" w:rsidR="001C7D45" w:rsidRPr="001C7D45" w:rsidRDefault="001C7D45" w:rsidP="001C7D45">
      <w:pPr>
        <w:spacing w:after="0" w:line="360" w:lineRule="auto"/>
        <w:jc w:val="both"/>
        <w:rPr>
          <w:rFonts w:ascii="Arial" w:hAnsi="Arial" w:cs="Arial"/>
        </w:rPr>
      </w:pPr>
      <w:r w:rsidRPr="001C7D45">
        <w:rPr>
          <w:rFonts w:ascii="Arial" w:hAnsi="Arial" w:cs="Arial"/>
        </w:rPr>
        <w:t>The discussion shows that macro-environmental forces, especially technological and natural/environmental players, have a strong effect on the strategic decision of firms. The first movers, such as Tesla and Patagonia, have high-risk, proactive, differentiation, innovation, and purpose-driven efforts, establishing first-mover advantages by technology, sustainability, and ecosystem integration, but with high-risk and capital risk.</w:t>
      </w:r>
    </w:p>
    <w:p w14:paraId="0554B1D3" w14:textId="523335CA" w:rsidR="001C7D45" w:rsidRPr="001C7D45" w:rsidRDefault="001C7D45" w:rsidP="001C7D45">
      <w:pPr>
        <w:spacing w:after="0" w:line="360" w:lineRule="auto"/>
        <w:jc w:val="both"/>
        <w:rPr>
          <w:rFonts w:ascii="Arial" w:hAnsi="Arial" w:cs="Arial"/>
        </w:rPr>
      </w:pPr>
      <w:r w:rsidRPr="001C7D45">
        <w:rPr>
          <w:rFonts w:ascii="Arial" w:hAnsi="Arial" w:cs="Arial"/>
        </w:rPr>
        <w:t>Strategically, followers like BYD and The North Face can monitor and change the innovations of pioneers to attain scale, operational effectiveness and infiltration. BYD employs the vertical integration and cost leadership strategy whereas TNF employs the adaptive sustainability and performance integration strategy to fulfil consumer expectations without interfering with brand identity.</w:t>
      </w:r>
    </w:p>
    <w:p w14:paraId="72760B79" w14:textId="1D36965D" w:rsidR="00C9069F" w:rsidRPr="00C9069F" w:rsidRDefault="001C7D45" w:rsidP="001C7D45">
      <w:pPr>
        <w:spacing w:after="0" w:line="360" w:lineRule="auto"/>
        <w:jc w:val="both"/>
        <w:rPr>
          <w:rFonts w:ascii="Arial" w:hAnsi="Arial" w:cs="Arial"/>
        </w:rPr>
      </w:pPr>
      <w:r w:rsidRPr="001C7D45">
        <w:rPr>
          <w:rFonts w:ascii="Arial" w:hAnsi="Arial" w:cs="Arial"/>
        </w:rPr>
        <w:t>Finally, companies need to match the internal strengths with external opportunities and threats, and constantly scan the macro environment, as well as adopt flexible marketing strategies to ensure long-term success and competitive advantage (Nosratabadi et al., 2019; OpenStax, 2019).</w:t>
      </w:r>
    </w:p>
    <w:p w14:paraId="35A32641" w14:textId="77777777" w:rsidR="00C9069F" w:rsidRPr="00C9069F" w:rsidRDefault="00C9069F" w:rsidP="001C7D45">
      <w:pPr>
        <w:spacing w:after="0" w:line="360" w:lineRule="auto"/>
        <w:jc w:val="both"/>
        <w:rPr>
          <w:rFonts w:ascii="Arial" w:hAnsi="Arial" w:cs="Arial"/>
        </w:rPr>
      </w:pPr>
    </w:p>
    <w:p w14:paraId="4EFF6AD9" w14:textId="77777777" w:rsidR="00C9069F" w:rsidRPr="00C9069F" w:rsidRDefault="00C9069F" w:rsidP="001C7D45">
      <w:pPr>
        <w:spacing w:after="0" w:line="360" w:lineRule="auto"/>
        <w:jc w:val="both"/>
        <w:rPr>
          <w:rFonts w:ascii="Arial" w:hAnsi="Arial" w:cs="Arial"/>
        </w:rPr>
      </w:pPr>
    </w:p>
    <w:p w14:paraId="26410DE7" w14:textId="77777777" w:rsidR="002841BB" w:rsidRDefault="002841BB" w:rsidP="00EF0757">
      <w:pPr>
        <w:spacing w:after="0" w:line="360" w:lineRule="auto"/>
        <w:jc w:val="both"/>
        <w:rPr>
          <w:rFonts w:ascii="Arial" w:hAnsi="Arial" w:cs="Arial"/>
          <w:b/>
          <w:bCs/>
        </w:rPr>
      </w:pPr>
    </w:p>
    <w:p w14:paraId="1341DCBF" w14:textId="77777777" w:rsidR="001A6D06" w:rsidRDefault="001A6D06">
      <w:pPr>
        <w:rPr>
          <w:rFonts w:ascii="Arial" w:eastAsiaTheme="majorEastAsia" w:hAnsi="Arial" w:cs="Arial"/>
          <w:b/>
          <w:bCs/>
        </w:rPr>
      </w:pPr>
      <w:r>
        <w:rPr>
          <w:rFonts w:ascii="Arial" w:hAnsi="Arial" w:cs="Arial"/>
          <w:b/>
          <w:bCs/>
        </w:rPr>
        <w:br w:type="page"/>
      </w:r>
    </w:p>
    <w:p w14:paraId="4BE83E24" w14:textId="71137A25" w:rsidR="00EF0757" w:rsidRPr="00821C9C" w:rsidRDefault="00EF0757" w:rsidP="00821C9C">
      <w:pPr>
        <w:pStyle w:val="Heading1"/>
        <w:rPr>
          <w:rFonts w:ascii="Arial" w:hAnsi="Arial" w:cs="Arial"/>
          <w:b/>
          <w:bCs/>
          <w:color w:val="auto"/>
          <w:sz w:val="24"/>
          <w:szCs w:val="24"/>
        </w:rPr>
      </w:pPr>
      <w:bookmarkStart w:id="20" w:name="_Toc214442961"/>
      <w:r w:rsidRPr="00821C9C">
        <w:rPr>
          <w:rFonts w:ascii="Arial" w:hAnsi="Arial" w:cs="Arial"/>
          <w:b/>
          <w:bCs/>
          <w:color w:val="auto"/>
          <w:sz w:val="24"/>
          <w:szCs w:val="24"/>
        </w:rPr>
        <w:t>References</w:t>
      </w:r>
      <w:bookmarkEnd w:id="20"/>
    </w:p>
    <w:p w14:paraId="49E7D425"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Automotive Manufacturing Solutions (2025) </w:t>
      </w:r>
      <w:r w:rsidRPr="00A145F4">
        <w:rPr>
          <w:rFonts w:ascii="Arial" w:hAnsi="Arial" w:cs="Arial"/>
          <w:i/>
          <w:iCs/>
        </w:rPr>
        <w:t>How China’s BYD surpassed Tesla with production and battery tech, reshaping the global EV market</w:t>
      </w:r>
      <w:r w:rsidRPr="00A145F4">
        <w:rPr>
          <w:rFonts w:ascii="Arial" w:hAnsi="Arial" w:cs="Arial"/>
        </w:rPr>
        <w:t xml:space="preserve">. Available at: </w:t>
      </w:r>
      <w:hyperlink r:id="rId22" w:tgtFrame="_new" w:history="1">
        <w:r w:rsidRPr="00A145F4">
          <w:rPr>
            <w:rStyle w:val="Hyperlink"/>
            <w:rFonts w:ascii="Arial" w:hAnsi="Arial" w:cs="Arial"/>
          </w:rPr>
          <w:t>https://www.automotivemanufacturingsolutions.com/electrification/how-chinas-byd-surpassed-tesla-with-production-and-battery-tech-reshaping-the-global-ev-market/304649</w:t>
        </w:r>
      </w:hyperlink>
      <w:r w:rsidRPr="00A145F4">
        <w:rPr>
          <w:rFonts w:ascii="Arial" w:hAnsi="Arial" w:cs="Arial"/>
        </w:rPr>
        <w:t xml:space="preserve"> (Accessed: 19 November 2025).</w:t>
      </w:r>
    </w:p>
    <w:p w14:paraId="5DC27AAA"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Bohnsack, R., Pinkse, J. and Kolk, A. (2014) ‘Business models for sustainable technologies: Exploring business model evolution in the case of electric vehicles’, </w:t>
      </w:r>
      <w:r w:rsidRPr="00A145F4">
        <w:rPr>
          <w:rFonts w:ascii="Arial" w:hAnsi="Arial" w:cs="Arial"/>
          <w:i/>
          <w:iCs/>
        </w:rPr>
        <w:t>Research Policy</w:t>
      </w:r>
      <w:r w:rsidRPr="00A145F4">
        <w:rPr>
          <w:rFonts w:ascii="Arial" w:hAnsi="Arial" w:cs="Arial"/>
        </w:rPr>
        <w:t>, 43(2), pp. 284–300. doi: 10.1016/j.respol.2013.10.014.</w:t>
      </w:r>
    </w:p>
    <w:p w14:paraId="08E8AE4B"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Brown, C. (2022) </w:t>
      </w:r>
      <w:r w:rsidRPr="00A145F4">
        <w:rPr>
          <w:rFonts w:ascii="Arial" w:hAnsi="Arial" w:cs="Arial"/>
          <w:i/>
          <w:iCs/>
        </w:rPr>
        <w:t>The North Face and supply chain transparency</w:t>
      </w:r>
      <w:r w:rsidRPr="00A145F4">
        <w:rPr>
          <w:rFonts w:ascii="Arial" w:hAnsi="Arial" w:cs="Arial"/>
        </w:rPr>
        <w:t xml:space="preserve">. Available at: </w:t>
      </w:r>
      <w:hyperlink r:id="rId23" w:tgtFrame="_new" w:history="1">
        <w:r w:rsidRPr="00A145F4">
          <w:rPr>
            <w:rStyle w:val="Hyperlink"/>
            <w:rFonts w:ascii="Arial" w:hAnsi="Arial" w:cs="Arial"/>
          </w:rPr>
          <w:t>https://scholarworks.calstate.edu/concern/projects/12579z795</w:t>
        </w:r>
      </w:hyperlink>
      <w:r w:rsidRPr="00A145F4">
        <w:rPr>
          <w:rFonts w:ascii="Arial" w:hAnsi="Arial" w:cs="Arial"/>
        </w:rPr>
        <w:t xml:space="preserve"> (Accessed: 19 November 2025).</w:t>
      </w:r>
    </w:p>
    <w:p w14:paraId="61732140"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Business of Fashion (n.d.) </w:t>
      </w:r>
      <w:r w:rsidRPr="00A145F4">
        <w:rPr>
          <w:rFonts w:ascii="Arial" w:hAnsi="Arial" w:cs="Arial"/>
          <w:i/>
          <w:iCs/>
        </w:rPr>
        <w:t>Patagonia: Sustainability as a strategic advantage</w:t>
      </w:r>
      <w:r w:rsidRPr="00A145F4">
        <w:rPr>
          <w:rFonts w:ascii="Arial" w:hAnsi="Arial" w:cs="Arial"/>
        </w:rPr>
        <w:t xml:space="preserve">. Available at: </w:t>
      </w:r>
      <w:hyperlink r:id="rId24" w:tgtFrame="_new" w:history="1">
        <w:r w:rsidRPr="00A145F4">
          <w:rPr>
            <w:rStyle w:val="Hyperlink"/>
            <w:rFonts w:ascii="Arial" w:hAnsi="Arial" w:cs="Arial"/>
          </w:rPr>
          <w:t>https://www.businessoffashion.com/articles/news-bites/patagonia-sustainability-strategy</w:t>
        </w:r>
      </w:hyperlink>
      <w:r w:rsidRPr="00A145F4">
        <w:rPr>
          <w:rFonts w:ascii="Arial" w:hAnsi="Arial" w:cs="Arial"/>
        </w:rPr>
        <w:t xml:space="preserve"> (Accessed: 19 November 2025).</w:t>
      </w:r>
    </w:p>
    <w:p w14:paraId="18CF8253"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Chalmers University of Technology (2017) </w:t>
      </w:r>
      <w:r w:rsidRPr="00A145F4">
        <w:rPr>
          <w:rFonts w:ascii="Arial" w:hAnsi="Arial" w:cs="Arial"/>
          <w:i/>
          <w:iCs/>
        </w:rPr>
        <w:t>Investigating the move towards circular business models in textile companies: The case of Patagonia</w:t>
      </w:r>
      <w:r w:rsidRPr="00A145F4">
        <w:rPr>
          <w:rFonts w:ascii="Arial" w:hAnsi="Arial" w:cs="Arial"/>
        </w:rPr>
        <w:t xml:space="preserve">. Available at: </w:t>
      </w:r>
      <w:hyperlink r:id="rId25" w:tgtFrame="_new" w:history="1">
        <w:r w:rsidRPr="00A145F4">
          <w:rPr>
            <w:rStyle w:val="Hyperlink"/>
            <w:rFonts w:ascii="Arial" w:hAnsi="Arial" w:cs="Arial"/>
          </w:rPr>
          <w:t>https://publications.lib.chalmers.se/records/fulltext/254960/254960.pdf</w:t>
        </w:r>
      </w:hyperlink>
      <w:r w:rsidRPr="00A145F4">
        <w:rPr>
          <w:rFonts w:ascii="Arial" w:hAnsi="Arial" w:cs="Arial"/>
        </w:rPr>
        <w:t xml:space="preserve"> (Accessed: 19 November 2025).</w:t>
      </w:r>
    </w:p>
    <w:p w14:paraId="6BC7571B"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Collins, G. (2025) ‘BYD: How AI is driving EV manufacturing success’, </w:t>
      </w:r>
      <w:r w:rsidRPr="00A145F4">
        <w:rPr>
          <w:rFonts w:ascii="Arial" w:hAnsi="Arial" w:cs="Arial"/>
          <w:i/>
          <w:iCs/>
        </w:rPr>
        <w:t>EV Magazine</w:t>
      </w:r>
      <w:r w:rsidRPr="00A145F4">
        <w:rPr>
          <w:rFonts w:ascii="Arial" w:hAnsi="Arial" w:cs="Arial"/>
        </w:rPr>
        <w:t xml:space="preserve">. Available at: </w:t>
      </w:r>
      <w:hyperlink r:id="rId26" w:tgtFrame="_new" w:history="1">
        <w:r w:rsidRPr="00A145F4">
          <w:rPr>
            <w:rStyle w:val="Hyperlink"/>
            <w:rFonts w:ascii="Arial" w:hAnsi="Arial" w:cs="Arial"/>
          </w:rPr>
          <w:t>https://evmagazine.com/news/how-chinas-byd-is-using-ai-to-scale-global-ev-manufacturing-2025</w:t>
        </w:r>
      </w:hyperlink>
      <w:r w:rsidRPr="00A145F4">
        <w:rPr>
          <w:rFonts w:ascii="Arial" w:hAnsi="Arial" w:cs="Arial"/>
        </w:rPr>
        <w:t xml:space="preserve"> (Accessed: 19 November 2025).</w:t>
      </w:r>
    </w:p>
    <w:p w14:paraId="5965A669"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Daylan, A., Majid, D. and Sandberg, A. (2023) </w:t>
      </w:r>
      <w:r w:rsidRPr="00A145F4">
        <w:rPr>
          <w:rFonts w:ascii="Arial" w:hAnsi="Arial" w:cs="Arial"/>
          <w:i/>
          <w:iCs/>
        </w:rPr>
        <w:t>Examining the disruptive innovation theory by analysing Tesla, Inc.</w:t>
      </w:r>
      <w:r w:rsidRPr="00A145F4">
        <w:rPr>
          <w:rFonts w:ascii="Arial" w:hAnsi="Arial" w:cs="Arial"/>
        </w:rPr>
        <w:t xml:space="preserve"> Available at: </w:t>
      </w:r>
      <w:hyperlink r:id="rId27" w:tgtFrame="_new" w:history="1">
        <w:r w:rsidRPr="00A145F4">
          <w:rPr>
            <w:rStyle w:val="Hyperlink"/>
            <w:rFonts w:ascii="Arial" w:hAnsi="Arial" w:cs="Arial"/>
          </w:rPr>
          <w:t>https://www.utupub.fi/bitstream/handle/10024/174431/Daylan_Arda_Thesis.pdf</w:t>
        </w:r>
      </w:hyperlink>
      <w:r w:rsidRPr="00A145F4">
        <w:rPr>
          <w:rFonts w:ascii="Arial" w:hAnsi="Arial" w:cs="Arial"/>
        </w:rPr>
        <w:t xml:space="preserve"> (Accessed: 19 November 2025).</w:t>
      </w:r>
    </w:p>
    <w:p w14:paraId="2BADF0DF"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Fibre2Fashion (n.d.) </w:t>
      </w:r>
      <w:r w:rsidRPr="00A145F4">
        <w:rPr>
          <w:rFonts w:ascii="Arial" w:hAnsi="Arial" w:cs="Arial"/>
          <w:i/>
          <w:iCs/>
        </w:rPr>
        <w:t>Eco innovation in fashion: Revolutionising the industry</w:t>
      </w:r>
      <w:r w:rsidRPr="00A145F4">
        <w:rPr>
          <w:rFonts w:ascii="Arial" w:hAnsi="Arial" w:cs="Arial"/>
        </w:rPr>
        <w:t xml:space="preserve">. Available at: </w:t>
      </w:r>
      <w:hyperlink r:id="rId28" w:tgtFrame="_new" w:history="1">
        <w:r w:rsidRPr="00A145F4">
          <w:rPr>
            <w:rStyle w:val="Hyperlink"/>
            <w:rFonts w:ascii="Arial" w:hAnsi="Arial" w:cs="Arial"/>
          </w:rPr>
          <w:t>https://www.fibre2fashion.com/industry-article/9788/eco-innovation-in-fashion-revolutionising-the-industry</w:t>
        </w:r>
      </w:hyperlink>
      <w:r w:rsidRPr="00A145F4">
        <w:rPr>
          <w:rFonts w:ascii="Arial" w:hAnsi="Arial" w:cs="Arial"/>
        </w:rPr>
        <w:t xml:space="preserve"> (Accessed: 19 November 2025).</w:t>
      </w:r>
    </w:p>
    <w:p w14:paraId="4AFE75F9"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Green, S.D., Larsen, G.D. and Kao, C. (2008) ‘Competitive strategy revisited: Contested concepts and dynamic capabilities’, </w:t>
      </w:r>
      <w:r w:rsidRPr="00A145F4">
        <w:rPr>
          <w:rFonts w:ascii="Arial" w:hAnsi="Arial" w:cs="Arial"/>
          <w:i/>
          <w:iCs/>
        </w:rPr>
        <w:t>Construction Management and Economics</w:t>
      </w:r>
      <w:r w:rsidRPr="00A145F4">
        <w:rPr>
          <w:rFonts w:ascii="Arial" w:hAnsi="Arial" w:cs="Arial"/>
        </w:rPr>
        <w:t>, 26(1), pp. 63–78. doi: 10.1080/01446190701656174.</w:t>
      </w:r>
    </w:p>
    <w:p w14:paraId="1F00BEEE"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Nosratabadi, S. et al. (2019) ‘Sustainable business models: A review’, </w:t>
      </w:r>
      <w:r w:rsidRPr="00A145F4">
        <w:rPr>
          <w:rFonts w:ascii="Arial" w:hAnsi="Arial" w:cs="Arial"/>
          <w:i/>
          <w:iCs/>
        </w:rPr>
        <w:t>arXiv</w:t>
      </w:r>
      <w:r w:rsidRPr="00A145F4">
        <w:rPr>
          <w:rFonts w:ascii="Arial" w:hAnsi="Arial" w:cs="Arial"/>
        </w:rPr>
        <w:t xml:space="preserve">. Available at: </w:t>
      </w:r>
      <w:hyperlink r:id="rId29" w:tgtFrame="_new" w:history="1">
        <w:r w:rsidRPr="00A145F4">
          <w:rPr>
            <w:rStyle w:val="Hyperlink"/>
            <w:rFonts w:ascii="Arial" w:hAnsi="Arial" w:cs="Arial"/>
          </w:rPr>
          <w:t>https://arxiv.org/abs/1907.10052</w:t>
        </w:r>
      </w:hyperlink>
      <w:r w:rsidRPr="00A145F4">
        <w:rPr>
          <w:rFonts w:ascii="Arial" w:hAnsi="Arial" w:cs="Arial"/>
        </w:rPr>
        <w:t xml:space="preserve"> (Accessed: 19 November 2025).</w:t>
      </w:r>
    </w:p>
    <w:p w14:paraId="7AA97265"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OpenStax (2019) </w:t>
      </w:r>
      <w:r w:rsidRPr="00A145F4">
        <w:rPr>
          <w:rFonts w:ascii="Arial" w:hAnsi="Arial" w:cs="Arial"/>
          <w:i/>
          <w:iCs/>
        </w:rPr>
        <w:t>Principles of management: Section 8.3 — A firm’s external macro environment (PESTEL)</w:t>
      </w:r>
      <w:r w:rsidRPr="00A145F4">
        <w:rPr>
          <w:rFonts w:ascii="Arial" w:hAnsi="Arial" w:cs="Arial"/>
        </w:rPr>
        <w:t xml:space="preserve">. Available at: </w:t>
      </w:r>
      <w:hyperlink r:id="rId30" w:tgtFrame="_new" w:history="1">
        <w:r w:rsidRPr="00A145F4">
          <w:rPr>
            <w:rStyle w:val="Hyperlink"/>
            <w:rFonts w:ascii="Arial" w:hAnsi="Arial" w:cs="Arial"/>
          </w:rPr>
          <w:t>https://openstax.org/books/principles-management/pages/8-3-a-firms-external-macro-environment-pestel</w:t>
        </w:r>
      </w:hyperlink>
      <w:r w:rsidRPr="00A145F4">
        <w:rPr>
          <w:rFonts w:ascii="Arial" w:hAnsi="Arial" w:cs="Arial"/>
        </w:rPr>
        <w:t xml:space="preserve"> (Accessed: 19 November 2025).</w:t>
      </w:r>
    </w:p>
    <w:p w14:paraId="519686E6"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Raider Pressbooks (2025) </w:t>
      </w:r>
      <w:r w:rsidRPr="00A145F4">
        <w:rPr>
          <w:rFonts w:ascii="Arial" w:hAnsi="Arial" w:cs="Arial"/>
          <w:i/>
          <w:iCs/>
        </w:rPr>
        <w:t>The PESTEL environmental analysis</w:t>
      </w:r>
      <w:r w:rsidRPr="00A145F4">
        <w:rPr>
          <w:rFonts w:ascii="Arial" w:hAnsi="Arial" w:cs="Arial"/>
        </w:rPr>
        <w:t xml:space="preserve">. Available at: </w:t>
      </w:r>
      <w:hyperlink r:id="rId31" w:tgtFrame="_new" w:history="1">
        <w:r w:rsidRPr="00A145F4">
          <w:rPr>
            <w:rStyle w:val="Hyperlink"/>
            <w:rFonts w:ascii="Arial" w:hAnsi="Arial" w:cs="Arial"/>
          </w:rPr>
          <w:t>https://raider.pressbooks.pub/strategicmarketing/chapter/evaluating-the-general-environment/</w:t>
        </w:r>
      </w:hyperlink>
      <w:r w:rsidRPr="00A145F4">
        <w:rPr>
          <w:rFonts w:ascii="Arial" w:hAnsi="Arial" w:cs="Arial"/>
        </w:rPr>
        <w:t xml:space="preserve"> (Accessed: 19 November 2025).</w:t>
      </w:r>
    </w:p>
    <w:p w14:paraId="16C20949"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Tesla, Inc. (2024) </w:t>
      </w:r>
      <w:r w:rsidRPr="00A145F4">
        <w:rPr>
          <w:rFonts w:ascii="Arial" w:hAnsi="Arial" w:cs="Arial"/>
          <w:i/>
          <w:iCs/>
        </w:rPr>
        <w:t>Annual report 2023 (Form 10-K)</w:t>
      </w:r>
      <w:r w:rsidRPr="00A145F4">
        <w:rPr>
          <w:rFonts w:ascii="Arial" w:hAnsi="Arial" w:cs="Arial"/>
        </w:rPr>
        <w:t xml:space="preserve">. Available at: </w:t>
      </w:r>
      <w:hyperlink r:id="rId32" w:tgtFrame="_new" w:history="1">
        <w:r w:rsidRPr="00A145F4">
          <w:rPr>
            <w:rStyle w:val="Hyperlink"/>
            <w:rFonts w:ascii="Arial" w:hAnsi="Arial" w:cs="Arial"/>
          </w:rPr>
          <w:t>https://ir.tesla.com/_fly/docs/2023-10k.pdf</w:t>
        </w:r>
      </w:hyperlink>
      <w:r w:rsidRPr="00A145F4">
        <w:rPr>
          <w:rFonts w:ascii="Arial" w:hAnsi="Arial" w:cs="Arial"/>
        </w:rPr>
        <w:t xml:space="preserve"> (Accessed: 19 November 2025).</w:t>
      </w:r>
    </w:p>
    <w:p w14:paraId="2CEB064B"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World Bank (2011) </w:t>
      </w:r>
      <w:r w:rsidRPr="00A145F4">
        <w:rPr>
          <w:rFonts w:ascii="Arial" w:hAnsi="Arial" w:cs="Arial"/>
          <w:i/>
          <w:iCs/>
        </w:rPr>
        <w:t>World development report 2011: Conflict, security and development</w:t>
      </w:r>
      <w:r w:rsidRPr="00A145F4">
        <w:rPr>
          <w:rFonts w:ascii="Arial" w:hAnsi="Arial" w:cs="Arial"/>
        </w:rPr>
        <w:t>. doi: 10.1596/978-0-8213-8439-8.</w:t>
      </w:r>
    </w:p>
    <w:p w14:paraId="4F5D3DBE" w14:textId="77777777" w:rsidR="00A145F4" w:rsidRPr="00A145F4" w:rsidRDefault="00A145F4" w:rsidP="00A145F4">
      <w:pPr>
        <w:spacing w:after="0" w:line="360" w:lineRule="auto"/>
        <w:jc w:val="both"/>
        <w:rPr>
          <w:rFonts w:ascii="Arial" w:hAnsi="Arial" w:cs="Arial"/>
        </w:rPr>
      </w:pPr>
      <w:r w:rsidRPr="00A145F4">
        <w:rPr>
          <w:rFonts w:ascii="Arial" w:hAnsi="Arial" w:cs="Arial"/>
        </w:rPr>
        <w:t xml:space="preserve">Zahra, S.A., Nash, S. and Bickford, D.J. (1995) ‘Transforming technological pioneering into competitive advantage’, </w:t>
      </w:r>
      <w:r w:rsidRPr="00A145F4">
        <w:rPr>
          <w:rFonts w:ascii="Arial" w:hAnsi="Arial" w:cs="Arial"/>
          <w:i/>
          <w:iCs/>
        </w:rPr>
        <w:t>Academy of Management Perspectives</w:t>
      </w:r>
      <w:r w:rsidRPr="00A145F4">
        <w:rPr>
          <w:rFonts w:ascii="Arial" w:hAnsi="Arial" w:cs="Arial"/>
        </w:rPr>
        <w:t>, 9(1), pp. 17–31. doi: 10.5465/ame.1995.9503133481.</w:t>
      </w:r>
    </w:p>
    <w:p w14:paraId="6E5E73E0" w14:textId="77777777" w:rsidR="005B66AE" w:rsidRPr="00821C9C" w:rsidRDefault="005B66AE" w:rsidP="00821C9C">
      <w:pPr>
        <w:spacing w:after="0" w:line="360" w:lineRule="auto"/>
        <w:jc w:val="both"/>
        <w:rPr>
          <w:rFonts w:ascii="Arial" w:hAnsi="Arial" w:cs="Arial"/>
        </w:rPr>
      </w:pPr>
    </w:p>
    <w:sectPr w:rsidR="005B66AE" w:rsidRPr="00821C9C">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61A27" w14:textId="77777777" w:rsidR="001F4732" w:rsidRDefault="001F4732" w:rsidP="00821C9C">
      <w:pPr>
        <w:spacing w:after="0" w:line="240" w:lineRule="auto"/>
      </w:pPr>
      <w:r>
        <w:separator/>
      </w:r>
    </w:p>
  </w:endnote>
  <w:endnote w:type="continuationSeparator" w:id="0">
    <w:p w14:paraId="0F971AD0" w14:textId="77777777" w:rsidR="001F4732" w:rsidRDefault="001F4732" w:rsidP="0082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571540"/>
      <w:docPartObj>
        <w:docPartGallery w:val="Page Numbers (Bottom of Page)"/>
        <w:docPartUnique/>
      </w:docPartObj>
    </w:sdtPr>
    <w:sdtEndPr>
      <w:rPr>
        <w:noProof/>
      </w:rPr>
    </w:sdtEndPr>
    <w:sdtContent>
      <w:p w14:paraId="7386CB5B" w14:textId="656478B9" w:rsidR="00821C9C" w:rsidRDefault="0082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CFAC6" w14:textId="77777777" w:rsidR="00821C9C" w:rsidRDefault="0082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BA2E4" w14:textId="77777777" w:rsidR="001F4732" w:rsidRDefault="001F4732" w:rsidP="00821C9C">
      <w:pPr>
        <w:spacing w:after="0" w:line="240" w:lineRule="auto"/>
      </w:pPr>
      <w:r>
        <w:separator/>
      </w:r>
    </w:p>
  </w:footnote>
  <w:footnote w:type="continuationSeparator" w:id="0">
    <w:p w14:paraId="4D410B35" w14:textId="77777777" w:rsidR="001F4732" w:rsidRDefault="001F4732" w:rsidP="0082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25B8"/>
    <w:multiLevelType w:val="hybridMultilevel"/>
    <w:tmpl w:val="B4F00070"/>
    <w:lvl w:ilvl="0" w:tplc="D6BEE4F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E7D43"/>
    <w:multiLevelType w:val="multilevel"/>
    <w:tmpl w:val="86B2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A6830"/>
    <w:multiLevelType w:val="hybridMultilevel"/>
    <w:tmpl w:val="C6C2998C"/>
    <w:lvl w:ilvl="0" w:tplc="A39E665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061C11"/>
    <w:multiLevelType w:val="multilevel"/>
    <w:tmpl w:val="BCBE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C692E"/>
    <w:multiLevelType w:val="hybridMultilevel"/>
    <w:tmpl w:val="7F044676"/>
    <w:lvl w:ilvl="0" w:tplc="714282E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63A6D"/>
    <w:multiLevelType w:val="multilevel"/>
    <w:tmpl w:val="2C54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2587E"/>
    <w:multiLevelType w:val="multilevel"/>
    <w:tmpl w:val="6722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43357"/>
    <w:multiLevelType w:val="hybridMultilevel"/>
    <w:tmpl w:val="BAD2AB0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20614E3"/>
    <w:multiLevelType w:val="hybridMultilevel"/>
    <w:tmpl w:val="DC2AE8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11300A"/>
    <w:multiLevelType w:val="hybridMultilevel"/>
    <w:tmpl w:val="5D5C0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DD2DB4"/>
    <w:multiLevelType w:val="hybridMultilevel"/>
    <w:tmpl w:val="FE7EE0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65167"/>
    <w:multiLevelType w:val="hybridMultilevel"/>
    <w:tmpl w:val="3FFAE5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26207A"/>
    <w:multiLevelType w:val="multilevel"/>
    <w:tmpl w:val="5352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062B08"/>
    <w:multiLevelType w:val="multilevel"/>
    <w:tmpl w:val="1276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DB0AC9"/>
    <w:multiLevelType w:val="hybridMultilevel"/>
    <w:tmpl w:val="5CF81D44"/>
    <w:lvl w:ilvl="0" w:tplc="87265F60">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4241A0"/>
    <w:multiLevelType w:val="hybridMultilevel"/>
    <w:tmpl w:val="1728BCB8"/>
    <w:lvl w:ilvl="0" w:tplc="9E7688F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A91419"/>
    <w:multiLevelType w:val="hybridMultilevel"/>
    <w:tmpl w:val="7D8607C6"/>
    <w:lvl w:ilvl="0" w:tplc="04090009">
      <w:start w:val="1"/>
      <w:numFmt w:val="bullet"/>
      <w:lvlText w:val=""/>
      <w:lvlJc w:val="left"/>
      <w:pPr>
        <w:ind w:left="720" w:hanging="360"/>
      </w:pPr>
      <w:rPr>
        <w:rFonts w:ascii="Wingdings" w:hAnsi="Wingdings" w:hint="default"/>
      </w:rPr>
    </w:lvl>
    <w:lvl w:ilvl="1" w:tplc="A46EAB0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0F0050"/>
    <w:multiLevelType w:val="multilevel"/>
    <w:tmpl w:val="63F8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13C53"/>
    <w:multiLevelType w:val="multilevel"/>
    <w:tmpl w:val="1AFA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BC63CD"/>
    <w:multiLevelType w:val="multilevel"/>
    <w:tmpl w:val="0E2E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680D8C"/>
    <w:multiLevelType w:val="multilevel"/>
    <w:tmpl w:val="F0B2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8B009A"/>
    <w:multiLevelType w:val="hybridMultilevel"/>
    <w:tmpl w:val="B66A930C"/>
    <w:lvl w:ilvl="0" w:tplc="6AACD8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872D02"/>
    <w:multiLevelType w:val="multilevel"/>
    <w:tmpl w:val="BF360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F80DC4"/>
    <w:multiLevelType w:val="multilevel"/>
    <w:tmpl w:val="85C0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80ECC"/>
    <w:multiLevelType w:val="hybridMultilevel"/>
    <w:tmpl w:val="DB9A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667EE"/>
    <w:multiLevelType w:val="hybridMultilevel"/>
    <w:tmpl w:val="6E6EE2E6"/>
    <w:lvl w:ilvl="0" w:tplc="0409000F">
      <w:start w:val="1"/>
      <w:numFmt w:val="decimal"/>
      <w:lvlText w:val="%1."/>
      <w:lvlJc w:val="left"/>
      <w:pPr>
        <w:ind w:left="720" w:hanging="360"/>
      </w:pPr>
    </w:lvl>
    <w:lvl w:ilvl="1" w:tplc="3FFC1ACE">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5D1BD2"/>
    <w:multiLevelType w:val="multilevel"/>
    <w:tmpl w:val="1B1A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BA49C5"/>
    <w:multiLevelType w:val="hybridMultilevel"/>
    <w:tmpl w:val="778CD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CF5717"/>
    <w:multiLevelType w:val="hybridMultilevel"/>
    <w:tmpl w:val="CF6E4A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197520"/>
    <w:multiLevelType w:val="hybridMultilevel"/>
    <w:tmpl w:val="46464EF2"/>
    <w:lvl w:ilvl="0" w:tplc="28828C5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BC6183"/>
    <w:multiLevelType w:val="multilevel"/>
    <w:tmpl w:val="664A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A67505"/>
    <w:multiLevelType w:val="multilevel"/>
    <w:tmpl w:val="2988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1472FD"/>
    <w:multiLevelType w:val="hybridMultilevel"/>
    <w:tmpl w:val="F290194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2C1030D"/>
    <w:multiLevelType w:val="hybridMultilevel"/>
    <w:tmpl w:val="A62464F4"/>
    <w:lvl w:ilvl="0" w:tplc="04090009">
      <w:start w:val="1"/>
      <w:numFmt w:val="bullet"/>
      <w:lvlText w:val=""/>
      <w:lvlJc w:val="left"/>
      <w:pPr>
        <w:ind w:left="720" w:hanging="360"/>
      </w:pPr>
      <w:rPr>
        <w:rFonts w:ascii="Wingdings" w:hAnsi="Wingdings" w:hint="default"/>
      </w:rPr>
    </w:lvl>
    <w:lvl w:ilvl="1" w:tplc="6B9CCA26">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CD5178"/>
    <w:multiLevelType w:val="hybridMultilevel"/>
    <w:tmpl w:val="6BE25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B353FD"/>
    <w:multiLevelType w:val="hybridMultilevel"/>
    <w:tmpl w:val="9A6805A2"/>
    <w:lvl w:ilvl="0" w:tplc="04090009">
      <w:start w:val="1"/>
      <w:numFmt w:val="bullet"/>
      <w:lvlText w:val=""/>
      <w:lvlJc w:val="left"/>
      <w:pPr>
        <w:ind w:left="720" w:hanging="360"/>
      </w:pPr>
      <w:rPr>
        <w:rFonts w:ascii="Wingdings" w:hAnsi="Wingdings" w:hint="default"/>
      </w:rPr>
    </w:lvl>
    <w:lvl w:ilvl="1" w:tplc="9168D35C">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AF7FE9"/>
    <w:multiLevelType w:val="multilevel"/>
    <w:tmpl w:val="D61C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0B5D39"/>
    <w:multiLevelType w:val="multilevel"/>
    <w:tmpl w:val="486A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531044"/>
    <w:multiLevelType w:val="multilevel"/>
    <w:tmpl w:val="5F16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8D176E"/>
    <w:multiLevelType w:val="hybridMultilevel"/>
    <w:tmpl w:val="345880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562CEF"/>
    <w:multiLevelType w:val="hybridMultilevel"/>
    <w:tmpl w:val="44D2BFAA"/>
    <w:lvl w:ilvl="0" w:tplc="04090009">
      <w:start w:val="1"/>
      <w:numFmt w:val="bullet"/>
      <w:lvlText w:val=""/>
      <w:lvlJc w:val="left"/>
      <w:pPr>
        <w:ind w:left="720" w:hanging="360"/>
      </w:pPr>
      <w:rPr>
        <w:rFonts w:ascii="Wingdings" w:hAnsi="Wingdings" w:hint="default"/>
      </w:rPr>
    </w:lvl>
    <w:lvl w:ilvl="1" w:tplc="7C6CD75E">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4A0966"/>
    <w:multiLevelType w:val="hybridMultilevel"/>
    <w:tmpl w:val="783AAF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1D6FF4"/>
    <w:multiLevelType w:val="multilevel"/>
    <w:tmpl w:val="43D0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093DAF"/>
    <w:multiLevelType w:val="hybridMultilevel"/>
    <w:tmpl w:val="21B81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C92548"/>
    <w:multiLevelType w:val="hybridMultilevel"/>
    <w:tmpl w:val="206C4802"/>
    <w:lvl w:ilvl="0" w:tplc="59FED30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6554A6"/>
    <w:multiLevelType w:val="multilevel"/>
    <w:tmpl w:val="40BE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C359CD"/>
    <w:multiLevelType w:val="multilevel"/>
    <w:tmpl w:val="8EF8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127547"/>
    <w:multiLevelType w:val="hybridMultilevel"/>
    <w:tmpl w:val="E17030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287631">
    <w:abstractNumId w:val="31"/>
  </w:num>
  <w:num w:numId="2" w16cid:durableId="710155825">
    <w:abstractNumId w:val="38"/>
  </w:num>
  <w:num w:numId="3" w16cid:durableId="367023683">
    <w:abstractNumId w:val="42"/>
  </w:num>
  <w:num w:numId="4" w16cid:durableId="669866601">
    <w:abstractNumId w:val="6"/>
  </w:num>
  <w:num w:numId="5" w16cid:durableId="2028864625">
    <w:abstractNumId w:val="22"/>
  </w:num>
  <w:num w:numId="6" w16cid:durableId="111900591">
    <w:abstractNumId w:val="13"/>
  </w:num>
  <w:num w:numId="7" w16cid:durableId="222524852">
    <w:abstractNumId w:val="20"/>
  </w:num>
  <w:num w:numId="8" w16cid:durableId="598685043">
    <w:abstractNumId w:val="37"/>
  </w:num>
  <w:num w:numId="9" w16cid:durableId="1136071842">
    <w:abstractNumId w:val="45"/>
  </w:num>
  <w:num w:numId="10" w16cid:durableId="73819500">
    <w:abstractNumId w:val="18"/>
  </w:num>
  <w:num w:numId="11" w16cid:durableId="1526095150">
    <w:abstractNumId w:val="17"/>
  </w:num>
  <w:num w:numId="12" w16cid:durableId="67195700">
    <w:abstractNumId w:val="3"/>
  </w:num>
  <w:num w:numId="13" w16cid:durableId="403114216">
    <w:abstractNumId w:val="19"/>
  </w:num>
  <w:num w:numId="14" w16cid:durableId="669021688">
    <w:abstractNumId w:val="26"/>
  </w:num>
  <w:num w:numId="15" w16cid:durableId="134183342">
    <w:abstractNumId w:val="1"/>
  </w:num>
  <w:num w:numId="16" w16cid:durableId="1307323653">
    <w:abstractNumId w:val="30"/>
  </w:num>
  <w:num w:numId="17" w16cid:durableId="1120808297">
    <w:abstractNumId w:val="46"/>
  </w:num>
  <w:num w:numId="18" w16cid:durableId="416831346">
    <w:abstractNumId w:val="23"/>
  </w:num>
  <w:num w:numId="19" w16cid:durableId="2040011966">
    <w:abstractNumId w:val="12"/>
  </w:num>
  <w:num w:numId="20" w16cid:durableId="239219911">
    <w:abstractNumId w:val="39"/>
  </w:num>
  <w:num w:numId="21" w16cid:durableId="110247089">
    <w:abstractNumId w:val="11"/>
  </w:num>
  <w:num w:numId="22" w16cid:durableId="1646078903">
    <w:abstractNumId w:val="4"/>
  </w:num>
  <w:num w:numId="23" w16cid:durableId="1695763020">
    <w:abstractNumId w:val="8"/>
  </w:num>
  <w:num w:numId="24" w16cid:durableId="1497066040">
    <w:abstractNumId w:val="44"/>
  </w:num>
  <w:num w:numId="25" w16cid:durableId="1470131479">
    <w:abstractNumId w:val="40"/>
  </w:num>
  <w:num w:numId="26" w16cid:durableId="263344806">
    <w:abstractNumId w:val="41"/>
  </w:num>
  <w:num w:numId="27" w16cid:durableId="1087657815">
    <w:abstractNumId w:val="0"/>
  </w:num>
  <w:num w:numId="28" w16cid:durableId="579828974">
    <w:abstractNumId w:val="9"/>
  </w:num>
  <w:num w:numId="29" w16cid:durableId="505562373">
    <w:abstractNumId w:val="29"/>
  </w:num>
  <w:num w:numId="30" w16cid:durableId="830220313">
    <w:abstractNumId w:val="32"/>
  </w:num>
  <w:num w:numId="31" w16cid:durableId="1488982447">
    <w:abstractNumId w:val="10"/>
  </w:num>
  <w:num w:numId="32" w16cid:durableId="2047100520">
    <w:abstractNumId w:val="21"/>
  </w:num>
  <w:num w:numId="33" w16cid:durableId="1123378958">
    <w:abstractNumId w:val="35"/>
  </w:num>
  <w:num w:numId="34" w16cid:durableId="1857841983">
    <w:abstractNumId w:val="16"/>
  </w:num>
  <w:num w:numId="35" w16cid:durableId="15616950">
    <w:abstractNumId w:val="28"/>
  </w:num>
  <w:num w:numId="36" w16cid:durableId="1796829793">
    <w:abstractNumId w:val="2"/>
  </w:num>
  <w:num w:numId="37" w16cid:durableId="95029998">
    <w:abstractNumId w:val="47"/>
  </w:num>
  <w:num w:numId="38" w16cid:durableId="535047869">
    <w:abstractNumId w:val="15"/>
  </w:num>
  <w:num w:numId="39" w16cid:durableId="1070351366">
    <w:abstractNumId w:val="7"/>
  </w:num>
  <w:num w:numId="40" w16cid:durableId="111287596">
    <w:abstractNumId w:val="34"/>
  </w:num>
  <w:num w:numId="41" w16cid:durableId="1478106171">
    <w:abstractNumId w:val="14"/>
  </w:num>
  <w:num w:numId="42" w16cid:durableId="511115855">
    <w:abstractNumId w:val="5"/>
  </w:num>
  <w:num w:numId="43" w16cid:durableId="1737316389">
    <w:abstractNumId w:val="36"/>
  </w:num>
  <w:num w:numId="44" w16cid:durableId="804156618">
    <w:abstractNumId w:val="25"/>
  </w:num>
  <w:num w:numId="45" w16cid:durableId="1497378507">
    <w:abstractNumId w:val="27"/>
  </w:num>
  <w:num w:numId="46" w16cid:durableId="1958022430">
    <w:abstractNumId w:val="43"/>
  </w:num>
  <w:num w:numId="47" w16cid:durableId="527060848">
    <w:abstractNumId w:val="24"/>
  </w:num>
  <w:num w:numId="48" w16cid:durableId="206590869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E98"/>
    <w:rsid w:val="000E3682"/>
    <w:rsid w:val="00134FD8"/>
    <w:rsid w:val="00183BA0"/>
    <w:rsid w:val="001A6D06"/>
    <w:rsid w:val="001C7D45"/>
    <w:rsid w:val="001F4732"/>
    <w:rsid w:val="00263309"/>
    <w:rsid w:val="002841BB"/>
    <w:rsid w:val="002D2E67"/>
    <w:rsid w:val="003865F7"/>
    <w:rsid w:val="00543241"/>
    <w:rsid w:val="005851E9"/>
    <w:rsid w:val="005B66AE"/>
    <w:rsid w:val="006564F5"/>
    <w:rsid w:val="007713C3"/>
    <w:rsid w:val="007C188A"/>
    <w:rsid w:val="00821C9C"/>
    <w:rsid w:val="00823A2C"/>
    <w:rsid w:val="0090406F"/>
    <w:rsid w:val="00922F30"/>
    <w:rsid w:val="00A01B12"/>
    <w:rsid w:val="00A145F4"/>
    <w:rsid w:val="00AA04B7"/>
    <w:rsid w:val="00AB0874"/>
    <w:rsid w:val="00B050B0"/>
    <w:rsid w:val="00B218B5"/>
    <w:rsid w:val="00B41171"/>
    <w:rsid w:val="00B97339"/>
    <w:rsid w:val="00BC1E98"/>
    <w:rsid w:val="00C86989"/>
    <w:rsid w:val="00C9069F"/>
    <w:rsid w:val="00D048D7"/>
    <w:rsid w:val="00D97C31"/>
    <w:rsid w:val="00E32B17"/>
    <w:rsid w:val="00E37FFD"/>
    <w:rsid w:val="00E71BC3"/>
    <w:rsid w:val="00E75874"/>
    <w:rsid w:val="00E8511D"/>
    <w:rsid w:val="00EF0757"/>
    <w:rsid w:val="00F45FC3"/>
    <w:rsid w:val="00FF4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D161"/>
  <w15:chartTrackingRefBased/>
  <w15:docId w15:val="{C93EB8B7-07CD-4EAC-AA34-6BF4CD90D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1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1E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1E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1E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1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1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1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1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E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1E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1E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1E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1E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1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1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1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1E98"/>
    <w:rPr>
      <w:rFonts w:eastAsiaTheme="majorEastAsia" w:cstheme="majorBidi"/>
      <w:color w:val="272727" w:themeColor="text1" w:themeTint="D8"/>
    </w:rPr>
  </w:style>
  <w:style w:type="paragraph" w:styleId="Title">
    <w:name w:val="Title"/>
    <w:basedOn w:val="Normal"/>
    <w:next w:val="Normal"/>
    <w:link w:val="TitleChar"/>
    <w:uiPriority w:val="10"/>
    <w:qFormat/>
    <w:rsid w:val="00BC1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1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1E98"/>
    <w:pPr>
      <w:spacing w:before="160"/>
      <w:jc w:val="center"/>
    </w:pPr>
    <w:rPr>
      <w:i/>
      <w:iCs/>
      <w:color w:val="404040" w:themeColor="text1" w:themeTint="BF"/>
    </w:rPr>
  </w:style>
  <w:style w:type="character" w:customStyle="1" w:styleId="QuoteChar">
    <w:name w:val="Quote Char"/>
    <w:basedOn w:val="DefaultParagraphFont"/>
    <w:link w:val="Quote"/>
    <w:uiPriority w:val="29"/>
    <w:rsid w:val="00BC1E98"/>
    <w:rPr>
      <w:i/>
      <w:iCs/>
      <w:color w:val="404040" w:themeColor="text1" w:themeTint="BF"/>
    </w:rPr>
  </w:style>
  <w:style w:type="paragraph" w:styleId="ListParagraph">
    <w:name w:val="List Paragraph"/>
    <w:basedOn w:val="Normal"/>
    <w:uiPriority w:val="34"/>
    <w:qFormat/>
    <w:rsid w:val="00BC1E98"/>
    <w:pPr>
      <w:ind w:left="720"/>
      <w:contextualSpacing/>
    </w:pPr>
  </w:style>
  <w:style w:type="character" w:styleId="IntenseEmphasis">
    <w:name w:val="Intense Emphasis"/>
    <w:basedOn w:val="DefaultParagraphFont"/>
    <w:uiPriority w:val="21"/>
    <w:qFormat/>
    <w:rsid w:val="00BC1E98"/>
    <w:rPr>
      <w:i/>
      <w:iCs/>
      <w:color w:val="0F4761" w:themeColor="accent1" w:themeShade="BF"/>
    </w:rPr>
  </w:style>
  <w:style w:type="paragraph" w:styleId="IntenseQuote">
    <w:name w:val="Intense Quote"/>
    <w:basedOn w:val="Normal"/>
    <w:next w:val="Normal"/>
    <w:link w:val="IntenseQuoteChar"/>
    <w:uiPriority w:val="30"/>
    <w:qFormat/>
    <w:rsid w:val="00BC1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1E98"/>
    <w:rPr>
      <w:i/>
      <w:iCs/>
      <w:color w:val="0F4761" w:themeColor="accent1" w:themeShade="BF"/>
    </w:rPr>
  </w:style>
  <w:style w:type="character" w:styleId="IntenseReference">
    <w:name w:val="Intense Reference"/>
    <w:basedOn w:val="DefaultParagraphFont"/>
    <w:uiPriority w:val="32"/>
    <w:qFormat/>
    <w:rsid w:val="00BC1E98"/>
    <w:rPr>
      <w:b/>
      <w:bCs/>
      <w:smallCaps/>
      <w:color w:val="0F4761" w:themeColor="accent1" w:themeShade="BF"/>
      <w:spacing w:val="5"/>
    </w:rPr>
  </w:style>
  <w:style w:type="character" w:styleId="Strong">
    <w:name w:val="Strong"/>
    <w:basedOn w:val="DefaultParagraphFont"/>
    <w:uiPriority w:val="22"/>
    <w:qFormat/>
    <w:rsid w:val="00B218B5"/>
    <w:rPr>
      <w:b/>
      <w:bCs/>
    </w:rPr>
  </w:style>
  <w:style w:type="paragraph" w:styleId="NormalWeb">
    <w:name w:val="Normal (Web)"/>
    <w:basedOn w:val="Normal"/>
    <w:uiPriority w:val="99"/>
    <w:semiHidden/>
    <w:unhideWhenUsed/>
    <w:rsid w:val="00B218B5"/>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B05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F075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Hyperlink">
    <w:name w:val="Hyperlink"/>
    <w:basedOn w:val="DefaultParagraphFont"/>
    <w:uiPriority w:val="99"/>
    <w:unhideWhenUsed/>
    <w:rsid w:val="00EF0757"/>
    <w:rPr>
      <w:color w:val="467886" w:themeColor="hyperlink"/>
      <w:u w:val="single"/>
    </w:rPr>
  </w:style>
  <w:style w:type="character" w:styleId="UnresolvedMention">
    <w:name w:val="Unresolved Mention"/>
    <w:basedOn w:val="DefaultParagraphFont"/>
    <w:uiPriority w:val="99"/>
    <w:semiHidden/>
    <w:unhideWhenUsed/>
    <w:rsid w:val="00EF0757"/>
    <w:rPr>
      <w:color w:val="605E5C"/>
      <w:shd w:val="clear" w:color="auto" w:fill="E1DFDD"/>
    </w:rPr>
  </w:style>
  <w:style w:type="character" w:styleId="Emphasis">
    <w:name w:val="Emphasis"/>
    <w:basedOn w:val="DefaultParagraphFont"/>
    <w:uiPriority w:val="20"/>
    <w:qFormat/>
    <w:rsid w:val="00EF0757"/>
    <w:rPr>
      <w:i/>
      <w:iCs/>
    </w:rPr>
  </w:style>
  <w:style w:type="table" w:styleId="GridTable5Dark-Accent1">
    <w:name w:val="Grid Table 5 Dark Accent 1"/>
    <w:basedOn w:val="TableNormal"/>
    <w:uiPriority w:val="50"/>
    <w:rsid w:val="002841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6">
    <w:name w:val="Grid Table 5 Dark Accent 6"/>
    <w:basedOn w:val="TableNormal"/>
    <w:uiPriority w:val="50"/>
    <w:rsid w:val="002841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3">
    <w:name w:val="Grid Table 4 Accent 3"/>
    <w:basedOn w:val="TableNormal"/>
    <w:uiPriority w:val="49"/>
    <w:rsid w:val="002841B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Header">
    <w:name w:val="header"/>
    <w:basedOn w:val="Normal"/>
    <w:link w:val="HeaderChar"/>
    <w:uiPriority w:val="99"/>
    <w:unhideWhenUsed/>
    <w:rsid w:val="00821C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9C"/>
  </w:style>
  <w:style w:type="paragraph" w:styleId="Footer">
    <w:name w:val="footer"/>
    <w:basedOn w:val="Normal"/>
    <w:link w:val="FooterChar"/>
    <w:uiPriority w:val="99"/>
    <w:unhideWhenUsed/>
    <w:rsid w:val="00821C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9C"/>
  </w:style>
  <w:style w:type="paragraph" w:styleId="TOCHeading">
    <w:name w:val="TOC Heading"/>
    <w:basedOn w:val="Heading1"/>
    <w:next w:val="Normal"/>
    <w:uiPriority w:val="39"/>
    <w:unhideWhenUsed/>
    <w:qFormat/>
    <w:rsid w:val="00821C9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21C9C"/>
    <w:pPr>
      <w:spacing w:after="100"/>
    </w:pPr>
  </w:style>
  <w:style w:type="paragraph" w:styleId="TOC2">
    <w:name w:val="toc 2"/>
    <w:basedOn w:val="Normal"/>
    <w:next w:val="Normal"/>
    <w:autoRedefine/>
    <w:uiPriority w:val="39"/>
    <w:unhideWhenUsed/>
    <w:rsid w:val="00821C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QuickStyle" Target="diagrams/quickStyle1.xml" /><Relationship Id="rId18" Type="http://schemas.openxmlformats.org/officeDocument/2006/relationships/diagramLayout" Target="diagrams/layout2.xml" /><Relationship Id="rId26" Type="http://schemas.openxmlformats.org/officeDocument/2006/relationships/hyperlink" Target="https://evmagazine.com/news/how-chinas-byd-is-using-ai-to-scale-global-ev-manufacturing-2025" TargetMode="External" /><Relationship Id="rId3" Type="http://schemas.openxmlformats.org/officeDocument/2006/relationships/styles" Target="styles.xml" /><Relationship Id="rId21" Type="http://schemas.microsoft.com/office/2007/relationships/diagramDrawing" Target="diagrams/drawing2.xm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diagramLayout" Target="diagrams/layout1.xml" /><Relationship Id="rId17" Type="http://schemas.openxmlformats.org/officeDocument/2006/relationships/diagramData" Target="diagrams/data2.xml" /><Relationship Id="rId25" Type="http://schemas.openxmlformats.org/officeDocument/2006/relationships/hyperlink" Target="https://publications.lib.chalmers.se/records/fulltext/254960/254960.pdf" TargetMode="External" /><Relationship Id="rId33"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4.png" /><Relationship Id="rId20" Type="http://schemas.openxmlformats.org/officeDocument/2006/relationships/diagramColors" Target="diagrams/colors2.xml" /><Relationship Id="rId29" Type="http://schemas.openxmlformats.org/officeDocument/2006/relationships/hyperlink" Target="https://arxiv.org/abs/1907.1005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Data" Target="diagrams/data1.xml" /><Relationship Id="rId24" Type="http://schemas.openxmlformats.org/officeDocument/2006/relationships/hyperlink" Target="https://www.businessoffashion.com/articles/news-bites/patagonia-sustainability-strategy" TargetMode="External" /><Relationship Id="rId32" Type="http://schemas.openxmlformats.org/officeDocument/2006/relationships/hyperlink" Target="https://ir.tesla.com/_fly/docs/2023-10k.pdf" TargetMode="External" /><Relationship Id="rId5" Type="http://schemas.openxmlformats.org/officeDocument/2006/relationships/webSettings" Target="webSettings.xml" /><Relationship Id="rId15" Type="http://schemas.microsoft.com/office/2007/relationships/diagramDrawing" Target="diagrams/drawing1.xml" /><Relationship Id="rId23" Type="http://schemas.openxmlformats.org/officeDocument/2006/relationships/hyperlink" Target="https://scholarworks.calstate.edu/concern/projects/12579z795" TargetMode="External" /><Relationship Id="rId28" Type="http://schemas.openxmlformats.org/officeDocument/2006/relationships/hyperlink" Target="https://www.fibre2fashion.com/industry-article/9788/eco-innovation-in-fashion-revolutionising-the-industry" TargetMode="External" /><Relationship Id="rId10" Type="http://schemas.openxmlformats.org/officeDocument/2006/relationships/image" Target="media/image3.jpg" /><Relationship Id="rId19" Type="http://schemas.openxmlformats.org/officeDocument/2006/relationships/diagramQuickStyle" Target="diagrams/quickStyle2.xml" /><Relationship Id="rId31" Type="http://schemas.openxmlformats.org/officeDocument/2006/relationships/hyperlink" Target="https://raider.pressbooks.pub/strategicmarketing/chapter/evaluating-the-general-environment/"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diagramColors" Target="diagrams/colors1.xml" /><Relationship Id="rId22" Type="http://schemas.openxmlformats.org/officeDocument/2006/relationships/hyperlink" Target="https://www.automotivemanufacturingsolutions.com/electrification/how-chinas-byd-surpassed-tesla-with-production-and-battery-tech-reshaping-the-global-ev-market/304649" TargetMode="External" /><Relationship Id="rId27" Type="http://schemas.openxmlformats.org/officeDocument/2006/relationships/hyperlink" Target="https://www.utupub.fi/bitstream/handle/10024/174431/Daylan_Arda_Thesis.pdf" TargetMode="External" /><Relationship Id="rId30" Type="http://schemas.openxmlformats.org/officeDocument/2006/relationships/hyperlink" Target="https://openstax.org/books/principles-management/pages/8-3-a-firms-external-macro-environment-pestel" TargetMode="External" /><Relationship Id="rId35"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8BAE5E-8762-4BB1-ACC1-A067ED84453C}" type="doc">
      <dgm:prSet loTypeId="urn:microsoft.com/office/officeart/2009/3/layout/PlusandMinus" loCatId="relationship" qsTypeId="urn:microsoft.com/office/officeart/2005/8/quickstyle/3d1" qsCatId="3D" csTypeId="urn:microsoft.com/office/officeart/2005/8/colors/colorful4" csCatId="colorful" phldr="1"/>
      <dgm:spPr/>
      <dgm:t>
        <a:bodyPr/>
        <a:lstStyle/>
        <a:p>
          <a:endParaRPr lang="en-US"/>
        </a:p>
      </dgm:t>
    </dgm:pt>
    <dgm:pt modelId="{7C427A70-BC0E-4BA3-B314-54728556979E}">
      <dgm:prSet phldrT="[Text]" custT="1"/>
      <dgm:spPr/>
      <dgm:t>
        <a:bodyPr/>
        <a:lstStyle/>
        <a:p>
          <a:pPr algn="ctr">
            <a:buNone/>
          </a:pPr>
          <a:r>
            <a:rPr lang="en-US" sz="1000" b="1">
              <a:latin typeface="Arial" panose="020B0604020202020204" pitchFamily="34" charset="0"/>
              <a:cs typeface="Arial" panose="020B0604020202020204" pitchFamily="34" charset="0"/>
            </a:rPr>
            <a:t>Opportunities</a:t>
          </a:r>
        </a:p>
        <a:p>
          <a:pPr algn="l">
            <a:buNone/>
          </a:pPr>
          <a:r>
            <a:rPr lang="en-US" sz="1000">
              <a:latin typeface="Arial" panose="020B0604020202020204" pitchFamily="34" charset="0"/>
              <a:cs typeface="Arial" panose="020B0604020202020204" pitchFamily="34" charset="0"/>
            </a:rPr>
            <a:t>Possibility to differentiate with high-tech software, AI and autonomous functions.</a:t>
          </a:r>
        </a:p>
        <a:p>
          <a:pPr algn="l">
            <a:buNone/>
          </a:pPr>
          <a:r>
            <a:rPr lang="en-US" sz="1000">
              <a:latin typeface="Arial" panose="020B0604020202020204" pitchFamily="34" charset="0"/>
              <a:cs typeface="Arial" panose="020B0604020202020204" pitchFamily="34" charset="0"/>
            </a:rPr>
            <a:t>Growth in the international EV markets as governments advance clean energy.</a:t>
          </a:r>
        </a:p>
        <a:p>
          <a:pPr algn="l">
            <a:buNone/>
          </a:pPr>
          <a:r>
            <a:rPr lang="en-US" sz="1000">
              <a:latin typeface="Arial" panose="020B0604020202020204" pitchFamily="34" charset="0"/>
              <a:cs typeface="Arial" panose="020B0604020202020204" pitchFamily="34" charset="0"/>
            </a:rPr>
            <a:t>Possibility of ecosystem based integration (energy storage, renewable power).</a:t>
          </a:r>
        </a:p>
        <a:p>
          <a:pPr algn="l">
            <a:buNone/>
          </a:pPr>
          <a:r>
            <a:rPr lang="en-US" sz="1000">
              <a:latin typeface="Arial" panose="020B0604020202020204" pitchFamily="34" charset="0"/>
              <a:cs typeface="Arial" panose="020B0604020202020204" pitchFamily="34" charset="0"/>
            </a:rPr>
            <a:t>Increased switching costs by the customers using digital platforms and over-the-air upgrades.</a:t>
          </a:r>
        </a:p>
      </dgm:t>
    </dgm:pt>
    <dgm:pt modelId="{86A1FDE6-AC46-48A1-8856-E7D706149344}" type="parTrans" cxnId="{B7765AD7-6548-4137-94BC-C1D6DA2F26A1}">
      <dgm:prSet/>
      <dgm:spPr/>
      <dgm:t>
        <a:bodyPr/>
        <a:lstStyle/>
        <a:p>
          <a:endParaRPr lang="en-US"/>
        </a:p>
      </dgm:t>
    </dgm:pt>
    <dgm:pt modelId="{503FD2A1-E0DA-4064-B2FC-BA8478EF285C}" type="sibTrans" cxnId="{B7765AD7-6548-4137-94BC-C1D6DA2F26A1}">
      <dgm:prSet/>
      <dgm:spPr/>
      <dgm:t>
        <a:bodyPr/>
        <a:lstStyle/>
        <a:p>
          <a:endParaRPr lang="en-US"/>
        </a:p>
      </dgm:t>
    </dgm:pt>
    <dgm:pt modelId="{699CDFFE-ED1C-4BEF-AE8A-EDE85EC5D12B}">
      <dgm:prSet phldrT="[Text]" custT="1"/>
      <dgm:spPr/>
      <dgm:t>
        <a:bodyPr/>
        <a:lstStyle/>
        <a:p>
          <a:pPr algn="ctr">
            <a:buNone/>
          </a:pPr>
          <a:r>
            <a:rPr lang="en-US" sz="1000" b="1">
              <a:latin typeface="Arial" panose="020B0604020202020204" pitchFamily="34" charset="0"/>
              <a:cs typeface="Arial" panose="020B0604020202020204" pitchFamily="34" charset="0"/>
            </a:rPr>
            <a:t>Threats</a:t>
          </a:r>
        </a:p>
        <a:p>
          <a:pPr algn="l">
            <a:buNone/>
          </a:pPr>
          <a:r>
            <a:rPr lang="en-US" sz="1000">
              <a:latin typeface="Arial" panose="020B0604020202020204" pitchFamily="34" charset="0"/>
              <a:cs typeface="Arial" panose="020B0604020202020204" pitchFamily="34" charset="0"/>
            </a:rPr>
            <a:t>Short life cycles of technology and expensive research and development.</a:t>
          </a:r>
        </a:p>
        <a:p>
          <a:pPr algn="l">
            <a:buNone/>
          </a:pPr>
          <a:r>
            <a:rPr lang="en-US" sz="1000">
              <a:latin typeface="Arial" panose="020B0604020202020204" pitchFamily="34" charset="0"/>
              <a:cs typeface="Arial" panose="020B0604020202020204" pitchFamily="34" charset="0"/>
            </a:rPr>
            <a:t>Greater rivalry with technologically rapidly-scaling competitors (e.g., BYD).</a:t>
          </a:r>
        </a:p>
        <a:p>
          <a:pPr algn="l">
            <a:buNone/>
          </a:pPr>
          <a:r>
            <a:rPr lang="en-US" sz="1000">
              <a:latin typeface="Arial" panose="020B0604020202020204" pitchFamily="34" charset="0"/>
              <a:cs typeface="Arial" panose="020B0604020202020204" pitchFamily="34" charset="0"/>
            </a:rPr>
            <a:t>Regulatory ambiguity on autonomous driving and data privacy.</a:t>
          </a:r>
        </a:p>
        <a:p>
          <a:pPr algn="l">
            <a:buNone/>
          </a:pPr>
          <a:r>
            <a:rPr lang="en-US" sz="1000">
              <a:latin typeface="Arial" panose="020B0604020202020204" pitchFamily="34" charset="0"/>
              <a:cs typeface="Arial" panose="020B0604020202020204" pitchFamily="34" charset="0"/>
            </a:rPr>
            <a:t>Supply chains weaknesses, in particular, semiconductors and batteries.</a:t>
          </a:r>
        </a:p>
      </dgm:t>
    </dgm:pt>
    <dgm:pt modelId="{BAD23685-AEA4-4164-8E8A-C0E9EB7BAFA4}" type="parTrans" cxnId="{0C7CF94C-781A-47F9-8F51-50D2AD3A32AB}">
      <dgm:prSet/>
      <dgm:spPr/>
      <dgm:t>
        <a:bodyPr/>
        <a:lstStyle/>
        <a:p>
          <a:endParaRPr lang="en-US"/>
        </a:p>
      </dgm:t>
    </dgm:pt>
    <dgm:pt modelId="{20DE01A5-4E09-4F0A-A802-8D7097BD376F}" type="sibTrans" cxnId="{0C7CF94C-781A-47F9-8F51-50D2AD3A32AB}">
      <dgm:prSet/>
      <dgm:spPr/>
      <dgm:t>
        <a:bodyPr/>
        <a:lstStyle/>
        <a:p>
          <a:endParaRPr lang="en-US"/>
        </a:p>
      </dgm:t>
    </dgm:pt>
    <dgm:pt modelId="{6BB4AA3F-8F31-4D9B-8D06-C68636B0DE2A}" type="pres">
      <dgm:prSet presAssocID="{6A8BAE5E-8762-4BB1-ACC1-A067ED84453C}" presName="Name0" presStyleCnt="0">
        <dgm:presLayoutVars>
          <dgm:chMax val="2"/>
          <dgm:chPref val="2"/>
          <dgm:dir/>
          <dgm:animOne/>
          <dgm:resizeHandles val="exact"/>
        </dgm:presLayoutVars>
      </dgm:prSet>
      <dgm:spPr/>
    </dgm:pt>
    <dgm:pt modelId="{6EBB239F-1DF4-4168-96A3-B0824792BDCB}" type="pres">
      <dgm:prSet presAssocID="{6A8BAE5E-8762-4BB1-ACC1-A067ED84453C}" presName="Background" presStyleLbl="bgImgPlace1" presStyleIdx="0" presStyleCnt="1"/>
      <dgm:spPr/>
    </dgm:pt>
    <dgm:pt modelId="{D5A9557C-3F2E-4FC9-B8B2-90DEC5E5161C}" type="pres">
      <dgm:prSet presAssocID="{6A8BAE5E-8762-4BB1-ACC1-A067ED84453C}" presName="ParentText1" presStyleLbl="revTx" presStyleIdx="0" presStyleCnt="2">
        <dgm:presLayoutVars>
          <dgm:chMax val="0"/>
          <dgm:chPref val="0"/>
          <dgm:bulletEnabled val="1"/>
        </dgm:presLayoutVars>
      </dgm:prSet>
      <dgm:spPr/>
    </dgm:pt>
    <dgm:pt modelId="{962FA979-CBDB-4D4C-9857-C0E3094A636B}" type="pres">
      <dgm:prSet presAssocID="{6A8BAE5E-8762-4BB1-ACC1-A067ED84453C}" presName="ParentText2" presStyleLbl="revTx" presStyleIdx="1" presStyleCnt="2">
        <dgm:presLayoutVars>
          <dgm:chMax val="0"/>
          <dgm:chPref val="0"/>
          <dgm:bulletEnabled val="1"/>
        </dgm:presLayoutVars>
      </dgm:prSet>
      <dgm:spPr/>
    </dgm:pt>
    <dgm:pt modelId="{B6593802-062D-4BB4-91D9-7580A8077B25}" type="pres">
      <dgm:prSet presAssocID="{6A8BAE5E-8762-4BB1-ACC1-A067ED84453C}" presName="Plus" presStyleLbl="alignNode1" presStyleIdx="0" presStyleCnt="2"/>
      <dgm:spPr/>
    </dgm:pt>
    <dgm:pt modelId="{8A8DF2B8-7FE7-487B-9FE6-76C80C6068FF}" type="pres">
      <dgm:prSet presAssocID="{6A8BAE5E-8762-4BB1-ACC1-A067ED84453C}" presName="Minus" presStyleLbl="alignNode1" presStyleIdx="1" presStyleCnt="2"/>
      <dgm:spPr/>
    </dgm:pt>
    <dgm:pt modelId="{E363424C-0A06-4EA6-B5AD-2D689110298A}" type="pres">
      <dgm:prSet presAssocID="{6A8BAE5E-8762-4BB1-ACC1-A067ED84453C}" presName="Divider" presStyleLbl="parChTrans1D1" presStyleIdx="0" presStyleCnt="1"/>
      <dgm:spPr/>
    </dgm:pt>
  </dgm:ptLst>
  <dgm:cxnLst>
    <dgm:cxn modelId="{E755F71D-9D0A-4A85-BA9A-F963EE76892B}" type="presOf" srcId="{699CDFFE-ED1C-4BEF-AE8A-EDE85EC5D12B}" destId="{962FA979-CBDB-4D4C-9857-C0E3094A636B}" srcOrd="0" destOrd="0" presId="urn:microsoft.com/office/officeart/2009/3/layout/PlusandMinus"/>
    <dgm:cxn modelId="{244C6E2A-B43C-4EB2-9767-D0DAB178CC29}" type="presOf" srcId="{6A8BAE5E-8762-4BB1-ACC1-A067ED84453C}" destId="{6BB4AA3F-8F31-4D9B-8D06-C68636B0DE2A}" srcOrd="0" destOrd="0" presId="urn:microsoft.com/office/officeart/2009/3/layout/PlusandMinus"/>
    <dgm:cxn modelId="{0C7CF94C-781A-47F9-8F51-50D2AD3A32AB}" srcId="{6A8BAE5E-8762-4BB1-ACC1-A067ED84453C}" destId="{699CDFFE-ED1C-4BEF-AE8A-EDE85EC5D12B}" srcOrd="1" destOrd="0" parTransId="{BAD23685-AEA4-4164-8E8A-C0E9EB7BAFA4}" sibTransId="{20DE01A5-4E09-4F0A-A802-8D7097BD376F}"/>
    <dgm:cxn modelId="{B7765AD7-6548-4137-94BC-C1D6DA2F26A1}" srcId="{6A8BAE5E-8762-4BB1-ACC1-A067ED84453C}" destId="{7C427A70-BC0E-4BA3-B314-54728556979E}" srcOrd="0" destOrd="0" parTransId="{86A1FDE6-AC46-48A1-8856-E7D706149344}" sibTransId="{503FD2A1-E0DA-4064-B2FC-BA8478EF285C}"/>
    <dgm:cxn modelId="{56C084EC-08FF-454A-A6BE-C8203C24F4B1}" type="presOf" srcId="{7C427A70-BC0E-4BA3-B314-54728556979E}" destId="{D5A9557C-3F2E-4FC9-B8B2-90DEC5E5161C}" srcOrd="0" destOrd="0" presId="urn:microsoft.com/office/officeart/2009/3/layout/PlusandMinus"/>
    <dgm:cxn modelId="{C6249BF4-28F2-40D9-BA20-EB19B6CD85D2}" type="presParOf" srcId="{6BB4AA3F-8F31-4D9B-8D06-C68636B0DE2A}" destId="{6EBB239F-1DF4-4168-96A3-B0824792BDCB}" srcOrd="0" destOrd="0" presId="urn:microsoft.com/office/officeart/2009/3/layout/PlusandMinus"/>
    <dgm:cxn modelId="{220E0FD1-F0E8-4B64-805A-55FCFCD794B3}" type="presParOf" srcId="{6BB4AA3F-8F31-4D9B-8D06-C68636B0DE2A}" destId="{D5A9557C-3F2E-4FC9-B8B2-90DEC5E5161C}" srcOrd="1" destOrd="0" presId="urn:microsoft.com/office/officeart/2009/3/layout/PlusandMinus"/>
    <dgm:cxn modelId="{5B11054C-B69C-4AB2-9A7B-38AEAC0A2754}" type="presParOf" srcId="{6BB4AA3F-8F31-4D9B-8D06-C68636B0DE2A}" destId="{962FA979-CBDB-4D4C-9857-C0E3094A636B}" srcOrd="2" destOrd="0" presId="urn:microsoft.com/office/officeart/2009/3/layout/PlusandMinus"/>
    <dgm:cxn modelId="{57375F44-AB77-4434-802C-63EB5D42655C}" type="presParOf" srcId="{6BB4AA3F-8F31-4D9B-8D06-C68636B0DE2A}" destId="{B6593802-062D-4BB4-91D9-7580A8077B25}" srcOrd="3" destOrd="0" presId="urn:microsoft.com/office/officeart/2009/3/layout/PlusandMinus"/>
    <dgm:cxn modelId="{880284CA-44F4-4114-85D6-1A9C4F2AD97E}" type="presParOf" srcId="{6BB4AA3F-8F31-4D9B-8D06-C68636B0DE2A}" destId="{8A8DF2B8-7FE7-487B-9FE6-76C80C6068FF}" srcOrd="4" destOrd="0" presId="urn:microsoft.com/office/officeart/2009/3/layout/PlusandMinus"/>
    <dgm:cxn modelId="{17B584F4-9A89-4624-91F9-9F5BD62BABDF}" type="presParOf" srcId="{6BB4AA3F-8F31-4D9B-8D06-C68636B0DE2A}" destId="{E363424C-0A06-4EA6-B5AD-2D689110298A}" srcOrd="5" destOrd="0" presId="urn:microsoft.com/office/officeart/2009/3/layout/PlusandMinu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280ADC-18C6-42E6-B241-7A57FE1DF0B6}" type="doc">
      <dgm:prSet loTypeId="urn:microsoft.com/office/officeart/2009/3/layout/OpposingIdeas" loCatId="relationship" qsTypeId="urn:microsoft.com/office/officeart/2005/8/quickstyle/3d2" qsCatId="3D" csTypeId="urn:microsoft.com/office/officeart/2005/8/colors/accent3_1" csCatId="accent3" phldr="1"/>
      <dgm:spPr/>
      <dgm:t>
        <a:bodyPr/>
        <a:lstStyle/>
        <a:p>
          <a:endParaRPr lang="en-US"/>
        </a:p>
      </dgm:t>
    </dgm:pt>
    <dgm:pt modelId="{ABE2B757-D41F-44F7-AF57-C607D6047FDA}">
      <dgm:prSet phldrT="[Text]"/>
      <dgm:spPr/>
      <dgm:t>
        <a:bodyPr/>
        <a:lstStyle/>
        <a:p>
          <a:pPr>
            <a:buNone/>
          </a:pPr>
          <a:r>
            <a:rPr lang="en-US"/>
            <a:t>Opportunities</a:t>
          </a:r>
        </a:p>
      </dgm:t>
    </dgm:pt>
    <dgm:pt modelId="{7522923E-E3B4-4389-9F37-6124EA0F8FA0}" type="parTrans" cxnId="{865EEC5F-A523-4FF5-A4C9-2F9F23F835BB}">
      <dgm:prSet/>
      <dgm:spPr/>
      <dgm:t>
        <a:bodyPr/>
        <a:lstStyle/>
        <a:p>
          <a:endParaRPr lang="en-US"/>
        </a:p>
      </dgm:t>
    </dgm:pt>
    <dgm:pt modelId="{7E5977CD-372C-4867-A6B3-B0E4E38A1117}" type="sibTrans" cxnId="{865EEC5F-A523-4FF5-A4C9-2F9F23F835BB}">
      <dgm:prSet/>
      <dgm:spPr/>
      <dgm:t>
        <a:bodyPr/>
        <a:lstStyle/>
        <a:p>
          <a:endParaRPr lang="en-US"/>
        </a:p>
      </dgm:t>
    </dgm:pt>
    <dgm:pt modelId="{8CBA21C3-1611-40D7-8301-B75B499AAF2F}">
      <dgm:prSet phldrT="[Text]" custT="1"/>
      <dgm:spPr/>
      <dgm:t>
        <a:bodyPr/>
        <a:lstStyle/>
        <a:p>
          <a:pPr algn="l">
            <a:buNone/>
          </a:pPr>
          <a:r>
            <a:rPr lang="en-US" sz="1000">
              <a:latin typeface="Arial" panose="020B0604020202020204" pitchFamily="34" charset="0"/>
              <a:cs typeface="Arial" panose="020B0604020202020204" pitchFamily="34" charset="0"/>
            </a:rPr>
            <a:t>&gt;High-end pricing based on sustainable materials which are ethically sourced.</a:t>
          </a:r>
        </a:p>
      </dgm:t>
    </dgm:pt>
    <dgm:pt modelId="{B50469F2-3FB0-402F-817F-E923FC36957A}" type="parTrans" cxnId="{79E9EC8F-CD31-4291-B028-B7FEC1DF189C}">
      <dgm:prSet/>
      <dgm:spPr/>
      <dgm:t>
        <a:bodyPr/>
        <a:lstStyle/>
        <a:p>
          <a:endParaRPr lang="en-US"/>
        </a:p>
      </dgm:t>
    </dgm:pt>
    <dgm:pt modelId="{84B43B88-D268-444A-9081-04781425C471}" type="sibTrans" cxnId="{79E9EC8F-CD31-4291-B028-B7FEC1DF189C}">
      <dgm:prSet/>
      <dgm:spPr/>
      <dgm:t>
        <a:bodyPr/>
        <a:lstStyle/>
        <a:p>
          <a:endParaRPr lang="en-US"/>
        </a:p>
      </dgm:t>
    </dgm:pt>
    <dgm:pt modelId="{5A0F1BF8-7576-42D1-A12D-E5D3B13009DB}">
      <dgm:prSet phldrT="[Text]"/>
      <dgm:spPr/>
      <dgm:t>
        <a:bodyPr/>
        <a:lstStyle/>
        <a:p>
          <a:pPr>
            <a:buNone/>
          </a:pPr>
          <a:r>
            <a:rPr lang="en-US"/>
            <a:t>Threats</a:t>
          </a:r>
        </a:p>
      </dgm:t>
    </dgm:pt>
    <dgm:pt modelId="{B8AFED0D-C171-4991-AEA2-617842DBBB15}" type="parTrans" cxnId="{965A834F-2E1B-42CB-9A8D-9868ED591DE6}">
      <dgm:prSet/>
      <dgm:spPr/>
      <dgm:t>
        <a:bodyPr/>
        <a:lstStyle/>
        <a:p>
          <a:endParaRPr lang="en-US"/>
        </a:p>
      </dgm:t>
    </dgm:pt>
    <dgm:pt modelId="{D2CDD58E-3014-4D23-AA01-E45D31995E0E}" type="sibTrans" cxnId="{965A834F-2E1B-42CB-9A8D-9868ED591DE6}">
      <dgm:prSet/>
      <dgm:spPr/>
      <dgm:t>
        <a:bodyPr/>
        <a:lstStyle/>
        <a:p>
          <a:endParaRPr lang="en-US"/>
        </a:p>
      </dgm:t>
    </dgm:pt>
    <dgm:pt modelId="{867C9FF1-ECA4-4F03-8621-A7DCE26AC195}">
      <dgm:prSet phldrT="[Text]" custT="1"/>
      <dgm:spPr/>
      <dgm:t>
        <a:bodyPr/>
        <a:lstStyle/>
        <a:p>
          <a:pPr>
            <a:buNone/>
          </a:pPr>
          <a:r>
            <a:rPr lang="en-US" sz="1000">
              <a:latin typeface="Arial" panose="020B0604020202020204" pitchFamily="34" charset="0"/>
              <a:cs typeface="Arial" panose="020B0604020202020204" pitchFamily="34" charset="0"/>
            </a:rPr>
            <a:t>&gt;Increasing prices of raw materials because of sustainability in the supply chain.</a:t>
          </a:r>
        </a:p>
      </dgm:t>
    </dgm:pt>
    <dgm:pt modelId="{553F000B-8EDD-4749-AC68-D3CAC8CF19EB}" type="parTrans" cxnId="{512BA83D-A0F3-4953-86BD-B7AC028F8D9C}">
      <dgm:prSet/>
      <dgm:spPr/>
      <dgm:t>
        <a:bodyPr/>
        <a:lstStyle/>
        <a:p>
          <a:endParaRPr lang="en-US"/>
        </a:p>
      </dgm:t>
    </dgm:pt>
    <dgm:pt modelId="{B170E146-A89F-47D1-93DF-34E8B806D0C6}" type="sibTrans" cxnId="{512BA83D-A0F3-4953-86BD-B7AC028F8D9C}">
      <dgm:prSet/>
      <dgm:spPr/>
      <dgm:t>
        <a:bodyPr/>
        <a:lstStyle/>
        <a:p>
          <a:endParaRPr lang="en-US"/>
        </a:p>
      </dgm:t>
    </dgm:pt>
    <dgm:pt modelId="{C6B65210-736A-4B2C-8642-3DFC4A3286DD}">
      <dgm:prSet custT="1"/>
      <dgm:spPr/>
      <dgm:t>
        <a:bodyPr/>
        <a:lstStyle/>
        <a:p>
          <a:pPr>
            <a:buNone/>
          </a:pPr>
          <a:r>
            <a:rPr lang="en-US" sz="1000">
              <a:latin typeface="Arial" panose="020B0604020202020204" pitchFamily="34" charset="0"/>
              <a:cs typeface="Arial" panose="020B0604020202020204" pitchFamily="34" charset="0"/>
            </a:rPr>
            <a:t>&gt;The reputational risks linked to the greenwashing accusations.</a:t>
          </a:r>
        </a:p>
      </dgm:t>
    </dgm:pt>
    <dgm:pt modelId="{A13950D1-56DD-440A-8BEA-2E84769FE401}" type="parTrans" cxnId="{3CDE1882-10FC-4593-B86F-4BDD774A5E03}">
      <dgm:prSet/>
      <dgm:spPr/>
      <dgm:t>
        <a:bodyPr/>
        <a:lstStyle/>
        <a:p>
          <a:endParaRPr lang="en-US"/>
        </a:p>
      </dgm:t>
    </dgm:pt>
    <dgm:pt modelId="{8503B0E4-CC3D-4889-B75A-2752A0101830}" type="sibTrans" cxnId="{3CDE1882-10FC-4593-B86F-4BDD774A5E03}">
      <dgm:prSet/>
      <dgm:spPr/>
      <dgm:t>
        <a:bodyPr/>
        <a:lstStyle/>
        <a:p>
          <a:endParaRPr lang="en-US"/>
        </a:p>
      </dgm:t>
    </dgm:pt>
    <dgm:pt modelId="{73E281C6-7F9E-46F8-A80D-23145FD1D235}">
      <dgm:prSet custT="1"/>
      <dgm:spPr/>
      <dgm:t>
        <a:bodyPr/>
        <a:lstStyle/>
        <a:p>
          <a:pPr>
            <a:buNone/>
          </a:pPr>
          <a:r>
            <a:rPr lang="en-US" sz="1000">
              <a:latin typeface="Arial" panose="020B0604020202020204" pitchFamily="34" charset="0"/>
              <a:cs typeface="Arial" panose="020B0604020202020204" pitchFamily="34" charset="0"/>
            </a:rPr>
            <a:t>&gt;Penalties imposed by the regulatory laws in case of non-achievement of environmental targets.</a:t>
          </a:r>
        </a:p>
      </dgm:t>
    </dgm:pt>
    <dgm:pt modelId="{F6F9B4FC-BF06-4DEC-8147-7D92E0848E53}" type="parTrans" cxnId="{0004507F-5D4C-4E83-8DBA-33DCDDE39984}">
      <dgm:prSet/>
      <dgm:spPr/>
      <dgm:t>
        <a:bodyPr/>
        <a:lstStyle/>
        <a:p>
          <a:endParaRPr lang="en-US"/>
        </a:p>
      </dgm:t>
    </dgm:pt>
    <dgm:pt modelId="{A709251B-90DF-4C0E-AA06-F74D281C201E}" type="sibTrans" cxnId="{0004507F-5D4C-4E83-8DBA-33DCDDE39984}">
      <dgm:prSet/>
      <dgm:spPr/>
      <dgm:t>
        <a:bodyPr/>
        <a:lstStyle/>
        <a:p>
          <a:endParaRPr lang="en-US"/>
        </a:p>
      </dgm:t>
    </dgm:pt>
    <dgm:pt modelId="{262FF8FA-4E92-4B75-900A-D3DE74416260}">
      <dgm:prSet custT="1"/>
      <dgm:spPr/>
      <dgm:t>
        <a:bodyPr/>
        <a:lstStyle/>
        <a:p>
          <a:pPr>
            <a:buNone/>
          </a:pPr>
          <a:r>
            <a:rPr lang="en-US" sz="1000">
              <a:latin typeface="Arial" panose="020B0604020202020204" pitchFamily="34" charset="0"/>
              <a:cs typeface="Arial" panose="020B0604020202020204" pitchFamily="34" charset="0"/>
            </a:rPr>
            <a:t>&gt;Climate related environmental instability which leads to operational disruptions.</a:t>
          </a:r>
        </a:p>
      </dgm:t>
    </dgm:pt>
    <dgm:pt modelId="{CD81D5EF-32C2-4511-AF53-13F1639F6F98}" type="parTrans" cxnId="{42FFED04-3F9E-4B7B-B4E2-255B56F61108}">
      <dgm:prSet/>
      <dgm:spPr/>
      <dgm:t>
        <a:bodyPr/>
        <a:lstStyle/>
        <a:p>
          <a:endParaRPr lang="en-US"/>
        </a:p>
      </dgm:t>
    </dgm:pt>
    <dgm:pt modelId="{F820786A-9C7A-4981-B798-B299FF5C6AFA}" type="sibTrans" cxnId="{42FFED04-3F9E-4B7B-B4E2-255B56F61108}">
      <dgm:prSet/>
      <dgm:spPr/>
      <dgm:t>
        <a:bodyPr/>
        <a:lstStyle/>
        <a:p>
          <a:endParaRPr lang="en-US"/>
        </a:p>
      </dgm:t>
    </dgm:pt>
    <dgm:pt modelId="{0F368074-2F08-4F96-B5BE-696ED9F370A7}">
      <dgm:prSet custT="1"/>
      <dgm:spPr/>
      <dgm:t>
        <a:bodyPr/>
        <a:lstStyle/>
        <a:p>
          <a:pPr algn="l">
            <a:buNone/>
          </a:pPr>
          <a:r>
            <a:rPr lang="en-US" sz="1000">
              <a:latin typeface="Arial" panose="020B0604020202020204" pitchFamily="34" charset="0"/>
              <a:cs typeface="Arial" panose="020B0604020202020204" pitchFamily="34" charset="0"/>
            </a:rPr>
            <a:t>&gt;Environmental activism and brand differentiation in circular business models.</a:t>
          </a:r>
        </a:p>
      </dgm:t>
    </dgm:pt>
    <dgm:pt modelId="{8436A875-ACC4-4926-B194-51B0AA86EEDD}" type="sibTrans" cxnId="{B57DDB6C-19CA-46E3-A553-5C4F7542DCED}">
      <dgm:prSet/>
      <dgm:spPr/>
      <dgm:t>
        <a:bodyPr/>
        <a:lstStyle/>
        <a:p>
          <a:endParaRPr lang="en-US"/>
        </a:p>
      </dgm:t>
    </dgm:pt>
    <dgm:pt modelId="{082FBC18-0220-45E3-96C8-0D7612BA0D38}" type="parTrans" cxnId="{B57DDB6C-19CA-46E3-A553-5C4F7542DCED}">
      <dgm:prSet/>
      <dgm:spPr/>
      <dgm:t>
        <a:bodyPr/>
        <a:lstStyle/>
        <a:p>
          <a:endParaRPr lang="en-US"/>
        </a:p>
      </dgm:t>
    </dgm:pt>
    <dgm:pt modelId="{73787264-F69B-41A5-A0C7-9D98183E25D6}">
      <dgm:prSet custT="1"/>
      <dgm:spPr/>
      <dgm:t>
        <a:bodyPr/>
        <a:lstStyle/>
        <a:p>
          <a:pPr algn="l">
            <a:buNone/>
          </a:pPr>
          <a:r>
            <a:rPr lang="en-US" sz="1000">
              <a:latin typeface="Arial" panose="020B0604020202020204" pitchFamily="34" charset="0"/>
              <a:cs typeface="Arial" panose="020B0604020202020204" pitchFamily="34" charset="0"/>
            </a:rPr>
            <a:t>&gt;Reach to green consumer markets in the global market.</a:t>
          </a:r>
        </a:p>
      </dgm:t>
    </dgm:pt>
    <dgm:pt modelId="{9A898A1B-65A9-43B8-AECE-FC85E021CD65}" type="sibTrans" cxnId="{B53C0CF5-FD15-4C51-8858-F07222D81398}">
      <dgm:prSet/>
      <dgm:spPr/>
      <dgm:t>
        <a:bodyPr/>
        <a:lstStyle/>
        <a:p>
          <a:endParaRPr lang="en-US"/>
        </a:p>
      </dgm:t>
    </dgm:pt>
    <dgm:pt modelId="{AE49A9C9-9F4A-412E-8EFE-085D1E6F5DF8}" type="parTrans" cxnId="{B53C0CF5-FD15-4C51-8858-F07222D81398}">
      <dgm:prSet/>
      <dgm:spPr/>
      <dgm:t>
        <a:bodyPr/>
        <a:lstStyle/>
        <a:p>
          <a:endParaRPr lang="en-US"/>
        </a:p>
      </dgm:t>
    </dgm:pt>
    <dgm:pt modelId="{9774AFF9-C86C-4A34-B37F-23BEC9B62BF5}">
      <dgm:prSet custT="1"/>
      <dgm:spPr/>
      <dgm:t>
        <a:bodyPr/>
        <a:lstStyle/>
        <a:p>
          <a:pPr algn="l">
            <a:buNone/>
          </a:pPr>
          <a:r>
            <a:rPr lang="en-US" sz="1000">
              <a:latin typeface="Arial" panose="020B0604020202020204" pitchFamily="34" charset="0"/>
              <a:cs typeface="Arial" panose="020B0604020202020204" pitchFamily="34" charset="0"/>
            </a:rPr>
            <a:t>&gt;Competitive edge by adherence to future ESG policies.</a:t>
          </a:r>
        </a:p>
      </dgm:t>
    </dgm:pt>
    <dgm:pt modelId="{97DA9E71-5BAC-49CE-8770-5FE2370E3E8C}" type="sibTrans" cxnId="{4ACC067E-5B0A-4271-8B3B-E0D79C1EB076}">
      <dgm:prSet/>
      <dgm:spPr/>
      <dgm:t>
        <a:bodyPr/>
        <a:lstStyle/>
        <a:p>
          <a:endParaRPr lang="en-US"/>
        </a:p>
      </dgm:t>
    </dgm:pt>
    <dgm:pt modelId="{BAB9BFB9-BD7E-4791-956F-B21C7ED0DFCB}" type="parTrans" cxnId="{4ACC067E-5B0A-4271-8B3B-E0D79C1EB076}">
      <dgm:prSet/>
      <dgm:spPr/>
      <dgm:t>
        <a:bodyPr/>
        <a:lstStyle/>
        <a:p>
          <a:endParaRPr lang="en-US"/>
        </a:p>
      </dgm:t>
    </dgm:pt>
    <dgm:pt modelId="{A7279AAE-6B9F-4DCB-AB6D-DD6CFF62C56C}" type="pres">
      <dgm:prSet presAssocID="{11280ADC-18C6-42E6-B241-7A57FE1DF0B6}" presName="Name0" presStyleCnt="0">
        <dgm:presLayoutVars>
          <dgm:chMax val="2"/>
          <dgm:dir/>
          <dgm:animOne val="branch"/>
          <dgm:animLvl val="lvl"/>
          <dgm:resizeHandles val="exact"/>
        </dgm:presLayoutVars>
      </dgm:prSet>
      <dgm:spPr/>
    </dgm:pt>
    <dgm:pt modelId="{F49F32E7-1799-490C-981F-A1DD372AFBD0}" type="pres">
      <dgm:prSet presAssocID="{11280ADC-18C6-42E6-B241-7A57FE1DF0B6}" presName="Background" presStyleLbl="node1" presStyleIdx="0" presStyleCnt="1"/>
      <dgm:spPr/>
    </dgm:pt>
    <dgm:pt modelId="{9E24204C-21F2-47BE-8998-70C6496CF0EC}" type="pres">
      <dgm:prSet presAssocID="{11280ADC-18C6-42E6-B241-7A57FE1DF0B6}" presName="Divider" presStyleLbl="callout" presStyleIdx="0" presStyleCnt="1"/>
      <dgm:spPr/>
    </dgm:pt>
    <dgm:pt modelId="{6BCF05D7-3ABC-4794-98DB-42289C6555BC}" type="pres">
      <dgm:prSet presAssocID="{11280ADC-18C6-42E6-B241-7A57FE1DF0B6}" presName="ChildText1" presStyleLbl="revTx" presStyleIdx="0" presStyleCnt="0">
        <dgm:presLayoutVars>
          <dgm:chMax val="0"/>
          <dgm:chPref val="0"/>
          <dgm:bulletEnabled val="1"/>
        </dgm:presLayoutVars>
      </dgm:prSet>
      <dgm:spPr/>
    </dgm:pt>
    <dgm:pt modelId="{26418523-67F8-49C7-A833-F84314DD0B53}" type="pres">
      <dgm:prSet presAssocID="{11280ADC-18C6-42E6-B241-7A57FE1DF0B6}" presName="ChildText2" presStyleLbl="revTx" presStyleIdx="0" presStyleCnt="0">
        <dgm:presLayoutVars>
          <dgm:chMax val="0"/>
          <dgm:chPref val="0"/>
          <dgm:bulletEnabled val="1"/>
        </dgm:presLayoutVars>
      </dgm:prSet>
      <dgm:spPr/>
    </dgm:pt>
    <dgm:pt modelId="{A7D95336-FAAB-4EB7-8CDA-F7A3F2FD3273}" type="pres">
      <dgm:prSet presAssocID="{11280ADC-18C6-42E6-B241-7A57FE1DF0B6}" presName="ParentText1" presStyleLbl="revTx" presStyleIdx="0" presStyleCnt="0">
        <dgm:presLayoutVars>
          <dgm:chMax val="1"/>
          <dgm:chPref val="1"/>
        </dgm:presLayoutVars>
      </dgm:prSet>
      <dgm:spPr/>
    </dgm:pt>
    <dgm:pt modelId="{EAC46BF2-A0A8-4AE1-823A-2D72C8EA96B4}" type="pres">
      <dgm:prSet presAssocID="{11280ADC-18C6-42E6-B241-7A57FE1DF0B6}" presName="ParentShape1" presStyleLbl="alignImgPlace1" presStyleIdx="0" presStyleCnt="2">
        <dgm:presLayoutVars/>
      </dgm:prSet>
      <dgm:spPr/>
    </dgm:pt>
    <dgm:pt modelId="{247D3058-F088-44F1-9B3D-4BDA8B86DA35}" type="pres">
      <dgm:prSet presAssocID="{11280ADC-18C6-42E6-B241-7A57FE1DF0B6}" presName="ParentText2" presStyleLbl="revTx" presStyleIdx="0" presStyleCnt="0">
        <dgm:presLayoutVars>
          <dgm:chMax val="1"/>
          <dgm:chPref val="1"/>
        </dgm:presLayoutVars>
      </dgm:prSet>
      <dgm:spPr/>
    </dgm:pt>
    <dgm:pt modelId="{64230F6C-BB00-470B-AE43-05CAF5010AC7}" type="pres">
      <dgm:prSet presAssocID="{11280ADC-18C6-42E6-B241-7A57FE1DF0B6}" presName="ParentShape2" presStyleLbl="alignImgPlace1" presStyleIdx="1" presStyleCnt="2">
        <dgm:presLayoutVars/>
      </dgm:prSet>
      <dgm:spPr/>
    </dgm:pt>
  </dgm:ptLst>
  <dgm:cxnLst>
    <dgm:cxn modelId="{42FFED04-3F9E-4B7B-B4E2-255B56F61108}" srcId="{5A0F1BF8-7576-42D1-A12D-E5D3B13009DB}" destId="{262FF8FA-4E92-4B75-900A-D3DE74416260}" srcOrd="3" destOrd="0" parTransId="{CD81D5EF-32C2-4511-AF53-13F1639F6F98}" sibTransId="{F820786A-9C7A-4981-B798-B299FF5C6AFA}"/>
    <dgm:cxn modelId="{AF72EC16-959A-49D8-9D66-E5CD50E67D5E}" type="presOf" srcId="{8CBA21C3-1611-40D7-8301-B75B499AAF2F}" destId="{6BCF05D7-3ABC-4794-98DB-42289C6555BC}" srcOrd="0" destOrd="0" presId="urn:microsoft.com/office/officeart/2009/3/layout/OpposingIdeas"/>
    <dgm:cxn modelId="{06524A1A-4F9A-45BA-9C02-01AE47483266}" type="presOf" srcId="{5A0F1BF8-7576-42D1-A12D-E5D3B13009DB}" destId="{247D3058-F088-44F1-9B3D-4BDA8B86DA35}" srcOrd="0" destOrd="0" presId="urn:microsoft.com/office/officeart/2009/3/layout/OpposingIdeas"/>
    <dgm:cxn modelId="{9BFD0C3B-BD59-4C5D-B984-C399784A2C55}" type="presOf" srcId="{11280ADC-18C6-42E6-B241-7A57FE1DF0B6}" destId="{A7279AAE-6B9F-4DCB-AB6D-DD6CFF62C56C}" srcOrd="0" destOrd="0" presId="urn:microsoft.com/office/officeart/2009/3/layout/OpposingIdeas"/>
    <dgm:cxn modelId="{9AB4383D-D6E1-4017-BBC1-E155AE6FE0ED}" type="presOf" srcId="{ABE2B757-D41F-44F7-AF57-C607D6047FDA}" destId="{EAC46BF2-A0A8-4AE1-823A-2D72C8EA96B4}" srcOrd="1" destOrd="0" presId="urn:microsoft.com/office/officeart/2009/3/layout/OpposingIdeas"/>
    <dgm:cxn modelId="{93214C3D-2837-44BC-8F88-211F8E476C27}" type="presOf" srcId="{5A0F1BF8-7576-42D1-A12D-E5D3B13009DB}" destId="{64230F6C-BB00-470B-AE43-05CAF5010AC7}" srcOrd="1" destOrd="0" presId="urn:microsoft.com/office/officeart/2009/3/layout/OpposingIdeas"/>
    <dgm:cxn modelId="{512BA83D-A0F3-4953-86BD-B7AC028F8D9C}" srcId="{5A0F1BF8-7576-42D1-A12D-E5D3B13009DB}" destId="{867C9FF1-ECA4-4F03-8621-A7DCE26AC195}" srcOrd="0" destOrd="0" parTransId="{553F000B-8EDD-4749-AC68-D3CAC8CF19EB}" sibTransId="{B170E146-A89F-47D1-93DF-34E8B806D0C6}"/>
    <dgm:cxn modelId="{865EEC5F-A523-4FF5-A4C9-2F9F23F835BB}" srcId="{11280ADC-18C6-42E6-B241-7A57FE1DF0B6}" destId="{ABE2B757-D41F-44F7-AF57-C607D6047FDA}" srcOrd="0" destOrd="0" parTransId="{7522923E-E3B4-4389-9F37-6124EA0F8FA0}" sibTransId="{7E5977CD-372C-4867-A6B3-B0E4E38A1117}"/>
    <dgm:cxn modelId="{B57DDB6C-19CA-46E3-A553-5C4F7542DCED}" srcId="{ABE2B757-D41F-44F7-AF57-C607D6047FDA}" destId="{0F368074-2F08-4F96-B5BE-696ED9F370A7}" srcOrd="1" destOrd="0" parTransId="{082FBC18-0220-45E3-96C8-0D7612BA0D38}" sibTransId="{8436A875-ACC4-4926-B194-51B0AA86EEDD}"/>
    <dgm:cxn modelId="{965A834F-2E1B-42CB-9A8D-9868ED591DE6}" srcId="{11280ADC-18C6-42E6-B241-7A57FE1DF0B6}" destId="{5A0F1BF8-7576-42D1-A12D-E5D3B13009DB}" srcOrd="1" destOrd="0" parTransId="{B8AFED0D-C171-4991-AEA2-617842DBBB15}" sibTransId="{D2CDD58E-3014-4D23-AA01-E45D31995E0E}"/>
    <dgm:cxn modelId="{A7B0747D-AD5D-49DC-BAB1-1F9DBFB1B2A6}" type="presOf" srcId="{ABE2B757-D41F-44F7-AF57-C607D6047FDA}" destId="{A7D95336-FAAB-4EB7-8CDA-F7A3F2FD3273}" srcOrd="0" destOrd="0" presId="urn:microsoft.com/office/officeart/2009/3/layout/OpposingIdeas"/>
    <dgm:cxn modelId="{4ACC067E-5B0A-4271-8B3B-E0D79C1EB076}" srcId="{ABE2B757-D41F-44F7-AF57-C607D6047FDA}" destId="{9774AFF9-C86C-4A34-B37F-23BEC9B62BF5}" srcOrd="3" destOrd="0" parTransId="{BAB9BFB9-BD7E-4791-956F-B21C7ED0DFCB}" sibTransId="{97DA9E71-5BAC-49CE-8770-5FE2370E3E8C}"/>
    <dgm:cxn modelId="{0004507F-5D4C-4E83-8DBA-33DCDDE39984}" srcId="{5A0F1BF8-7576-42D1-A12D-E5D3B13009DB}" destId="{73E281C6-7F9E-46F8-A80D-23145FD1D235}" srcOrd="2" destOrd="0" parTransId="{F6F9B4FC-BF06-4DEC-8147-7D92E0848E53}" sibTransId="{A709251B-90DF-4C0E-AA06-F74D281C201E}"/>
    <dgm:cxn modelId="{3CDE1882-10FC-4593-B86F-4BDD774A5E03}" srcId="{5A0F1BF8-7576-42D1-A12D-E5D3B13009DB}" destId="{C6B65210-736A-4B2C-8642-3DFC4A3286DD}" srcOrd="1" destOrd="0" parTransId="{A13950D1-56DD-440A-8BEA-2E84769FE401}" sibTransId="{8503B0E4-CC3D-4889-B75A-2752A0101830}"/>
    <dgm:cxn modelId="{6D29A28A-17BF-4268-AB8D-4CFF6248B1FA}" type="presOf" srcId="{73E281C6-7F9E-46F8-A80D-23145FD1D235}" destId="{26418523-67F8-49C7-A833-F84314DD0B53}" srcOrd="0" destOrd="2" presId="urn:microsoft.com/office/officeart/2009/3/layout/OpposingIdeas"/>
    <dgm:cxn modelId="{79E9EC8F-CD31-4291-B028-B7FEC1DF189C}" srcId="{ABE2B757-D41F-44F7-AF57-C607D6047FDA}" destId="{8CBA21C3-1611-40D7-8301-B75B499AAF2F}" srcOrd="0" destOrd="0" parTransId="{B50469F2-3FB0-402F-817F-E923FC36957A}" sibTransId="{84B43B88-D268-444A-9081-04781425C471}"/>
    <dgm:cxn modelId="{89C8E19C-C0B6-480F-9198-9E0449839D06}" type="presOf" srcId="{867C9FF1-ECA4-4F03-8621-A7DCE26AC195}" destId="{26418523-67F8-49C7-A833-F84314DD0B53}" srcOrd="0" destOrd="0" presId="urn:microsoft.com/office/officeart/2009/3/layout/OpposingIdeas"/>
    <dgm:cxn modelId="{65E5039F-70F9-46F8-A940-7837D2EFCF56}" type="presOf" srcId="{0F368074-2F08-4F96-B5BE-696ED9F370A7}" destId="{6BCF05D7-3ABC-4794-98DB-42289C6555BC}" srcOrd="0" destOrd="1" presId="urn:microsoft.com/office/officeart/2009/3/layout/OpposingIdeas"/>
    <dgm:cxn modelId="{0266D4AE-7E54-4C5D-88E6-04971AFBFB76}" type="presOf" srcId="{C6B65210-736A-4B2C-8642-3DFC4A3286DD}" destId="{26418523-67F8-49C7-A833-F84314DD0B53}" srcOrd="0" destOrd="1" presId="urn:microsoft.com/office/officeart/2009/3/layout/OpposingIdeas"/>
    <dgm:cxn modelId="{940A3BD6-0186-424A-8430-028A953A33B2}" type="presOf" srcId="{262FF8FA-4E92-4B75-900A-D3DE74416260}" destId="{26418523-67F8-49C7-A833-F84314DD0B53}" srcOrd="0" destOrd="3" presId="urn:microsoft.com/office/officeart/2009/3/layout/OpposingIdeas"/>
    <dgm:cxn modelId="{6A0F82F4-D391-4FA0-ABFF-0C52AD512C5C}" type="presOf" srcId="{9774AFF9-C86C-4A34-B37F-23BEC9B62BF5}" destId="{6BCF05D7-3ABC-4794-98DB-42289C6555BC}" srcOrd="0" destOrd="3" presId="urn:microsoft.com/office/officeart/2009/3/layout/OpposingIdeas"/>
    <dgm:cxn modelId="{B53C0CF5-FD15-4C51-8858-F07222D81398}" srcId="{ABE2B757-D41F-44F7-AF57-C607D6047FDA}" destId="{73787264-F69B-41A5-A0C7-9D98183E25D6}" srcOrd="2" destOrd="0" parTransId="{AE49A9C9-9F4A-412E-8EFE-085D1E6F5DF8}" sibTransId="{9A898A1B-65A9-43B8-AECE-FC85E021CD65}"/>
    <dgm:cxn modelId="{F5024EFE-DB18-4C85-BA7F-4DD7254FC2DB}" type="presOf" srcId="{73787264-F69B-41A5-A0C7-9D98183E25D6}" destId="{6BCF05D7-3ABC-4794-98DB-42289C6555BC}" srcOrd="0" destOrd="2" presId="urn:microsoft.com/office/officeart/2009/3/layout/OpposingIdeas"/>
    <dgm:cxn modelId="{8A5B525B-0AB7-43BD-B940-5B9DA6BC5F30}" type="presParOf" srcId="{A7279AAE-6B9F-4DCB-AB6D-DD6CFF62C56C}" destId="{F49F32E7-1799-490C-981F-A1DD372AFBD0}" srcOrd="0" destOrd="0" presId="urn:microsoft.com/office/officeart/2009/3/layout/OpposingIdeas"/>
    <dgm:cxn modelId="{FE9E854A-6EFE-419B-9E6E-89BB8393EA3B}" type="presParOf" srcId="{A7279AAE-6B9F-4DCB-AB6D-DD6CFF62C56C}" destId="{9E24204C-21F2-47BE-8998-70C6496CF0EC}" srcOrd="1" destOrd="0" presId="urn:microsoft.com/office/officeart/2009/3/layout/OpposingIdeas"/>
    <dgm:cxn modelId="{571F18EC-D440-4420-A318-342B2C04DCE8}" type="presParOf" srcId="{A7279AAE-6B9F-4DCB-AB6D-DD6CFF62C56C}" destId="{6BCF05D7-3ABC-4794-98DB-42289C6555BC}" srcOrd="2" destOrd="0" presId="urn:microsoft.com/office/officeart/2009/3/layout/OpposingIdeas"/>
    <dgm:cxn modelId="{2E8E1573-D43F-4B03-89C2-8CA7E3172C3D}" type="presParOf" srcId="{A7279AAE-6B9F-4DCB-AB6D-DD6CFF62C56C}" destId="{26418523-67F8-49C7-A833-F84314DD0B53}" srcOrd="3" destOrd="0" presId="urn:microsoft.com/office/officeart/2009/3/layout/OpposingIdeas"/>
    <dgm:cxn modelId="{4E8A76AE-8820-4709-945C-929634CF19D5}" type="presParOf" srcId="{A7279AAE-6B9F-4DCB-AB6D-DD6CFF62C56C}" destId="{A7D95336-FAAB-4EB7-8CDA-F7A3F2FD3273}" srcOrd="4" destOrd="0" presId="urn:microsoft.com/office/officeart/2009/3/layout/OpposingIdeas"/>
    <dgm:cxn modelId="{F9640B11-9CB9-4435-89BE-F587C8F973FE}" type="presParOf" srcId="{A7279AAE-6B9F-4DCB-AB6D-DD6CFF62C56C}" destId="{EAC46BF2-A0A8-4AE1-823A-2D72C8EA96B4}" srcOrd="5" destOrd="0" presId="urn:microsoft.com/office/officeart/2009/3/layout/OpposingIdeas"/>
    <dgm:cxn modelId="{A3DA0361-FF8F-457A-9EDE-B0A0EB6420F3}" type="presParOf" srcId="{A7279AAE-6B9F-4DCB-AB6D-DD6CFF62C56C}" destId="{247D3058-F088-44F1-9B3D-4BDA8B86DA35}" srcOrd="6" destOrd="0" presId="urn:microsoft.com/office/officeart/2009/3/layout/OpposingIdeas"/>
    <dgm:cxn modelId="{84E0FEB8-A0A4-43CE-8B52-341E2FFE818F}" type="presParOf" srcId="{A7279AAE-6B9F-4DCB-AB6D-DD6CFF62C56C}" destId="{64230F6C-BB00-470B-AE43-05CAF5010AC7}" srcOrd="7" destOrd="0" presId="urn:microsoft.com/office/officeart/2009/3/layout/OpposingIdeas"/>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BB239F-1DF4-4168-96A3-B0824792BDCB}">
      <dsp:nvSpPr>
        <dsp:cNvPr id="0" name=""/>
        <dsp:cNvSpPr/>
      </dsp:nvSpPr>
      <dsp:spPr>
        <a:xfrm>
          <a:off x="1284817" y="467051"/>
          <a:ext cx="4307311" cy="2225992"/>
        </a:xfrm>
        <a:prstGeom prst="rect">
          <a:avLst/>
        </a:prstGeom>
        <a:gradFill rotWithShape="0">
          <a:gsLst>
            <a:gs pos="0">
              <a:schemeClr val="accent4">
                <a:tint val="50000"/>
                <a:hueOff val="0"/>
                <a:satOff val="0"/>
                <a:lumOff val="0"/>
                <a:alphaOff val="0"/>
                <a:satMod val="103000"/>
                <a:lumMod val="102000"/>
                <a:tint val="94000"/>
              </a:schemeClr>
            </a:gs>
            <a:gs pos="50000">
              <a:schemeClr val="accent4">
                <a:tint val="50000"/>
                <a:hueOff val="0"/>
                <a:satOff val="0"/>
                <a:lumOff val="0"/>
                <a:alphaOff val="0"/>
                <a:satMod val="110000"/>
                <a:lumMod val="100000"/>
                <a:shade val="100000"/>
              </a:schemeClr>
            </a:gs>
            <a:gs pos="100000">
              <a:schemeClr val="accent4">
                <a:tint val="5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88900" h="88900"/>
          <a:bevelB w="88900" h="31750" prst="angle"/>
        </a:sp3d>
      </dsp:spPr>
      <dsp:style>
        <a:lnRef idx="0">
          <a:scrgbClr r="0" g="0" b="0"/>
        </a:lnRef>
        <a:fillRef idx="3">
          <a:scrgbClr r="0" g="0" b="0"/>
        </a:fillRef>
        <a:effectRef idx="2">
          <a:scrgbClr r="0" g="0" b="0"/>
        </a:effectRef>
        <a:fontRef idx="minor"/>
      </dsp:style>
    </dsp:sp>
    <dsp:sp modelId="{D5A9557C-3F2E-4FC9-B8B2-90DEC5E5161C}">
      <dsp:nvSpPr>
        <dsp:cNvPr id="0" name=""/>
        <dsp:cNvSpPr/>
      </dsp:nvSpPr>
      <dsp:spPr>
        <a:xfrm>
          <a:off x="1413541" y="727383"/>
          <a:ext cx="2000176" cy="1904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Opportunities</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Possibility to differentiate with high-tech software, AI and autonomous functions.</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Growth in the international EV markets as governments advance clean energy.</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Possibility of ecosystem based integration (energy storage, renewable power).</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Increased switching costs by the customers using digital platforms and over-the-air upgrades.</a:t>
          </a:r>
        </a:p>
      </dsp:txBody>
      <dsp:txXfrm>
        <a:off x="1413541" y="727383"/>
        <a:ext cx="2000176" cy="1904309"/>
      </dsp:txXfrm>
    </dsp:sp>
    <dsp:sp modelId="{962FA979-CBDB-4D4C-9857-C0E3094A636B}">
      <dsp:nvSpPr>
        <dsp:cNvPr id="0" name=""/>
        <dsp:cNvSpPr/>
      </dsp:nvSpPr>
      <dsp:spPr>
        <a:xfrm>
          <a:off x="3458277" y="727383"/>
          <a:ext cx="2000176" cy="1904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Threats</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Short life cycles of technology and expensive research and development.</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Greater rivalry with technologically rapidly-scaling competitors (e.g., BYD).</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Regulatory ambiguity on autonomous driving and data privacy.</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Supply chains weaknesses, in particular, semiconductors and batteries.</a:t>
          </a:r>
        </a:p>
      </dsp:txBody>
      <dsp:txXfrm>
        <a:off x="3458277" y="727383"/>
        <a:ext cx="2000176" cy="1904309"/>
      </dsp:txXfrm>
    </dsp:sp>
    <dsp:sp modelId="{B6593802-062D-4BB4-91D9-7580A8077B25}">
      <dsp:nvSpPr>
        <dsp:cNvPr id="0" name=""/>
        <dsp:cNvSpPr/>
      </dsp:nvSpPr>
      <dsp:spPr>
        <a:xfrm>
          <a:off x="839233" y="21581"/>
          <a:ext cx="841658" cy="841658"/>
        </a:xfrm>
        <a:prstGeom prst="plus">
          <a:avLst>
            <a:gd name="adj" fmla="val 3281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8A8DF2B8-7FE7-487B-9FE6-76C80C6068FF}">
      <dsp:nvSpPr>
        <dsp:cNvPr id="0" name=""/>
        <dsp:cNvSpPr/>
      </dsp:nvSpPr>
      <dsp:spPr>
        <a:xfrm>
          <a:off x="4998017" y="324261"/>
          <a:ext cx="792149" cy="271462"/>
        </a:xfrm>
        <a:prstGeom prst="rect">
          <a:avLst/>
        </a:prstGeom>
        <a:gradFill rotWithShape="0">
          <a:gsLst>
            <a:gs pos="0">
              <a:schemeClr val="accent4">
                <a:hueOff val="6599937"/>
                <a:satOff val="-29202"/>
                <a:lumOff val="-4903"/>
                <a:alphaOff val="0"/>
                <a:satMod val="103000"/>
                <a:lumMod val="102000"/>
                <a:tint val="94000"/>
              </a:schemeClr>
            </a:gs>
            <a:gs pos="50000">
              <a:schemeClr val="accent4">
                <a:hueOff val="6599937"/>
                <a:satOff val="-29202"/>
                <a:lumOff val="-4903"/>
                <a:alphaOff val="0"/>
                <a:satMod val="110000"/>
                <a:lumMod val="100000"/>
                <a:shade val="100000"/>
              </a:schemeClr>
            </a:gs>
            <a:gs pos="100000">
              <a:schemeClr val="accent4">
                <a:hueOff val="6599937"/>
                <a:satOff val="-29202"/>
                <a:lumOff val="-4903"/>
                <a:alphaOff val="0"/>
                <a:lumMod val="99000"/>
                <a:satMod val="120000"/>
                <a:shade val="78000"/>
              </a:schemeClr>
            </a:gs>
          </a:gsLst>
          <a:lin ang="5400000" scaled="0"/>
        </a:gradFill>
        <a:ln w="12700" cap="flat" cmpd="sng" algn="ctr">
          <a:solidFill>
            <a:schemeClr val="accent4">
              <a:hueOff val="6599937"/>
              <a:satOff val="-29202"/>
              <a:lumOff val="-4903"/>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E363424C-0A06-4EA6-B5AD-2D689110298A}">
      <dsp:nvSpPr>
        <dsp:cNvPr id="0" name=""/>
        <dsp:cNvSpPr/>
      </dsp:nvSpPr>
      <dsp:spPr>
        <a:xfrm>
          <a:off x="3438473" y="731455"/>
          <a:ext cx="495" cy="1818798"/>
        </a:xfrm>
        <a:prstGeom prst="line">
          <a:avLst/>
        </a:prstGeom>
        <a:noFill/>
        <a:ln w="1905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9F32E7-1799-490C-981F-A1DD372AFBD0}">
      <dsp:nvSpPr>
        <dsp:cNvPr id="0" name=""/>
        <dsp:cNvSpPr/>
      </dsp:nvSpPr>
      <dsp:spPr>
        <a:xfrm>
          <a:off x="1177589" y="589407"/>
          <a:ext cx="4255171" cy="2288286"/>
        </a:xfrm>
        <a:prstGeom prst="round2DiagRect">
          <a:avLst>
            <a:gd name="adj1" fmla="val 0"/>
            <a:gd name="adj2" fmla="val 1667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E24204C-21F2-47BE-8998-70C6496CF0EC}">
      <dsp:nvSpPr>
        <dsp:cNvPr id="0" name=""/>
        <dsp:cNvSpPr/>
      </dsp:nvSpPr>
      <dsp:spPr>
        <a:xfrm>
          <a:off x="3305174" y="832104"/>
          <a:ext cx="567" cy="1802891"/>
        </a:xfrm>
        <a:prstGeom prst="line">
          <a:avLst/>
        </a:prstGeom>
        <a:solidFill>
          <a:schemeClr val="accent3">
            <a:hueOff val="0"/>
            <a:satOff val="0"/>
            <a:lumOff val="0"/>
            <a:alphaOff val="0"/>
          </a:schemeClr>
        </a:solidFill>
        <a:ln w="190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27000" prstMaterial="matte"/>
      </dsp:spPr>
      <dsp:style>
        <a:lnRef idx="2">
          <a:scrgbClr r="0" g="0" b="0"/>
        </a:lnRef>
        <a:fillRef idx="1">
          <a:scrgbClr r="0" g="0" b="0"/>
        </a:fillRef>
        <a:effectRef idx="0">
          <a:scrgbClr r="0" g="0" b="0"/>
        </a:effectRef>
        <a:fontRef idx="minor"/>
      </dsp:style>
    </dsp:sp>
    <dsp:sp modelId="{6BCF05D7-3ABC-4794-98DB-42289C6555BC}">
      <dsp:nvSpPr>
        <dsp:cNvPr id="0" name=""/>
        <dsp:cNvSpPr/>
      </dsp:nvSpPr>
      <dsp:spPr>
        <a:xfrm>
          <a:off x="1319428" y="762762"/>
          <a:ext cx="1843907" cy="1941576"/>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&gt;High-end pricing based on sustainable materials which are ethically sourced.</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&gt;Environmental activism and brand differentiation in circular business models.</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&gt;Reach to green consumer markets in the global market.</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&gt;Competitive edge by adherence to future ESG policies.</a:t>
          </a:r>
        </a:p>
      </dsp:txBody>
      <dsp:txXfrm>
        <a:off x="1319428" y="762762"/>
        <a:ext cx="1843907" cy="1941576"/>
      </dsp:txXfrm>
    </dsp:sp>
    <dsp:sp modelId="{26418523-67F8-49C7-A833-F84314DD0B53}">
      <dsp:nvSpPr>
        <dsp:cNvPr id="0" name=""/>
        <dsp:cNvSpPr/>
      </dsp:nvSpPr>
      <dsp:spPr>
        <a:xfrm>
          <a:off x="3447014" y="762762"/>
          <a:ext cx="1843907" cy="1941576"/>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&gt;Increasing prices of raw materials because of sustainability in the supply chain.</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&gt;The reputational risks linked to the greenwashing accusations.</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&gt;Penalties imposed by the regulatory laws in case of non-achievement of environmental targets.</a:t>
          </a:r>
        </a:p>
        <a:p>
          <a:pPr marL="0" lvl="0" indent="0" algn="l"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&gt;Climate related environmental instability which leads to operational disruptions.</a:t>
          </a:r>
        </a:p>
      </dsp:txBody>
      <dsp:txXfrm>
        <a:off x="3447014" y="762762"/>
        <a:ext cx="1843907" cy="1941576"/>
      </dsp:txXfrm>
    </dsp:sp>
    <dsp:sp modelId="{EAC46BF2-A0A8-4AE1-823A-2D72C8EA96B4}">
      <dsp:nvSpPr>
        <dsp:cNvPr id="0" name=""/>
        <dsp:cNvSpPr/>
      </dsp:nvSpPr>
      <dsp:spPr>
        <a:xfrm rot="16200000">
          <a:off x="-425164" y="893558"/>
          <a:ext cx="2496312" cy="709195"/>
        </a:xfrm>
        <a:prstGeom prst="rightArrow">
          <a:avLst>
            <a:gd name="adj1" fmla="val 49830"/>
            <a:gd name="adj2" fmla="val 60660"/>
          </a:avLst>
        </a:prstGeom>
        <a:solidFill>
          <a:schemeClr val="accent3">
            <a:tint val="4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en-US" sz="1600" kern="1200"/>
            <a:t>Opportunities</a:t>
          </a:r>
        </a:p>
      </dsp:txBody>
      <dsp:txXfrm>
        <a:off x="-317980" y="1178644"/>
        <a:ext cx="2281944" cy="353391"/>
      </dsp:txXfrm>
    </dsp:sp>
    <dsp:sp modelId="{64230F6C-BB00-470B-AE43-05CAF5010AC7}">
      <dsp:nvSpPr>
        <dsp:cNvPr id="0" name=""/>
        <dsp:cNvSpPr/>
      </dsp:nvSpPr>
      <dsp:spPr>
        <a:xfrm rot="5400000">
          <a:off x="4539202" y="1864346"/>
          <a:ext cx="2496312" cy="709195"/>
        </a:xfrm>
        <a:prstGeom prst="rightArrow">
          <a:avLst>
            <a:gd name="adj1" fmla="val 49830"/>
            <a:gd name="adj2" fmla="val 60660"/>
          </a:avLst>
        </a:prstGeom>
        <a:solidFill>
          <a:schemeClr val="accent3">
            <a:tint val="4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en-US" sz="1600" kern="1200"/>
            <a:t>Threats</a:t>
          </a:r>
        </a:p>
      </dsp:txBody>
      <dsp:txXfrm>
        <a:off x="4646386" y="1935064"/>
        <a:ext cx="2281944" cy="353391"/>
      </dsp:txXfrm>
    </dsp:sp>
  </dsp:spTree>
</dsp:drawing>
</file>

<file path=word/diagrams/layout1.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layout2.xml><?xml version="1.0" encoding="utf-8"?>
<dgm:layoutDef xmlns:dgm="http://schemas.openxmlformats.org/drawingml/2006/diagram" xmlns:a="http://schemas.openxmlformats.org/drawingml/2006/main" uniqueId="urn:microsoft.com/office/officeart/2009/3/layout/OpposingIdeas">
  <dgm:title val=""/>
  <dgm:desc val=""/>
  <dgm:catLst>
    <dgm:cat type="relationship" pri="3400"/>
  </dgm:catLst>
  <dgm:samp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clrData>
  <dgm:layoutNode name="Name0">
    <dgm:varLst>
      <dgm:chMax val="2"/>
      <dgm:dir/>
      <dgm:animOne val="branch"/>
      <dgm:animLvl val="lvl"/>
      <dgm:resizeHandles val="exact"/>
    </dgm:varLst>
    <dgm:choose name="Name1">
      <dgm:if name="Name2" axis="ch" ptType="node" func="cnt" op="lte" val="1">
        <dgm:alg type="composite">
          <dgm:param type="ar" val="0.9928"/>
        </dgm:alg>
      </dgm:if>
      <dgm:else name="Name3">
        <dgm:alg type="composite">
          <dgm:param type="ar" val="1.6364"/>
        </dgm:alg>
      </dgm:else>
    </dgm:choose>
    <dgm:shape xmlns:r="http://schemas.openxmlformats.org/officeDocument/2006/relationships" r:blip="">
      <dgm:adjLst/>
    </dgm:shape>
    <dgm:choose name="Name4">
      <dgm:if name="Name5" func="var" arg="dir" op="equ" val="norm">
        <dgm:choose name="Name6">
          <dgm:if name="Name7"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2963"/>
              <dgm:constr type="t" for="ch" forName="ChildText1" refType="h" fact="0.2722"/>
              <dgm:constr type="w" for="ch" forName="ChildText1" refType="w" fact="0.6534"/>
              <dgm:constr type="h" for="ch" forName="ChildText1" refType="h" fact="0.6682"/>
              <dgm:constr type="l" for="ch" forName="Background" refType="w" fact="0.246"/>
              <dgm:constr type="t" for="ch" forName="Background" refType="h" fact="0.2125"/>
              <dgm:constr type="w" for="ch" forName="Background" refType="w" fact="0.754"/>
              <dgm:constr type="h" for="ch" forName="Background" refType="h" fact="0.7875"/>
              <dgm:constr type="l" for="ch" forName="ParentText1" refType="w" fact="0"/>
              <dgm:constr type="t" for="ch" forName="ParentText1" refType="h" fact="0"/>
              <dgm:constr type="w" for="ch" forName="ParentText1" refType="w" fact="0.234"/>
              <dgm:constr type="h" for="ch" forName="ParentText1" refType="h" fact="0.8713"/>
              <dgm:constr type="l" for="ch" forName="ParentShape1" refType="w" fact="0"/>
              <dgm:constr type="t" for="ch" forName="ParentShape1" refType="h" fact="0"/>
              <dgm:constr type="w" for="ch" forName="ParentShape1" refType="w" fact="0.234"/>
              <dgm:constr type="h" for="ch" forName="ParentShape1" refType="h" fact="0.8713"/>
            </dgm:constrLst>
          </dgm:if>
          <dgm:else name="Name8">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15"/>
              <dgm:constr type="t" for="ch" forName="ChildText1" refType="h" fact="0.22"/>
              <dgm:constr type="w" for="ch" forName="ChildText1" refType="w" fact="0.325"/>
              <dgm:constr type="h" for="ch" forName="ChildText1" refType="h" fact="0.56"/>
              <dgm:constr type="l" for="ch" forName="ChildText2" refType="w" fact="0.525"/>
              <dgm:constr type="t" for="ch" forName="ChildText2" refType="h" fact="0.22"/>
              <dgm:constr type="w" for="ch" forName="ChildText2" refType="w" fact="0.325"/>
              <dgm:constr type="h" for="ch" forName="ChildText2" refType="h" fact="0.56"/>
              <dgm:constr type="l" for="ch" forName="Background" refType="w" fact="0.125"/>
              <dgm:constr type="t" for="ch" forName="Background" refType="h" fact="0.17"/>
              <dgm:constr type="w" for="ch" forName="Background" refType="w" fact="0.75"/>
              <dgm:constr type="h" for="ch" forName="Background" refType="h" fact="0.66"/>
              <dgm:constr type="l" for="ch" forName="ParentText1" refType="w" fact="0"/>
              <dgm:constr type="t" for="ch" forName="ParentText1" refType="h" fact="0"/>
              <dgm:constr type="w" for="ch" forName="ParentText1" refType="w" fact="0.125"/>
              <dgm:constr type="h" for="ch" forName="ParentText1" refType="h" fact="0.72"/>
              <dgm:constr type="l" for="ch" forName="ParentShape1" refType="w" fact="0"/>
              <dgm:constr type="t" for="ch" forName="ParentShape1" refType="h" fact="0"/>
              <dgm:constr type="w" for="ch" forName="ParentShape1" refType="w" fact="0.125"/>
              <dgm:constr type="h" for="ch" forName="ParentShape1" refType="h" fact="0.72"/>
              <dgm:constr type="l" for="ch" forName="ParentText2" refType="w" fact="0.875"/>
              <dgm:constr type="t" for="ch" forName="ParentText2" refType="h" fact="0.28"/>
              <dgm:constr type="w" for="ch" forName="ParentText2" refType="w" fact="0.125"/>
              <dgm:constr type="h" for="ch" forName="ParentText2" refType="h" fact="0.72"/>
              <dgm:constr type="l" for="ch" forName="ParentShape2" refType="w" fact="0.875"/>
              <dgm:constr type="t" for="ch" forName="ParentShape2" refType="h" fact="0.28"/>
              <dgm:constr type="w" for="ch" forName="ParentShape2" refType="w" fact="0.125"/>
              <dgm:constr type="h" for="ch" forName="ParentShape2" refType="h" fact="0.72"/>
              <dgm:constr type="l" for="ch" forName="Divider" refType="w" fact="0.5"/>
              <dgm:constr type="t" for="ch" forName="Divider" refType="h" fact="0.24"/>
              <dgm:constr type="w" for="ch" forName="Divider" refType="w" fact="0.0001"/>
              <dgm:constr type="h" for="ch" forName="Divider" refType="h" fact="0.52"/>
            </dgm:constrLst>
          </dgm:else>
        </dgm:choose>
      </dgm:if>
      <dgm:else name="Name9">
        <dgm:choose name="Name10">
          <dgm:if name="Name11"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2455"/>
              <dgm:constr type="t" for="ch" forName="ChildText1" refType="h" fact="0.2651"/>
              <dgm:constr type="w" for="ch" forName="ChildText1" refType="w" fact="0.5351"/>
              <dgm:constr type="h" for="ch" forName="ChildText1" refType="h" fact="0.56"/>
              <dgm:constr type="r" for="ch" forName="Background" refType="w" fact="-0.246"/>
              <dgm:constr type="t" for="ch" forName="Background" refType="h" fact="0.2125"/>
              <dgm:constr type="w" for="ch" forName="Background" refType="w" fact="0.754"/>
              <dgm:constr type="h" for="ch" forName="Background" refType="h" fact="0.7875"/>
              <dgm:constr type="r" for="ch" forName="ParentText1" refType="w" fact="0"/>
              <dgm:constr type="t" for="ch" forName="ParentText1" refType="h" fact="0"/>
              <dgm:constr type="w" for="ch" forName="ParentText1" refType="w" fact="0.234"/>
              <dgm:constr type="h" for="ch" forName="ParentText1" refType="h" fact="0.8713"/>
              <dgm:constr type="r" for="ch" forName="ParentShape1" refType="w" fact="0"/>
              <dgm:constr type="t" for="ch" forName="ParentShape1" refType="h" fact="0"/>
              <dgm:constr type="w" for="ch" forName="ParentShape1" refType="w" fact="0.234"/>
              <dgm:constr type="h" for="ch" forName="ParentShape1" refType="h" fact="0.8713"/>
            </dgm:constrLst>
          </dgm:if>
          <dgm:else name="Name12">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15"/>
              <dgm:constr type="t" for="ch" forName="ChildText1" refType="h" fact="0.22"/>
              <dgm:constr type="w" for="ch" forName="ChildText1" refType="w" fact="0.325"/>
              <dgm:constr type="h" for="ch" forName="ChildText1" refType="h" fact="0.56"/>
              <dgm:constr type="r" for="ch" forName="ChildText2" refType="w" fact="-0.525"/>
              <dgm:constr type="t" for="ch" forName="ChildText2" refType="h" fact="0.22"/>
              <dgm:constr type="w" for="ch" forName="ChildText2" refType="w" fact="0.325"/>
              <dgm:constr type="h" for="ch" forName="ChildText2" refType="h" fact="0.56"/>
              <dgm:constr type="r" for="ch" forName="Background" refType="w" fact="-0.125"/>
              <dgm:constr type="t" for="ch" forName="Background" refType="h" fact="0.17"/>
              <dgm:constr type="w" for="ch" forName="Background" refType="w" fact="0.75"/>
              <dgm:constr type="h" for="ch" forName="Background" refType="h" fact="0.66"/>
              <dgm:constr type="r" for="ch" forName="ParentText1" refType="w" fact="0"/>
              <dgm:constr type="t" for="ch" forName="ParentText1" refType="h" fact="0"/>
              <dgm:constr type="w" for="ch" forName="ParentText1" refType="w" fact="0.125"/>
              <dgm:constr type="h" for="ch" forName="ParentText1" refType="h" fact="0.72"/>
              <dgm:constr type="r" for="ch" forName="ParentShape1" refType="w" fact="0"/>
              <dgm:constr type="t" for="ch" forName="ParentShape1" refType="h" fact="0"/>
              <dgm:constr type="w" for="ch" forName="ParentShape1" refType="w" fact="0.125"/>
              <dgm:constr type="h" for="ch" forName="ParentShape1" refType="h" fact="0.72"/>
              <dgm:constr type="r" for="ch" forName="ParentText2" refType="w" fact="-0.875"/>
              <dgm:constr type="t" for="ch" forName="ParentText2" refType="h" fact="0.28"/>
              <dgm:constr type="w" for="ch" forName="ParentText2" refType="w" fact="0.125"/>
              <dgm:constr type="h" for="ch" forName="ParentText2" refType="h" fact="0.72"/>
              <dgm:constr type="r" for="ch" forName="ParentShape2" refType="w" fact="-0.875"/>
              <dgm:constr type="t" for="ch" forName="ParentShape2" refType="h" fact="0.28"/>
              <dgm:constr type="w" for="ch" forName="ParentShape2" refType="w" fact="0.125"/>
              <dgm:constr type="h" for="ch" forName="ParentShape2" refType="h" fact="0.72"/>
              <dgm:constr type="r" for="ch" forName="Divider" refType="w" fact="-0.5"/>
              <dgm:constr type="t" for="ch" forName="Divider" refType="h" fact="0.24"/>
              <dgm:constr type="w" for="ch" forName="Divider" refType="w" fact="0.0001"/>
              <dgm:constr type="h" for="ch" forName="Divider" refType="h" fact="0.52"/>
            </dgm:constrLst>
          </dgm:else>
        </dgm:choose>
      </dgm:else>
    </dgm:choose>
    <dgm:choose name="Name13">
      <dgm:if name="Name14" axis="ch" ptType="node" func="cnt" op="gte" val="1">
        <dgm:layoutNode name="Background" styleLbl="node1">
          <dgm:alg type="sp"/>
          <dgm:choose name="Name15">
            <dgm:if name="Name16" func="var" arg="dir" op="equ" val="norm">
              <dgm:shape xmlns:r="http://schemas.openxmlformats.org/officeDocument/2006/relationships" type="round2DiagRect" r:blip="">
                <dgm:adjLst>
                  <dgm:adj idx="1" val="0"/>
                  <dgm:adj idx="2" val="0.1667"/>
                </dgm:adjLst>
              </dgm:shape>
            </dgm:if>
            <dgm:else name="Name17">
              <dgm:shape xmlns:r="http://schemas.openxmlformats.org/officeDocument/2006/relationships" type="round2DiagRect" r:blip="">
                <dgm:adjLst>
                  <dgm:adj idx="1" val="0.1667"/>
                  <dgm:adj idx="2" val="0"/>
                </dgm:adjLst>
              </dgm:shape>
            </dgm:else>
          </dgm:choose>
          <dgm:presOf/>
        </dgm:layoutNode>
        <dgm:choose name="Name18">
          <dgm:if name="Name19" axis="ch" ptType="node" func="cnt" op="gte" val="2">
            <dgm:layoutNode name="Divider" styleLbl="callout">
              <dgm:alg type="sp"/>
              <dgm:shape xmlns:r="http://schemas.openxmlformats.org/officeDocument/2006/relationships" type="line" r:blip="">
                <dgm:adjLst/>
              </dgm:shape>
              <dgm:presOf/>
            </dgm:layoutNode>
          </dgm:if>
          <dgm:else name="Name20"/>
        </dgm:choose>
        <dgm:layoutNode name="ChildText1"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21">
          <dgm:if name="Name22" axis="ch" ptType="node" func="cnt" op="gte" val="2">
            <dgm:layoutNode name="ChildText2"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3"/>
        </dgm:choose>
        <dgm:layoutNode name="ParentText1" styleLbl="revTx">
          <dgm:varLst>
            <dgm:chMax val="1"/>
            <dgm:chPref val="1"/>
          </dgm:varLst>
          <dgm:choose name="Name24">
            <dgm:if name="Name25" func="var" arg="dir" op="equ" val="norm">
              <dgm:alg type="tx">
                <dgm:param type="parTxLTRAlign" val="r"/>
                <dgm:param type="shpTxLTRAlignCh" val="r"/>
                <dgm:param type="txAnchorVertCh" val="mid"/>
                <dgm:param type="autoTxRot" val="grav"/>
              </dgm:alg>
            </dgm:if>
            <dgm:else name="Name26">
              <dgm:alg type="tx">
                <dgm:param type="parTxLTRAlign" val="l"/>
                <dgm:param type="shpTxLTRAlignCh" val="r"/>
                <dgm:param type="txAnchorVertCh" val="mid"/>
                <dgm:param type="autoTxRot" val="grav"/>
              </dgm:alg>
            </dgm:else>
          </dgm:choose>
          <dgm:choose name="Name27">
            <dgm:if name="Name28" func="var" arg="dir" op="equ" val="norm">
              <dgm:shape xmlns:r="http://schemas.openxmlformats.org/officeDocument/2006/relationships" rot="-90" type="rightArrow" r:blip="" hideGeom="1">
                <dgm:adjLst>
                  <dgm:adj idx="1" val="0.4983"/>
                  <dgm:adj idx="2" val="0.6066"/>
                </dgm:adjLst>
              </dgm:shape>
            </dgm:if>
            <dgm:else name="Name29">
              <dgm:shape xmlns:r="http://schemas.openxmlformats.org/officeDocument/2006/relationships" rot="90" type="leftArrow" r:blip="" hideGeom="1">
                <dgm:adjLst>
                  <dgm:adj idx="1" val="0.4983"/>
                  <dgm:adj idx="2" val="0.6066"/>
                </dgm:adjLst>
              </dgm:shape>
            </dgm:else>
          </dgm:choose>
          <dgm:presOf axis="ch 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1" styleLbl="alignImgPlace1">
          <dgm:varLst/>
          <dgm:alg type="sp"/>
          <dgm:presOf axis="ch self" ptType="node node" st="1 1" cnt="1 0"/>
          <dgm:choose name="Name30">
            <dgm:if name="Name31" func="var" arg="dir" op="equ" val="norm">
              <dgm:shape xmlns:r="http://schemas.openxmlformats.org/officeDocument/2006/relationships" rot="-90" type="rightArrow" r:blip="">
                <dgm:adjLst>
                  <dgm:adj idx="1" val="0.4983"/>
                  <dgm:adj idx="2" val="0.6066"/>
                </dgm:adjLst>
              </dgm:shape>
            </dgm:if>
            <dgm:else name="Name32">
              <dgm:shape xmlns:r="http://schemas.openxmlformats.org/officeDocument/2006/relationships" rot="90" type="leftArrow" r:blip="">
                <dgm:adjLst>
                  <dgm:adj idx="1" val="0.4983"/>
                  <dgm:adj idx="2" val="0.6066"/>
                </dgm:adjLst>
              </dgm:shape>
            </dgm:else>
          </dgm:choose>
        </dgm:layoutNode>
        <dgm:choose name="Name33">
          <dgm:if name="Name34" axis="ch" ptType="node" func="cnt" op="gte" val="2">
            <dgm:layoutNode name="ParentText2" styleLbl="revTx">
              <dgm:varLst>
                <dgm:chMax val="1"/>
                <dgm:chPref val="1"/>
              </dgm:varLst>
              <dgm:choose name="Name35">
                <dgm:if name="Name36" func="var" arg="dir" op="equ" val="norm">
                  <dgm:alg type="tx">
                    <dgm:param type="parTxLTRAlign" val="r"/>
                    <dgm:param type="shpTxLTRAlignCh" val="r"/>
                    <dgm:param type="txAnchorVertCh" val="mid"/>
                    <dgm:param type="autoTxRot" val="grav"/>
                  </dgm:alg>
                </dgm:if>
                <dgm:else name="Name37">
                  <dgm:alg type="tx">
                    <dgm:param type="parTxLTRAlign" val="l"/>
                    <dgm:param type="shpTxLTRAlignCh" val="r"/>
                    <dgm:param type="txAnchorVertCh" val="mid"/>
                    <dgm:param type="autoTxRot" val="grav"/>
                  </dgm:alg>
                </dgm:else>
              </dgm:choose>
              <dgm:choose name="Name38">
                <dgm:if name="Name39" func="var" arg="dir" op="equ" val="norm">
                  <dgm:shape xmlns:r="http://schemas.openxmlformats.org/officeDocument/2006/relationships" rot="90" type="rightArrow" r:blip="" hideGeom="1">
                    <dgm:adjLst>
                      <dgm:adj idx="1" val="0.4983"/>
                      <dgm:adj idx="2" val="0.6066"/>
                    </dgm:adjLst>
                  </dgm:shape>
                </dgm:if>
                <dgm:else name="Name40">
                  <dgm:shape xmlns:r="http://schemas.openxmlformats.org/officeDocument/2006/relationships" rot="-90" type="leftArrow" r:blip="" hideGeom="1">
                    <dgm:adjLst>
                      <dgm:adj idx="1" val="0.4983"/>
                      <dgm:adj idx="2" val="0.6066"/>
                    </dgm:adjLst>
                  </dgm:shape>
                </dgm:else>
              </dgm:choose>
              <dgm:presOf axis="ch 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2" styleLbl="alignImgPlace1">
              <dgm:varLst/>
              <dgm:alg type="sp"/>
              <dgm:choose name="Name41">
                <dgm:if name="Name42" func="var" arg="dir" op="equ" val="norm">
                  <dgm:shape xmlns:r="http://schemas.openxmlformats.org/officeDocument/2006/relationships" rot="90" type="rightArrow" r:blip="">
                    <dgm:adjLst>
                      <dgm:adj idx="1" val="0.4983"/>
                      <dgm:adj idx="2" val="0.6066"/>
                    </dgm:adjLst>
                  </dgm:shape>
                </dgm:if>
                <dgm:else name="Name43">
                  <dgm:shape xmlns:r="http://schemas.openxmlformats.org/officeDocument/2006/relationships" rot="-90" type="leftArrow" r:blip="">
                    <dgm:adjLst>
                      <dgm:adj idx="1" val="0.4983"/>
                      <dgm:adj idx="2" val="0.6066"/>
                    </dgm:adjLst>
                  </dgm:shape>
                </dgm:else>
              </dgm:choose>
              <dgm:presOf axis="ch self" ptType="node node" st="2 1" cnt="1 0"/>
            </dgm:layoutNode>
          </dgm:if>
          <dgm:else name="Name44"/>
        </dgm:choose>
      </dgm:if>
      <dgm:else name="Name4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7A7BF-FC3C-4F0C-9A9E-CC3900BB26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3915</Words>
  <Characters>22321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Parvej Khan</dc:creator>
  <cp:keywords/>
  <dc:description/>
  <cp:lastModifiedBy>Parvej Khan</cp:lastModifiedBy>
  <cp:revision>2</cp:revision>
  <dcterms:created xsi:type="dcterms:W3CDTF">2025-11-19T09:37:00Z</dcterms:created>
  <dcterms:modified xsi:type="dcterms:W3CDTF">2025-11-19T09:37:00Z</dcterms:modified>
</cp:coreProperties>
</file>