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2B539CC" wp14:paraId="5CEAFDAF" wp14:textId="4D64C83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72B539CC" w:rsidR="3FC5B0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72B539CC" w:rsidR="4B96B0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Student name – Gurdith Barkar</w:t>
      </w:r>
      <w:r>
        <w:br/>
      </w:r>
      <w:r w:rsidRPr="72B539CC" w:rsidR="45BB4B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72B539CC" w:rsidR="4B96B0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Student ID number – 2506015</w:t>
      </w:r>
      <w:r>
        <w:br/>
      </w:r>
      <w:r w:rsidRPr="72B539CC" w:rsidR="511FFE8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72B539CC" w:rsidR="4B96B0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Tutor name – </w:t>
      </w:r>
      <w:r w:rsidRPr="72B539CC" w:rsidR="40D0BCBC">
        <w:rPr>
          <w:rFonts w:ascii="Arial" w:hAnsi="Arial" w:eastAsia="Arial" w:cs="Arial"/>
          <w:b w:val="0"/>
          <w:bCs w:val="0"/>
          <w:i w:val="0"/>
          <w:iCs w:val="0"/>
          <w:caps w:val="0"/>
          <w:smallCaps w:val="0"/>
          <w:noProof w:val="0"/>
          <w:color w:val="242130"/>
          <w:sz w:val="22"/>
          <w:szCs w:val="22"/>
          <w:lang w:val="en-US"/>
        </w:rPr>
        <w:t>Rizwan Nadim</w:t>
      </w:r>
      <w:r>
        <w:br/>
      </w:r>
      <w:r w:rsidRPr="72B539CC" w:rsidR="29534E7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72B539CC" w:rsidR="4B96B0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Module Code – LCHS40</w:t>
      </w:r>
      <w:r w:rsidRPr="72B539CC" w:rsidR="410E9C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10</w:t>
      </w:r>
      <w:r>
        <w:br/>
      </w:r>
      <w:r w:rsidRPr="72B539CC" w:rsidR="4833240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72B539CC" w:rsidR="4B96B0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Module – </w:t>
      </w:r>
      <w:r w:rsidRPr="72B539CC" w:rsidR="24D753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Pschology</w:t>
      </w:r>
      <w:r w:rsidRPr="72B539CC" w:rsidR="24D7532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health and social care</w:t>
      </w:r>
    </w:p>
    <w:p xmlns:wp14="http://schemas.microsoft.com/office/word/2010/wordml" w:rsidP="72B539CC" wp14:paraId="76627C72" wp14:textId="6E31338D">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10B56852" wp14:textId="4A28BC25">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10F4E4A9" wp14:textId="67A9D7C9">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0890A9A7" wp14:textId="32A45279">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46446790" wp14:textId="266608B7">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468CE964" wp14:textId="20AC2448">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5B1D1D3B" wp14:textId="5BA5DF24">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6EC85883" wp14:textId="47130728">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1E9904D7" wp14:textId="02E128CA">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040D0636" wp14:textId="43DDF77A">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5A0ADF40" wp14:textId="2955874D">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55E22114" wp14:textId="3E104EA1">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6ABE726F" wp14:textId="00175D4D">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3A76A058" wp14:textId="0EB99D07">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690C2C60" wp14:textId="14490970">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552D7E89" wp14:textId="456EC47F">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3E8463A0" wp14:textId="2C99FDDA">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28E93BA5" wp14:textId="398E6A5B">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727FD312" wp14:textId="76EF7AB5">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23CF6AF7" wp14:textId="36380396">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13ED696C" wp14:textId="720C330F">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4EBDF62B" wp14:textId="1067F27E">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61AA465F" wp14:textId="7C70EE12">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08326F55" wp14:textId="74A76D6A">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72B539CC" wp14:paraId="7D8E8B13" wp14:textId="7C2426DF">
      <w:pPr>
        <w:pStyle w:val="Normal"/>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xmlns:wp14="http://schemas.microsoft.com/office/word/2010/wordml" w:rsidP="235788E7" wp14:paraId="2831D5F2" wp14:textId="79043DDD">
      <w:pPr>
        <w:shd w:val="clear" w:color="auto" w:fill="FFFFFF" w:themeFill="background1"/>
        <w:spacing w:before="0" w:beforeAutospacing="off" w:after="0" w:afterAutospacing="off"/>
      </w:pPr>
      <w:r w:rsidRPr="72B539CC" w:rsidR="63B7342E">
        <w:rPr>
          <w:rFonts w:ascii="Arial" w:hAnsi="Arial" w:eastAsia="Arial" w:cs="Arial"/>
          <w:b w:val="0"/>
          <w:bCs w:val="0"/>
          <w:i w:val="0"/>
          <w:iCs w:val="0"/>
          <w:caps w:val="0"/>
          <w:smallCaps w:val="0"/>
          <w:noProof w:val="0"/>
          <w:color w:val="000000" w:themeColor="text1" w:themeTint="FF" w:themeShade="FF"/>
          <w:sz w:val="24"/>
          <w:szCs w:val="24"/>
          <w:lang w:val="en-GB"/>
        </w:rPr>
        <w:t xml:space="preserve">                                                        Content page </w:t>
      </w:r>
    </w:p>
    <w:p xmlns:wp14="http://schemas.microsoft.com/office/word/2010/wordml" w:rsidP="72B539CC" wp14:paraId="5180D555" wp14:textId="2EADF88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760CB8B8" wp14:textId="48890C2B">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49EB1A88" wp14:textId="1464057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359A1279" wp14:textId="1D10D00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35788E7" wp14:paraId="34954A22" wp14:textId="7AC16E69">
      <w:pPr>
        <w:shd w:val="clear" w:color="auto" w:fill="FFFFFF" w:themeFill="background1"/>
        <w:spacing w:before="0" w:beforeAutospacing="off" w:after="0" w:afterAutospacing="off"/>
      </w:pPr>
      <w:r w:rsidRPr="72B539CC" w:rsidR="38522722">
        <w:rPr>
          <w:rFonts w:ascii="Arial" w:hAnsi="Arial" w:eastAsia="Arial" w:cs="Arial"/>
          <w:b w:val="0"/>
          <w:bCs w:val="0"/>
          <w:i w:val="0"/>
          <w:iCs w:val="0"/>
          <w:caps w:val="0"/>
          <w:smallCaps w:val="0"/>
          <w:noProof w:val="0"/>
          <w:color w:val="000000" w:themeColor="text1" w:themeTint="FF" w:themeShade="FF"/>
          <w:sz w:val="24"/>
          <w:szCs w:val="24"/>
          <w:lang w:val="en-GB"/>
        </w:rPr>
        <w:t>Introduction</w:t>
      </w:r>
      <w:r w:rsidRPr="72B539CC" w:rsidR="45658791">
        <w:rPr>
          <w:rFonts w:ascii="Arial" w:hAnsi="Arial" w:eastAsia="Arial" w:cs="Arial"/>
          <w:b w:val="0"/>
          <w:bCs w:val="0"/>
          <w:i w:val="0"/>
          <w:iCs w:val="0"/>
          <w:caps w:val="0"/>
          <w:smallCaps w:val="0"/>
          <w:noProof w:val="0"/>
          <w:color w:val="000000" w:themeColor="text1" w:themeTint="FF" w:themeShade="FF"/>
          <w:sz w:val="24"/>
          <w:szCs w:val="24"/>
          <w:lang w:val="en-GB"/>
        </w:rPr>
        <w:t>.................................................</w:t>
      </w:r>
      <w:r w:rsidRPr="72B539CC" w:rsidR="06D5C59E">
        <w:rPr>
          <w:rFonts w:ascii="Arial" w:hAnsi="Arial" w:eastAsia="Arial" w:cs="Arial"/>
          <w:b w:val="0"/>
          <w:bCs w:val="0"/>
          <w:i w:val="0"/>
          <w:iCs w:val="0"/>
          <w:caps w:val="0"/>
          <w:smallCaps w:val="0"/>
          <w:noProof w:val="0"/>
          <w:color w:val="000000" w:themeColor="text1" w:themeTint="FF" w:themeShade="FF"/>
          <w:sz w:val="24"/>
          <w:szCs w:val="24"/>
          <w:lang w:val="en-GB"/>
        </w:rPr>
        <w:t>.</w:t>
      </w:r>
      <w:r w:rsidRPr="72B539CC" w:rsidR="45658791">
        <w:rPr>
          <w:rFonts w:ascii="Arial" w:hAnsi="Arial" w:eastAsia="Arial" w:cs="Arial"/>
          <w:b w:val="0"/>
          <w:bCs w:val="0"/>
          <w:i w:val="0"/>
          <w:iCs w:val="0"/>
          <w:caps w:val="0"/>
          <w:smallCaps w:val="0"/>
          <w:noProof w:val="0"/>
          <w:color w:val="000000" w:themeColor="text1" w:themeTint="FF" w:themeShade="FF"/>
          <w:sz w:val="24"/>
          <w:szCs w:val="24"/>
          <w:lang w:val="en-GB"/>
        </w:rPr>
        <w:t>.................................................. 3</w:t>
      </w:r>
    </w:p>
    <w:p xmlns:wp14="http://schemas.microsoft.com/office/word/2010/wordml" w:rsidP="72B539CC" wp14:paraId="1512EDBC" wp14:textId="2E469D38">
      <w:pPr>
        <w:pStyle w:val="Normal"/>
        <w:shd w:val="clear" w:color="auto" w:fill="FFFFFF" w:themeFill="background1"/>
        <w:spacing w:before="0" w:beforeAutospacing="off" w:after="0" w:afterAutospacing="off"/>
      </w:pPr>
      <w:r w:rsidRPr="72B539CC" w:rsidR="45658791">
        <w:rPr>
          <w:rFonts w:ascii="Arial" w:hAnsi="Arial" w:eastAsia="Arial" w:cs="Arial"/>
          <w:b w:val="0"/>
          <w:bCs w:val="0"/>
          <w:i w:val="0"/>
          <w:iCs w:val="0"/>
          <w:caps w:val="0"/>
          <w:smallCaps w:val="0"/>
          <w:noProof w:val="0"/>
          <w:color w:val="000000" w:themeColor="text1" w:themeTint="FF" w:themeShade="FF"/>
          <w:sz w:val="24"/>
          <w:szCs w:val="24"/>
          <w:lang w:val="en-GB"/>
        </w:rPr>
        <w:t>Bowlby's attachment...................................................................................... 4</w:t>
      </w:r>
    </w:p>
    <w:p xmlns:wp14="http://schemas.microsoft.com/office/word/2010/wordml" w:rsidP="235788E7" wp14:paraId="76A88AE5" wp14:textId="14FB09AD">
      <w:pPr>
        <w:shd w:val="clear" w:color="auto" w:fill="FFFFFF" w:themeFill="background1"/>
        <w:spacing w:before="0" w:beforeAutospacing="off" w:after="0" w:afterAutospacing="off"/>
      </w:pPr>
      <w:r w:rsidRPr="72B539CC" w:rsidR="45658791">
        <w:rPr>
          <w:rFonts w:ascii="Arial" w:hAnsi="Arial" w:eastAsia="Arial" w:cs="Arial"/>
          <w:b w:val="0"/>
          <w:bCs w:val="0"/>
          <w:i w:val="0"/>
          <w:iCs w:val="0"/>
          <w:caps w:val="0"/>
          <w:smallCaps w:val="0"/>
          <w:noProof w:val="0"/>
          <w:color w:val="000000" w:themeColor="text1" w:themeTint="FF" w:themeShade="FF"/>
          <w:sz w:val="24"/>
          <w:szCs w:val="24"/>
          <w:lang w:val="en-GB"/>
        </w:rPr>
        <w:t>Nature and nurture......................................................................................... 5</w:t>
      </w:r>
    </w:p>
    <w:p xmlns:wp14="http://schemas.microsoft.com/office/word/2010/wordml" w:rsidP="235788E7" wp14:paraId="096CB114" wp14:textId="323DD986">
      <w:pPr>
        <w:shd w:val="clear" w:color="auto" w:fill="FFFFFF" w:themeFill="background1"/>
        <w:spacing w:before="0" w:beforeAutospacing="off" w:after="0" w:afterAutospacing="off"/>
      </w:pPr>
      <w:r w:rsidRPr="72B539CC" w:rsidR="45658791">
        <w:rPr>
          <w:rFonts w:ascii="Arial" w:hAnsi="Arial" w:eastAsia="Arial" w:cs="Arial"/>
          <w:b w:val="0"/>
          <w:bCs w:val="0"/>
          <w:i w:val="0"/>
          <w:iCs w:val="0"/>
          <w:caps w:val="0"/>
          <w:smallCaps w:val="0"/>
          <w:noProof w:val="0"/>
          <w:color w:val="000000" w:themeColor="text1" w:themeTint="FF" w:themeShade="FF"/>
          <w:sz w:val="24"/>
          <w:szCs w:val="24"/>
          <w:lang w:val="en-GB"/>
        </w:rPr>
        <w:t>Conclusion...................................................................................................... 5</w:t>
      </w:r>
    </w:p>
    <w:p xmlns:wp14="http://schemas.microsoft.com/office/word/2010/wordml" w:rsidP="235788E7" wp14:paraId="0D43160A" wp14:textId="6BB3C2BB">
      <w:pPr>
        <w:shd w:val="clear" w:color="auto" w:fill="FFFFFF" w:themeFill="background1"/>
        <w:spacing w:before="0" w:beforeAutospacing="off" w:after="0" w:afterAutospacing="off"/>
      </w:pPr>
      <w:r w:rsidRPr="72B539CC" w:rsidR="45658791">
        <w:rPr>
          <w:rFonts w:ascii="Arial" w:hAnsi="Arial" w:eastAsia="Arial" w:cs="Arial"/>
          <w:b w:val="0"/>
          <w:bCs w:val="0"/>
          <w:i w:val="0"/>
          <w:iCs w:val="0"/>
          <w:caps w:val="0"/>
          <w:smallCaps w:val="0"/>
          <w:noProof w:val="0"/>
          <w:color w:val="000000" w:themeColor="text1" w:themeTint="FF" w:themeShade="FF"/>
          <w:sz w:val="24"/>
          <w:szCs w:val="24"/>
          <w:lang w:val="en-GB"/>
        </w:rPr>
        <w:t>Reference list............................................................................................</w:t>
      </w:r>
      <w:r w:rsidRPr="72B539CC" w:rsidR="17915474">
        <w:rPr>
          <w:rFonts w:ascii="Arial" w:hAnsi="Arial" w:eastAsia="Arial" w:cs="Arial"/>
          <w:b w:val="0"/>
          <w:bCs w:val="0"/>
          <w:i w:val="0"/>
          <w:iCs w:val="0"/>
          <w:caps w:val="0"/>
          <w:smallCaps w:val="0"/>
          <w:noProof w:val="0"/>
          <w:color w:val="000000" w:themeColor="text1" w:themeTint="FF" w:themeShade="FF"/>
          <w:sz w:val="24"/>
          <w:szCs w:val="24"/>
          <w:lang w:val="en-GB"/>
        </w:rPr>
        <w:t>.</w:t>
      </w:r>
      <w:r w:rsidRPr="72B539CC" w:rsidR="45658791">
        <w:rPr>
          <w:rFonts w:ascii="Arial" w:hAnsi="Arial" w:eastAsia="Arial" w:cs="Arial"/>
          <w:b w:val="0"/>
          <w:bCs w:val="0"/>
          <w:i w:val="0"/>
          <w:iCs w:val="0"/>
          <w:caps w:val="0"/>
          <w:smallCaps w:val="0"/>
          <w:noProof w:val="0"/>
          <w:color w:val="000000" w:themeColor="text1" w:themeTint="FF" w:themeShade="FF"/>
          <w:sz w:val="24"/>
          <w:szCs w:val="24"/>
          <w:lang w:val="en-GB"/>
        </w:rPr>
        <w:t>..... 6</w:t>
      </w:r>
    </w:p>
    <w:p xmlns:wp14="http://schemas.microsoft.com/office/word/2010/wordml" w:rsidP="72B539CC" wp14:paraId="5F8E0F23" wp14:textId="0510ED7C">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438F6910" wp14:textId="7384A26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2ACB1C66" wp14:textId="24F17F7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248E23B5" wp14:textId="25EBB04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5D358514" wp14:textId="33890AA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5218B542" wp14:textId="24B277A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0479CD6B" wp14:textId="5487537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656EB4E8" wp14:textId="21D6525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603D4D59" wp14:textId="342B579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2081324F" wp14:textId="2141244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4BCACF57" wp14:textId="7734BCA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144C8E68" wp14:textId="5719E56B">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4915B61F" wp14:textId="14BBAB6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3340FD12" wp14:textId="7BC2AAE6">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09869F56" wp14:textId="7412E01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5707441E" wp14:textId="2ED886D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12CD8D28" wp14:textId="1472797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3126BE55" wp14:textId="5EB0D6F7">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45A90FBA" wp14:textId="3814037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69509BD9" wp14:textId="135DA2D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08B88661" wp14:textId="451AE66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0AEEAF89" wp14:textId="582DAC63">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3F172028" wp14:textId="1E41AB50">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7852256E" wp14:textId="77BA7A5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374D31C5" wp14:textId="7BE9DDF1">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3B090438" wp14:textId="60D1FDF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67BDD2DF" wp14:textId="7C3B4C36">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1D63C7AE" wp14:textId="2A5C3E6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7DC03F26" wp14:textId="5BF8ECE6">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66CB4183" wp14:textId="191B14B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2EBEF47A" wp14:textId="719C58E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4CCF2011" wp14:textId="6513185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7BC5CE99" wp14:textId="472F7708">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08733BD8" wp14:textId="44F029E3">
      <w:pPr>
        <w:pStyle w:val="Normal"/>
        <w:shd w:val="clear" w:color="auto" w:fill="FFFFFF" w:themeFill="background1"/>
        <w:spacing w:before="0" w:beforeAutospacing="off" w:after="0" w:afterAutospacing="off"/>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Adolescence is a time of major change. Young people begin to understand who they are, how they fit into the world, and how they relate to others. During this stage, social media often becomes a central part of their everyday life. Platforms such as Instagram, TikTok, Snapchat, and Facebook give teenagers ways to communicate,</w:t>
      </w:r>
    </w:p>
    <w:p xmlns:wp14="http://schemas.microsoft.com/office/word/2010/wordml" w:rsidP="72B539CC" wp14:paraId="72859E79" wp14:textId="51F91B26">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share </w:t>
      </w:r>
      <w:r w:rsidRPr="72B539CC" w:rsidR="62E98280">
        <w:rPr>
          <w:rFonts w:ascii="Arial" w:hAnsi="Arial" w:eastAsia="Arial" w:cs="Arial"/>
          <w:b w:val="0"/>
          <w:bCs w:val="0"/>
          <w:i w:val="0"/>
          <w:iCs w:val="0"/>
          <w:caps w:val="0"/>
          <w:smallCaps w:val="0"/>
          <w:noProof w:val="0"/>
          <w:color w:val="000000" w:themeColor="text1" w:themeTint="FF" w:themeShade="FF"/>
          <w:sz w:val="24"/>
          <w:szCs w:val="24"/>
          <w:lang w:val="en-GB"/>
        </w:rPr>
        <w:t>experiences and</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 explore different interests. While social media can offer connection and entertainment, it can also affect mental health in both positive and negative ways. This essay will discuss how social media </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impacts</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 adolescent mental health by using Bowlby’s attachment theory and Erikson’s theory of psychosocial development. These theories help explain why some teenagers may struggle emotionally when using social media, while others may cope more easily.</w:t>
      </w:r>
    </w:p>
    <w:p xmlns:wp14="http://schemas.microsoft.com/office/word/2010/wordml" w:rsidP="235788E7" wp14:paraId="1FFE662E" wp14:textId="78687A32">
      <w:pPr>
        <w:pStyle w:val="Normal"/>
        <w:shd w:val="clear" w:color="auto" w:fill="FFFFFF" w:themeFill="background1"/>
        <w:spacing w:before="0" w:beforeAutospacing="off" w:after="0" w:afterAutospacing="off"/>
        <w:rPr>
          <w:rFonts w:ascii="Arial" w:hAnsi="Arial" w:eastAsia="Arial" w:cs="Arial"/>
        </w:rPr>
      </w:pPr>
    </w:p>
    <w:p xmlns:wp14="http://schemas.microsoft.com/office/word/2010/wordml" w:rsidP="72B539CC" wp14:paraId="59AFCE37" wp14:textId="6029F3B1">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Social media can influence how adolescents feel about </w:t>
      </w:r>
      <w:r w:rsidRPr="72B539CC" w:rsidR="08532609">
        <w:rPr>
          <w:rFonts w:ascii="Arial" w:hAnsi="Arial" w:eastAsia="Arial" w:cs="Arial"/>
          <w:b w:val="0"/>
          <w:bCs w:val="0"/>
          <w:i w:val="0"/>
          <w:iCs w:val="0"/>
          <w:caps w:val="0"/>
          <w:smallCaps w:val="0"/>
          <w:noProof w:val="0"/>
          <w:color w:val="000000" w:themeColor="text1" w:themeTint="FF" w:themeShade="FF"/>
          <w:sz w:val="24"/>
          <w:szCs w:val="24"/>
          <w:lang w:val="en-GB"/>
        </w:rPr>
        <w:t>themselves (</w:t>
      </w:r>
      <w:r w:rsidRPr="72B539CC" w:rsidR="1018C4D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Charmaraman</w:t>
      </w:r>
      <w:r w:rsidRPr="72B539CC" w:rsidR="1018C4D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L., Hodes, R., &amp; Richer, A. M. 2021).</w:t>
      </w:r>
      <w:r w:rsidRPr="72B539CC" w:rsidR="1018C4DA">
        <w:rPr>
          <w:rFonts w:ascii="Arial" w:hAnsi="Arial" w:eastAsia="Arial" w:cs="Arial"/>
          <w:noProof w:val="0"/>
          <w:sz w:val="24"/>
          <w:szCs w:val="24"/>
          <w:lang w:val="en-GB"/>
        </w:rPr>
        <w:t xml:space="preserve"> </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Teenagers often compare their appearance, achievements, and lifestyle to what they see online. Many posts show idealised images that are edited or carefully chosen. When young people compare themselves to these unrealistic standards, they may feel insecure or dissatisfied with their own lives. This can lead to low </w:t>
      </w:r>
      <w:r w:rsidRPr="72B539CC" w:rsidR="7ADA2EDD">
        <w:rPr>
          <w:rFonts w:ascii="Arial" w:hAnsi="Arial" w:eastAsia="Arial" w:cs="Arial"/>
          <w:b w:val="0"/>
          <w:bCs w:val="0"/>
          <w:i w:val="0"/>
          <w:iCs w:val="0"/>
          <w:caps w:val="0"/>
          <w:smallCaps w:val="0"/>
          <w:noProof w:val="0"/>
          <w:color w:val="000000" w:themeColor="text1" w:themeTint="FF" w:themeShade="FF"/>
          <w:sz w:val="24"/>
          <w:szCs w:val="24"/>
          <w:lang w:val="en-GB"/>
        </w:rPr>
        <w:t>self-esteem</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anxiety, or sadness. Research has shown that heavy social media use is linked to increased feelings of loneliness and depression in young people. Teenagers may also feel pressure to stay constantly connected, which can make them stressed or overwhelmed. Notifications, messages, and the fear of missing out can create a sense of urgency that affects their ability to relax.</w:t>
      </w:r>
    </w:p>
    <w:p xmlns:wp14="http://schemas.microsoft.com/office/word/2010/wordml" w:rsidP="72B539CC" wp14:paraId="0823D5E0" wp14:textId="6D444E3D">
      <w:pPr>
        <w:pStyle w:val="Normal"/>
        <w:shd w:val="clear" w:color="auto" w:fill="FFFFFF" w:themeFill="background1"/>
        <w:spacing w:before="0" w:beforeAutospacing="off" w:after="0" w:afterAutospacing="off"/>
        <w:rPr>
          <w:rFonts w:ascii="Arial" w:hAnsi="Arial" w:eastAsia="Arial" w:cs="Arial"/>
        </w:rPr>
      </w:pPr>
    </w:p>
    <w:p xmlns:wp14="http://schemas.microsoft.com/office/word/2010/wordml" w:rsidP="235788E7" wp14:paraId="6142D147" wp14:textId="631B80AC">
      <w:pPr>
        <w:shd w:val="clear" w:color="auto" w:fill="FFFFFF" w:themeFill="background1"/>
        <w:spacing w:before="0" w:beforeAutospacing="off" w:after="0" w:afterAutospacing="off"/>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Erikson’s theory of psychosocial development also helps explain the impact of social media. Erikson said that adolescence is the stage of identity vs. role confusion, where young people try to understand who they are. Social media can make this process more complicated. Teenagers may feel unsure about their identity when they see many different lifestyles, opinions, and expectations online. They might change their behaviour or appearance to fit in with certain groups or trends. This can lead to confusion, stress, or pressure to meet unrealistic standards. On the other hand, social media can also support identity development. It allows adolescents to explore interests, join communities, and express themselves. When used positively, it can help them build confidence and feel part of a supportive group.</w:t>
      </w:r>
    </w:p>
    <w:p xmlns:wp14="http://schemas.microsoft.com/office/word/2010/wordml" w:rsidP="72B539CC" wp14:paraId="15053D91" wp14:textId="6F5B227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Another major issue linked to social media is cyberbullying</w:t>
      </w:r>
      <w:r w:rsidRPr="72B539CC" w:rsidR="2CED94F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539CC" w:rsidR="2CED94F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Milosevic, T. 2018)</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 Negative comments, rumours, or online harassment can seriously harm a young person’s mental health. Teenagers who experience cyberbullying may feel scared, ashamed, or isolated. Because social media is always accessible, bullying can follow them into their home, making it difficult to escape. Bowlby’s theory suggests that adolescents with insecure attachment may find it harder to cope with bullying because they already struggle with trust and emotional regulation. Erikson’s theory also shows that bullying can interrupt identity development, making adolescents feel unsure about themselves or fearful of social situations. Cyberbullying can damage </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self</w:t>
      </w:r>
      <w:r>
        <w:noBreakHyphen/>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esteem</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 and increase the risk of depression or anxiety.</w:t>
      </w:r>
    </w:p>
    <w:p xmlns:wp14="http://schemas.microsoft.com/office/word/2010/wordml" w:rsidP="235788E7" wp14:paraId="39FCE522" wp14:textId="7C9830C0">
      <w:pPr>
        <w:shd w:val="clear" w:color="auto" w:fill="FFFFFF" w:themeFill="background1"/>
        <w:spacing w:before="0" w:beforeAutospacing="off" w:after="0" w:afterAutospacing="off"/>
        <w:rPr>
          <w:rFonts w:ascii="Arial" w:hAnsi="Arial" w:eastAsia="Arial" w:cs="Arial"/>
        </w:rPr>
      </w:pPr>
    </w:p>
    <w:p xmlns:wp14="http://schemas.microsoft.com/office/word/2010/wordml" w:rsidP="72B539CC" wp14:paraId="12B49287" wp14:textId="002D44AC">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Social media can also affect sleep, which is </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closely linked</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 to mental health. Many teenagers use their phones late at night, either to talk to friends or scroll through content. The light from screens can make it harder to fall asleep, and constant notifications can interrupt rest. Poor sleep can increase stress, reduce concentration, and make emotional problems worse</w:t>
      </w:r>
      <w:r w:rsidRPr="72B539CC" w:rsidR="7A8F3A8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539CC" w:rsidR="7A8F3A86">
        <w:rPr>
          <w:rFonts w:ascii="Arial" w:hAnsi="Arial" w:eastAsia="Arial" w:cs="Arial"/>
          <w:b w:val="0"/>
          <w:bCs w:val="0"/>
          <w:i w:val="0"/>
          <w:iCs w:val="0"/>
          <w:caps w:val="0"/>
          <w:smallCaps w:val="0"/>
          <w:noProof w:val="0"/>
          <w:color w:val="000000" w:themeColor="text1" w:themeTint="FF" w:themeShade="FF"/>
          <w:sz w:val="24"/>
          <w:szCs w:val="24"/>
          <w:lang w:val="en-GB"/>
        </w:rPr>
        <w:t>(</w:t>
      </w:r>
      <w:r w:rsidRPr="72B539CC" w:rsidR="7A8F3A8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Behera</w:t>
      </w:r>
      <w:r w:rsidRPr="72B539CC" w:rsidR="7A8F3A86">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N., Khuntia, S., Pandey, K., &amp; Shankar, S. 2025)</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Adolescents who already struggle with anxiety or low mood may find that lack of sleep intensifies these feelings. Bowlby’s theory helps explain why some teenagers may turn to social media at night for comfort or distraction, especially if they feel lonely or insecure. Erikson’s theory shows that teenagers who are unsure about their identity may spend more time online seeking reassurance, which can also affect sleep.</w:t>
      </w:r>
    </w:p>
    <w:p xmlns:wp14="http://schemas.microsoft.com/office/word/2010/wordml" w:rsidP="235788E7" wp14:paraId="2BFC06F2" wp14:textId="530DF079">
      <w:pPr>
        <w:pStyle w:val="Normal"/>
        <w:shd w:val="clear" w:color="auto" w:fill="FFFFFF" w:themeFill="background1"/>
        <w:spacing w:before="0" w:beforeAutospacing="off" w:after="0" w:afterAutospacing="off"/>
        <w:rPr>
          <w:rFonts w:ascii="Arial" w:hAnsi="Arial" w:eastAsia="Arial" w:cs="Arial"/>
        </w:rPr>
      </w:pPr>
    </w:p>
    <w:p xmlns:wp14="http://schemas.microsoft.com/office/word/2010/wordml" w:rsidP="72B539CC" wp14:paraId="42D6FDE0" wp14:textId="5C113BA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Despite these challenges, social media can have positive effects</w:t>
      </w:r>
      <w:r w:rsidRPr="72B539CC" w:rsidR="033EF4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539CC" w:rsidR="033EF45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Oden, A., &amp; Porter, L. 2023</w:t>
      </w:r>
      <w:r w:rsidRPr="72B539CC" w:rsidR="291B786D">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72B539CC" w:rsidR="033EF45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It allows teenagers to stay connected with friends, especially when they feel lonely or isolated. Some young people find supportive communities online where they can talk about their feelings or share experiences. Social media can also help adolescents learn new skills, explore hobbies, and access mental health information. For example, some platforms offer educational content, creative inspiration, or peer support groups. When used responsibly, social media can be a helpful tool for communication and </w:t>
      </w:r>
      <w:r w:rsidRPr="72B539CC" w:rsidR="63DC6A9B">
        <w:rPr>
          <w:rFonts w:ascii="Arial" w:hAnsi="Arial" w:eastAsia="Arial" w:cs="Arial"/>
          <w:b w:val="0"/>
          <w:bCs w:val="0"/>
          <w:i w:val="0"/>
          <w:iCs w:val="0"/>
          <w:caps w:val="0"/>
          <w:smallCaps w:val="0"/>
          <w:noProof w:val="0"/>
          <w:color w:val="000000" w:themeColor="text1" w:themeTint="FF" w:themeShade="FF"/>
          <w:sz w:val="24"/>
          <w:szCs w:val="24"/>
          <w:lang w:val="en-GB"/>
        </w:rPr>
        <w:t>self-expression</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35788E7" wp14:paraId="47DFA569" wp14:textId="0167BD0E">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34A19AF7" wp14:textId="5C367955">
      <w:pPr>
        <w:pStyle w:val="Normal"/>
        <w:shd w:val="clear" w:color="auto" w:fill="FFFFFF" w:themeFill="background1"/>
        <w:spacing w:before="0" w:beforeAutospacing="off" w:after="0" w:afterAutospacing="off"/>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Bowlby’s attachment theory helps explain why social media can be beneficial for some adolescents</w:t>
      </w:r>
      <w:r w:rsidRPr="72B539CC" w:rsidR="020FE49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(West, M., Rice, S., &amp; Vella-Brodrick, D. 2024)</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Teenagers with secure attachment may use social media to strengthen relationships and explore interests without relying on it for emotional validation. They may feel comfortable setting boundaries, such as limiting screen time or avoiding negative content. Erikson’s theory also shows that social media can support identity development when adolescents use it to explore interests, express</w:t>
      </w:r>
      <w:r w:rsidRPr="72B539CC" w:rsidR="5B2B2F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themselves, and connect with positive communities. For example, teenagers who enjoy art, music, or sports may find groups that encourage their passions. This can help them build confidence and feel more secure in their identity.</w:t>
      </w:r>
    </w:p>
    <w:p w:rsidR="72B539CC" w:rsidP="72B539CC" w:rsidRDefault="72B539CC" w14:paraId="15BF968D" w14:textId="337F2220">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27037F40" w:rsidP="72B539CC" w:rsidRDefault="27037F40" w14:paraId="75C4A5E7" w14:textId="31EE7389">
      <w:pPr>
        <w:pStyle w:val="Normal"/>
        <w:shd w:val="clear" w:color="auto" w:fill="FFFFFF" w:themeFill="background1"/>
        <w:spacing w:before="0" w:beforeAutospacing="off" w:after="0" w:afterAutospacing="off"/>
      </w:pPr>
      <w:r w:rsidRPr="72B539CC" w:rsidR="27037F40">
        <w:rPr>
          <w:rFonts w:ascii="Aptos" w:hAnsi="Aptos" w:eastAsia="Aptos" w:cs="Aptos"/>
          <w:b w:val="0"/>
          <w:bCs w:val="0"/>
          <w:i w:val="0"/>
          <w:iCs w:val="0"/>
          <w:caps w:val="0"/>
          <w:smallCaps w:val="0"/>
          <w:noProof w:val="0"/>
          <w:color w:val="000000" w:themeColor="text1" w:themeTint="FF" w:themeShade="FF"/>
          <w:sz w:val="24"/>
          <w:szCs w:val="24"/>
          <w:lang w:val="en-GB"/>
        </w:rPr>
        <w:t>Adolescent mental health is shaped by both nature and nurture, and these influences can help explain why social media affects young people differently</w:t>
      </w:r>
      <w:r w:rsidRPr="72B539CC" w:rsidR="52571F8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(Bhupati, M., Alexander, N., Perry, Y., &amp; Farrugia, J. 2026)</w:t>
      </w:r>
      <w:r w:rsidRPr="72B539CC" w:rsidR="27037F40">
        <w:rPr>
          <w:rFonts w:ascii="Aptos" w:hAnsi="Aptos" w:eastAsia="Aptos" w:cs="Aptos"/>
          <w:b w:val="0"/>
          <w:bCs w:val="0"/>
          <w:i w:val="0"/>
          <w:iCs w:val="0"/>
          <w:caps w:val="0"/>
          <w:smallCaps w:val="0"/>
          <w:noProof w:val="0"/>
          <w:color w:val="000000" w:themeColor="text1" w:themeTint="FF" w:themeShade="FF"/>
          <w:sz w:val="24"/>
          <w:szCs w:val="24"/>
          <w:lang w:val="en-GB"/>
        </w:rPr>
        <w:t>.</w:t>
      </w:r>
      <w:r w:rsidRPr="72B539CC" w:rsidR="7D0FD66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2B539CC" w:rsidR="27037F40">
        <w:rPr>
          <w:rFonts w:ascii="Aptos" w:hAnsi="Aptos" w:eastAsia="Aptos" w:cs="Aptos"/>
          <w:b w:val="0"/>
          <w:bCs w:val="0"/>
          <w:i w:val="0"/>
          <w:iCs w:val="0"/>
          <w:caps w:val="0"/>
          <w:smallCaps w:val="0"/>
          <w:noProof w:val="0"/>
          <w:color w:val="000000" w:themeColor="text1" w:themeTint="FF" w:themeShade="FF"/>
          <w:sz w:val="24"/>
          <w:szCs w:val="24"/>
          <w:lang w:val="en-GB"/>
        </w:rPr>
        <w:t xml:space="preserve"> Nature refers to the biological factors a young person is born with, such as temperament. Some teenagers naturally have a more sensitive or anxious temperament, which can make them more affected by online pressure, comparison, or negative comments. Nurture refers to the environment they grow up in, including family relationships, school experiences, and social support. Teenagers who experience </w:t>
      </w:r>
      <w:r w:rsidRPr="72B539CC" w:rsidR="27037F40">
        <w:rPr>
          <w:rFonts w:ascii="Aptos" w:hAnsi="Aptos" w:eastAsia="Aptos" w:cs="Aptos"/>
          <w:b w:val="0"/>
          <w:bCs w:val="0"/>
          <w:i w:val="0"/>
          <w:iCs w:val="0"/>
          <w:caps w:val="0"/>
          <w:smallCaps w:val="0"/>
          <w:noProof w:val="0"/>
          <w:color w:val="000000" w:themeColor="text1" w:themeTint="FF" w:themeShade="FF"/>
          <w:sz w:val="24"/>
          <w:szCs w:val="24"/>
          <w:lang w:val="en-GB"/>
        </w:rPr>
        <w:t>strong support</w:t>
      </w:r>
      <w:r w:rsidRPr="72B539CC" w:rsidR="27037F40">
        <w:rPr>
          <w:rFonts w:ascii="Aptos" w:hAnsi="Aptos" w:eastAsia="Aptos" w:cs="Aptos"/>
          <w:b w:val="0"/>
          <w:bCs w:val="0"/>
          <w:i w:val="0"/>
          <w:iCs w:val="0"/>
          <w:caps w:val="0"/>
          <w:smallCaps w:val="0"/>
          <w:noProof w:val="0"/>
          <w:color w:val="000000" w:themeColor="text1" w:themeTint="FF" w:themeShade="FF"/>
          <w:sz w:val="24"/>
          <w:szCs w:val="24"/>
          <w:lang w:val="en-GB"/>
        </w:rPr>
        <w:t xml:space="preserve"> at home or have secure relationships often cope better with social media because they have people to talk to and feel more confident in themselves. Those who grow up with stress, conflict, or limited support may rely more heavily on social media for approval or connection, which can increase anxiety, loneliness, or low self</w:t>
      </w:r>
      <w:r>
        <w:noBreakHyphen/>
      </w:r>
      <w:r w:rsidRPr="72B539CC" w:rsidR="27037F40">
        <w:rPr>
          <w:rFonts w:ascii="Aptos" w:hAnsi="Aptos" w:eastAsia="Aptos" w:cs="Aptos"/>
          <w:b w:val="0"/>
          <w:bCs w:val="0"/>
          <w:i w:val="0"/>
          <w:iCs w:val="0"/>
          <w:caps w:val="0"/>
          <w:smallCaps w:val="0"/>
          <w:noProof w:val="0"/>
          <w:color w:val="000000" w:themeColor="text1" w:themeTint="FF" w:themeShade="FF"/>
          <w:sz w:val="24"/>
          <w:szCs w:val="24"/>
          <w:lang w:val="en-GB"/>
        </w:rPr>
        <w:t>esteem. When nature and nurture interact, they shape how each adolescent responds to social media — meaning the same online experience can feel harmless to one young person but overwhelming to another.</w:t>
      </w:r>
    </w:p>
    <w:p w:rsidR="72B539CC" w:rsidP="72B539CC" w:rsidRDefault="72B539CC" w14:paraId="66A2A1ED" w14:textId="013574B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2B539CC" wp14:paraId="67DF58D3" wp14:textId="0E548662">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It is important to recognise that social media affects adolescents differently. Factors such as personality, family environment, peer relationships, and attachment style all play a role. Some teenagers may be more vulnerable to negative effects</w:t>
      </w:r>
      <w:r w:rsidRPr="72B539CC" w:rsidR="41B7937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(Hofmann, V., &amp; Müller, C. M. 2021)</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 while others may </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benefit</w:t>
      </w:r>
      <w:r w:rsidRPr="72B539CC" w:rsidR="6229BE5A">
        <w:rPr>
          <w:rFonts w:ascii="Arial" w:hAnsi="Arial" w:eastAsia="Arial" w:cs="Arial"/>
          <w:b w:val="0"/>
          <w:bCs w:val="0"/>
          <w:i w:val="0"/>
          <w:iCs w:val="0"/>
          <w:caps w:val="0"/>
          <w:smallCaps w:val="0"/>
          <w:noProof w:val="0"/>
          <w:color w:val="000000" w:themeColor="text1" w:themeTint="FF" w:themeShade="FF"/>
          <w:sz w:val="24"/>
          <w:szCs w:val="24"/>
          <w:lang w:val="en-GB"/>
        </w:rPr>
        <w:t xml:space="preserve"> from the opportunities social media provides. Parents, teachers, and professionals can help by encouraging healthy online habits. This might include setting limits on screen time, discussing online safety, and promoting positive content. Adolescents should be encouraged to balance online activities with offline experiences, such as spending time with friends, exercising, or pursuing hobbies.</w:t>
      </w:r>
    </w:p>
    <w:p xmlns:wp14="http://schemas.microsoft.com/office/word/2010/wordml" w:rsidP="235788E7" wp14:paraId="5AC74C0D" wp14:textId="090E3EFE">
      <w:pPr>
        <w:pStyle w:val="Normal"/>
        <w:shd w:val="clear" w:color="auto" w:fill="FFFFFF" w:themeFill="background1"/>
        <w:spacing w:before="0" w:beforeAutospacing="off" w:after="0" w:afterAutospacing="off"/>
        <w:rPr>
          <w:rFonts w:ascii="Arial" w:hAnsi="Arial" w:eastAsia="Arial" w:cs="Arial"/>
        </w:rPr>
      </w:pPr>
    </w:p>
    <w:p xmlns:wp14="http://schemas.microsoft.com/office/word/2010/wordml" w:rsidP="235788E7" wp14:paraId="6CFDBAFF" wp14:textId="11E38EFA">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35788E7" w:rsidR="50E284F2">
        <w:rPr>
          <w:rFonts w:ascii="Arial" w:hAnsi="Arial" w:eastAsia="Arial" w:cs="Arial"/>
          <w:b w:val="0"/>
          <w:bCs w:val="0"/>
          <w:i w:val="0"/>
          <w:iCs w:val="0"/>
          <w:caps w:val="0"/>
          <w:smallCaps w:val="0"/>
          <w:noProof w:val="0"/>
          <w:color w:val="000000" w:themeColor="text1" w:themeTint="FF" w:themeShade="FF"/>
          <w:sz w:val="24"/>
          <w:szCs w:val="24"/>
          <w:lang w:val="en-GB"/>
        </w:rPr>
        <w:t>In conclusion, social media has a strong impact on adolescent mental health. It can create pressure, increase anxiety, and affect self</w:t>
      </w:r>
      <w:r>
        <w:noBreakHyphen/>
      </w:r>
      <w:r w:rsidRPr="235788E7" w:rsidR="50E284F2">
        <w:rPr>
          <w:rFonts w:ascii="Arial" w:hAnsi="Arial" w:eastAsia="Arial" w:cs="Arial"/>
          <w:b w:val="0"/>
          <w:bCs w:val="0"/>
          <w:i w:val="0"/>
          <w:iCs w:val="0"/>
          <w:caps w:val="0"/>
          <w:smallCaps w:val="0"/>
          <w:noProof w:val="0"/>
          <w:color w:val="000000" w:themeColor="text1" w:themeTint="FF" w:themeShade="FF"/>
          <w:sz w:val="24"/>
          <w:szCs w:val="24"/>
          <w:lang w:val="en-GB"/>
        </w:rPr>
        <w:t xml:space="preserve">esteem, especially when teenagers compare themselves to others or experience cyberbullying. Bowlby’s attachment theory shows how early relationships influence the way adolescents respond to social media, while Erikson’s theory explains how social media can shape identity development. Although social media can cause difficulties, it can also offer connection and support when used in a balanced way. Understanding these theories helps explain why social media affects young people differently and highlights the importance of guiding adolescents toward healthy online habits. By supporting teenagers in developing secure relationships and </w:t>
      </w:r>
      <w:r w:rsidRPr="235788E7" w:rsidR="50E284F2">
        <w:rPr>
          <w:rFonts w:ascii="Arial" w:hAnsi="Arial" w:eastAsia="Arial" w:cs="Arial"/>
          <w:b w:val="0"/>
          <w:bCs w:val="0"/>
          <w:i w:val="0"/>
          <w:iCs w:val="0"/>
          <w:caps w:val="0"/>
          <w:smallCaps w:val="0"/>
          <w:noProof w:val="0"/>
          <w:color w:val="000000" w:themeColor="text1" w:themeTint="FF" w:themeShade="FF"/>
          <w:sz w:val="24"/>
          <w:szCs w:val="24"/>
          <w:lang w:val="en-GB"/>
        </w:rPr>
        <w:t>a strong sense</w:t>
      </w:r>
      <w:r w:rsidRPr="235788E7" w:rsidR="50E284F2">
        <w:rPr>
          <w:rFonts w:ascii="Arial" w:hAnsi="Arial" w:eastAsia="Arial" w:cs="Arial"/>
          <w:b w:val="0"/>
          <w:bCs w:val="0"/>
          <w:i w:val="0"/>
          <w:iCs w:val="0"/>
          <w:caps w:val="0"/>
          <w:smallCaps w:val="0"/>
          <w:noProof w:val="0"/>
          <w:color w:val="000000" w:themeColor="text1" w:themeTint="FF" w:themeShade="FF"/>
          <w:sz w:val="24"/>
          <w:szCs w:val="24"/>
          <w:lang w:val="en-GB"/>
        </w:rPr>
        <w:t xml:space="preserve"> of identity, we can help them use social media in a way that protects their mental health and encourages </w:t>
      </w:r>
      <w:r w:rsidRPr="235788E7" w:rsidR="50E284F2">
        <w:rPr>
          <w:rFonts w:ascii="Arial" w:hAnsi="Arial" w:eastAsia="Arial" w:cs="Arial"/>
          <w:b w:val="0"/>
          <w:bCs w:val="0"/>
          <w:i w:val="0"/>
          <w:iCs w:val="0"/>
          <w:caps w:val="0"/>
          <w:smallCaps w:val="0"/>
          <w:noProof w:val="0"/>
          <w:color w:val="000000" w:themeColor="text1" w:themeTint="FF" w:themeShade="FF"/>
          <w:sz w:val="24"/>
          <w:szCs w:val="24"/>
          <w:lang w:val="en-GB"/>
        </w:rPr>
        <w:t>growth</w:t>
      </w:r>
      <w:r w:rsidRPr="235788E7" w:rsidR="50E284F2">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235788E7" wp14:paraId="26D7AA7F" wp14:textId="4E5F41BC">
      <w:pPr>
        <w:shd w:val="clear" w:color="auto" w:fill="FFFFFF" w:themeFill="background1"/>
        <w:spacing w:before="0" w:beforeAutospacing="off" w:after="0" w:afterAutospacing="off"/>
      </w:pPr>
    </w:p>
    <w:p xmlns:wp14="http://schemas.microsoft.com/office/word/2010/wordml" w:rsidP="235788E7" wp14:paraId="7791A0DE" wp14:textId="79864234">
      <w:pPr>
        <w:shd w:val="clear" w:color="auto" w:fill="FFFFFF" w:themeFill="background1"/>
        <w:spacing w:before="0" w:beforeAutospacing="off" w:after="0" w:afterAutospacing="off"/>
      </w:pPr>
    </w:p>
    <w:p xmlns:wp14="http://schemas.microsoft.com/office/word/2010/wordml" w:rsidP="235788E7" wp14:paraId="62C8182C" wp14:textId="42F42B97">
      <w:pPr>
        <w:shd w:val="clear" w:color="auto" w:fill="FFFFFF" w:themeFill="background1"/>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2B539CC" w:rsidP="72B539CC" w:rsidRDefault="72B539CC" w14:paraId="68D7888A" w14:textId="31B00372">
      <w:pPr>
        <w:pStyle w:val="Normal"/>
        <w:shd w:val="clear" w:color="auto" w:fill="FFFFFF" w:themeFill="background1"/>
        <w:spacing w:before="0" w:beforeAutospacing="off" w:after="0" w:afterAutospacing="off"/>
      </w:pPr>
    </w:p>
    <w:p w:rsidR="72B539CC" w:rsidP="72B539CC" w:rsidRDefault="72B539CC" w14:paraId="2415768C" w14:textId="17FFE996">
      <w:pPr>
        <w:pStyle w:val="Normal"/>
        <w:shd w:val="clear" w:color="auto" w:fill="FFFFFF" w:themeFill="background1"/>
        <w:spacing w:before="0" w:beforeAutospacing="off" w:after="0" w:afterAutospacing="off"/>
      </w:pPr>
    </w:p>
    <w:p w:rsidR="72B539CC" w:rsidP="72B539CC" w:rsidRDefault="72B539CC" w14:paraId="4752B7A0" w14:textId="440E54B6">
      <w:pPr>
        <w:pStyle w:val="Normal"/>
        <w:shd w:val="clear" w:color="auto" w:fill="FFFFFF" w:themeFill="background1"/>
        <w:spacing w:before="0" w:beforeAutospacing="off" w:after="0" w:afterAutospacing="off"/>
      </w:pPr>
    </w:p>
    <w:p w:rsidR="72B539CC" w:rsidP="72B539CC" w:rsidRDefault="72B539CC" w14:paraId="34C6D320" w14:textId="71552C8F">
      <w:pPr>
        <w:pStyle w:val="Normal"/>
        <w:shd w:val="clear" w:color="auto" w:fill="FFFFFF" w:themeFill="background1"/>
        <w:spacing w:before="0" w:beforeAutospacing="off" w:after="0" w:afterAutospacing="off"/>
      </w:pPr>
    </w:p>
    <w:p w:rsidR="72B539CC" w:rsidP="72B539CC" w:rsidRDefault="72B539CC" w14:paraId="048C238D" w14:textId="72EF67F7">
      <w:pPr>
        <w:pStyle w:val="Normal"/>
        <w:shd w:val="clear" w:color="auto" w:fill="FFFFFF" w:themeFill="background1"/>
        <w:spacing w:before="0" w:beforeAutospacing="off" w:after="0" w:afterAutospacing="off"/>
      </w:pPr>
    </w:p>
    <w:p w:rsidR="72B539CC" w:rsidP="72B539CC" w:rsidRDefault="72B539CC" w14:paraId="685E6398" w14:textId="48E1B2B2">
      <w:pPr>
        <w:pStyle w:val="Normal"/>
        <w:shd w:val="clear" w:color="auto" w:fill="FFFFFF" w:themeFill="background1"/>
        <w:spacing w:before="0" w:beforeAutospacing="off" w:after="0" w:afterAutospacing="off"/>
      </w:pPr>
    </w:p>
    <w:p w:rsidR="72B539CC" w:rsidP="72B539CC" w:rsidRDefault="72B539CC" w14:paraId="30426A74" w14:textId="68DC3AFD">
      <w:pPr>
        <w:pStyle w:val="Normal"/>
        <w:shd w:val="clear" w:color="auto" w:fill="FFFFFF" w:themeFill="background1"/>
        <w:spacing w:before="0" w:beforeAutospacing="off" w:after="0" w:afterAutospacing="off"/>
      </w:pPr>
    </w:p>
    <w:p w:rsidR="72B539CC" w:rsidP="72B539CC" w:rsidRDefault="72B539CC" w14:paraId="519CD367" w14:textId="6EE808C5">
      <w:pPr>
        <w:pStyle w:val="Normal"/>
        <w:shd w:val="clear" w:color="auto" w:fill="FFFFFF" w:themeFill="background1"/>
        <w:spacing w:before="0" w:beforeAutospacing="off" w:after="0" w:afterAutospacing="off"/>
      </w:pPr>
    </w:p>
    <w:p w:rsidR="72B539CC" w:rsidP="72B539CC" w:rsidRDefault="72B539CC" w14:paraId="45F204F8" w14:textId="1ACA5A4D">
      <w:pPr>
        <w:pStyle w:val="Normal"/>
        <w:shd w:val="clear" w:color="auto" w:fill="FFFFFF" w:themeFill="background1"/>
        <w:spacing w:before="0" w:beforeAutospacing="off" w:after="0" w:afterAutospacing="off"/>
      </w:pPr>
    </w:p>
    <w:p w:rsidR="72B539CC" w:rsidP="72B539CC" w:rsidRDefault="72B539CC" w14:paraId="3BBCE01E" w14:textId="0C40DF1F">
      <w:pPr>
        <w:pStyle w:val="Normal"/>
        <w:shd w:val="clear" w:color="auto" w:fill="FFFFFF" w:themeFill="background1"/>
        <w:spacing w:before="0" w:beforeAutospacing="off" w:after="0" w:afterAutospacing="off"/>
      </w:pPr>
    </w:p>
    <w:p w:rsidR="72B539CC" w:rsidP="72B539CC" w:rsidRDefault="72B539CC" w14:paraId="50149A87" w14:textId="6980D514">
      <w:pPr>
        <w:pStyle w:val="Normal"/>
        <w:shd w:val="clear" w:color="auto" w:fill="FFFFFF" w:themeFill="background1"/>
        <w:spacing w:before="0" w:beforeAutospacing="off" w:after="0" w:afterAutospacing="off"/>
      </w:pPr>
    </w:p>
    <w:p w:rsidR="72B539CC" w:rsidP="72B539CC" w:rsidRDefault="72B539CC" w14:paraId="4241D4D1" w14:textId="60DA5227">
      <w:pPr>
        <w:pStyle w:val="Normal"/>
        <w:shd w:val="clear" w:color="auto" w:fill="FFFFFF" w:themeFill="background1"/>
        <w:spacing w:before="0" w:beforeAutospacing="off" w:after="0" w:afterAutospacing="off"/>
      </w:pPr>
    </w:p>
    <w:p w:rsidR="72B539CC" w:rsidP="72B539CC" w:rsidRDefault="72B539CC" w14:paraId="40B4EE8F" w14:textId="5813F9E4">
      <w:pPr>
        <w:pStyle w:val="Normal"/>
        <w:shd w:val="clear" w:color="auto" w:fill="FFFFFF" w:themeFill="background1"/>
        <w:spacing w:before="0" w:beforeAutospacing="off" w:after="0" w:afterAutospacing="off"/>
      </w:pPr>
    </w:p>
    <w:p w:rsidR="72B539CC" w:rsidP="72B539CC" w:rsidRDefault="72B539CC" w14:paraId="6B5336E2" w14:textId="263C7C45">
      <w:pPr>
        <w:pStyle w:val="Normal"/>
        <w:shd w:val="clear" w:color="auto" w:fill="FFFFFF" w:themeFill="background1"/>
        <w:spacing w:before="0" w:beforeAutospacing="off" w:after="0" w:afterAutospacing="off"/>
      </w:pPr>
    </w:p>
    <w:p xmlns:wp14="http://schemas.microsoft.com/office/word/2010/wordml" w:rsidP="235788E7" wp14:paraId="05A55EC7" wp14:textId="39E16C99">
      <w:pPr>
        <w:shd w:val="clear" w:color="auto" w:fill="FFFFFF" w:themeFill="background1"/>
        <w:spacing w:before="0" w:beforeAutospacing="off" w:after="0" w:afterAutospacing="off"/>
      </w:pPr>
    </w:p>
    <w:p xmlns:wp14="http://schemas.microsoft.com/office/word/2010/wordml" w:rsidP="235788E7" wp14:paraId="543442F1" wp14:textId="691284AA">
      <w:pPr>
        <w:shd w:val="clear" w:color="auto" w:fill="FFFFFF" w:themeFill="background1"/>
        <w:spacing w:before="0" w:beforeAutospacing="off" w:after="0" w:afterAutospacing="off"/>
      </w:pPr>
      <w:r w:rsidR="22E748AD">
        <w:rPr/>
        <w:t xml:space="preserve">Reference list </w:t>
      </w:r>
    </w:p>
    <w:p xmlns:wp14="http://schemas.microsoft.com/office/word/2010/wordml" w:rsidP="235788E7" wp14:paraId="4555954D" wp14:textId="2BCA50BD">
      <w:pPr>
        <w:shd w:val="clear" w:color="auto" w:fill="FFFFFF" w:themeFill="background1"/>
        <w:spacing w:before="0" w:beforeAutospacing="off" w:after="0" w:afterAutospacing="off"/>
      </w:pPr>
    </w:p>
    <w:p xmlns:wp14="http://schemas.microsoft.com/office/word/2010/wordml" w:rsidP="72B539CC" wp14:paraId="68755AF0" wp14:textId="520C71BE">
      <w:pPr>
        <w:pStyle w:val="Normal"/>
        <w:shd w:val="clear" w:color="auto" w:fill="FFFFFF" w:themeFill="background1"/>
        <w:spacing w:before="0" w:beforeAutospacing="off" w:after="0" w:afterAutospacing="off"/>
      </w:pPr>
      <w:r w:rsidRPr="72B539CC" w:rsidR="41690B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Behera, N., </w:t>
      </w:r>
      <w:r w:rsidRPr="72B539CC" w:rsidR="41690B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Khuntia</w:t>
      </w:r>
      <w:r w:rsidRPr="72B539CC" w:rsidR="41690B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S., Pandey, K., &amp; Shankar, S. (2025). Impact of Social Media Use on Physical, Mental, Social, and Emotional Health, Sleep Quality, Body Image, and Mood: Evidence from 21 Countries—A Systematic Literature Review with Narrative Synthesis. </w:t>
      </w:r>
      <w:r w:rsidRPr="72B539CC" w:rsidR="41690B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International Journal of </w:t>
      </w:r>
      <w:r w:rsidRPr="72B539CC" w:rsidR="41690B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Behavioral</w:t>
      </w:r>
      <w:r w:rsidRPr="72B539CC" w:rsidR="41690B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Medicine</w:t>
      </w:r>
      <w:r w:rsidRPr="72B539CC" w:rsidR="41690B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hyperlink r:id="R68610a2d02ee4056">
        <w:r w:rsidRPr="72B539CC" w:rsidR="41690BF1">
          <w:rPr>
            <w:rStyle w:val="Hyperlink"/>
            <w:b w:val="0"/>
            <w:bCs w:val="0"/>
            <w:i w:val="0"/>
            <w:iCs w:val="0"/>
            <w:caps w:val="0"/>
            <w:smallCaps w:val="0"/>
            <w:noProof w:val="0"/>
            <w:lang w:val="en-GB"/>
          </w:rPr>
          <w:t>https://doi.org/10.1007/s12529-025-10411-9</w:t>
        </w:r>
      </w:hyperlink>
    </w:p>
    <w:p xmlns:wp14="http://schemas.microsoft.com/office/word/2010/wordml" w:rsidP="235788E7" wp14:paraId="41237F8E" wp14:textId="5C0C0BFD">
      <w:pPr>
        <w:shd w:val="clear" w:color="auto" w:fill="FFFFFF" w:themeFill="background1"/>
        <w:spacing w:before="0" w:beforeAutospacing="off" w:after="0" w:afterAutospacing="off"/>
      </w:pPr>
    </w:p>
    <w:p xmlns:wp14="http://schemas.microsoft.com/office/word/2010/wordml" w:rsidP="72B539CC" wp14:paraId="7E389B60" wp14:textId="198B8407">
      <w:pPr>
        <w:pStyle w:val="Normal"/>
        <w:shd w:val="clear" w:color="auto" w:fill="FFFFFF" w:themeFill="background1"/>
        <w:spacing w:before="0" w:beforeAutospacing="off" w:after="0" w:afterAutospacing="off"/>
      </w:pPr>
      <w:r w:rsidRPr="72B539CC" w:rsidR="41690B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Bhupati, M., Alexander, N., Perry, Y., &amp; Farrugia, J. (2026). Nature‐Based and Community‐Level Responses to Climate Distress in Young People: A Systematic Review. </w:t>
      </w:r>
      <w:r w:rsidRPr="72B539CC" w:rsidR="41690B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Adolescence (London, England.)</w:t>
      </w:r>
      <w:r w:rsidRPr="72B539CC" w:rsidR="41690B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2B539CC" w:rsidR="41690BF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98</w:t>
      </w:r>
      <w:r w:rsidRPr="72B539CC" w:rsidR="41690BF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(5), 1439–1453. </w:t>
      </w:r>
      <w:hyperlink r:id="R58ac9f85cdae46dd">
        <w:r w:rsidRPr="72B539CC" w:rsidR="41690BF1">
          <w:rPr>
            <w:rStyle w:val="Hyperlink"/>
            <w:b w:val="0"/>
            <w:bCs w:val="0"/>
            <w:i w:val="0"/>
            <w:iCs w:val="0"/>
            <w:caps w:val="0"/>
            <w:smallCaps w:val="0"/>
            <w:noProof w:val="0"/>
            <w:lang w:val="en-GB"/>
          </w:rPr>
          <w:t>https://doi.org/10.1002/jad.70171</w:t>
        </w:r>
      </w:hyperlink>
    </w:p>
    <w:p xmlns:wp14="http://schemas.microsoft.com/office/word/2010/wordml" w:rsidP="72B539CC" wp14:paraId="390D30F8" wp14:textId="0F6B0568">
      <w:pPr>
        <w:pStyle w:val="Normal"/>
        <w:shd w:val="clear" w:color="auto" w:fill="FFFFFF" w:themeFill="background1"/>
        <w:spacing w:before="0" w:beforeAutospacing="off" w:after="0" w:afterAutospacing="off"/>
      </w:pPr>
    </w:p>
    <w:p xmlns:wp14="http://schemas.microsoft.com/office/word/2010/wordml" w:rsidP="235788E7" wp14:paraId="224FEA09" wp14:textId="583EFEAC">
      <w:pPr>
        <w:pStyle w:val="Normal"/>
        <w:shd w:val="clear" w:color="auto" w:fill="FFFFFF" w:themeFill="background1"/>
        <w:spacing w:before="0" w:beforeAutospacing="off" w:after="0" w:afterAutospacing="off"/>
      </w:pPr>
      <w:r w:rsidRPr="72B539CC" w:rsidR="3191B6C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Charmaraman, L., Hodes, R., &amp; Richer, A. M. (2021). Young Sexual Minority Adolescent Experiences of Self-expression and Isolation on Social Media: Cross-sectional Survey Study. </w:t>
      </w:r>
      <w:r w:rsidRPr="72B539CC" w:rsidR="3191B6C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JMIR Mental Health</w:t>
      </w:r>
      <w:r w:rsidRPr="72B539CC" w:rsidR="3191B6C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2B539CC" w:rsidR="3191B6C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8</w:t>
      </w:r>
      <w:r w:rsidRPr="72B539CC" w:rsidR="3191B6C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(9), e26207. </w:t>
      </w:r>
      <w:hyperlink r:id="Rf1e317cd72774c8a">
        <w:r w:rsidRPr="72B539CC" w:rsidR="3191B6CE">
          <w:rPr>
            <w:rStyle w:val="Hyperlink"/>
            <w:b w:val="0"/>
            <w:bCs w:val="0"/>
            <w:i w:val="0"/>
            <w:iCs w:val="0"/>
            <w:caps w:val="0"/>
            <w:smallCaps w:val="0"/>
            <w:noProof w:val="0"/>
            <w:lang w:val="en-GB"/>
          </w:rPr>
          <w:t>https://doi.org/10.2196/26207</w:t>
        </w:r>
      </w:hyperlink>
    </w:p>
    <w:p xmlns:wp14="http://schemas.microsoft.com/office/word/2010/wordml" w:rsidP="72B539CC" wp14:paraId="73FFF52B" wp14:textId="15005CEB">
      <w:pPr>
        <w:pStyle w:val="Normal"/>
        <w:shd w:val="clear" w:color="auto" w:fill="FFFFFF" w:themeFill="background1"/>
        <w:spacing w:before="0" w:beforeAutospacing="off" w:after="0" w:afterAutospacing="off"/>
        <w:rPr>
          <w:b w:val="0"/>
          <w:bCs w:val="0"/>
          <w:i w:val="0"/>
          <w:iCs w:val="0"/>
          <w:caps w:val="0"/>
          <w:smallCaps w:val="0"/>
          <w:noProof w:val="0"/>
          <w:lang w:val="en-GB"/>
        </w:rPr>
      </w:pPr>
    </w:p>
    <w:p xmlns:wp14="http://schemas.microsoft.com/office/word/2010/wordml" w:rsidP="235788E7" wp14:paraId="211698BB" wp14:textId="5FAA51A9">
      <w:pPr>
        <w:pStyle w:val="Normal"/>
        <w:shd w:val="clear" w:color="auto" w:fill="FFFFFF" w:themeFill="background1"/>
        <w:spacing w:before="0" w:beforeAutospacing="off" w:after="0" w:afterAutospacing="off"/>
      </w:pPr>
      <w:r w:rsidRPr="72B539CC" w:rsidR="1425DFB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Hofmann, V., &amp; Müller, C. M. (2021). Peer Influence on Aggression at School: How Vulnerable Are Higher Risk Adolescents? </w:t>
      </w:r>
      <w:r w:rsidRPr="72B539CC" w:rsidR="1425DFB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Journal of Emotional and </w:t>
      </w:r>
      <w:r w:rsidRPr="72B539CC" w:rsidR="1425DFB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Behavioral</w:t>
      </w:r>
      <w:r w:rsidRPr="72B539CC" w:rsidR="1425DFB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Disorders</w:t>
      </w:r>
      <w:r w:rsidRPr="72B539CC" w:rsidR="1425DFB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2B539CC" w:rsidR="1425DFB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29</w:t>
      </w:r>
      <w:r w:rsidRPr="72B539CC" w:rsidR="1425DFB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(2), 83–92. </w:t>
      </w:r>
      <w:hyperlink r:id="R12499e6e9ae341be">
        <w:r w:rsidRPr="72B539CC" w:rsidR="1425DFBB">
          <w:rPr>
            <w:rStyle w:val="Hyperlink"/>
            <w:b w:val="0"/>
            <w:bCs w:val="0"/>
            <w:i w:val="0"/>
            <w:iCs w:val="0"/>
            <w:caps w:val="0"/>
            <w:smallCaps w:val="0"/>
            <w:noProof w:val="0"/>
            <w:lang w:val="en-GB"/>
          </w:rPr>
          <w:t>https://doi.org/10.1177/1063426620917225</w:t>
        </w:r>
      </w:hyperlink>
    </w:p>
    <w:p xmlns:wp14="http://schemas.microsoft.com/office/word/2010/wordml" w:rsidP="72B539CC" wp14:paraId="26DFB493" wp14:textId="29336AA4">
      <w:pPr>
        <w:pStyle w:val="Normal"/>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xmlns:wp14="http://schemas.microsoft.com/office/word/2010/wordml" w:rsidP="235788E7" wp14:paraId="7A13CC65" wp14:textId="7FE47B21">
      <w:pPr>
        <w:pStyle w:val="Normal"/>
        <w:shd w:val="clear" w:color="auto" w:fill="FFFFFF" w:themeFill="background1"/>
        <w:spacing w:before="0" w:beforeAutospacing="off" w:after="0" w:afterAutospacing="off"/>
      </w:pPr>
      <w:r w:rsidRPr="72B539CC" w:rsidR="027009B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Milosevic, T. (2018). </w:t>
      </w:r>
      <w:r w:rsidRPr="72B539CC" w:rsidR="027009B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Protecting Children </w:t>
      </w:r>
      <w:r w:rsidRPr="72B539CC" w:rsidR="027009B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Online?:</w:t>
      </w:r>
      <w:r w:rsidRPr="72B539CC" w:rsidR="027009B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Cyberbullying Policies of Social Media Companies</w:t>
      </w:r>
      <w:r w:rsidRPr="72B539CC" w:rsidR="027009B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(1st ed.). The MIT Press. </w:t>
      </w:r>
      <w:hyperlink r:id="R3af3ce112f88419d">
        <w:r w:rsidRPr="72B539CC" w:rsidR="027009B9">
          <w:rPr>
            <w:rStyle w:val="Hyperlink"/>
            <w:b w:val="0"/>
            <w:bCs w:val="0"/>
            <w:i w:val="0"/>
            <w:iCs w:val="0"/>
            <w:caps w:val="0"/>
            <w:smallCaps w:val="0"/>
            <w:noProof w:val="0"/>
            <w:lang w:val="en-GB"/>
          </w:rPr>
          <w:t>https://doi.org/10.7551/mitpress/11008.001.0001</w:t>
        </w:r>
      </w:hyperlink>
    </w:p>
    <w:p xmlns:wp14="http://schemas.microsoft.com/office/word/2010/wordml" w:rsidP="72B539CC" wp14:paraId="7AEB0BD2" wp14:textId="4E7C6634">
      <w:pPr>
        <w:pStyle w:val="Normal"/>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xmlns:wp14="http://schemas.microsoft.com/office/word/2010/wordml" w:rsidP="235788E7" wp14:paraId="5E5787A5" wp14:textId="43F2F332">
      <w:pPr>
        <w:pStyle w:val="Normal"/>
        <w:shd w:val="clear" w:color="auto" w:fill="FFFFFF" w:themeFill="background1"/>
        <w:spacing w:before="0" w:beforeAutospacing="off" w:after="0" w:afterAutospacing="off"/>
      </w:pPr>
      <w:r w:rsidRPr="72B539CC" w:rsidR="11D9EE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Oden, A., &amp; Porter, L. (2023). The Kids Are Online: Teen Social Media Use, Civic Engagement, and Affective Polarization. </w:t>
      </w:r>
      <w:r w:rsidRPr="72B539CC" w:rsidR="11D9EEF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Social Media + Society</w:t>
      </w:r>
      <w:r w:rsidRPr="72B539CC" w:rsidR="11D9EE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2B539CC" w:rsidR="11D9EEF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9</w:t>
      </w:r>
      <w:r w:rsidRPr="72B539CC" w:rsidR="11D9EEF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(3). </w:t>
      </w:r>
      <w:hyperlink r:id="R2b5e8eb01f6e4811">
        <w:r w:rsidRPr="72B539CC" w:rsidR="11D9EEFB">
          <w:rPr>
            <w:rStyle w:val="Hyperlink"/>
            <w:b w:val="0"/>
            <w:bCs w:val="0"/>
            <w:i w:val="0"/>
            <w:iCs w:val="0"/>
            <w:caps w:val="0"/>
            <w:smallCaps w:val="0"/>
            <w:noProof w:val="0"/>
            <w:lang w:val="en-GB"/>
          </w:rPr>
          <w:t>https://doi.org/10.1177/20563051231186364</w:t>
        </w:r>
      </w:hyperlink>
    </w:p>
    <w:p w:rsidR="72B539CC" w:rsidP="72B539CC" w:rsidRDefault="72B539CC" w14:paraId="6E79EFAF" w14:textId="4FACC521">
      <w:pPr>
        <w:pStyle w:val="Normal"/>
        <w:shd w:val="clear" w:color="auto" w:fill="FFFFFF" w:themeFill="background1"/>
        <w:spacing w:before="0" w:beforeAutospacing="off" w:after="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6FB8E4F9" w:rsidP="72B539CC" w:rsidRDefault="6FB8E4F9" w14:paraId="26147279" w14:textId="67877E6C">
      <w:pPr>
        <w:pStyle w:val="Normal"/>
        <w:shd w:val="clear" w:color="auto" w:fill="FFFFFF" w:themeFill="background1"/>
        <w:spacing w:before="0" w:beforeAutospacing="off" w:after="0" w:afterAutospacing="off"/>
      </w:pPr>
      <w:r w:rsidRPr="72B539CC" w:rsidR="6FB8E4F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West, M., Rice, S., &amp; Vella-Brodrick, D. (2024). Exploring the “Social” in Social Media: Adolescent Relatedness—Thwarted and Supported. </w:t>
      </w:r>
      <w:r w:rsidRPr="72B539CC" w:rsidR="6FB8E4F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Adolescent Research</w:t>
      </w:r>
      <w:r w:rsidRPr="72B539CC" w:rsidR="6FB8E4F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72B539CC" w:rsidR="6FB8E4F9">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39</w:t>
      </w:r>
      <w:r w:rsidRPr="72B539CC" w:rsidR="6FB8E4F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(3), 539–570. </w:t>
      </w:r>
      <w:hyperlink r:id="R0852df30471f4631">
        <w:r w:rsidRPr="72B539CC" w:rsidR="6FB8E4F9">
          <w:rPr>
            <w:rStyle w:val="Hyperlink"/>
            <w:b w:val="0"/>
            <w:bCs w:val="0"/>
            <w:i w:val="0"/>
            <w:iCs w:val="0"/>
            <w:caps w:val="0"/>
            <w:smallCaps w:val="0"/>
            <w:noProof w:val="0"/>
            <w:lang w:val="en-GB"/>
          </w:rPr>
          <w:t>https://doi.org/10.1177/07435584211062158</w:t>
        </w:r>
      </w:hyperlink>
    </w:p>
    <w:p w:rsidR="72B539CC" w:rsidP="72B539CC" w:rsidRDefault="72B539CC" w14:paraId="4C2F7823" w14:textId="51BBF3D0">
      <w:pPr>
        <w:pStyle w:val="Normal"/>
        <w:shd w:val="clear" w:color="auto" w:fill="FFFFFF" w:themeFill="background1"/>
        <w:spacing w:before="0" w:beforeAutospacing="off" w:after="0" w:afterAutospacing="off"/>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D08444"/>
    <w:rsid w:val="020FE491"/>
    <w:rsid w:val="027009B9"/>
    <w:rsid w:val="027D7040"/>
    <w:rsid w:val="031F9E82"/>
    <w:rsid w:val="033EF451"/>
    <w:rsid w:val="03F384F1"/>
    <w:rsid w:val="06D5C59E"/>
    <w:rsid w:val="0718EF0A"/>
    <w:rsid w:val="0744641F"/>
    <w:rsid w:val="08532609"/>
    <w:rsid w:val="0C55A81A"/>
    <w:rsid w:val="0DD91639"/>
    <w:rsid w:val="1018C4DA"/>
    <w:rsid w:val="10CAF36E"/>
    <w:rsid w:val="11D9EEFB"/>
    <w:rsid w:val="1397F938"/>
    <w:rsid w:val="1425DFBB"/>
    <w:rsid w:val="14FCBE21"/>
    <w:rsid w:val="1517CD68"/>
    <w:rsid w:val="1637463E"/>
    <w:rsid w:val="17915474"/>
    <w:rsid w:val="1AA4A4F2"/>
    <w:rsid w:val="1B1DF9F1"/>
    <w:rsid w:val="1C9360DC"/>
    <w:rsid w:val="1DDED89D"/>
    <w:rsid w:val="1E02FDD7"/>
    <w:rsid w:val="1F86B33E"/>
    <w:rsid w:val="229D8229"/>
    <w:rsid w:val="22E748AD"/>
    <w:rsid w:val="235788E7"/>
    <w:rsid w:val="249524F0"/>
    <w:rsid w:val="24D75322"/>
    <w:rsid w:val="26E69DBD"/>
    <w:rsid w:val="26E97AAA"/>
    <w:rsid w:val="27037F40"/>
    <w:rsid w:val="277A65B4"/>
    <w:rsid w:val="28071992"/>
    <w:rsid w:val="28097BBA"/>
    <w:rsid w:val="291B786D"/>
    <w:rsid w:val="29534E79"/>
    <w:rsid w:val="2A880232"/>
    <w:rsid w:val="2CAB0BE7"/>
    <w:rsid w:val="2CED94FA"/>
    <w:rsid w:val="3191B6CE"/>
    <w:rsid w:val="33A43478"/>
    <w:rsid w:val="36216269"/>
    <w:rsid w:val="369E782E"/>
    <w:rsid w:val="38522722"/>
    <w:rsid w:val="3A96A43B"/>
    <w:rsid w:val="3CAAA532"/>
    <w:rsid w:val="3D4CB585"/>
    <w:rsid w:val="3EA7C055"/>
    <w:rsid w:val="3F94B5DC"/>
    <w:rsid w:val="3FC5B080"/>
    <w:rsid w:val="40313E7D"/>
    <w:rsid w:val="40B1FD51"/>
    <w:rsid w:val="40D0BCBC"/>
    <w:rsid w:val="410E9CED"/>
    <w:rsid w:val="41690BF1"/>
    <w:rsid w:val="41B79372"/>
    <w:rsid w:val="447BE110"/>
    <w:rsid w:val="45219296"/>
    <w:rsid w:val="45658791"/>
    <w:rsid w:val="45BB4BAC"/>
    <w:rsid w:val="45CE05A9"/>
    <w:rsid w:val="4614847F"/>
    <w:rsid w:val="478E4209"/>
    <w:rsid w:val="48332406"/>
    <w:rsid w:val="4A314422"/>
    <w:rsid w:val="4B96B000"/>
    <w:rsid w:val="4F63880D"/>
    <w:rsid w:val="50BC1E20"/>
    <w:rsid w:val="50E284F2"/>
    <w:rsid w:val="511FFE85"/>
    <w:rsid w:val="52571F8A"/>
    <w:rsid w:val="54C82242"/>
    <w:rsid w:val="5635BC34"/>
    <w:rsid w:val="56460C6A"/>
    <w:rsid w:val="56D05959"/>
    <w:rsid w:val="5A0E3338"/>
    <w:rsid w:val="5B2B2F2E"/>
    <w:rsid w:val="5BB0D32D"/>
    <w:rsid w:val="5C148328"/>
    <w:rsid w:val="5C5A3107"/>
    <w:rsid w:val="5E866D99"/>
    <w:rsid w:val="605A343C"/>
    <w:rsid w:val="618F26A1"/>
    <w:rsid w:val="61D9259F"/>
    <w:rsid w:val="6229BE5A"/>
    <w:rsid w:val="62E98280"/>
    <w:rsid w:val="63B7342E"/>
    <w:rsid w:val="63DC6A9B"/>
    <w:rsid w:val="6503EF5D"/>
    <w:rsid w:val="65D08444"/>
    <w:rsid w:val="66DD79F2"/>
    <w:rsid w:val="68BD5283"/>
    <w:rsid w:val="6E157B4A"/>
    <w:rsid w:val="6E4DEF80"/>
    <w:rsid w:val="6FB8E4F9"/>
    <w:rsid w:val="70B7F262"/>
    <w:rsid w:val="7274921F"/>
    <w:rsid w:val="72B539CC"/>
    <w:rsid w:val="7422AB53"/>
    <w:rsid w:val="7628D2F9"/>
    <w:rsid w:val="7781B3BB"/>
    <w:rsid w:val="7A8F3A86"/>
    <w:rsid w:val="7ADA2EDD"/>
    <w:rsid w:val="7AF3A965"/>
    <w:rsid w:val="7B883EA3"/>
    <w:rsid w:val="7D048297"/>
    <w:rsid w:val="7D0FD663"/>
    <w:rsid w:val="7D7CB494"/>
    <w:rsid w:val="7D8443CB"/>
    <w:rsid w:val="7F84C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73BBD"/>
  <w15:chartTrackingRefBased/>
  <w15:docId w15:val="{6951DB7E-6531-4CD9-B91C-6712C2CA37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2B539C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s12529-025-10411-9" TargetMode="External" Id="R68610a2d02ee4056" /><Relationship Type="http://schemas.openxmlformats.org/officeDocument/2006/relationships/hyperlink" Target="https://doi.org/10.1002/jad.70171" TargetMode="External" Id="R58ac9f85cdae46dd" /><Relationship Type="http://schemas.openxmlformats.org/officeDocument/2006/relationships/hyperlink" Target="https://doi.org/10.2196/26207" TargetMode="External" Id="Rf1e317cd72774c8a" /><Relationship Type="http://schemas.openxmlformats.org/officeDocument/2006/relationships/hyperlink" Target="https://doi.org/10.1177/1063426620917225" TargetMode="External" Id="R12499e6e9ae341be" /><Relationship Type="http://schemas.openxmlformats.org/officeDocument/2006/relationships/hyperlink" Target="https://doi.org/10.7551/mitpress/11008.001.0001" TargetMode="External" Id="R3af3ce112f88419d" /><Relationship Type="http://schemas.openxmlformats.org/officeDocument/2006/relationships/hyperlink" Target="https://doi.org/10.1177/20563051231186364" TargetMode="External" Id="R2b5e8eb01f6e4811" /><Relationship Type="http://schemas.openxmlformats.org/officeDocument/2006/relationships/hyperlink" Target="https://doi.org/10.1177/07435584211062158" TargetMode="External" Id="R0852df30471f46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Gurdith Barkar (2506015)</dc:creator>
  <keywords/>
  <dc:description/>
  <lastModifiedBy>Gurdith Barkar (2506015)</lastModifiedBy>
  <revision>3</revision>
  <dcterms:created xsi:type="dcterms:W3CDTF">2026-07-11T19:44:21.8963058Z</dcterms:created>
  <dcterms:modified xsi:type="dcterms:W3CDTF">2026-07-20T20:52:44.2952633Z</dcterms:modified>
</coreProperties>
</file>