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media/image11.svg" ContentType="image/svg+xml"/>
  <Override PartName="/word/media/image13.svg" ContentType="image/svg+xml"/>
  <Override PartName="/word/media/image15.svg" ContentType="image/svg+xml"/>
  <Override PartName="/word/media/image17.svg" ContentType="image/svg+xml"/>
  <Override PartName="/word/media/image19.svg" ContentType="image/svg+xml"/>
  <Override PartName="/word/media/image21.svg" ContentType="image/svg+xml"/>
  <Override PartName="/word/media/image23.svg" ContentType="image/svg+xml"/>
  <Override PartName="/word/media/image25.svg" ContentType="image/svg+xml"/>
  <Override PartName="/word/media/image27.svg" ContentType="image/svg+xml"/>
  <Override PartName="/word/media/image29.svg" ContentType="image/svg+xml"/>
  <Override PartName="/word/media/image5.svg" ContentType="image/svg+xml"/>
  <Override PartName="/word/media/image7.svg" ContentType="image/svg+xml"/>
  <Override PartName="/word/media/image9.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629"/>
        <w:gridCol w:w="1237"/>
        <w:gridCol w:w="468"/>
        <w:gridCol w:w="1443"/>
        <w:gridCol w:w="6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6629" w:type="dxa"/>
            <w:vMerge w:val="restart"/>
            <w:tcBorders>
              <w:top w:val="single" w:color="auto" w:sz="4" w:space="0"/>
              <w:left w:val="single" w:color="auto" w:sz="4" w:space="0"/>
              <w:right w:val="single" w:color="auto" w:sz="4" w:space="0"/>
            </w:tcBorders>
            <w:shd w:val="clear" w:color="auto" w:fill="auto"/>
          </w:tcPr>
          <w:p>
            <w:pPr>
              <w:keepNext/>
              <w:spacing w:after="0" w:line="360" w:lineRule="auto"/>
              <w:jc w:val="both"/>
              <w:rPr>
                <w:rFonts w:eastAsia="Times New Roman" w:cs="Times New Roman"/>
                <w:b/>
                <w:color w:val="auto"/>
                <w:szCs w:val="24"/>
                <w:lang w:val="en-AU"/>
              </w:rPr>
            </w:pPr>
          </w:p>
          <w:p>
            <w:pPr>
              <w:keepNext/>
              <w:spacing w:after="0" w:line="360" w:lineRule="auto"/>
              <w:jc w:val="both"/>
              <w:rPr>
                <w:rFonts w:eastAsia="Times New Roman" w:cs="Times New Roman"/>
                <w:b/>
                <w:color w:val="auto"/>
                <w:szCs w:val="24"/>
                <w:lang w:val="en-AU"/>
              </w:rPr>
            </w:pPr>
            <w:r>
              <w:rPr>
                <w:rFonts w:cs="Times New Roman"/>
                <w:szCs w:val="24"/>
                <w:lang w:val="en-US"/>
              </w:rPr>
              <w:drawing>
                <wp:inline distT="0" distB="0" distL="0" distR="0">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eastAsia="Times New Roman" w:cs="Times New Roman"/>
                <w:b/>
                <w:color w:val="auto"/>
                <w:szCs w:val="24"/>
                <w:lang w:val="en-AU"/>
              </w:rPr>
              <w:br w:type="textWrapping"/>
            </w:r>
          </w:p>
          <w:p>
            <w:pPr>
              <w:spacing w:line="360" w:lineRule="auto"/>
              <w:jc w:val="both"/>
              <w:rPr>
                <w:rFonts w:cs="Times New Roman"/>
                <w:b/>
                <w:bCs/>
                <w:szCs w:val="24"/>
              </w:rPr>
            </w:pPr>
            <w:r>
              <w:rPr>
                <w:rFonts w:cs="Times New Roman"/>
                <w:b/>
                <w:bCs/>
                <w:szCs w:val="24"/>
              </w:rPr>
              <w:t>Component One: Student Journal (learning log) 750 words +/- 10%</w:t>
            </w:r>
          </w:p>
          <w:p>
            <w:pPr>
              <w:spacing w:line="360" w:lineRule="auto"/>
              <w:jc w:val="both"/>
              <w:rPr>
                <w:rFonts w:eastAsia="Times New Roman" w:cs="Times New Roman"/>
                <w:b/>
                <w:color w:val="auto"/>
                <w:szCs w:val="24"/>
                <w:lang w:val="en-AU"/>
              </w:rPr>
            </w:pPr>
            <w:r>
              <w:rPr>
                <w:rFonts w:eastAsia="Carlito" w:cs="Times New Roman"/>
                <w:b/>
                <w:color w:val="auto"/>
                <w:szCs w:val="24"/>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vAlign w:val="center"/>
          </w:tcPr>
          <w:p>
            <w:pPr>
              <w:keepNext/>
              <w:spacing w:before="120" w:after="0" w:line="360" w:lineRule="auto"/>
              <w:jc w:val="both"/>
              <w:rPr>
                <w:rFonts w:eastAsia="Times New Roman" w:cs="Times New Roman"/>
                <w:b/>
                <w:bCs/>
                <w:color w:val="auto"/>
                <w:szCs w:val="24"/>
                <w:lang w:val="en-AU"/>
              </w:rPr>
            </w:pPr>
            <w:r>
              <w:rPr>
                <w:rFonts w:eastAsia="Times New Roman" w:cs="Times New Roman"/>
                <w:b/>
                <w:bCs/>
                <w:color w:val="auto"/>
                <w:szCs w:val="24"/>
              </w:rPr>
              <w:t>Student No:</w:t>
            </w:r>
          </w:p>
        </w:tc>
        <w:tc>
          <w:tcPr>
            <w:tcW w:w="1911" w:type="dxa"/>
            <w:gridSpan w:val="2"/>
            <w:tcBorders>
              <w:top w:val="single" w:color="auto" w:sz="4" w:space="0"/>
              <w:left w:val="nil"/>
              <w:bottom w:val="dashed" w:color="auto" w:sz="4" w:space="0"/>
              <w:right w:val="nil"/>
            </w:tcBorders>
            <w:shd w:val="clear" w:color="auto" w:fill="auto"/>
            <w:vAlign w:val="center"/>
          </w:tcPr>
          <w:p>
            <w:pPr>
              <w:keepNext/>
              <w:spacing w:after="0" w:line="360" w:lineRule="auto"/>
              <w:jc w:val="both"/>
              <w:rPr>
                <w:rFonts w:hint="default" w:eastAsia="Times New Roman" w:cs="Times New Roman"/>
                <w:b/>
                <w:color w:val="auto"/>
                <w:szCs w:val="24"/>
                <w:lang w:val="en-GB"/>
              </w:rPr>
            </w:pPr>
            <w:r>
              <w:rPr>
                <w:rFonts w:hint="default" w:eastAsia="Times New Roman" w:cs="Times New Roman"/>
                <w:b/>
                <w:color w:val="auto"/>
                <w:szCs w:val="24"/>
                <w:lang w:val="en-GB"/>
              </w:rPr>
              <w:t>2245138</w:t>
            </w:r>
          </w:p>
        </w:tc>
        <w:tc>
          <w:tcPr>
            <w:tcW w:w="662" w:type="dxa"/>
            <w:tcBorders>
              <w:top w:val="single" w:color="auto" w:sz="4" w:space="0"/>
              <w:left w:val="nil"/>
              <w:bottom w:val="nil"/>
              <w:right w:val="single" w:color="auto" w:sz="4" w:space="0"/>
            </w:tcBorders>
            <w:shd w:val="clear" w:color="auto" w:fill="auto"/>
            <w:vAlign w:val="center"/>
          </w:tcPr>
          <w:p>
            <w:pPr>
              <w:keepNext/>
              <w:spacing w:after="0" w:line="360" w:lineRule="auto"/>
              <w:jc w:val="both"/>
              <w:rPr>
                <w:rFonts w:eastAsia="Times New Roman" w:cs="Times New Roman"/>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360" w:lineRule="auto"/>
              <w:jc w:val="both"/>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vAlign w:val="center"/>
          </w:tcPr>
          <w:p>
            <w:pPr>
              <w:keepNext/>
              <w:spacing w:after="0" w:line="360" w:lineRule="auto"/>
              <w:jc w:val="both"/>
              <w:rPr>
                <w:rFonts w:eastAsia="Times New Roman" w:cs="Times New Roman"/>
                <w:color w:val="auto"/>
                <w:szCs w:val="24"/>
                <w:lang w:val="en-AU"/>
              </w:rPr>
            </w:pPr>
          </w:p>
          <w:p>
            <w:pPr>
              <w:keepNext/>
              <w:spacing w:after="0" w:line="360" w:lineRule="auto"/>
              <w:jc w:val="both"/>
              <w:rPr>
                <w:rFonts w:eastAsia="Times New Roman" w:cs="Times New Roman"/>
                <w:color w:val="auto"/>
                <w:szCs w:val="24"/>
                <w:lang w:val="en-AU"/>
              </w:rPr>
            </w:pPr>
            <w:r>
              <w:rPr>
                <w:rFonts w:eastAsia="Times New Roman" w:cs="Times New Roman"/>
                <w:color w:val="auto"/>
                <w:szCs w:val="24"/>
                <w:lang w:val="en-AU"/>
              </w:rPr>
              <w:t>Module Title: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eastAsia="Times New Roman" w:cs="Times New Roman"/>
                <w:b/>
                <w:color w:val="auto"/>
                <w:szCs w:val="24"/>
                <w:lang w:val="en-GB"/>
              </w:rPr>
            </w:pPr>
            <w:r>
              <w:rPr>
                <w:rFonts w:hint="default" w:eastAsia="Times New Roman" w:cs="Times New Roman"/>
                <w:b/>
                <w:color w:val="auto"/>
                <w:szCs w:val="24"/>
                <w:lang w:val="en-GB"/>
              </w:rPr>
              <w:t>Hotel Placement-Operating Hotel Facilities</w:t>
            </w:r>
          </w:p>
        </w:tc>
        <w:tc>
          <w:tcPr>
            <w:tcW w:w="662" w:type="dxa"/>
            <w:tcBorders>
              <w:top w:val="nil"/>
              <w:left w:val="nil"/>
              <w:bottom w:val="nil"/>
              <w:right w:val="single" w:color="auto" w:sz="4" w:space="0"/>
            </w:tcBorders>
            <w:shd w:val="clear" w:color="auto" w:fill="auto"/>
            <w:vAlign w:val="center"/>
          </w:tcPr>
          <w:p>
            <w:pPr>
              <w:keepNext/>
              <w:spacing w:after="0" w:line="360" w:lineRule="auto"/>
              <w:jc w:val="both"/>
              <w:rPr>
                <w:rFonts w:eastAsia="Times New Roman" w:cs="Times New Roman"/>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360" w:lineRule="auto"/>
              <w:jc w:val="both"/>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vAlign w:val="center"/>
          </w:tcPr>
          <w:p>
            <w:pPr>
              <w:keepNext/>
              <w:spacing w:after="0" w:line="360" w:lineRule="auto"/>
              <w:jc w:val="both"/>
              <w:rPr>
                <w:rFonts w:eastAsia="Times New Roman" w:cs="Times New Roman"/>
                <w:color w:val="auto"/>
                <w:szCs w:val="24"/>
                <w:lang w:val="en-AU"/>
              </w:rPr>
            </w:pPr>
            <w:r>
              <w:rPr>
                <w:rFonts w:eastAsia="Times New Roman" w:cs="Times New Roman"/>
                <w:color w:val="auto"/>
                <w:szCs w:val="24"/>
                <w:lang w:val="en-AU"/>
              </w:rPr>
              <w:t>Module Code: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eastAsia="Times New Roman" w:cs="Times New Roman"/>
                <w:b/>
                <w:color w:val="auto"/>
                <w:szCs w:val="24"/>
                <w:lang w:val="en-GB"/>
              </w:rPr>
            </w:pPr>
            <w:r>
              <w:rPr>
                <w:rFonts w:hint="default" w:eastAsia="Times New Roman" w:cs="Times New Roman"/>
                <w:b/>
                <w:color w:val="auto"/>
                <w:szCs w:val="24"/>
                <w:lang w:val="en-GB"/>
              </w:rPr>
              <w:t>4006</w:t>
            </w:r>
          </w:p>
        </w:tc>
        <w:tc>
          <w:tcPr>
            <w:tcW w:w="662" w:type="dxa"/>
            <w:tcBorders>
              <w:top w:val="nil"/>
              <w:left w:val="nil"/>
              <w:bottom w:val="nil"/>
              <w:right w:val="single" w:color="auto" w:sz="4" w:space="0"/>
            </w:tcBorders>
            <w:shd w:val="clear" w:color="auto" w:fill="auto"/>
            <w:vAlign w:val="center"/>
          </w:tcPr>
          <w:p>
            <w:pPr>
              <w:keepNext/>
              <w:spacing w:after="0" w:line="360" w:lineRule="auto"/>
              <w:jc w:val="both"/>
              <w:rPr>
                <w:rFonts w:eastAsia="Times New Roman" w:cs="Times New Roman"/>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360" w:lineRule="auto"/>
              <w:jc w:val="both"/>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vAlign w:val="center"/>
          </w:tcPr>
          <w:p>
            <w:pPr>
              <w:keepNext/>
              <w:spacing w:after="0" w:line="360" w:lineRule="auto"/>
              <w:jc w:val="both"/>
              <w:rPr>
                <w:rFonts w:eastAsia="Times New Roman" w:cs="Times New Roman"/>
                <w:color w:val="auto"/>
                <w:szCs w:val="24"/>
                <w:lang w:val="en-AU"/>
              </w:rPr>
            </w:pPr>
            <w:r>
              <w:rPr>
                <w:rFonts w:eastAsia="Times New Roman" w:cs="Times New Roman"/>
                <w:color w:val="auto"/>
                <w:szCs w:val="24"/>
                <w:lang w:val="en-AU"/>
              </w:rPr>
              <w:t>Lecturer:</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eastAsia="Times New Roman" w:cs="Times New Roman"/>
                <w:b/>
                <w:color w:val="auto"/>
                <w:szCs w:val="24"/>
                <w:lang w:val="en-GB"/>
              </w:rPr>
            </w:pPr>
            <w:r>
              <w:rPr>
                <w:rFonts w:hint="default" w:eastAsia="Times New Roman" w:cs="Times New Roman"/>
                <w:b/>
                <w:color w:val="auto"/>
                <w:szCs w:val="24"/>
                <w:lang w:val="en-GB"/>
              </w:rPr>
              <w:t>Daniel Payne</w:t>
            </w:r>
            <w:bookmarkStart w:id="0" w:name="_GoBack"/>
            <w:bookmarkEnd w:id="0"/>
          </w:p>
        </w:tc>
        <w:tc>
          <w:tcPr>
            <w:tcW w:w="662" w:type="dxa"/>
            <w:tcBorders>
              <w:top w:val="nil"/>
              <w:left w:val="nil"/>
              <w:bottom w:val="nil"/>
              <w:right w:val="single" w:color="auto" w:sz="4" w:space="0"/>
            </w:tcBorders>
            <w:shd w:val="clear" w:color="auto" w:fill="auto"/>
            <w:vAlign w:val="center"/>
          </w:tcPr>
          <w:p>
            <w:pPr>
              <w:keepNext/>
              <w:spacing w:after="0" w:line="360" w:lineRule="auto"/>
              <w:jc w:val="both"/>
              <w:rPr>
                <w:rFonts w:eastAsia="Times New Roman" w:cs="Times New Roman"/>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6629" w:type="dxa"/>
            <w:vMerge w:val="continue"/>
            <w:tcBorders>
              <w:left w:val="single" w:color="auto" w:sz="4" w:space="0"/>
              <w:bottom w:val="single" w:color="auto" w:sz="4" w:space="0"/>
              <w:right w:val="single" w:color="auto" w:sz="4" w:space="0"/>
            </w:tcBorders>
            <w:shd w:val="clear" w:color="auto" w:fill="auto"/>
          </w:tcPr>
          <w:p>
            <w:pPr>
              <w:keepNext/>
              <w:spacing w:after="0" w:line="360" w:lineRule="auto"/>
              <w:jc w:val="both"/>
              <w:rPr>
                <w:rFonts w:eastAsia="Times New Roman" w:cs="Times New Roman"/>
                <w:b/>
                <w:color w:val="auto"/>
                <w:szCs w:val="24"/>
                <w:lang w:val="en-AU"/>
              </w:rPr>
            </w:pPr>
          </w:p>
        </w:tc>
        <w:tc>
          <w:tcPr>
            <w:tcW w:w="1705" w:type="dxa"/>
            <w:gridSpan w:val="2"/>
            <w:tcBorders>
              <w:top w:val="nil"/>
              <w:left w:val="single" w:color="auto" w:sz="4" w:space="0"/>
              <w:bottom w:val="single" w:color="auto" w:sz="4" w:space="0"/>
              <w:right w:val="nil"/>
            </w:tcBorders>
            <w:shd w:val="clear" w:color="auto" w:fill="auto"/>
            <w:vAlign w:val="center"/>
          </w:tcPr>
          <w:p>
            <w:pPr>
              <w:keepNext/>
              <w:spacing w:after="0" w:line="360" w:lineRule="auto"/>
              <w:jc w:val="both"/>
              <w:rPr>
                <w:rFonts w:eastAsia="Times New Roman" w:cs="Times New Roman"/>
                <w:bCs/>
                <w:color w:val="auto"/>
                <w:szCs w:val="24"/>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360" w:lineRule="auto"/>
              <w:jc w:val="both"/>
              <w:rPr>
                <w:rFonts w:eastAsia="Times New Roman" w:cs="Times New Roman"/>
                <w:b/>
                <w:color w:val="auto"/>
                <w:szCs w:val="24"/>
                <w:lang w:val="en-AU"/>
              </w:rPr>
            </w:pPr>
          </w:p>
        </w:tc>
        <w:tc>
          <w:tcPr>
            <w:tcW w:w="662" w:type="dxa"/>
            <w:tcBorders>
              <w:top w:val="nil"/>
              <w:left w:val="nil"/>
              <w:bottom w:val="single" w:color="auto" w:sz="4" w:space="0"/>
              <w:right w:val="single" w:color="auto" w:sz="4" w:space="0"/>
            </w:tcBorders>
            <w:shd w:val="clear" w:color="auto" w:fill="auto"/>
            <w:vAlign w:val="center"/>
          </w:tcPr>
          <w:p>
            <w:pPr>
              <w:keepNext/>
              <w:spacing w:after="0" w:line="360" w:lineRule="auto"/>
              <w:jc w:val="both"/>
              <w:rPr>
                <w:rFonts w:eastAsia="Times New Roman" w:cs="Times New Roman"/>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Introduction </w:t>
            </w:r>
          </w:p>
          <w:p>
            <w:pPr>
              <w:spacing w:after="0" w:line="360" w:lineRule="auto"/>
              <w:jc w:val="both"/>
              <w:rPr>
                <w:rFonts w:eastAsia="Times New Roman" w:cs="Times New Roman"/>
                <w:bCs/>
                <w:color w:val="auto"/>
                <w:szCs w:val="24"/>
              </w:rPr>
            </w:pPr>
            <w:r>
              <w:rPr>
                <w:rFonts w:eastAsia="Times New Roman" w:cs="Times New Roman"/>
                <w:bCs/>
                <w:color w:val="auto"/>
                <w:szCs w:val="24"/>
              </w:rPr>
              <w:t>I will use Gibb’s Reflective cycle for writing a reflection on my training experience at Mercure Liverpool Atlantic Tower Hotel. This cycle is one of the most crucial models of reflecting leading through six important phases, such as description, feelings, evaluation, analysis, conclusion, and action plan. This cycle is a method to learn from past experience, feelings, and learning outcomes (</w:t>
            </w:r>
            <w:r>
              <w:rPr>
                <w:rFonts w:cs="Times New Roman"/>
                <w:color w:val="222222"/>
                <w:szCs w:val="24"/>
                <w:shd w:val="clear" w:color="auto" w:fill="FFFFFF"/>
              </w:rPr>
              <w:t>Adeani et al. 2020).</w:t>
            </w:r>
            <w:r>
              <w:rPr>
                <w:rFonts w:eastAsia="Times New Roman" w:cs="Times New Roman"/>
                <w:bCs/>
                <w:color w:val="auto"/>
                <w:szCs w:val="24"/>
              </w:rPr>
              <w:t xml:space="preserve"> </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Description </w:t>
            </w:r>
          </w:p>
          <w:p>
            <w:pPr>
              <w:spacing w:after="0" w:line="360" w:lineRule="auto"/>
              <w:jc w:val="both"/>
              <w:rPr>
                <w:rFonts w:eastAsia="Times New Roman" w:cs="Times New Roman"/>
                <w:bCs/>
                <w:color w:val="auto"/>
                <w:szCs w:val="24"/>
              </w:rPr>
            </w:pPr>
            <w:r>
              <w:rPr>
                <w:rFonts w:eastAsia="Times New Roman" w:cs="Times New Roman"/>
                <w:bCs/>
                <w:color w:val="auto"/>
                <w:szCs w:val="24"/>
              </w:rPr>
              <w:t xml:space="preserve"> </w:t>
            </w:r>
          </w:p>
          <w:p>
            <w:pPr>
              <w:spacing w:after="0" w:line="360" w:lineRule="auto"/>
              <w:jc w:val="both"/>
              <w:rPr>
                <w:rFonts w:eastAsia="Times New Roman" w:cs="Times New Roman"/>
                <w:bCs/>
                <w:color w:val="auto"/>
                <w:szCs w:val="24"/>
              </w:rPr>
            </w:pPr>
            <w:r>
              <w:rPr>
                <w:rFonts w:eastAsia="Times New Roman" w:cs="Times New Roman"/>
                <w:bCs/>
                <w:color w:val="auto"/>
                <w:szCs w:val="24"/>
              </w:rPr>
              <w:t>The practical knowledge of the operational aspects of the hotel business attained during my training at Mercure Liverpool Atlantic Tower Hotel, with a greater emphasis on the housekeeping department. The housekeeping department is a main part of the hotel industry and is in charge of the carefulness, aesthetic touches, maintenance, and also surroundings in the room area, the back area, and public area (</w:t>
            </w:r>
            <w:r>
              <w:rPr>
                <w:rFonts w:cs="Times New Roman"/>
                <w:color w:val="222222"/>
                <w:szCs w:val="24"/>
                <w:shd w:val="clear" w:color="auto" w:fill="FFFFFF"/>
              </w:rPr>
              <w:t>Bhatnagar. and Nim, 2019).</w:t>
            </w:r>
            <w:r>
              <w:rPr>
                <w:rFonts w:eastAsia="Times New Roman" w:cs="Times New Roman"/>
                <w:bCs/>
                <w:color w:val="auto"/>
                <w:szCs w:val="24"/>
              </w:rPr>
              <w:t xml:space="preserve"> During the placement I had a chance to do a diversity of tasks which are in the housekeeping department. It included the cleaning of the room, management of the linen, and also maintaining the cleanliness and tidiness of the rooms and in the other parts of the hotel. Moreover, I soon realized the importance of these tasks play in the guest experience. Excellence in hotel was the cardinal rule and everything had to be perfectly clean (</w:t>
            </w:r>
            <w:r>
              <w:rPr>
                <w:rFonts w:cs="Times New Roman"/>
                <w:color w:val="222222"/>
                <w:szCs w:val="24"/>
                <w:shd w:val="clear" w:color="auto" w:fill="FFFFFF"/>
              </w:rPr>
              <w:t>Hergiandari and Purnomo, 2023).</w:t>
            </w:r>
            <w:r>
              <w:rPr>
                <w:rFonts w:eastAsia="Times New Roman" w:cs="Times New Roman"/>
                <w:bCs/>
                <w:color w:val="auto"/>
                <w:szCs w:val="24"/>
              </w:rPr>
              <w:t xml:space="preserve"> the surfaces and corners were polished to the last detail to maintain the reputable standards of the hotel.</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Feelings </w:t>
            </w:r>
          </w:p>
          <w:p>
            <w:pPr>
              <w:spacing w:after="0" w:line="360" w:lineRule="auto"/>
              <w:jc w:val="both"/>
              <w:rPr>
                <w:rFonts w:eastAsia="Times New Roman" w:cs="Times New Roman"/>
                <w:bCs/>
                <w:color w:val="auto"/>
                <w:szCs w:val="24"/>
              </w:rPr>
            </w:pPr>
            <w:r>
              <w:rPr>
                <w:rFonts w:eastAsia="Times New Roman" w:cs="Times New Roman"/>
                <w:bCs/>
                <w:color w:val="auto"/>
                <w:szCs w:val="24"/>
              </w:rPr>
              <w:t>To start with, I experienced a mixture of excitement and fear for this journey of the training because I knew nothing about it. Working in the hotel industry is both exciting and also challenging, because it is a quite a fast paced working environment (</w:t>
            </w:r>
            <w:r>
              <w:rPr>
                <w:rFonts w:cs="Times New Roman"/>
                <w:color w:val="222222"/>
                <w:szCs w:val="24"/>
                <w:shd w:val="clear" w:color="auto" w:fill="FFFFFF"/>
              </w:rPr>
              <w:t>Heimerl et al. 2020).</w:t>
            </w:r>
            <w:r>
              <w:rPr>
                <w:rFonts w:eastAsia="Times New Roman" w:cs="Times New Roman"/>
                <w:bCs/>
                <w:color w:val="auto"/>
                <w:szCs w:val="24"/>
              </w:rPr>
              <w:t xml:space="preserve"> Moreover, we occasionally feel overwhelmed meeting the deadlines with the team members but having a sense of friendship and combined responsibility. There were also cases passing by when my room was looking great and was ready for our guests. These times were very peaceful and brought a lot of calmness with them but there were also moments of frustration as every now and then something unexpected would happen.</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Evaluation </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r>
              <w:rPr>
                <w:rFonts w:eastAsia="Times New Roman" w:cs="Times New Roman"/>
                <w:bCs/>
                <w:color w:val="auto"/>
                <w:szCs w:val="24"/>
              </w:rPr>
              <w:t>Through a self-evaluation, I realized the strengths which include the ability to pay attention to details, adaptability and also that I am eager to learn. On the other side, an area for improvement that I recognized was in the time management and prioritization. As Li et al. (2020) stated that time management enhance the productivity of a person and assist in reduce their stress and increased opportunities. Good communication was very important in the teamwork sense of the cohort tasks, and causing any issues that occurred quickly (</w:t>
            </w:r>
            <w:r>
              <w:rPr>
                <w:rFonts w:cs="Times New Roman"/>
                <w:color w:val="222222"/>
                <w:szCs w:val="24"/>
                <w:shd w:val="clear" w:color="auto" w:fill="FFFFFF"/>
              </w:rPr>
              <w:t>Al Salman and Hassan, 2016).</w:t>
            </w:r>
            <w:r>
              <w:rPr>
                <w:rFonts w:eastAsia="Times New Roman" w:cs="Times New Roman"/>
                <w:bCs/>
                <w:color w:val="auto"/>
                <w:szCs w:val="24"/>
              </w:rPr>
              <w:t xml:space="preserve"> Critical-thinking and problem-solving were at play at any time when dealing with the customer requirements or unanticipated issues.</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Analysis </w:t>
            </w:r>
          </w:p>
          <w:p>
            <w:pPr>
              <w:spacing w:after="0" w:line="360" w:lineRule="auto"/>
              <w:jc w:val="both"/>
              <w:rPr>
                <w:rFonts w:eastAsia="Times New Roman" w:cs="Times New Roman"/>
                <w:bCs/>
                <w:color w:val="auto"/>
                <w:szCs w:val="24"/>
              </w:rPr>
            </w:pPr>
            <w:r>
              <w:rPr>
                <w:rFonts w:eastAsia="Times New Roman" w:cs="Times New Roman"/>
                <w:bCs/>
                <w:color w:val="auto"/>
                <w:szCs w:val="24"/>
              </w:rPr>
              <w:t>It was an enriching environment and I gained a lot of knowledge to appreciate the multifaceted role of the housekeeping department that enhances the guest satisfaction. The execution of the operational tasks was done so thoroughly that the success of the hotel was totally dependent on the operations. The clean and well-maintained facilities gave the guests a feeling that they were adding value and that would also contribute to the overall impression of the establishment (Ali et al. 2023). Furthermore, acquaintance with the interrelatedness of the departments demonstrate the impact of effective coordination on the providing of superb service.</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Conclusion </w:t>
            </w:r>
          </w:p>
          <w:p>
            <w:pPr>
              <w:spacing w:after="0" w:line="360" w:lineRule="auto"/>
              <w:jc w:val="both"/>
              <w:rPr>
                <w:rFonts w:eastAsia="Times New Roman" w:cs="Times New Roman"/>
                <w:bCs/>
                <w:color w:val="auto"/>
                <w:szCs w:val="24"/>
              </w:rPr>
            </w:pPr>
            <w:r>
              <w:rPr>
                <w:rFonts w:eastAsia="Times New Roman" w:cs="Times New Roman"/>
                <w:bCs/>
                <w:color w:val="auto"/>
                <w:szCs w:val="24"/>
              </w:rPr>
              <w:t>It is concluded from the above reflection that the training I have received at Mercure Liverpool Atlantic Tower Hotel has been highly transforming. An improvement in my understanding of the dynamic nature of the hospitality industry and the need for a dedicated workforce to function in hotel facilities has resulted from it. However, through this experience, I am more aware of the value of attention to detail, good communication, and constant improvement which are the important steps to achieve excellence.</w:t>
            </w:r>
          </w:p>
          <w:p>
            <w:pPr>
              <w:spacing w:after="0" w:line="360" w:lineRule="auto"/>
              <w:jc w:val="both"/>
              <w:rPr>
                <w:rFonts w:eastAsia="Times New Roman" w:cs="Times New Roman"/>
                <w:b/>
                <w:bCs/>
                <w:color w:val="auto"/>
                <w:szCs w:val="24"/>
              </w:rPr>
            </w:pPr>
          </w:p>
          <w:p>
            <w:pPr>
              <w:spacing w:after="0" w:line="360" w:lineRule="auto"/>
              <w:jc w:val="both"/>
              <w:rPr>
                <w:rFonts w:eastAsia="Times New Roman" w:cs="Times New Roman"/>
                <w:b/>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Action Plan </w:t>
            </w:r>
          </w:p>
          <w:p>
            <w:pPr>
              <w:spacing w:after="0" w:line="360" w:lineRule="auto"/>
              <w:jc w:val="both"/>
              <w:rPr>
                <w:rFonts w:eastAsia="Times New Roman" w:cs="Times New Roman"/>
                <w:b/>
                <w:bCs/>
                <w:color w:val="auto"/>
                <w:szCs w:val="24"/>
              </w:rPr>
            </w:pPr>
          </w:p>
          <w:p>
            <w:pPr>
              <w:spacing w:after="0" w:line="360" w:lineRule="auto"/>
              <w:jc w:val="both"/>
              <w:rPr>
                <w:rFonts w:eastAsia="Times New Roman" w:cs="Times New Roman"/>
                <w:bCs/>
                <w:color w:val="auto"/>
                <w:szCs w:val="24"/>
              </w:rPr>
            </w:pPr>
            <w:r>
              <w:rPr>
                <w:rFonts w:eastAsia="Times New Roman" w:cs="Times New Roman"/>
                <w:bCs/>
                <w:color w:val="auto"/>
                <w:szCs w:val="24"/>
              </w:rPr>
              <w:t>It is my responsibility to stay updated and enhance my skills in this sector. These include:</w:t>
            </w:r>
          </w:p>
          <w:p>
            <w:pPr>
              <w:spacing w:after="0" w:line="360" w:lineRule="auto"/>
              <w:jc w:val="both"/>
              <w:rPr>
                <w:rFonts w:eastAsia="Times New Roman" w:cs="Times New Roman"/>
                <w:bCs/>
                <w:color w:val="auto"/>
                <w:szCs w:val="24"/>
              </w:rPr>
            </w:pP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By implementing time management strategies like prioritizing tasks and setting realistic deadlines you will increase your efficiency and productivity.</w:t>
            </w: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Pursue other extra studies on housekeeping systems and processes to further develop comprehension and competency.</w:t>
            </w: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Become multi-talented by cross-training in other operational departments, including food and beverage and maintenance, to attain a full understanding of the hotel’s operations.</w:t>
            </w: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Remain well-informed of professional development activities by attending industry focused conferences and taking benefits of available networking opportunities.</w:t>
            </w: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Contribute in team-building activities and workshops for increasing coordination skills and developing a supportive organizational culture.</w:t>
            </w:r>
          </w:p>
          <w:p>
            <w:pPr>
              <w:pStyle w:val="8"/>
              <w:numPr>
                <w:ilvl w:val="0"/>
                <w:numId w:val="1"/>
              </w:num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Plan for personal and professional development by establishing the goals which must be reached, checking progress, and changing strategies.</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
                <w:bCs/>
                <w:color w:val="auto"/>
                <w:szCs w:val="24"/>
              </w:rPr>
            </w:pPr>
            <w:r>
              <w:rPr>
                <w:rFonts w:eastAsia="Times New Roman" w:cs="Times New Roman"/>
                <w:b/>
                <w:bCs/>
                <w:color w:val="auto"/>
                <w:szCs w:val="24"/>
              </w:rPr>
              <w:t xml:space="preserve">References </w:t>
            </w:r>
          </w:p>
          <w:p>
            <w:pPr>
              <w:spacing w:after="0" w:line="360" w:lineRule="auto"/>
              <w:ind w:left="720" w:hanging="720"/>
              <w:jc w:val="both"/>
              <w:rPr>
                <w:rFonts w:eastAsia="Times New Roman" w:cs="Times New Roman"/>
                <w:bCs/>
                <w:color w:val="auto"/>
                <w:szCs w:val="24"/>
              </w:rPr>
            </w:pP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Adeani, I.S., Febriani, R.B. and Syafryadin, S., 2020. Using GIBBS’reflective cycle in making reflections of literary analysis. </w:t>
            </w:r>
            <w:r>
              <w:rPr>
                <w:rFonts w:cs="Times New Roman"/>
                <w:i/>
                <w:iCs/>
                <w:color w:val="222222"/>
                <w:szCs w:val="24"/>
                <w:shd w:val="clear" w:color="auto" w:fill="FFFFFF"/>
              </w:rPr>
              <w:t>Indonesian EFL Journal</w:t>
            </w:r>
            <w:r>
              <w:rPr>
                <w:rFonts w:cs="Times New Roman"/>
                <w:color w:val="222222"/>
                <w:szCs w:val="24"/>
                <w:shd w:val="clear" w:color="auto" w:fill="FFFFFF"/>
              </w:rPr>
              <w:t>, </w:t>
            </w:r>
            <w:r>
              <w:rPr>
                <w:rFonts w:cs="Times New Roman"/>
                <w:i/>
                <w:iCs/>
                <w:color w:val="222222"/>
                <w:szCs w:val="24"/>
                <w:shd w:val="clear" w:color="auto" w:fill="FFFFFF"/>
              </w:rPr>
              <w:t>6</w:t>
            </w:r>
            <w:r>
              <w:rPr>
                <w:rFonts w:cs="Times New Roman"/>
                <w:color w:val="222222"/>
                <w:szCs w:val="24"/>
                <w:shd w:val="clear" w:color="auto" w:fill="FFFFFF"/>
              </w:rPr>
              <w:t>(2), pp.139-148.</w:t>
            </w: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Al Salman, W. and Hassan, Z., 2016. Impact of effective teamwork on employee performance. </w:t>
            </w:r>
            <w:r>
              <w:rPr>
                <w:rFonts w:cs="Times New Roman"/>
                <w:i/>
                <w:iCs/>
                <w:color w:val="222222"/>
                <w:szCs w:val="24"/>
                <w:shd w:val="clear" w:color="auto" w:fill="FFFFFF"/>
              </w:rPr>
              <w:t>International Journal of Accounting &amp; Business Management</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(1), pp.76-85.</w:t>
            </w:r>
          </w:p>
          <w:p>
            <w:pPr>
              <w:spacing w:after="0" w:line="360" w:lineRule="auto"/>
              <w:ind w:left="720" w:hanging="720"/>
              <w:jc w:val="both"/>
              <w:rPr>
                <w:rFonts w:eastAsia="Times New Roman" w:cs="Times New Roman"/>
                <w:bCs/>
                <w:color w:val="auto"/>
                <w:szCs w:val="24"/>
              </w:rPr>
            </w:pPr>
            <w:r>
              <w:rPr>
                <w:rFonts w:cs="Times New Roman"/>
                <w:color w:val="222222"/>
                <w:szCs w:val="24"/>
                <w:shd w:val="clear" w:color="auto" w:fill="FFFFFF"/>
              </w:rPr>
              <w:t>Ali, A.S.M., Nurin, S.S. and Mohi, Z., 2023. Room guest satisfaction towards guestroom physical environment quality in the theme hotel. </w:t>
            </w:r>
            <w:r>
              <w:rPr>
                <w:rFonts w:cs="Times New Roman"/>
                <w:i/>
                <w:iCs/>
                <w:color w:val="222222"/>
                <w:szCs w:val="24"/>
                <w:shd w:val="clear" w:color="auto" w:fill="FFFFFF"/>
              </w:rPr>
              <w:t>JOURNAL OF TOURISM, CULINARY AND ENTREPRENEURSHIP (JTCE)</w:t>
            </w:r>
            <w:r>
              <w:rPr>
                <w:rFonts w:cs="Times New Roman"/>
                <w:color w:val="222222"/>
                <w:szCs w:val="24"/>
                <w:shd w:val="clear" w:color="auto" w:fill="FFFFFF"/>
              </w:rPr>
              <w:t>, </w:t>
            </w:r>
            <w:r>
              <w:rPr>
                <w:rFonts w:cs="Times New Roman"/>
                <w:i/>
                <w:iCs/>
                <w:color w:val="222222"/>
                <w:szCs w:val="24"/>
                <w:shd w:val="clear" w:color="auto" w:fill="FFFFFF"/>
              </w:rPr>
              <w:t>3</w:t>
            </w:r>
            <w:r>
              <w:rPr>
                <w:rFonts w:cs="Times New Roman"/>
                <w:color w:val="222222"/>
                <w:szCs w:val="24"/>
                <w:shd w:val="clear" w:color="auto" w:fill="FFFFFF"/>
              </w:rPr>
              <w:t>(2).</w:t>
            </w: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Bhatnagar, E. and Nim, D., 2019. Impact of housekeeping services and practices on customer satisfaction and repeat business. </w:t>
            </w:r>
            <w:r>
              <w:rPr>
                <w:rFonts w:cs="Times New Roman"/>
                <w:i/>
                <w:iCs/>
                <w:color w:val="222222"/>
                <w:szCs w:val="24"/>
                <w:shd w:val="clear" w:color="auto" w:fill="FFFFFF"/>
              </w:rPr>
              <w:t>Prabandhan: Indian Journal of Management</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(8), pp.46-57.</w:t>
            </w: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Heimerl, P., Haid, M., Benedikt, L. and Scholl-Grissemann, U., 2020. Factors influencing job satisfaction in hospitality industry. </w:t>
            </w:r>
            <w:r>
              <w:rPr>
                <w:rFonts w:cs="Times New Roman"/>
                <w:i/>
                <w:iCs/>
                <w:color w:val="222222"/>
                <w:szCs w:val="24"/>
                <w:shd w:val="clear" w:color="auto" w:fill="FFFFFF"/>
              </w:rPr>
              <w:t>SAGE open</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(4), p.2158244020982998.</w:t>
            </w: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 xml:space="preserve"> Hergiandari, G. and Purnomo, D.J., 2023. The Role Of Room Attendants In Increasing The Comfort Quality Of Guest Rooms At Artotel Gajahmada Hotel Semarang. </w:t>
            </w:r>
            <w:r>
              <w:rPr>
                <w:rFonts w:cs="Times New Roman"/>
                <w:i/>
                <w:iCs/>
                <w:color w:val="222222"/>
                <w:szCs w:val="24"/>
                <w:shd w:val="clear" w:color="auto" w:fill="FFFFFF"/>
              </w:rPr>
              <w:t>International Journal of Education, Language, Literature, Arts, Culture, and Social Humanities</w:t>
            </w:r>
            <w:r>
              <w:rPr>
                <w:rFonts w:cs="Times New Roman"/>
                <w:color w:val="222222"/>
                <w:szCs w:val="24"/>
                <w:shd w:val="clear" w:color="auto" w:fill="FFFFFF"/>
              </w:rPr>
              <w:t>, </w:t>
            </w:r>
            <w:r>
              <w:rPr>
                <w:rFonts w:cs="Times New Roman"/>
                <w:i/>
                <w:iCs/>
                <w:color w:val="222222"/>
                <w:szCs w:val="24"/>
                <w:shd w:val="clear" w:color="auto" w:fill="FFFFFF"/>
              </w:rPr>
              <w:t>1</w:t>
            </w:r>
            <w:r>
              <w:rPr>
                <w:rFonts w:cs="Times New Roman"/>
                <w:color w:val="222222"/>
                <w:szCs w:val="24"/>
                <w:shd w:val="clear" w:color="auto" w:fill="FFFFFF"/>
              </w:rPr>
              <w:t>(3), pp.156-167.</w:t>
            </w:r>
          </w:p>
          <w:p>
            <w:pPr>
              <w:spacing w:after="0" w:line="360" w:lineRule="auto"/>
              <w:ind w:left="720" w:hanging="720"/>
              <w:jc w:val="both"/>
              <w:rPr>
                <w:rFonts w:cs="Times New Roman"/>
                <w:color w:val="222222"/>
                <w:szCs w:val="24"/>
                <w:shd w:val="clear" w:color="auto" w:fill="FFFFFF"/>
              </w:rPr>
            </w:pPr>
            <w:r>
              <w:rPr>
                <w:rFonts w:cs="Times New Roman"/>
                <w:color w:val="222222"/>
                <w:szCs w:val="24"/>
                <w:shd w:val="clear" w:color="auto" w:fill="FFFFFF"/>
              </w:rPr>
              <w:t>Li, Q., Koo, C., Lu, L. and Han, J., 2020. A real-time management system for the indoor environmental quality and energy efficiency in a hotel guestroom. </w:t>
            </w:r>
            <w:r>
              <w:rPr>
                <w:rFonts w:cs="Times New Roman"/>
                <w:i/>
                <w:iCs/>
                <w:color w:val="222222"/>
                <w:szCs w:val="24"/>
                <w:shd w:val="clear" w:color="auto" w:fill="FFFFFF"/>
              </w:rPr>
              <w:t>International Journal of RF Technologies</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(2), pp.109-125.</w:t>
            </w: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p>
            <w:pPr>
              <w:spacing w:after="0" w:line="360" w:lineRule="auto"/>
              <w:jc w:val="both"/>
              <w:rPr>
                <w:rFonts w:eastAsia="Times New Roman" w:cs="Times New Roman"/>
                <w:bCs/>
                <w:color w:val="auto"/>
                <w:szCs w:val="24"/>
              </w:rPr>
            </w:pPr>
          </w:p>
        </w:tc>
      </w:tr>
    </w:tbl>
    <w:p>
      <w:pPr>
        <w:spacing w:line="360" w:lineRule="auto"/>
        <w:jc w:val="both"/>
        <w:rPr>
          <w:rFonts w:cs="Times New Roman"/>
          <w:szCs w:val="24"/>
        </w:rPr>
      </w:pPr>
    </w:p>
    <w:p>
      <w:pPr>
        <w:spacing w:line="360" w:lineRule="auto"/>
        <w:jc w:val="both"/>
        <w:rPr>
          <w:rFonts w:cs="Times New Roman"/>
          <w:szCs w:val="24"/>
        </w:rPr>
        <w:sectPr>
          <w:pgSz w:w="11906" w:h="16838"/>
          <w:pgMar w:top="720" w:right="720" w:bottom="720" w:left="720" w:header="709" w:footer="709" w:gutter="0"/>
          <w:cols w:space="708" w:num="1"/>
          <w:docGrid w:linePitch="360" w:charSpace="0"/>
        </w:sectPr>
      </w:pPr>
    </w:p>
    <w:p>
      <w:pPr>
        <w:widowControl w:val="0"/>
        <w:autoSpaceDE w:val="0"/>
        <w:autoSpaceDN w:val="0"/>
        <w:spacing w:after="0" w:line="360" w:lineRule="auto"/>
        <w:jc w:val="both"/>
        <w:rPr>
          <w:rFonts w:eastAsia="Times New Roman" w:cs="Times New Roman"/>
          <w:color w:val="000000"/>
          <w:szCs w:val="24"/>
          <w:shd w:val="clear" w:color="auto" w:fill="FFFFFF"/>
          <w:lang w:val="en-US"/>
        </w:rPr>
      </w:pPr>
      <w:r>
        <w:rPr>
          <w:rFonts w:cs="Times New Roman"/>
          <w:b/>
          <w:bCs/>
          <w:szCs w:val="24"/>
        </w:rPr>
        <w:t>Component Two:</w:t>
      </w:r>
      <w:r>
        <w:rPr>
          <w:rFonts w:cs="Times New Roman"/>
          <w:szCs w:val="24"/>
          <w:lang w:eastAsia="en-GB"/>
        </w:rPr>
        <w:t xml:space="preserve"> </w:t>
      </w:r>
      <w:r>
        <w:rPr>
          <w:rFonts w:eastAsia="Carlito" w:cs="Times New Roman"/>
          <w:b/>
          <w:bCs/>
          <w:color w:val="000000"/>
          <w:szCs w:val="24"/>
          <w:lang w:val="en-US"/>
        </w:rPr>
        <w:t xml:space="preserve">Health and Safety Guide </w:t>
      </w:r>
    </w:p>
    <w:p>
      <w:pPr>
        <w:spacing w:line="360" w:lineRule="auto"/>
        <w:jc w:val="both"/>
        <w:rPr>
          <w:rFonts w:eastAsia="Carlito" w:cs="Times New Roman"/>
          <w:b/>
          <w:color w:val="auto"/>
          <w:szCs w:val="24"/>
          <w:lang w:val="en-US"/>
        </w:rPr>
      </w:pPr>
      <w:r>
        <w:rPr>
          <w:rFonts w:eastAsia="Carlito" w:cs="Times New Roman"/>
          <w:b/>
          <w:color w:val="auto"/>
          <w:szCs w:val="24"/>
          <w:lang w:val="en-US"/>
        </w:rPr>
        <w:t>Contribution to Overall Module Assessment: 25%</w:t>
      </w:r>
    </w:p>
    <w:p>
      <w:pPr>
        <w:spacing w:line="360" w:lineRule="auto"/>
        <w:jc w:val="both"/>
        <w:rPr>
          <w:rFonts w:eastAsia="Carlito" w:cs="Times New Roman"/>
          <w:b/>
          <w:color w:val="auto"/>
          <w:szCs w:val="24"/>
          <w:lang w:val="en-US"/>
        </w:rPr>
      </w:pPr>
    </w:p>
    <w:p>
      <w:pPr>
        <w:spacing w:line="360" w:lineRule="auto"/>
        <w:jc w:val="center"/>
        <w:rPr>
          <w:rFonts w:eastAsia="Carlito" w:cs="Times New Roman"/>
          <w:b/>
          <w:color w:val="auto"/>
          <w:szCs w:val="24"/>
          <w:lang w:val="en-US"/>
        </w:rPr>
      </w:pPr>
      <w:r>
        <w:rPr>
          <w:rFonts w:eastAsia="Carlito" w:cs="Times New Roman"/>
          <w:b/>
          <w:color w:val="auto"/>
          <w:szCs w:val="24"/>
          <w:lang w:val="en-US"/>
        </w:rPr>
        <w:drawing>
          <wp:inline distT="0" distB="0" distL="0" distR="0">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stretch>
                      <a:fillRect/>
                    </a:stretch>
                  </pic:blipFill>
                  <pic:spPr>
                    <a:xfrm>
                      <a:off x="0" y="0"/>
                      <a:ext cx="6096851" cy="3429479"/>
                    </a:xfrm>
                    <a:prstGeom prst="rect">
                      <a:avLst/>
                    </a:prstGeom>
                  </pic:spPr>
                </pic:pic>
              </a:graphicData>
            </a:graphic>
          </wp:inline>
        </w:drawing>
      </w:r>
    </w:p>
    <w:p>
      <w:pPr>
        <w:spacing w:line="360" w:lineRule="auto"/>
        <w:jc w:val="center"/>
        <w:rPr>
          <w:rFonts w:cs="Times New Roman"/>
          <w:b/>
          <w:bCs/>
          <w:szCs w:val="24"/>
        </w:rPr>
      </w:pPr>
      <w:r>
        <w:rPr>
          <w:rFonts w:cs="Times New Roman"/>
          <w:b/>
          <w:bCs/>
          <w:szCs w:val="24"/>
          <w:lang w:val="en-US"/>
        </w:rPr>
        <w:drawing>
          <wp:inline distT="0" distB="0" distL="0" distR="0">
            <wp:extent cx="5819775" cy="32734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831525" cy="3280233"/>
                    </a:xfrm>
                    <a:prstGeom prst="rect">
                      <a:avLst/>
                    </a:prstGeom>
                  </pic:spPr>
                </pic:pic>
              </a:graphicData>
            </a:graphic>
          </wp:inline>
        </w:drawing>
      </w:r>
    </w:p>
    <w:p>
      <w:pPr>
        <w:spacing w:line="360" w:lineRule="auto"/>
        <w:jc w:val="center"/>
        <w:rPr>
          <w:rFonts w:cs="Times New Roman"/>
          <w:b/>
          <w:bCs/>
          <w:szCs w:val="24"/>
        </w:rPr>
      </w:pPr>
    </w:p>
    <w:p>
      <w:pPr>
        <w:spacing w:line="360" w:lineRule="auto"/>
        <w:jc w:val="center"/>
        <w:rPr>
          <w:rFonts w:cs="Times New Roman"/>
          <w:b/>
          <w:bCs/>
          <w:szCs w:val="24"/>
        </w:rPr>
      </w:pPr>
    </w:p>
    <w:p>
      <w:pPr>
        <w:widowControl w:val="0"/>
        <w:autoSpaceDE w:val="0"/>
        <w:autoSpaceDN w:val="0"/>
        <w:spacing w:after="0" w:line="360" w:lineRule="auto"/>
        <w:jc w:val="both"/>
        <w:rPr>
          <w:rFonts w:eastAsia="Times New Roman" w:cs="Times New Roman"/>
          <w:b/>
          <w:color w:val="000000"/>
          <w:szCs w:val="24"/>
          <w:shd w:val="clear" w:color="auto" w:fill="FFFFFF"/>
          <w:lang w:val="en-US"/>
        </w:rPr>
      </w:pPr>
      <w:r>
        <w:rPr>
          <w:rFonts w:eastAsia="Times New Roman" w:cs="Times New Roman"/>
          <w:b/>
          <w:color w:val="000000"/>
          <w:szCs w:val="24"/>
          <w:shd w:val="clear" w:color="auto" w:fill="FFFFFF"/>
          <w:lang w:val="en-US"/>
        </w:rPr>
        <w:t xml:space="preserve">Introduction </w:t>
      </w:r>
    </w:p>
    <w:p>
      <w:pPr>
        <w:rPr>
          <w:rFonts w:eastAsia="Times New Roman" w:cs="Times New Roman"/>
          <w:color w:val="000000"/>
          <w:szCs w:val="24"/>
          <w:shd w:val="clear" w:color="auto" w:fill="FFFFFF"/>
          <w:lang w:val="en-US"/>
        </w:rPr>
      </w:pPr>
      <w:r>
        <w:rPr>
          <w:rFonts w:eastAsia="Times New Roman" w:cs="Times New Roman"/>
          <w:color w:val="000000"/>
          <w:szCs w:val="24"/>
          <w:shd w:val="clear" w:color="auto" w:fill="FFFFFF"/>
          <w:lang w:val="en-US"/>
        </w:rPr>
        <w:t xml:space="preserve">At </w:t>
      </w:r>
      <w:r>
        <w:rPr>
          <w:rFonts w:eastAsia="Times New Roman" w:cs="Times New Roman"/>
          <w:bCs/>
          <w:color w:val="auto"/>
          <w:szCs w:val="24"/>
        </w:rPr>
        <w:t>Mercure Liverpool Atlantic Tower Hotel</w:t>
      </w:r>
      <w:r>
        <w:rPr>
          <w:rFonts w:eastAsia="Times New Roman" w:cs="Times New Roman"/>
          <w:color w:val="000000"/>
          <w:szCs w:val="24"/>
          <w:shd w:val="clear" w:color="auto" w:fill="FFFFFF"/>
          <w:lang w:val="en-US"/>
        </w:rPr>
        <w:t>, the well-being of housekeeping staff is paramount. This guide aims to ensure the safety and security of our team members by outlining essential precautions, procedures, and equipment requirements for room cleaning.</w:t>
      </w:r>
    </w:p>
    <w:p>
      <w:pPr>
        <w:rPr>
          <w:rFonts w:eastAsia="Times New Roman" w:cs="Times New Roman"/>
          <w:b/>
          <w:color w:val="000000"/>
          <w:szCs w:val="24"/>
          <w:shd w:val="clear" w:color="auto" w:fill="FFFFFF"/>
          <w:lang w:val="en-US"/>
        </w:rPr>
      </w:pPr>
      <w:r>
        <w:rPr>
          <w:rFonts w:eastAsia="Times New Roman" w:cs="Times New Roman"/>
          <w:b/>
          <w:color w:val="000000"/>
          <w:szCs w:val="24"/>
          <w:shd w:val="clear" w:color="auto" w:fill="FFFFFF"/>
          <w:lang w:val="en-US"/>
        </w:rPr>
        <w:t xml:space="preserve">Precautions </w:t>
      </w:r>
    </w:p>
    <w:p>
      <w:pPr>
        <w:pStyle w:val="8"/>
        <w:numPr>
          <w:ilvl w:val="0"/>
          <w:numId w:val="2"/>
        </w:numPr>
        <w:spacing w:line="360" w:lineRule="auto"/>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Use of Personal Protective Equipment (PPE) such as closed-toe shoes and goggles to prevent exposure to physical hazards and chemicals.</w:t>
      </w:r>
    </w:p>
    <w:p>
      <w:pPr>
        <w:pStyle w:val="8"/>
        <w:numPr>
          <w:ilvl w:val="0"/>
          <w:numId w:val="2"/>
        </w:numPr>
        <w:spacing w:line="360" w:lineRule="auto"/>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 xml:space="preserve">Stay attentive for trip, slip, and fall hazards. </w:t>
      </w:r>
    </w:p>
    <w:p>
      <w:pPr>
        <w:pStyle w:val="8"/>
        <w:numPr>
          <w:ilvl w:val="0"/>
          <w:numId w:val="2"/>
        </w:numPr>
        <w:spacing w:line="360" w:lineRule="auto"/>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Keep walkways clear of barriers and clean up spills to prevent any incidents</w:t>
      </w:r>
    </w:p>
    <w:p>
      <w:pPr>
        <w:pStyle w:val="8"/>
        <w:numPr>
          <w:ilvl w:val="0"/>
          <w:numId w:val="2"/>
        </w:numPr>
        <w:spacing w:line="360" w:lineRule="auto"/>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To avoid injuries and strains be mindful of ergonomic practices</w:t>
      </w:r>
    </w:p>
    <w:p>
      <w:pPr>
        <w:pStyle w:val="8"/>
        <w:numPr>
          <w:ilvl w:val="0"/>
          <w:numId w:val="2"/>
        </w:numPr>
        <w:spacing w:line="360" w:lineRule="auto"/>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 xml:space="preserve">Use proper techniques to lift heavy objects </w:t>
      </w:r>
    </w:p>
    <w:p>
      <w:pPr>
        <w:pStyle w:val="8"/>
        <w:numPr>
          <w:ilvl w:val="0"/>
          <w:numId w:val="2"/>
        </w:numPr>
        <w:spacing w:line="360" w:lineRule="auto"/>
        <w:rPr>
          <w:rFonts w:ascii="Times New Roman" w:hAnsi="Times New Roman" w:eastAsia="Times New Roman" w:cs="Times New Roman"/>
          <w:color w:val="000000"/>
          <w:sz w:val="28"/>
          <w:szCs w:val="24"/>
          <w:shd w:val="clear" w:color="auto" w:fill="FFFFFF"/>
        </w:rPr>
      </w:pPr>
      <w:r>
        <w:rPr>
          <w:rFonts w:ascii="Times New Roman" w:hAnsi="Times New Roman" w:cs="Times New Roman"/>
          <w:sz w:val="24"/>
        </w:rPr>
        <w:t>Become familiar with emergency protocols and evacuation routes in case of unanticipated circumstances.</w:t>
      </w:r>
    </w:p>
    <w:p>
      <w:pPr>
        <w:widowControl w:val="0"/>
        <w:autoSpaceDE w:val="0"/>
        <w:autoSpaceDN w:val="0"/>
        <w:spacing w:after="0" w:line="360" w:lineRule="auto"/>
        <w:jc w:val="both"/>
        <w:rPr>
          <w:rFonts w:eastAsia="Times New Roman" w:cs="Times New Roman"/>
          <w:b/>
          <w:color w:val="000000"/>
          <w:szCs w:val="24"/>
          <w:shd w:val="clear" w:color="auto" w:fill="FFFFFF"/>
          <w:lang w:val="en-US"/>
        </w:rPr>
      </w:pPr>
      <w:r>
        <w:rPr>
          <w:rFonts w:eastAsia="Times New Roman" w:cs="Times New Roman"/>
          <w:b/>
          <w:color w:val="000000"/>
          <w:szCs w:val="24"/>
          <w:shd w:val="clear" w:color="auto" w:fill="FFFFFF"/>
          <w:lang w:val="en-US"/>
        </w:rPr>
        <w:t xml:space="preserve">Procedures </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In order to secure the safety and privacy of the visitors, try knocking on the door and making your presence known prior to entering.</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Open the windows or turn on the fans when using cleaning chemicals to keep the concentrations of fumes at tolerable levels.</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First, separate used towels and linens from your clothes that need to be washed and place them into a laundry bag or box.</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Carefully remove the already utilized sheets and towels.</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Assure the hygiene and security.</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Observe anything like damages and repairs.</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Areas like the door handles, knobs, light switches, and remote controls which are frequently touched should be sanitized using disinfectants that are approved.</w:t>
      </w:r>
    </w:p>
    <w:p>
      <w:pPr>
        <w:pStyle w:val="8"/>
        <w:numPr>
          <w:ilvl w:val="0"/>
          <w:numId w:val="3"/>
        </w:numPr>
        <w:spacing w:line="360" w:lineRule="auto"/>
        <w:jc w:val="both"/>
        <w:rPr>
          <w:rFonts w:ascii="Times New Roman" w:hAnsi="Times New Roman" w:cs="Times New Roman"/>
          <w:sz w:val="24"/>
        </w:rPr>
      </w:pPr>
      <w:r>
        <w:rPr>
          <w:rFonts w:ascii="Times New Roman" w:hAnsi="Times New Roman" w:cs="Times New Roman"/>
          <w:sz w:val="24"/>
        </w:rPr>
        <w:t>Deeply vacuum carpets and rugs, but clean the edges and corners thoroughly where dust and debris tend to gather.</w:t>
      </w:r>
    </w:p>
    <w:p>
      <w:pPr>
        <w:pStyle w:val="8"/>
        <w:numPr>
          <w:ilvl w:val="0"/>
          <w:numId w:val="3"/>
        </w:numPr>
        <w:spacing w:line="360" w:lineRule="auto"/>
        <w:jc w:val="both"/>
        <w:rPr>
          <w:rFonts w:ascii="Times New Roman" w:hAnsi="Times New Roman" w:eastAsia="Times New Roman" w:cs="Times New Roman"/>
          <w:color w:val="000000"/>
          <w:sz w:val="28"/>
          <w:szCs w:val="24"/>
          <w:shd w:val="clear" w:color="auto" w:fill="FFFFFF"/>
        </w:rPr>
      </w:pPr>
      <w:r>
        <w:rPr>
          <w:rFonts w:ascii="Times New Roman" w:hAnsi="Times New Roman" w:cs="Times New Roman"/>
          <w:sz w:val="24"/>
        </w:rPr>
        <w:t>Ensure the doors and windows locked when the stay period is over—that is, restock the amenities for the next visitor..</w:t>
      </w:r>
    </w:p>
    <w:p>
      <w:pPr>
        <w:spacing w:line="360" w:lineRule="auto"/>
        <w:jc w:val="both"/>
        <w:rPr>
          <w:rFonts w:eastAsia="Times New Roman" w:cs="Times New Roman"/>
          <w:b/>
          <w:color w:val="000000"/>
          <w:szCs w:val="24"/>
          <w:shd w:val="clear" w:color="auto" w:fill="FFFFFF"/>
        </w:rPr>
      </w:pPr>
      <w:r>
        <w:rPr>
          <w:rFonts w:eastAsia="Times New Roman" w:cs="Times New Roman"/>
          <w:b/>
          <w:color w:val="000000"/>
          <w:szCs w:val="24"/>
          <w:shd w:val="clear" w:color="auto" w:fill="FFFFFF"/>
        </w:rPr>
        <w:t>Equipment</w:t>
      </w:r>
    </w:p>
    <w:p>
      <w:pPr>
        <w:pStyle w:val="8"/>
        <w:numPr>
          <w:ilvl w:val="0"/>
          <w:numId w:val="4"/>
        </w:numPr>
        <w:spacing w:line="360" w:lineRule="auto"/>
        <w:jc w:val="both"/>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Approvable disinfectants, glass cleaners and multipurpose cleaners are availbale for direct use by the housekeeping staff of all guest rooms.</w:t>
      </w:r>
    </w:p>
    <w:p>
      <w:pPr>
        <w:pStyle w:val="8"/>
        <w:numPr>
          <w:ilvl w:val="0"/>
          <w:numId w:val="4"/>
        </w:numPr>
        <w:spacing w:line="360" w:lineRule="auto"/>
        <w:jc w:val="both"/>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Vacuum cleaner will come with tools such as a hose for an upholstery and one for a corners.</w:t>
      </w:r>
    </w:p>
    <w:p>
      <w:pPr>
        <w:pStyle w:val="8"/>
        <w:numPr>
          <w:ilvl w:val="0"/>
          <w:numId w:val="4"/>
        </w:numPr>
        <w:spacing w:line="360" w:lineRule="auto"/>
        <w:jc w:val="both"/>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Mop and bucket for hard floor cleaning with electric (or manual) wringer for efficient removal of water.</w:t>
      </w:r>
    </w:p>
    <w:p>
      <w:pPr>
        <w:pStyle w:val="8"/>
        <w:numPr>
          <w:ilvl w:val="0"/>
          <w:numId w:val="4"/>
        </w:numPr>
        <w:spacing w:line="360" w:lineRule="auto"/>
        <w:jc w:val="both"/>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Distracting microfiber fabrics for dusting and wiping surfaces, which eliminate the spiritless requirement for using the chemical products.</w:t>
      </w:r>
    </w:p>
    <w:p>
      <w:pPr>
        <w:pStyle w:val="8"/>
        <w:numPr>
          <w:ilvl w:val="0"/>
          <w:numId w:val="4"/>
        </w:numPr>
        <w:spacing w:line="360" w:lineRule="auto"/>
        <w:jc w:val="both"/>
        <w:rPr>
          <w:rFonts w:ascii="Times New Roman" w:hAnsi="Times New Roman" w:eastAsia="Times New Roman" w:cs="Times New Roman"/>
          <w:color w:val="000000"/>
          <w:sz w:val="24"/>
          <w:szCs w:val="24"/>
          <w:shd w:val="clear" w:color="auto" w:fill="FFFFFF"/>
        </w:rPr>
      </w:pPr>
      <w:r>
        <w:rPr>
          <w:rFonts w:ascii="Times New Roman" w:hAnsi="Times New Roman" w:eastAsia="Times New Roman" w:cs="Times New Roman"/>
          <w:color w:val="000000"/>
          <w:sz w:val="24"/>
          <w:szCs w:val="24"/>
          <w:shd w:val="clear" w:color="auto" w:fill="FFFFFF"/>
        </w:rPr>
        <w:t>For transferring the cleaning supplies and gears, employ carts or trolleys.</w:t>
      </w:r>
    </w:p>
    <w:p>
      <w:pPr>
        <w:spacing w:line="360" w:lineRule="auto"/>
        <w:jc w:val="both"/>
        <w:rPr>
          <w:rFonts w:eastAsia="Times New Roman" w:cs="Times New Roman"/>
          <w:b/>
          <w:color w:val="000000"/>
          <w:szCs w:val="24"/>
          <w:shd w:val="clear" w:color="auto" w:fill="FFFFFF"/>
        </w:rPr>
      </w:pPr>
      <w:r>
        <w:rPr>
          <w:rFonts w:eastAsia="Times New Roman" w:cs="Times New Roman"/>
          <w:b/>
          <w:color w:val="000000"/>
          <w:szCs w:val="24"/>
          <w:shd w:val="clear" w:color="auto" w:fill="FFFFFF"/>
        </w:rPr>
        <w:t xml:space="preserve">Hazard Mitigation </w:t>
      </w:r>
    </w:p>
    <w:p>
      <w:pPr>
        <w:pStyle w:val="8"/>
        <w:numPr>
          <w:ilvl w:val="0"/>
          <w:numId w:val="5"/>
        </w:num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Slip and Trip Hazards: Quickly clean up spills and areas that are likely to become wet by mopping the surfaces to prevent situations that will lead to slips. As a way of prevention, wipe up the spills and the wet surfaces promptly.</w:t>
      </w:r>
    </w:p>
    <w:p>
      <w:pPr>
        <w:pStyle w:val="8"/>
        <w:numPr>
          <w:ilvl w:val="0"/>
          <w:numId w:val="5"/>
        </w:num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Execute electrical safety: Investing in renewable sources of energy is simply the best way to avoid overloading the electrical system.</w:t>
      </w:r>
    </w:p>
    <w:p>
      <w:pPr>
        <w:pStyle w:val="8"/>
        <w:numPr>
          <w:ilvl w:val="0"/>
          <w:numId w:val="5"/>
        </w:num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Chemical exposure: Ensure that if cleaning chemicals are kept then they should be stored in properly labelled containers and train employees on safe handling. Check the ventilation is proper in the enclosed area.</w:t>
      </w:r>
    </w:p>
    <w:p>
      <w:pPr>
        <w:pStyle w:val="8"/>
        <w:numPr>
          <w:ilvl w:val="0"/>
          <w:numId w:val="5"/>
        </w:num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Ergonomic Hazards: Correlate between the specialized truck handling tools and equipment with staffers' body stature and height.</w:t>
      </w:r>
    </w:p>
    <w:p>
      <w:pPr>
        <w:spacing w:line="360" w:lineRule="auto"/>
        <w:jc w:val="both"/>
        <w:rPr>
          <w:rFonts w:eastAsia="Times New Roman" w:cs="Times New Roman"/>
          <w:b/>
          <w:color w:val="000000"/>
          <w:szCs w:val="24"/>
          <w:shd w:val="clear" w:color="auto" w:fill="FFFFFF"/>
        </w:rPr>
      </w:pPr>
    </w:p>
    <w:p>
      <w:pPr>
        <w:rPr>
          <w:rFonts w:cs="Times New Roman"/>
          <w:b/>
          <w:bCs/>
          <w:szCs w:val="24"/>
        </w:rPr>
      </w:pPr>
      <w:r>
        <w:rPr>
          <w:rFonts w:cs="Times New Roman"/>
          <w:b/>
          <w:bCs/>
          <w:szCs w:val="24"/>
        </w:rPr>
        <w:br w:type="page"/>
      </w:r>
    </w:p>
    <w:p>
      <w:pPr>
        <w:spacing w:line="360" w:lineRule="auto"/>
        <w:jc w:val="both"/>
        <w:rPr>
          <w:rFonts w:cs="Times New Roman"/>
          <w:b/>
          <w:bCs/>
          <w:szCs w:val="24"/>
        </w:rPr>
      </w:pPr>
    </w:p>
    <w:p>
      <w:pPr>
        <w:spacing w:line="360" w:lineRule="auto"/>
        <w:jc w:val="both"/>
        <w:rPr>
          <w:rFonts w:cs="Times New Roman"/>
          <w:b/>
          <w:bCs/>
          <w:szCs w:val="24"/>
        </w:rPr>
      </w:pPr>
      <w:r>
        <w:rPr>
          <w:rFonts w:cs="Times New Roman"/>
          <w:b/>
          <w:bCs/>
          <w:szCs w:val="24"/>
        </w:rPr>
        <w:t xml:space="preserve">Component 3: Presentation </w:t>
      </w:r>
    </w:p>
    <w:p>
      <w:pPr>
        <w:spacing w:line="360" w:lineRule="auto"/>
        <w:jc w:val="both"/>
        <w:rPr>
          <w:rFonts w:cs="Times New Roman"/>
          <w:b/>
          <w:bCs/>
          <w:szCs w:val="24"/>
        </w:rPr>
      </w:pPr>
    </w:p>
    <w:p>
      <w:pPr>
        <w:spacing w:line="360" w:lineRule="auto"/>
        <w:jc w:val="both"/>
        <w:rPr>
          <w:rFonts w:cs="Times New Roman"/>
          <w:b/>
          <w:bCs/>
          <w:szCs w:val="24"/>
        </w:rPr>
      </w:pPr>
    </w:p>
    <w:p>
      <w:pPr>
        <w:spacing w:line="360" w:lineRule="auto"/>
        <w:jc w:val="both"/>
        <w:rPr>
          <w:rFonts w:cs="Times New Roman"/>
          <w:b/>
          <w:bCs/>
          <w:szCs w:val="24"/>
        </w:rPr>
      </w:pPr>
    </w:p>
    <w:p>
      <w:pPr>
        <w:spacing w:line="360" w:lineRule="auto"/>
        <w:jc w:val="both"/>
        <w:rPr>
          <w:rFonts w:cs="Times New Roman"/>
          <w:b/>
          <w:bCs/>
          <w:szCs w:val="24"/>
        </w:rPr>
      </w:pPr>
      <w:r>
        <w:drawing>
          <wp:inline distT="0" distB="0" distL="0" distR="0">
            <wp:extent cx="9324340" cy="5245100"/>
            <wp:effectExtent l="0" t="0" r="0" b="0"/>
            <wp:docPr id="8549144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14405" name="Graphic 1"/>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223473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73729" name="Graphic 1"/>
                    <pic:cNvPicPr>
                      <a:picLocks noChangeAspect="1"/>
                    </pic:cNvPicPr>
                  </pic:nvPicPr>
                  <pic:blipFill>
                    <a:blip r:embed="rId11">
                      <a:extLst>
                        <a:ext uri="{96DAC541-7B7A-43D3-8B79-37D633B846F1}">
                          <asvg:svgBlip xmlns:asvg="http://schemas.microsoft.com/office/drawing/2016/SVG/main" r:embed="rId12"/>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483429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9545" name="Graphic 1"/>
                    <pic:cNvPicPr>
                      <a:picLocks noChangeAspect="1"/>
                    </pic:cNvPicPr>
                  </pic:nvPicPr>
                  <pic:blipFill>
                    <a:blip r:embed="rId13">
                      <a:extLst>
                        <a:ext uri="{96DAC541-7B7A-43D3-8B79-37D633B846F1}">
                          <asvg:svgBlip xmlns:asvg="http://schemas.microsoft.com/office/drawing/2016/SVG/main" r:embed="rId14"/>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861706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706904" name="Graphic 1"/>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2127513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13232" name="Graphic 1"/>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531377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37791" name="Graphic 1"/>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605787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87153" name="Graphic 1"/>
                    <pic:cNvPicPr>
                      <a:picLocks noChangeAspect="1"/>
                    </pic:cNvPicPr>
                  </pic:nvPicPr>
                  <pic:blipFill>
                    <a:blip r:embed="rId21">
                      <a:extLst>
                        <a:ext uri="{96DAC541-7B7A-43D3-8B79-37D633B846F1}">
                          <asvg:svgBlip xmlns:asvg="http://schemas.microsoft.com/office/drawing/2016/SVG/main" r:embed="rId22"/>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p>
    <w:p>
      <w:pPr>
        <w:spacing w:line="360" w:lineRule="auto"/>
        <w:jc w:val="both"/>
        <w:rPr>
          <w:rFonts w:cs="Times New Roman"/>
          <w:b/>
          <w:bCs/>
          <w:szCs w:val="24"/>
        </w:rPr>
      </w:pPr>
    </w:p>
    <w:p>
      <w:pPr>
        <w:spacing w:line="360" w:lineRule="auto"/>
        <w:jc w:val="both"/>
        <w:rPr>
          <w:rFonts w:cs="Times New Roman"/>
          <w:b/>
          <w:bCs/>
          <w:szCs w:val="24"/>
        </w:rPr>
      </w:pPr>
      <w:r>
        <w:drawing>
          <wp:inline distT="0" distB="0" distL="0" distR="0">
            <wp:extent cx="9324340" cy="5245100"/>
            <wp:effectExtent l="0" t="0" r="0" b="0"/>
            <wp:docPr id="20688020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02026" name="Graphic 1"/>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0892547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54776" name="Graphic 1"/>
                    <pic:cNvPicPr>
                      <a:picLocks noChangeAspect="1"/>
                    </pic:cNvPicPr>
                  </pic:nvPicPr>
                  <pic:blipFill>
                    <a:blip r:embed="rId25">
                      <a:extLst>
                        <a:ext uri="{96DAC541-7B7A-43D3-8B79-37D633B846F1}">
                          <asvg:svgBlip xmlns:asvg="http://schemas.microsoft.com/office/drawing/2016/SVG/main" r:embed="rId26"/>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3528257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25714" name="Graphic 1"/>
                    <pic:cNvPicPr>
                      <a:picLocks noChangeAspect="1"/>
                    </pic:cNvPicPr>
                  </pic:nvPicPr>
                  <pic:blipFill>
                    <a:blip r:embed="rId27">
                      <a:extLst>
                        <a:ext uri="{96DAC541-7B7A-43D3-8B79-37D633B846F1}">
                          <asvg:svgBlip xmlns:asvg="http://schemas.microsoft.com/office/drawing/2016/SVG/main" r:embed="rId28"/>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12101260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26021" name="Graphic 1"/>
                    <pic:cNvPicPr>
                      <a:picLocks noChangeAspect="1"/>
                    </pic:cNvPicPr>
                  </pic:nvPicPr>
                  <pic:blipFill>
                    <a:blip r:embed="rId29">
                      <a:extLst>
                        <a:ext uri="{96DAC541-7B7A-43D3-8B79-37D633B846F1}">
                          <asvg:svgBlip xmlns:asvg="http://schemas.microsoft.com/office/drawing/2016/SVG/main" r:embed="rId30"/>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5678963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896388" name="Graphic 1"/>
                    <pic:cNvPicPr>
                      <a:picLocks noChangeAspect="1"/>
                    </pic:cNvPicPr>
                  </pic:nvPicPr>
                  <pic:blipFill>
                    <a:blip r:embed="rId31">
                      <a:extLst>
                        <a:ext uri="{96DAC541-7B7A-43D3-8B79-37D633B846F1}">
                          <asvg:svgBlip xmlns:asvg="http://schemas.microsoft.com/office/drawing/2016/SVG/main" r:embed="rId32"/>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r>
        <w:drawing>
          <wp:inline distT="0" distB="0" distL="0" distR="0">
            <wp:extent cx="9324340" cy="5245100"/>
            <wp:effectExtent l="0" t="0" r="0" b="0"/>
            <wp:docPr id="2166374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37492" name="Graphic 1"/>
                    <pic:cNvPicPr>
                      <a:picLocks noChangeAspect="1"/>
                    </pic:cNvPicPr>
                  </pic:nvPicPr>
                  <pic:blipFill>
                    <a:blip r:embed="rId33">
                      <a:extLst>
                        <a:ext uri="{96DAC541-7B7A-43D3-8B79-37D633B846F1}">
                          <asvg:svgBlip xmlns:asvg="http://schemas.microsoft.com/office/drawing/2016/SVG/main" r:embed="rId34"/>
                        </a:ext>
                      </a:extLst>
                    </a:blip>
                    <a:stretch>
                      <a:fillRect/>
                    </a:stretch>
                  </pic:blipFill>
                  <pic:spPr>
                    <a:xfrm>
                      <a:off x="0" y="0"/>
                      <a:ext cx="9324340" cy="5245100"/>
                    </a:xfrm>
                    <a:prstGeom prst="rect">
                      <a:avLst/>
                    </a:prstGeom>
                  </pic:spPr>
                </pic:pic>
              </a:graphicData>
            </a:graphic>
          </wp:inline>
        </w:drawing>
      </w:r>
    </w:p>
    <w:p>
      <w:pPr>
        <w:spacing w:line="360" w:lineRule="auto"/>
        <w:jc w:val="both"/>
        <w:rPr>
          <w:rFonts w:cs="Times New Roman"/>
          <w:b/>
          <w:bCs/>
          <w:szCs w:val="24"/>
        </w:rPr>
      </w:pPr>
    </w:p>
    <w:p>
      <w:pPr>
        <w:spacing w:line="360" w:lineRule="auto"/>
        <w:jc w:val="both"/>
        <w:rPr>
          <w:rFonts w:cs="Times New Roman"/>
          <w:b/>
          <w:bCs/>
          <w:szCs w:val="24"/>
        </w:rPr>
      </w:pPr>
    </w:p>
    <w:p>
      <w:pPr>
        <w:pBdr>
          <w:top w:val="single" w:color="auto" w:sz="4" w:space="1"/>
          <w:left w:val="single" w:color="auto" w:sz="4" w:space="4"/>
          <w:bottom w:val="single" w:color="auto" w:sz="4" w:space="1"/>
          <w:right w:val="single" w:color="auto" w:sz="4" w:space="4"/>
          <w:between w:val="single" w:color="auto" w:sz="4" w:space="1"/>
        </w:pBdr>
        <w:spacing w:line="360" w:lineRule="auto"/>
        <w:jc w:val="both"/>
        <w:rPr>
          <w:rFonts w:cs="Times New Roman"/>
          <w:b/>
          <w:bCs/>
          <w:szCs w:val="24"/>
        </w:rPr>
        <w:sectPr>
          <w:pgSz w:w="16838" w:h="11906" w:orient="landscape"/>
          <w:pgMar w:top="1440" w:right="1077" w:bottom="1440" w:left="1077" w:header="709" w:footer="709" w:gutter="0"/>
          <w:cols w:space="708" w:num="1"/>
          <w:docGrid w:linePitch="360" w:charSpace="0"/>
        </w:sectPr>
      </w:pPr>
    </w:p>
    <w:p>
      <w:pPr>
        <w:pStyle w:val="2"/>
        <w:pBdr>
          <w:top w:val="single" w:color="auto" w:sz="4" w:space="1"/>
          <w:left w:val="single" w:color="auto" w:sz="4" w:space="4"/>
          <w:bottom w:val="single" w:color="auto" w:sz="4" w:space="1"/>
          <w:right w:val="single" w:color="auto" w:sz="4" w:space="4"/>
          <w:between w:val="single" w:color="auto" w:sz="4" w:space="1"/>
        </w:pBdr>
        <w:spacing w:line="360" w:lineRule="auto"/>
        <w:jc w:val="both"/>
        <w:rPr>
          <w:rFonts w:ascii="Times New Roman" w:hAnsi="Times New Roman" w:cs="Times New Roman"/>
          <w:b/>
          <w:bCs/>
          <w:color w:val="auto"/>
          <w:sz w:val="24"/>
          <w:szCs w:val="24"/>
        </w:rPr>
      </w:pPr>
    </w:p>
    <w:p>
      <w:pPr>
        <w:spacing w:line="360" w:lineRule="auto"/>
        <w:jc w:val="both"/>
        <w:rPr>
          <w:rFonts w:cs="Times New Roman"/>
          <w:szCs w:val="24"/>
        </w:rPr>
      </w:pPr>
    </w:p>
    <w:p>
      <w:pPr>
        <w:spacing w:line="360" w:lineRule="auto"/>
        <w:jc w:val="both"/>
        <w:rPr>
          <w:rFonts w:cs="Times New Roman"/>
          <w:szCs w:val="24"/>
        </w:rPr>
      </w:pPr>
    </w:p>
    <w:p>
      <w:pPr>
        <w:spacing w:line="360" w:lineRule="auto"/>
        <w:jc w:val="both"/>
        <w:rPr>
          <w:rFonts w:cs="Times New Roman"/>
          <w:szCs w:val="24"/>
        </w:rPr>
      </w:pPr>
    </w:p>
    <w:p>
      <w:pPr>
        <w:spacing w:line="360" w:lineRule="auto"/>
        <w:jc w:val="both"/>
        <w:rPr>
          <w:rFonts w:cs="Times New Roman"/>
          <w:szCs w:val="24"/>
        </w:rPr>
      </w:pPr>
    </w:p>
    <w:p>
      <w:pPr>
        <w:spacing w:line="360" w:lineRule="auto"/>
        <w:jc w:val="both"/>
        <w:rPr>
          <w:rFonts w:cs="Times New Roman"/>
          <w:b/>
          <w:bCs/>
          <w:szCs w:val="24"/>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9D6981"/>
    <w:multiLevelType w:val="multilevel"/>
    <w:tmpl w:val="209D698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4DD6AD8"/>
    <w:multiLevelType w:val="multilevel"/>
    <w:tmpl w:val="24DD6AD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5867214"/>
    <w:multiLevelType w:val="multilevel"/>
    <w:tmpl w:val="4586721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928019B"/>
    <w:multiLevelType w:val="multilevel"/>
    <w:tmpl w:val="6928019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82F6785"/>
    <w:multiLevelType w:val="multilevel"/>
    <w:tmpl w:val="782F6785"/>
    <w:lvl w:ilvl="0" w:tentative="0">
      <w:start w:val="1"/>
      <w:numFmt w:val="bullet"/>
      <w:lvlText w:val=""/>
      <w:lvlJc w:val="left"/>
      <w:pPr>
        <w:ind w:left="720" w:hanging="360"/>
      </w:pPr>
      <w:rPr>
        <w:rFonts w:hint="default" w:ascii="Symbol" w:hAnsi="Symbol"/>
      </w:rPr>
    </w:lvl>
    <w:lvl w:ilvl="1" w:tentative="0">
      <w:start w:val="0"/>
      <w:numFmt w:val="bullet"/>
      <w:lvlText w:val="•"/>
      <w:lvlJc w:val="left"/>
      <w:pPr>
        <w:ind w:left="1440" w:hanging="360"/>
      </w:pPr>
      <w:rPr>
        <w:rFonts w:hint="default" w:ascii="Times New Roman" w:hAnsi="Times New Roman" w:eastAsia="Times New Roman" w:cs="Times New Roman"/>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4128E"/>
    <w:rsid w:val="0007133D"/>
    <w:rsid w:val="000E4478"/>
    <w:rsid w:val="000F1352"/>
    <w:rsid w:val="0012633E"/>
    <w:rsid w:val="00130E68"/>
    <w:rsid w:val="00137075"/>
    <w:rsid w:val="00167A2D"/>
    <w:rsid w:val="001749FD"/>
    <w:rsid w:val="001E5A9B"/>
    <w:rsid w:val="001F686C"/>
    <w:rsid w:val="00235905"/>
    <w:rsid w:val="00236B2B"/>
    <w:rsid w:val="0026412D"/>
    <w:rsid w:val="00280FDD"/>
    <w:rsid w:val="002A1B72"/>
    <w:rsid w:val="002A63E0"/>
    <w:rsid w:val="00330917"/>
    <w:rsid w:val="00337FC9"/>
    <w:rsid w:val="00343A05"/>
    <w:rsid w:val="003508D9"/>
    <w:rsid w:val="0035159B"/>
    <w:rsid w:val="00357851"/>
    <w:rsid w:val="00370669"/>
    <w:rsid w:val="003F0EAE"/>
    <w:rsid w:val="0045538B"/>
    <w:rsid w:val="0046627D"/>
    <w:rsid w:val="004662DE"/>
    <w:rsid w:val="00473889"/>
    <w:rsid w:val="00477FBB"/>
    <w:rsid w:val="004A438E"/>
    <w:rsid w:val="004C5591"/>
    <w:rsid w:val="004D0F63"/>
    <w:rsid w:val="004E259A"/>
    <w:rsid w:val="004F6056"/>
    <w:rsid w:val="00507999"/>
    <w:rsid w:val="00517568"/>
    <w:rsid w:val="00517F3D"/>
    <w:rsid w:val="00522F3F"/>
    <w:rsid w:val="00526B82"/>
    <w:rsid w:val="005462E3"/>
    <w:rsid w:val="00592A7E"/>
    <w:rsid w:val="005A22B6"/>
    <w:rsid w:val="005C44D6"/>
    <w:rsid w:val="005F689A"/>
    <w:rsid w:val="0060481B"/>
    <w:rsid w:val="00614BA4"/>
    <w:rsid w:val="00672420"/>
    <w:rsid w:val="006958B2"/>
    <w:rsid w:val="00696766"/>
    <w:rsid w:val="00697D92"/>
    <w:rsid w:val="006A6CDE"/>
    <w:rsid w:val="006B6681"/>
    <w:rsid w:val="006D5812"/>
    <w:rsid w:val="006D73B6"/>
    <w:rsid w:val="006F67EC"/>
    <w:rsid w:val="00713221"/>
    <w:rsid w:val="00745B82"/>
    <w:rsid w:val="0077405C"/>
    <w:rsid w:val="0078559B"/>
    <w:rsid w:val="007967F1"/>
    <w:rsid w:val="007971A7"/>
    <w:rsid w:val="007B15DA"/>
    <w:rsid w:val="007B6348"/>
    <w:rsid w:val="008058AC"/>
    <w:rsid w:val="00807377"/>
    <w:rsid w:val="00821E90"/>
    <w:rsid w:val="008358ED"/>
    <w:rsid w:val="00840816"/>
    <w:rsid w:val="00852BFF"/>
    <w:rsid w:val="0086599B"/>
    <w:rsid w:val="008B5011"/>
    <w:rsid w:val="0094492B"/>
    <w:rsid w:val="00974C27"/>
    <w:rsid w:val="00977466"/>
    <w:rsid w:val="009853B4"/>
    <w:rsid w:val="009A4555"/>
    <w:rsid w:val="009D31CA"/>
    <w:rsid w:val="009F30B7"/>
    <w:rsid w:val="00A3401B"/>
    <w:rsid w:val="00A46572"/>
    <w:rsid w:val="00A546DD"/>
    <w:rsid w:val="00A83A4D"/>
    <w:rsid w:val="00AA0DA1"/>
    <w:rsid w:val="00AB29A2"/>
    <w:rsid w:val="00AD1F84"/>
    <w:rsid w:val="00B0725C"/>
    <w:rsid w:val="00B1096B"/>
    <w:rsid w:val="00B20050"/>
    <w:rsid w:val="00B41ACF"/>
    <w:rsid w:val="00B45BF8"/>
    <w:rsid w:val="00B83F82"/>
    <w:rsid w:val="00BD35C5"/>
    <w:rsid w:val="00BD6B2F"/>
    <w:rsid w:val="00BE3382"/>
    <w:rsid w:val="00BE4D76"/>
    <w:rsid w:val="00C04832"/>
    <w:rsid w:val="00C44019"/>
    <w:rsid w:val="00CD26B9"/>
    <w:rsid w:val="00CE5139"/>
    <w:rsid w:val="00D408FD"/>
    <w:rsid w:val="00D67B65"/>
    <w:rsid w:val="00D700BE"/>
    <w:rsid w:val="00D722E0"/>
    <w:rsid w:val="00D742F3"/>
    <w:rsid w:val="00D879FA"/>
    <w:rsid w:val="00D944F7"/>
    <w:rsid w:val="00DD7FBE"/>
    <w:rsid w:val="00E02EDD"/>
    <w:rsid w:val="00E06363"/>
    <w:rsid w:val="00E24432"/>
    <w:rsid w:val="00E743D7"/>
    <w:rsid w:val="00E75175"/>
    <w:rsid w:val="00E814C0"/>
    <w:rsid w:val="00E84ADC"/>
    <w:rsid w:val="00E90A87"/>
    <w:rsid w:val="00EB27F8"/>
    <w:rsid w:val="00EC2E6B"/>
    <w:rsid w:val="00F03E94"/>
    <w:rsid w:val="00F142DA"/>
    <w:rsid w:val="00F81954"/>
    <w:rsid w:val="00F83D3B"/>
    <w:rsid w:val="00FA176D"/>
    <w:rsid w:val="00FD2C82"/>
    <w:rsid w:val="00FD56ED"/>
    <w:rsid w:val="00FE3BE5"/>
    <w:rsid w:val="00FE5634"/>
    <w:rsid w:val="00FF51C8"/>
    <w:rsid w:val="00FF66C6"/>
    <w:rsid w:val="4D5C65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1"/>
    <w:unhideWhenUsed/>
    <w:qFormat/>
    <w:uiPriority w:val="99"/>
    <w:pPr>
      <w:tabs>
        <w:tab w:val="center" w:pos="4513"/>
        <w:tab w:val="right" w:pos="9026"/>
      </w:tabs>
      <w:spacing w:after="0" w:line="240" w:lineRule="auto"/>
    </w:pPr>
  </w:style>
  <w:style w:type="paragraph" w:styleId="6">
    <w:name w:val="header"/>
    <w:basedOn w:val="1"/>
    <w:link w:val="10"/>
    <w:unhideWhenUsed/>
    <w:qFormat/>
    <w:uiPriority w:val="99"/>
    <w:pPr>
      <w:tabs>
        <w:tab w:val="center" w:pos="4513"/>
        <w:tab w:val="right" w:pos="9026"/>
      </w:tabs>
      <w:spacing w:after="0" w:line="240" w:lineRule="auto"/>
    </w:pPr>
  </w:style>
  <w:style w:type="table" w:styleId="7">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8">
    <w:name w:val="List Paragraph"/>
    <w:basedOn w:val="1"/>
    <w:qFormat/>
    <w:uiPriority w:val="34"/>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9">
    <w:name w:val="fluidplugincopy"/>
    <w:basedOn w:val="3"/>
    <w:qFormat/>
    <w:uiPriority w:val="0"/>
  </w:style>
  <w:style w:type="character" w:customStyle="1" w:styleId="10">
    <w:name w:val="Header Char"/>
    <w:basedOn w:val="3"/>
    <w:link w:val="6"/>
    <w:qFormat/>
    <w:uiPriority w:val="99"/>
  </w:style>
  <w:style w:type="character" w:customStyle="1" w:styleId="11">
    <w:name w:val="Footer Char"/>
    <w:basedOn w:val="3"/>
    <w:link w:val="5"/>
    <w:qFormat/>
    <w:uiPriority w:val="99"/>
  </w:style>
  <w:style w:type="character" w:customStyle="1" w:styleId="12">
    <w:name w:val="Heading 1 Char"/>
    <w:basedOn w:val="3"/>
    <w:link w:val="2"/>
    <w:qFormat/>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6" Type="http://schemas.openxmlformats.org/officeDocument/2006/relationships/fontTable" Target="fontTable.xml"/><Relationship Id="rId35" Type="http://schemas.openxmlformats.org/officeDocument/2006/relationships/numbering" Target="numbering.xml"/><Relationship Id="rId34" Type="http://schemas.openxmlformats.org/officeDocument/2006/relationships/image" Target="media/image29.svg"/><Relationship Id="rId33" Type="http://schemas.openxmlformats.org/officeDocument/2006/relationships/image" Target="media/image28.png"/><Relationship Id="rId32" Type="http://schemas.openxmlformats.org/officeDocument/2006/relationships/image" Target="media/image27.svg"/><Relationship Id="rId31" Type="http://schemas.openxmlformats.org/officeDocument/2006/relationships/image" Target="media/image26.png"/><Relationship Id="rId30" Type="http://schemas.openxmlformats.org/officeDocument/2006/relationships/image" Target="media/image25.svg"/><Relationship Id="rId3" Type="http://schemas.openxmlformats.org/officeDocument/2006/relationships/footnotes" Target="footnotes.xml"/><Relationship Id="rId29" Type="http://schemas.openxmlformats.org/officeDocument/2006/relationships/image" Target="media/image24.png"/><Relationship Id="rId28" Type="http://schemas.openxmlformats.org/officeDocument/2006/relationships/image" Target="media/image23.svg"/><Relationship Id="rId27" Type="http://schemas.openxmlformats.org/officeDocument/2006/relationships/image" Target="media/image22.png"/><Relationship Id="rId26" Type="http://schemas.openxmlformats.org/officeDocument/2006/relationships/image" Target="media/image21.svg"/><Relationship Id="rId25" Type="http://schemas.openxmlformats.org/officeDocument/2006/relationships/image" Target="media/image20.png"/><Relationship Id="rId24" Type="http://schemas.openxmlformats.org/officeDocument/2006/relationships/image" Target="media/image19.svg"/><Relationship Id="rId23" Type="http://schemas.openxmlformats.org/officeDocument/2006/relationships/image" Target="media/image18.png"/><Relationship Id="rId22" Type="http://schemas.openxmlformats.org/officeDocument/2006/relationships/image" Target="media/image17.svg"/><Relationship Id="rId21" Type="http://schemas.openxmlformats.org/officeDocument/2006/relationships/image" Target="media/image16.png"/><Relationship Id="rId20" Type="http://schemas.openxmlformats.org/officeDocument/2006/relationships/image" Target="media/image15.sv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svg"/><Relationship Id="rId17" Type="http://schemas.openxmlformats.org/officeDocument/2006/relationships/image" Target="media/image12.png"/><Relationship Id="rId16" Type="http://schemas.openxmlformats.org/officeDocument/2006/relationships/image" Target="media/image11.svg"/><Relationship Id="rId15" Type="http://schemas.openxmlformats.org/officeDocument/2006/relationships/image" Target="media/image10.png"/><Relationship Id="rId14" Type="http://schemas.openxmlformats.org/officeDocument/2006/relationships/image" Target="media/image9.svg"/><Relationship Id="rId13" Type="http://schemas.openxmlformats.org/officeDocument/2006/relationships/image" Target="media/image8.png"/><Relationship Id="rId12" Type="http://schemas.openxmlformats.org/officeDocument/2006/relationships/image" Target="media/image7.svg"/><Relationship Id="rId11" Type="http://schemas.openxmlformats.org/officeDocument/2006/relationships/image" Target="media/image6.png"/><Relationship Id="rId10" Type="http://schemas.openxmlformats.org/officeDocument/2006/relationships/image" Target="media/image5.sv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24</Pages>
  <Words>1461</Words>
  <Characters>8330</Characters>
  <Lines>69</Lines>
  <Paragraphs>19</Paragraphs>
  <TotalTime>223</TotalTime>
  <ScaleCrop>false</ScaleCrop>
  <LinksUpToDate>false</LinksUpToDate>
  <CharactersWithSpaces>9772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2023-09-26T14:36:00Z</dcterms:created>
  <dc:creator>Laurence Blake</dc:creator>
  <cp:lastModifiedBy>Alina Nedea</cp:lastModifiedBy>
  <dcterms:modified xsi:type="dcterms:W3CDTF">2024-02-26T21:10:33Z</dcterms:modified>
  <cp:revision>105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72A7A50FBF984ABCA83DFE5BDB77A6D7_12</vt:lpwstr>
  </property>
</Properties>
</file>