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F228F4" w14:textId="6E5C290D" w:rsidR="004111A2" w:rsidRDefault="008D2863" w:rsidP="006E1E20">
      <w:pPr>
        <w:spacing w:line="480" w:lineRule="auto"/>
        <w:rPr>
          <w:rFonts w:ascii="Times New Roman" w:hAnsi="Times New Roman" w:cs="Times New Roman"/>
          <w:sz w:val="24"/>
          <w:szCs w:val="24"/>
        </w:rPr>
      </w:pPr>
      <w:r>
        <w:rPr>
          <w:rFonts w:ascii="Times New Roman" w:hAnsi="Times New Roman" w:cs="Times New Roman"/>
          <w:sz w:val="24"/>
          <w:szCs w:val="24"/>
        </w:rPr>
        <w:t xml:space="preserve">My proposed dissertation topic centres around how identity was represented in the funerary practices of Pompeii, and the extent to which this was an accurate portrayal of the identity of the living individual before they died. </w:t>
      </w:r>
      <w:r w:rsidR="006E1E20">
        <w:rPr>
          <w:rFonts w:ascii="Times New Roman" w:hAnsi="Times New Roman" w:cs="Times New Roman"/>
          <w:sz w:val="24"/>
          <w:szCs w:val="24"/>
        </w:rPr>
        <w:t xml:space="preserve">The ‘world of the living’ and the ‘world of the dead’ are </w:t>
      </w:r>
      <w:r>
        <w:rPr>
          <w:rFonts w:ascii="Times New Roman" w:hAnsi="Times New Roman" w:cs="Times New Roman"/>
          <w:sz w:val="24"/>
          <w:szCs w:val="24"/>
        </w:rPr>
        <w:t xml:space="preserve">complex concepts that are made up of </w:t>
      </w:r>
      <w:r w:rsidR="00105F61">
        <w:rPr>
          <w:rFonts w:ascii="Times New Roman" w:hAnsi="Times New Roman" w:cs="Times New Roman"/>
          <w:sz w:val="24"/>
          <w:szCs w:val="24"/>
        </w:rPr>
        <w:t xml:space="preserve">many facets, including people, materials, ideas, and actions, all interacting with each other. </w:t>
      </w:r>
      <w:r w:rsidR="00DF42D1">
        <w:rPr>
          <w:rFonts w:ascii="Times New Roman" w:hAnsi="Times New Roman" w:cs="Times New Roman"/>
          <w:sz w:val="24"/>
          <w:szCs w:val="24"/>
        </w:rPr>
        <w:t xml:space="preserve">In this discussion, I will focus on theories and methodologies that relate specifically to the ‘world of the dead’. The two main methodologies that I will be discussing are the use of archaeological evidence, and epigraphy as a literary source (outside of the place of inscriptions in the archaeological record). </w:t>
      </w:r>
      <w:r w:rsidR="004111A2">
        <w:rPr>
          <w:rFonts w:ascii="Times New Roman" w:hAnsi="Times New Roman" w:cs="Times New Roman"/>
          <w:sz w:val="24"/>
          <w:szCs w:val="24"/>
        </w:rPr>
        <w:t xml:space="preserve">The nature of Pompeii as a </w:t>
      </w:r>
      <w:proofErr w:type="gramStart"/>
      <w:r w:rsidR="004111A2">
        <w:rPr>
          <w:rFonts w:ascii="Times New Roman" w:hAnsi="Times New Roman" w:cs="Times New Roman"/>
          <w:sz w:val="24"/>
          <w:szCs w:val="24"/>
        </w:rPr>
        <w:t>well preserved</w:t>
      </w:r>
      <w:proofErr w:type="gramEnd"/>
      <w:r w:rsidR="004111A2">
        <w:rPr>
          <w:rFonts w:ascii="Times New Roman" w:hAnsi="Times New Roman" w:cs="Times New Roman"/>
          <w:sz w:val="24"/>
          <w:szCs w:val="24"/>
        </w:rPr>
        <w:t xml:space="preserve"> site means that there is a large amount of archaeological evidence available for study. This includes funerary evidence, though this area has received much less attention in scholarship than the main centre of the town itself</w:t>
      </w:r>
      <w:r w:rsidR="00C56D98">
        <w:rPr>
          <w:rFonts w:ascii="Times New Roman" w:hAnsi="Times New Roman" w:cs="Times New Roman"/>
          <w:sz w:val="24"/>
          <w:szCs w:val="24"/>
        </w:rPr>
        <w:t>.</w:t>
      </w:r>
      <w:r w:rsidR="004111A2">
        <w:rPr>
          <w:rFonts w:ascii="Times New Roman" w:hAnsi="Times New Roman" w:cs="Times New Roman"/>
          <w:sz w:val="24"/>
          <w:szCs w:val="24"/>
        </w:rPr>
        <w:t xml:space="preserve"> While the inscriptions found at Pompeii are by nature archaeological evidence (with </w:t>
      </w:r>
      <w:r w:rsidR="009016BC">
        <w:rPr>
          <w:rFonts w:ascii="Times New Roman" w:hAnsi="Times New Roman" w:cs="Times New Roman"/>
          <w:sz w:val="24"/>
          <w:szCs w:val="24"/>
        </w:rPr>
        <w:t xml:space="preserve">issues connecting to this that I will also cover), the information contained within their words provides a different method of utilising them in my research. </w:t>
      </w:r>
      <w:r w:rsidR="004352F1">
        <w:rPr>
          <w:rFonts w:ascii="Times New Roman" w:hAnsi="Times New Roman" w:cs="Times New Roman"/>
          <w:sz w:val="24"/>
          <w:szCs w:val="24"/>
        </w:rPr>
        <w:t xml:space="preserve">Both the archaeological and epigraphic </w:t>
      </w:r>
      <w:bookmarkStart w:id="0" w:name="_GoBack"/>
      <w:bookmarkEnd w:id="0"/>
      <w:r w:rsidR="004352F1">
        <w:rPr>
          <w:rFonts w:ascii="Times New Roman" w:hAnsi="Times New Roman" w:cs="Times New Roman"/>
          <w:sz w:val="24"/>
          <w:szCs w:val="24"/>
        </w:rPr>
        <w:t>evidence played important roles in the ‘world of the living’, too, by occupying space beside highly trafficked roads in and out of the town, meaning that we can explore how the presented identity of the deceased was taken in by the living population.</w:t>
      </w:r>
      <w:r w:rsidR="004352F1">
        <w:rPr>
          <w:rStyle w:val="FootnoteReference"/>
          <w:rFonts w:ascii="Times New Roman" w:hAnsi="Times New Roman" w:cs="Times New Roman"/>
          <w:sz w:val="24"/>
          <w:szCs w:val="24"/>
        </w:rPr>
        <w:footnoteReference w:id="1"/>
      </w:r>
    </w:p>
    <w:p w14:paraId="5E307E4A" w14:textId="7B22D52A" w:rsidR="00E828C7" w:rsidRDefault="00DF42D1" w:rsidP="006E1E20">
      <w:pPr>
        <w:spacing w:line="480" w:lineRule="auto"/>
        <w:rPr>
          <w:rFonts w:ascii="Times New Roman" w:hAnsi="Times New Roman" w:cs="Times New Roman"/>
          <w:sz w:val="24"/>
          <w:szCs w:val="24"/>
        </w:rPr>
      </w:pPr>
      <w:r w:rsidRPr="00DF42D1">
        <w:rPr>
          <w:rFonts w:ascii="Times New Roman" w:hAnsi="Times New Roman" w:cs="Times New Roman"/>
          <w:color w:val="FF0000"/>
          <w:sz w:val="24"/>
          <w:szCs w:val="24"/>
        </w:rPr>
        <w:t xml:space="preserve"> </w:t>
      </w:r>
      <w:r>
        <w:rPr>
          <w:rFonts w:ascii="Times New Roman" w:hAnsi="Times New Roman" w:cs="Times New Roman"/>
          <w:sz w:val="24"/>
          <w:szCs w:val="24"/>
        </w:rPr>
        <w:t>The the</w:t>
      </w:r>
      <w:r w:rsidR="009016BC">
        <w:rPr>
          <w:rFonts w:ascii="Times New Roman" w:hAnsi="Times New Roman" w:cs="Times New Roman"/>
          <w:sz w:val="24"/>
          <w:szCs w:val="24"/>
        </w:rPr>
        <w:t>ory I will be discussing is</w:t>
      </w:r>
      <w:r>
        <w:rPr>
          <w:rFonts w:ascii="Times New Roman" w:hAnsi="Times New Roman" w:cs="Times New Roman"/>
          <w:sz w:val="24"/>
          <w:szCs w:val="24"/>
        </w:rPr>
        <w:t xml:space="preserve"> identity theory. </w:t>
      </w:r>
      <w:r w:rsidR="009016BC">
        <w:rPr>
          <w:rFonts w:ascii="Times New Roman" w:hAnsi="Times New Roman" w:cs="Times New Roman"/>
          <w:sz w:val="24"/>
          <w:szCs w:val="24"/>
        </w:rPr>
        <w:t xml:space="preserve">I have chosen to discuss this theory after the methodologies as it is inextricably linked to them; by discussing them first, it will allow me to place identity theory within their scope in the most logical way. </w:t>
      </w:r>
      <w:r>
        <w:rPr>
          <w:rFonts w:ascii="Times New Roman" w:hAnsi="Times New Roman" w:cs="Times New Roman"/>
          <w:sz w:val="24"/>
          <w:szCs w:val="24"/>
        </w:rPr>
        <w:t>I will be using three articles to highlight different aspect</w:t>
      </w:r>
      <w:r w:rsidR="00205454">
        <w:rPr>
          <w:rFonts w:ascii="Times New Roman" w:hAnsi="Times New Roman" w:cs="Times New Roman"/>
          <w:sz w:val="24"/>
          <w:szCs w:val="24"/>
        </w:rPr>
        <w:t>s</w:t>
      </w:r>
      <w:r>
        <w:rPr>
          <w:rFonts w:ascii="Times New Roman" w:hAnsi="Times New Roman" w:cs="Times New Roman"/>
          <w:sz w:val="24"/>
          <w:szCs w:val="24"/>
        </w:rPr>
        <w:t xml:space="preserve"> of scholarly interpretation</w:t>
      </w:r>
      <w:r w:rsidR="003A503F">
        <w:rPr>
          <w:rFonts w:ascii="Times New Roman" w:hAnsi="Times New Roman" w:cs="Times New Roman"/>
          <w:sz w:val="24"/>
          <w:szCs w:val="24"/>
        </w:rPr>
        <w:t xml:space="preserve"> of</w:t>
      </w:r>
      <w:r>
        <w:rPr>
          <w:rFonts w:ascii="Times New Roman" w:hAnsi="Times New Roman" w:cs="Times New Roman"/>
          <w:sz w:val="24"/>
          <w:szCs w:val="24"/>
        </w:rPr>
        <w:t xml:space="preserve"> and use of this theory: first, Martin Pitts’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Emperor’s New Clothes? The Utility of Identity in Roman Archaeology</w:t>
      </w:r>
      <w:r w:rsidR="009016BC">
        <w:rPr>
          <w:rStyle w:val="FootnoteReference"/>
          <w:rFonts w:ascii="Times New Roman" w:hAnsi="Times New Roman" w:cs="Times New Roman"/>
          <w:i/>
          <w:sz w:val="24"/>
          <w:szCs w:val="24"/>
        </w:rPr>
        <w:footnoteReference w:id="2"/>
      </w:r>
      <w:r>
        <w:rPr>
          <w:rFonts w:ascii="Times New Roman" w:hAnsi="Times New Roman" w:cs="Times New Roman"/>
          <w:sz w:val="24"/>
          <w:szCs w:val="24"/>
        </w:rPr>
        <w:t xml:space="preserve">. In his article, Pitts has surveyed </w:t>
      </w:r>
      <w:proofErr w:type="gramStart"/>
      <w:r>
        <w:rPr>
          <w:rFonts w:ascii="Times New Roman" w:hAnsi="Times New Roman" w:cs="Times New Roman"/>
          <w:sz w:val="24"/>
          <w:szCs w:val="24"/>
        </w:rPr>
        <w:t>a large number of</w:t>
      </w:r>
      <w:proofErr w:type="gramEnd"/>
      <w:r>
        <w:rPr>
          <w:rFonts w:ascii="Times New Roman" w:hAnsi="Times New Roman" w:cs="Times New Roman"/>
          <w:sz w:val="24"/>
          <w:szCs w:val="24"/>
        </w:rPr>
        <w:t xml:space="preserve"> scholarly articles, how they have used </w:t>
      </w:r>
      <w:r>
        <w:rPr>
          <w:rFonts w:ascii="Times New Roman" w:hAnsi="Times New Roman" w:cs="Times New Roman"/>
          <w:sz w:val="24"/>
          <w:szCs w:val="24"/>
        </w:rPr>
        <w:lastRenderedPageBreak/>
        <w:t xml:space="preserve">identity in their research, and how we can do better moving forward. Secondly, I will discuss Louise Revell’s </w:t>
      </w:r>
      <w:r>
        <w:rPr>
          <w:rFonts w:ascii="Times New Roman" w:hAnsi="Times New Roman" w:cs="Times New Roman"/>
          <w:i/>
          <w:sz w:val="24"/>
          <w:szCs w:val="24"/>
        </w:rPr>
        <w:t xml:space="preserve">The Creation of Multiple Identities in Roman </w:t>
      </w:r>
      <w:proofErr w:type="spellStart"/>
      <w:r>
        <w:rPr>
          <w:rFonts w:ascii="Times New Roman" w:hAnsi="Times New Roman" w:cs="Times New Roman"/>
          <w:i/>
          <w:sz w:val="24"/>
          <w:szCs w:val="24"/>
        </w:rPr>
        <w:t>Italica</w:t>
      </w:r>
      <w:proofErr w:type="spellEnd"/>
      <w:r w:rsidR="009016BC">
        <w:rPr>
          <w:rStyle w:val="FootnoteReference"/>
          <w:rFonts w:ascii="Times New Roman" w:hAnsi="Times New Roman" w:cs="Times New Roman"/>
          <w:i/>
          <w:sz w:val="24"/>
          <w:szCs w:val="24"/>
        </w:rPr>
        <w:footnoteReference w:id="3"/>
      </w:r>
      <w:r>
        <w:rPr>
          <w:rFonts w:ascii="Times New Roman" w:hAnsi="Times New Roman" w:cs="Times New Roman"/>
          <w:sz w:val="24"/>
          <w:szCs w:val="24"/>
        </w:rPr>
        <w:t xml:space="preserve">, in which she discusses the role of actions associated with material culture in social practice as a means of exploring identity in the ancient world. Thirdly, I will discuss Valerie Hope’s </w:t>
      </w:r>
      <w:r>
        <w:rPr>
          <w:rFonts w:ascii="Times New Roman" w:hAnsi="Times New Roman" w:cs="Times New Roman"/>
          <w:i/>
          <w:sz w:val="24"/>
          <w:szCs w:val="24"/>
        </w:rPr>
        <w:t>Constructing Roman Identity: Funerary Monuments and Social Structures in the Roman World</w:t>
      </w:r>
      <w:r w:rsidR="00C56D98">
        <w:rPr>
          <w:rFonts w:ascii="Times New Roman" w:hAnsi="Times New Roman" w:cs="Times New Roman"/>
          <w:i/>
          <w:sz w:val="24"/>
          <w:szCs w:val="24"/>
        </w:rPr>
        <w:t>.</w:t>
      </w:r>
      <w:r w:rsidR="009016BC">
        <w:rPr>
          <w:rStyle w:val="FootnoteReference"/>
          <w:rFonts w:ascii="Times New Roman" w:hAnsi="Times New Roman" w:cs="Times New Roman"/>
          <w:i/>
          <w:sz w:val="24"/>
          <w:szCs w:val="24"/>
        </w:rPr>
        <w:footnoteReference w:id="4"/>
      </w:r>
      <w:r>
        <w:rPr>
          <w:rFonts w:ascii="Times New Roman" w:hAnsi="Times New Roman" w:cs="Times New Roman"/>
          <w:sz w:val="24"/>
          <w:szCs w:val="24"/>
        </w:rPr>
        <w:t xml:space="preserve"> In her article, Hope discusses how we can </w:t>
      </w:r>
      <w:r w:rsidR="00185BE8">
        <w:rPr>
          <w:rFonts w:ascii="Times New Roman" w:hAnsi="Times New Roman" w:cs="Times New Roman"/>
          <w:sz w:val="24"/>
          <w:szCs w:val="24"/>
        </w:rPr>
        <w:t xml:space="preserve">use funerary monuments to explore identity. </w:t>
      </w:r>
      <w:r w:rsidR="004111A2">
        <w:rPr>
          <w:rFonts w:ascii="Times New Roman" w:hAnsi="Times New Roman" w:cs="Times New Roman"/>
          <w:sz w:val="24"/>
          <w:szCs w:val="24"/>
        </w:rPr>
        <w:t xml:space="preserve">Through these three articles, I hope to present a concise discussion on the current scholarly standpoint on identity theory and its application to archaeological evidence, as well as how my own research will fit into this framework. </w:t>
      </w:r>
    </w:p>
    <w:p w14:paraId="3775BD51" w14:textId="1CF6ABA0" w:rsidR="00AB00FC" w:rsidRDefault="00AB00FC" w:rsidP="006E1E20">
      <w:pPr>
        <w:spacing w:line="480" w:lineRule="auto"/>
        <w:rPr>
          <w:rFonts w:ascii="Times New Roman" w:hAnsi="Times New Roman" w:cs="Times New Roman"/>
          <w:sz w:val="24"/>
          <w:szCs w:val="24"/>
        </w:rPr>
      </w:pPr>
    </w:p>
    <w:p w14:paraId="3E22CCAD" w14:textId="240513AE" w:rsidR="00AB00FC" w:rsidRDefault="00205454" w:rsidP="006E1E20">
      <w:pPr>
        <w:spacing w:line="480" w:lineRule="auto"/>
        <w:rPr>
          <w:rFonts w:ascii="Times New Roman" w:hAnsi="Times New Roman" w:cs="Times New Roman"/>
          <w:sz w:val="24"/>
          <w:szCs w:val="24"/>
        </w:rPr>
      </w:pPr>
      <w:r>
        <w:rPr>
          <w:rFonts w:ascii="Times New Roman" w:hAnsi="Times New Roman" w:cs="Times New Roman"/>
          <w:sz w:val="24"/>
          <w:szCs w:val="24"/>
        </w:rPr>
        <w:t>Using archaeological funerary evidence to study the ‘world of the dead’ allows us to witness the physical manifestation of the reality of funerary practice</w:t>
      </w:r>
      <w:r w:rsidR="001A41C1">
        <w:rPr>
          <w:rFonts w:ascii="Times New Roman" w:hAnsi="Times New Roman" w:cs="Times New Roman"/>
          <w:sz w:val="24"/>
          <w:szCs w:val="24"/>
        </w:rPr>
        <w:t>,</w:t>
      </w:r>
      <w:r>
        <w:rPr>
          <w:rFonts w:ascii="Times New Roman" w:hAnsi="Times New Roman" w:cs="Times New Roman"/>
          <w:sz w:val="24"/>
          <w:szCs w:val="24"/>
        </w:rPr>
        <w:t xml:space="preserve"> </w:t>
      </w:r>
      <w:r w:rsidR="001A41C1">
        <w:rPr>
          <w:rFonts w:ascii="Times New Roman" w:hAnsi="Times New Roman" w:cs="Times New Roman"/>
          <w:sz w:val="24"/>
          <w:szCs w:val="24"/>
        </w:rPr>
        <w:t>“on both macro and micro levels, from the Roman world as a whole, to a community such as Pompeii”,</w:t>
      </w:r>
      <w:r>
        <w:rPr>
          <w:rFonts w:ascii="Times New Roman" w:hAnsi="Times New Roman" w:cs="Times New Roman"/>
          <w:sz w:val="24"/>
          <w:szCs w:val="24"/>
        </w:rPr>
        <w:t xml:space="preserve"> attested in literary evidence</w:t>
      </w:r>
      <w:r w:rsidR="00C56D98">
        <w:rPr>
          <w:rFonts w:ascii="Times New Roman" w:hAnsi="Times New Roman" w:cs="Times New Roman"/>
          <w:sz w:val="24"/>
          <w:szCs w:val="24"/>
        </w:rPr>
        <w:t>.</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w:t>
      </w:r>
      <w:r w:rsidR="001A41C1">
        <w:rPr>
          <w:rFonts w:ascii="Times New Roman" w:hAnsi="Times New Roman" w:cs="Times New Roman"/>
          <w:sz w:val="24"/>
          <w:szCs w:val="24"/>
        </w:rPr>
        <w:t xml:space="preserve">Pompeii provides us with a wealth of archaeological funerary evidence in the form of the multiple </w:t>
      </w:r>
      <w:proofErr w:type="spellStart"/>
      <w:r w:rsidR="001A41C1">
        <w:rPr>
          <w:rFonts w:ascii="Times New Roman" w:hAnsi="Times New Roman" w:cs="Times New Roman"/>
          <w:i/>
          <w:sz w:val="24"/>
          <w:szCs w:val="24"/>
        </w:rPr>
        <w:t>necropoleis</w:t>
      </w:r>
      <w:proofErr w:type="spellEnd"/>
      <w:r w:rsidR="001A41C1">
        <w:rPr>
          <w:rFonts w:ascii="Times New Roman" w:hAnsi="Times New Roman" w:cs="Times New Roman"/>
          <w:i/>
          <w:sz w:val="24"/>
          <w:szCs w:val="24"/>
        </w:rPr>
        <w:t xml:space="preserve"> </w:t>
      </w:r>
      <w:r w:rsidR="001A41C1">
        <w:rPr>
          <w:rFonts w:ascii="Times New Roman" w:hAnsi="Times New Roman" w:cs="Times New Roman"/>
          <w:sz w:val="24"/>
          <w:szCs w:val="24"/>
        </w:rPr>
        <w:t>outside the city walls (as necessitated by Roman law</w:t>
      </w:r>
      <w:r w:rsidR="001A41C1">
        <w:rPr>
          <w:rStyle w:val="FootnoteReference"/>
          <w:rFonts w:ascii="Times New Roman" w:hAnsi="Times New Roman" w:cs="Times New Roman"/>
          <w:sz w:val="24"/>
          <w:szCs w:val="24"/>
        </w:rPr>
        <w:footnoteReference w:id="6"/>
      </w:r>
      <w:r w:rsidR="001A41C1">
        <w:rPr>
          <w:rFonts w:ascii="Times New Roman" w:hAnsi="Times New Roman" w:cs="Times New Roman"/>
          <w:sz w:val="24"/>
          <w:szCs w:val="24"/>
        </w:rPr>
        <w:t xml:space="preserve">) consisting of monumental tombs, </w:t>
      </w:r>
      <w:r w:rsidR="00416DD7">
        <w:rPr>
          <w:rFonts w:ascii="Times New Roman" w:hAnsi="Times New Roman" w:cs="Times New Roman"/>
          <w:sz w:val="24"/>
          <w:szCs w:val="24"/>
        </w:rPr>
        <w:t>and defined</w:t>
      </w:r>
      <w:r w:rsidR="001A41C1">
        <w:rPr>
          <w:rFonts w:ascii="Times New Roman" w:hAnsi="Times New Roman" w:cs="Times New Roman"/>
          <w:sz w:val="24"/>
          <w:szCs w:val="24"/>
        </w:rPr>
        <w:t xml:space="preserve"> and undefined burial areas</w:t>
      </w:r>
      <w:r w:rsidR="00C56D98">
        <w:rPr>
          <w:rFonts w:ascii="Times New Roman" w:hAnsi="Times New Roman" w:cs="Times New Roman"/>
          <w:sz w:val="24"/>
          <w:szCs w:val="24"/>
        </w:rPr>
        <w:t>.</w:t>
      </w:r>
      <w:r w:rsidR="001A41C1">
        <w:rPr>
          <w:rStyle w:val="FootnoteReference"/>
          <w:rFonts w:ascii="Times New Roman" w:hAnsi="Times New Roman" w:cs="Times New Roman"/>
          <w:sz w:val="24"/>
          <w:szCs w:val="24"/>
        </w:rPr>
        <w:footnoteReference w:id="7"/>
      </w:r>
      <w:r w:rsidR="001A41C1">
        <w:rPr>
          <w:rFonts w:ascii="Times New Roman" w:hAnsi="Times New Roman" w:cs="Times New Roman"/>
          <w:sz w:val="24"/>
          <w:szCs w:val="24"/>
        </w:rPr>
        <w:t xml:space="preserve"> </w:t>
      </w:r>
      <w:r w:rsidR="00DF459E">
        <w:rPr>
          <w:rFonts w:ascii="Times New Roman" w:hAnsi="Times New Roman" w:cs="Times New Roman"/>
          <w:sz w:val="24"/>
          <w:szCs w:val="24"/>
        </w:rPr>
        <w:t>The different types of burial and commemoration can not only help us to explore different facets of identity and how the portrayal of such was achieved in death, but it suggests to us that the desire to partake in this behaviour was prevalent in multiple levels of the social hierarchy</w:t>
      </w:r>
      <w:r w:rsidR="00C56D98">
        <w:rPr>
          <w:rFonts w:ascii="Times New Roman" w:hAnsi="Times New Roman" w:cs="Times New Roman"/>
          <w:sz w:val="24"/>
          <w:szCs w:val="24"/>
        </w:rPr>
        <w:t>.</w:t>
      </w:r>
      <w:r w:rsidR="00DF459E">
        <w:rPr>
          <w:rStyle w:val="FootnoteReference"/>
          <w:rFonts w:ascii="Times New Roman" w:hAnsi="Times New Roman" w:cs="Times New Roman"/>
          <w:sz w:val="24"/>
          <w:szCs w:val="24"/>
        </w:rPr>
        <w:footnoteReference w:id="8"/>
      </w:r>
      <w:r w:rsidR="00DF459E">
        <w:rPr>
          <w:rFonts w:ascii="Times New Roman" w:hAnsi="Times New Roman" w:cs="Times New Roman"/>
          <w:sz w:val="24"/>
          <w:szCs w:val="24"/>
        </w:rPr>
        <w:t xml:space="preserve"> </w:t>
      </w:r>
    </w:p>
    <w:p w14:paraId="49D53AFF" w14:textId="11C3A536" w:rsidR="008F7C5D" w:rsidRDefault="00DF459E" w:rsidP="006E1E2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primary way in which the use of archaeological evidence will affect my research is in the weaknesses of this methodology. </w:t>
      </w:r>
      <w:r w:rsidR="00F14BFE">
        <w:rPr>
          <w:rFonts w:ascii="Times New Roman" w:hAnsi="Times New Roman" w:cs="Times New Roman"/>
          <w:sz w:val="24"/>
          <w:szCs w:val="24"/>
        </w:rPr>
        <w:t xml:space="preserve">These weaknesses, and my question itself, are what </w:t>
      </w:r>
      <w:r w:rsidR="00F14BFE">
        <w:rPr>
          <w:rFonts w:ascii="Times New Roman" w:hAnsi="Times New Roman" w:cs="Times New Roman"/>
          <w:sz w:val="24"/>
          <w:szCs w:val="24"/>
        </w:rPr>
        <w:lastRenderedPageBreak/>
        <w:t>recommends a multidisciplinary approach</w:t>
      </w:r>
      <w:r w:rsidR="00C56D98">
        <w:rPr>
          <w:rFonts w:ascii="Times New Roman" w:hAnsi="Times New Roman" w:cs="Times New Roman"/>
          <w:sz w:val="24"/>
          <w:szCs w:val="24"/>
        </w:rPr>
        <w:t>.</w:t>
      </w:r>
      <w:r w:rsidR="00F14BFE">
        <w:rPr>
          <w:rStyle w:val="FootnoteReference"/>
          <w:rFonts w:ascii="Times New Roman" w:hAnsi="Times New Roman" w:cs="Times New Roman"/>
          <w:sz w:val="24"/>
          <w:szCs w:val="24"/>
        </w:rPr>
        <w:footnoteReference w:id="9"/>
      </w:r>
      <w:r w:rsidR="00F14BFE">
        <w:rPr>
          <w:rFonts w:ascii="Times New Roman" w:hAnsi="Times New Roman" w:cs="Times New Roman"/>
          <w:sz w:val="24"/>
          <w:szCs w:val="24"/>
        </w:rPr>
        <w:t xml:space="preserve"> Like many other sites, Pompeii suffers from an incomplete archaeological record, though to a lesser extent, and this can be due to a number of different reasons. Not all of </w:t>
      </w:r>
      <w:r w:rsidR="0009148C">
        <w:rPr>
          <w:rFonts w:ascii="Times New Roman" w:hAnsi="Times New Roman" w:cs="Times New Roman"/>
          <w:sz w:val="24"/>
          <w:szCs w:val="24"/>
        </w:rPr>
        <w:t>Pompeii</w:t>
      </w:r>
      <w:r w:rsidR="00F14BFE">
        <w:rPr>
          <w:rFonts w:ascii="Times New Roman" w:hAnsi="Times New Roman" w:cs="Times New Roman"/>
          <w:sz w:val="24"/>
          <w:szCs w:val="24"/>
        </w:rPr>
        <w:t xml:space="preserve"> has been excavated, whether this is because of a lack of time, resources, and money, or because of a lack of inf</w:t>
      </w:r>
      <w:r w:rsidR="0009148C">
        <w:rPr>
          <w:rFonts w:ascii="Times New Roman" w:hAnsi="Times New Roman" w:cs="Times New Roman"/>
          <w:sz w:val="24"/>
          <w:szCs w:val="24"/>
        </w:rPr>
        <w:t>ormation on what is</w:t>
      </w:r>
      <w:r w:rsidR="00F14BFE">
        <w:rPr>
          <w:rFonts w:ascii="Times New Roman" w:hAnsi="Times New Roman" w:cs="Times New Roman"/>
          <w:sz w:val="24"/>
          <w:szCs w:val="24"/>
        </w:rPr>
        <w:t xml:space="preserve"> still buried</w:t>
      </w:r>
      <w:r w:rsidR="00F14BFE">
        <w:rPr>
          <w:rStyle w:val="FootnoteReference"/>
          <w:rFonts w:ascii="Times New Roman" w:hAnsi="Times New Roman" w:cs="Times New Roman"/>
          <w:sz w:val="24"/>
          <w:szCs w:val="24"/>
        </w:rPr>
        <w:footnoteReference w:id="10"/>
      </w:r>
      <w:r w:rsidR="00F14BFE">
        <w:rPr>
          <w:rFonts w:ascii="Times New Roman" w:hAnsi="Times New Roman" w:cs="Times New Roman"/>
          <w:sz w:val="24"/>
          <w:szCs w:val="24"/>
        </w:rPr>
        <w:t xml:space="preserve">, will vary in each specific instance. </w:t>
      </w:r>
      <w:r w:rsidR="00D14C5A">
        <w:rPr>
          <w:rFonts w:ascii="Times New Roman" w:hAnsi="Times New Roman" w:cs="Times New Roman"/>
          <w:sz w:val="24"/>
          <w:szCs w:val="24"/>
        </w:rPr>
        <w:t>Of what has been excavated, the question of what survives must be kept in mind. The archaeological remains at Pompeii are subject to weathering. Some parts of the town, such as the insides of buildings which were once exposed, have been protected with the installation of modern roofs, but the majority of the tombs</w:t>
      </w:r>
      <w:r w:rsidR="004046B9">
        <w:rPr>
          <w:rFonts w:ascii="Times New Roman" w:hAnsi="Times New Roman" w:cs="Times New Roman"/>
          <w:sz w:val="24"/>
          <w:szCs w:val="24"/>
        </w:rPr>
        <w:t xml:space="preserve"> and burial areas</w:t>
      </w:r>
      <w:r w:rsidR="00D14C5A">
        <w:rPr>
          <w:rFonts w:ascii="Times New Roman" w:hAnsi="Times New Roman" w:cs="Times New Roman"/>
          <w:sz w:val="24"/>
          <w:szCs w:val="24"/>
        </w:rPr>
        <w:t xml:space="preserve"> are exposed to the elements. </w:t>
      </w:r>
      <w:r w:rsidR="00F20759">
        <w:rPr>
          <w:rFonts w:ascii="Times New Roman" w:hAnsi="Times New Roman" w:cs="Times New Roman"/>
          <w:sz w:val="24"/>
          <w:szCs w:val="24"/>
        </w:rPr>
        <w:t xml:space="preserve">Archaeological evidence is also subject to </w:t>
      </w:r>
      <w:r w:rsidR="000635E0">
        <w:rPr>
          <w:rFonts w:ascii="Times New Roman" w:hAnsi="Times New Roman" w:cs="Times New Roman"/>
          <w:sz w:val="24"/>
          <w:szCs w:val="24"/>
        </w:rPr>
        <w:t>looting, including of evidence from Pompeii. Areas of the town were subject to looters throughout history, even before excavations started, as well as during the early excavations when taking ‘souvenirs’ was common practice</w:t>
      </w:r>
      <w:r w:rsidR="002B3E1E">
        <w:rPr>
          <w:rFonts w:ascii="Times New Roman" w:hAnsi="Times New Roman" w:cs="Times New Roman"/>
          <w:sz w:val="24"/>
          <w:szCs w:val="24"/>
        </w:rPr>
        <w:t xml:space="preserve"> at the time</w:t>
      </w:r>
      <w:r w:rsidR="000635E0">
        <w:rPr>
          <w:rFonts w:ascii="Times New Roman" w:hAnsi="Times New Roman" w:cs="Times New Roman"/>
          <w:sz w:val="24"/>
          <w:szCs w:val="24"/>
        </w:rPr>
        <w:t xml:space="preserve">. </w:t>
      </w:r>
      <w:r w:rsidR="008F7C5D">
        <w:rPr>
          <w:rFonts w:ascii="Times New Roman" w:hAnsi="Times New Roman" w:cs="Times New Roman"/>
          <w:sz w:val="24"/>
          <w:szCs w:val="24"/>
        </w:rPr>
        <w:t xml:space="preserve">The archaeological process can result in loss </w:t>
      </w:r>
      <w:r w:rsidR="0009148C">
        <w:rPr>
          <w:rFonts w:ascii="Times New Roman" w:hAnsi="Times New Roman" w:cs="Times New Roman"/>
          <w:sz w:val="24"/>
          <w:szCs w:val="24"/>
        </w:rPr>
        <w:t xml:space="preserve">of evidence </w:t>
      </w:r>
      <w:r w:rsidR="008F7C5D">
        <w:rPr>
          <w:rFonts w:ascii="Times New Roman" w:hAnsi="Times New Roman" w:cs="Times New Roman"/>
          <w:sz w:val="24"/>
          <w:szCs w:val="24"/>
        </w:rPr>
        <w:t>through not only looting but also accidental destruction, as well as loss of context when artefacts are moved. Items may be transferred to storage or museums for safekeeping</w:t>
      </w:r>
      <w:r w:rsidR="0009148C">
        <w:rPr>
          <w:rFonts w:ascii="Times New Roman" w:hAnsi="Times New Roman" w:cs="Times New Roman"/>
          <w:sz w:val="24"/>
          <w:szCs w:val="24"/>
        </w:rPr>
        <w:t>, to other parts of the same site</w:t>
      </w:r>
      <w:r w:rsidR="0009148C">
        <w:rPr>
          <w:rStyle w:val="FootnoteReference"/>
          <w:rFonts w:ascii="Times New Roman" w:hAnsi="Times New Roman" w:cs="Times New Roman"/>
          <w:sz w:val="24"/>
          <w:szCs w:val="24"/>
        </w:rPr>
        <w:footnoteReference w:id="11"/>
      </w:r>
      <w:r w:rsidR="0009148C">
        <w:rPr>
          <w:rFonts w:ascii="Times New Roman" w:hAnsi="Times New Roman" w:cs="Times New Roman"/>
          <w:sz w:val="24"/>
          <w:szCs w:val="24"/>
        </w:rPr>
        <w:t>, or mistakenly ‘returned’ to the wrong place</w:t>
      </w:r>
      <w:r w:rsidR="00C56D98">
        <w:rPr>
          <w:rFonts w:ascii="Times New Roman" w:hAnsi="Times New Roman" w:cs="Times New Roman"/>
          <w:sz w:val="24"/>
          <w:szCs w:val="24"/>
        </w:rPr>
        <w:t>.</w:t>
      </w:r>
      <w:r w:rsidR="0009148C">
        <w:rPr>
          <w:rStyle w:val="FootnoteReference"/>
          <w:rFonts w:ascii="Times New Roman" w:hAnsi="Times New Roman" w:cs="Times New Roman"/>
          <w:sz w:val="24"/>
          <w:szCs w:val="24"/>
        </w:rPr>
        <w:footnoteReference w:id="12"/>
      </w:r>
    </w:p>
    <w:p w14:paraId="069FE32E" w14:textId="4B762538" w:rsidR="008F16D0" w:rsidRDefault="008F16D0" w:rsidP="006E1E20">
      <w:pPr>
        <w:spacing w:line="480" w:lineRule="auto"/>
        <w:rPr>
          <w:rFonts w:ascii="Times New Roman" w:hAnsi="Times New Roman" w:cs="Times New Roman"/>
          <w:sz w:val="24"/>
          <w:szCs w:val="24"/>
        </w:rPr>
      </w:pPr>
      <w:r>
        <w:rPr>
          <w:rFonts w:ascii="Times New Roman" w:hAnsi="Times New Roman" w:cs="Times New Roman"/>
          <w:sz w:val="24"/>
          <w:szCs w:val="24"/>
        </w:rPr>
        <w:t xml:space="preserve">Tomb and burial evidence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often utilised as a reflection of the cross-section </w:t>
      </w:r>
      <w:r w:rsidR="009051E6">
        <w:rPr>
          <w:rFonts w:ascii="Times New Roman" w:hAnsi="Times New Roman" w:cs="Times New Roman"/>
          <w:sz w:val="24"/>
          <w:szCs w:val="24"/>
        </w:rPr>
        <w:t xml:space="preserve">of </w:t>
      </w:r>
      <w:r>
        <w:rPr>
          <w:rFonts w:ascii="Times New Roman" w:hAnsi="Times New Roman" w:cs="Times New Roman"/>
          <w:sz w:val="24"/>
          <w:szCs w:val="24"/>
        </w:rPr>
        <w:t xml:space="preserve">a town, city, or settlement with which they are </w:t>
      </w:r>
      <w:r w:rsidR="00966321">
        <w:rPr>
          <w:rFonts w:ascii="Times New Roman" w:hAnsi="Times New Roman" w:cs="Times New Roman"/>
          <w:sz w:val="24"/>
          <w:szCs w:val="24"/>
        </w:rPr>
        <w:t xml:space="preserve">associated. </w:t>
      </w:r>
      <w:r w:rsidR="00864ADB">
        <w:rPr>
          <w:rFonts w:ascii="Times New Roman" w:hAnsi="Times New Roman" w:cs="Times New Roman"/>
          <w:sz w:val="24"/>
          <w:szCs w:val="24"/>
        </w:rPr>
        <w:t>This is often not entirely</w:t>
      </w:r>
      <w:r w:rsidR="002113F8">
        <w:rPr>
          <w:rFonts w:ascii="Times New Roman" w:hAnsi="Times New Roman" w:cs="Times New Roman"/>
          <w:sz w:val="24"/>
          <w:szCs w:val="24"/>
        </w:rPr>
        <w:t xml:space="preserve"> effective in that, as I have discussed above, we are rarely, if at all, left with a complete record of funerary evidence</w:t>
      </w:r>
      <w:r w:rsidR="009051E6">
        <w:rPr>
          <w:rFonts w:ascii="Times New Roman" w:hAnsi="Times New Roman" w:cs="Times New Roman"/>
          <w:sz w:val="24"/>
          <w:szCs w:val="24"/>
        </w:rPr>
        <w:t>:</w:t>
      </w:r>
      <w:r w:rsidR="002113F8">
        <w:rPr>
          <w:rFonts w:ascii="Times New Roman" w:hAnsi="Times New Roman" w:cs="Times New Roman"/>
          <w:sz w:val="24"/>
          <w:szCs w:val="24"/>
        </w:rPr>
        <w:t xml:space="preserve"> this incompleteness could lead to entire groups of people being excluded from analysis, or </w:t>
      </w:r>
      <w:r w:rsidR="00954CCF">
        <w:rPr>
          <w:rFonts w:ascii="Times New Roman" w:hAnsi="Times New Roman" w:cs="Times New Roman"/>
          <w:sz w:val="24"/>
          <w:szCs w:val="24"/>
        </w:rPr>
        <w:t xml:space="preserve">the </w:t>
      </w:r>
      <w:r w:rsidR="002113F8">
        <w:rPr>
          <w:rFonts w:ascii="Times New Roman" w:hAnsi="Times New Roman" w:cs="Times New Roman"/>
          <w:sz w:val="24"/>
          <w:szCs w:val="24"/>
        </w:rPr>
        <w:t xml:space="preserve">underplay </w:t>
      </w:r>
      <w:r w:rsidR="00954CCF">
        <w:rPr>
          <w:rFonts w:ascii="Times New Roman" w:hAnsi="Times New Roman" w:cs="Times New Roman"/>
          <w:sz w:val="24"/>
          <w:szCs w:val="24"/>
        </w:rPr>
        <w:t>or emphasis of</w:t>
      </w:r>
      <w:r w:rsidR="009051E6">
        <w:rPr>
          <w:rFonts w:ascii="Times New Roman" w:hAnsi="Times New Roman" w:cs="Times New Roman"/>
          <w:sz w:val="24"/>
          <w:szCs w:val="24"/>
        </w:rPr>
        <w:t xml:space="preserve"> a certain feature</w:t>
      </w:r>
      <w:r w:rsidR="00C56D98">
        <w:rPr>
          <w:rFonts w:ascii="Times New Roman" w:hAnsi="Times New Roman" w:cs="Times New Roman"/>
          <w:sz w:val="24"/>
          <w:szCs w:val="24"/>
        </w:rPr>
        <w:t>.</w:t>
      </w:r>
      <w:r w:rsidR="009051E6">
        <w:rPr>
          <w:rStyle w:val="FootnoteReference"/>
          <w:rFonts w:ascii="Times New Roman" w:hAnsi="Times New Roman" w:cs="Times New Roman"/>
          <w:sz w:val="24"/>
          <w:szCs w:val="24"/>
        </w:rPr>
        <w:footnoteReference w:id="13"/>
      </w:r>
      <w:r w:rsidR="009051E6">
        <w:rPr>
          <w:rFonts w:ascii="Times New Roman" w:hAnsi="Times New Roman" w:cs="Times New Roman"/>
          <w:sz w:val="24"/>
          <w:szCs w:val="24"/>
        </w:rPr>
        <w:t xml:space="preserve"> </w:t>
      </w:r>
      <w:r w:rsidR="00C56D98">
        <w:rPr>
          <w:rFonts w:ascii="Times New Roman" w:hAnsi="Times New Roman" w:cs="Times New Roman"/>
          <w:sz w:val="24"/>
          <w:szCs w:val="24"/>
        </w:rPr>
        <w:t xml:space="preserve">The element of choice also </w:t>
      </w:r>
      <w:r w:rsidR="00C56D98">
        <w:rPr>
          <w:rFonts w:ascii="Times New Roman" w:hAnsi="Times New Roman" w:cs="Times New Roman"/>
          <w:sz w:val="24"/>
          <w:szCs w:val="24"/>
        </w:rPr>
        <w:lastRenderedPageBreak/>
        <w:t>comes into this: was it, for example, only the extreme poor who did not commemorate themselves with monumental tombs, or did some who could, in theory, partake in this particular aspect of funerary practice simply not wish to?</w:t>
      </w:r>
      <w:r w:rsidR="00C56D98">
        <w:rPr>
          <w:rStyle w:val="FootnoteReference"/>
          <w:rFonts w:ascii="Times New Roman" w:hAnsi="Times New Roman" w:cs="Times New Roman"/>
          <w:sz w:val="24"/>
          <w:szCs w:val="24"/>
        </w:rPr>
        <w:footnoteReference w:id="14"/>
      </w:r>
      <w:r w:rsidR="00C56D98">
        <w:rPr>
          <w:rFonts w:ascii="Times New Roman" w:hAnsi="Times New Roman" w:cs="Times New Roman"/>
          <w:sz w:val="24"/>
          <w:szCs w:val="24"/>
        </w:rPr>
        <w:t xml:space="preserve"> </w:t>
      </w:r>
    </w:p>
    <w:p w14:paraId="4166370D" w14:textId="77777777" w:rsidR="003F4A06" w:rsidRDefault="003F4A06" w:rsidP="006E1E20">
      <w:pPr>
        <w:spacing w:line="480" w:lineRule="auto"/>
        <w:rPr>
          <w:rFonts w:ascii="Times New Roman" w:hAnsi="Times New Roman" w:cs="Times New Roman"/>
          <w:sz w:val="24"/>
          <w:szCs w:val="24"/>
        </w:rPr>
      </w:pPr>
    </w:p>
    <w:p w14:paraId="3AF95274" w14:textId="4930FE05" w:rsidR="00667F32" w:rsidRDefault="00CE49FD" w:rsidP="006E1E20">
      <w:pPr>
        <w:spacing w:line="480" w:lineRule="auto"/>
        <w:rPr>
          <w:rFonts w:ascii="Times New Roman" w:hAnsi="Times New Roman" w:cs="Times New Roman"/>
          <w:sz w:val="24"/>
          <w:szCs w:val="24"/>
        </w:rPr>
      </w:pPr>
      <w:r>
        <w:rPr>
          <w:rFonts w:ascii="Times New Roman" w:hAnsi="Times New Roman" w:cs="Times New Roman"/>
          <w:sz w:val="24"/>
          <w:szCs w:val="24"/>
        </w:rPr>
        <w:t>Epigraphic evidence as a written source in the funerary context can present us with an explicit statement by an individual, or individuals, of self-identified characteristics that they, potentially, fe</w:t>
      </w:r>
      <w:r w:rsidR="00786099">
        <w:rPr>
          <w:rFonts w:ascii="Times New Roman" w:hAnsi="Times New Roman" w:cs="Times New Roman"/>
          <w:sz w:val="24"/>
          <w:szCs w:val="24"/>
        </w:rPr>
        <w:t xml:space="preserve">lt best represented themselves. </w:t>
      </w:r>
      <w:r w:rsidR="009458A3">
        <w:rPr>
          <w:rFonts w:ascii="Times New Roman" w:hAnsi="Times New Roman" w:cs="Times New Roman"/>
          <w:sz w:val="24"/>
          <w:szCs w:val="24"/>
        </w:rPr>
        <w:t>Of course, the content of inscriptions varies greatly, providing different amounts of information in each individual case. Unlike much of the ancient literary evidence</w:t>
      </w:r>
      <w:r w:rsidR="00B41300">
        <w:rPr>
          <w:rFonts w:ascii="Times New Roman" w:hAnsi="Times New Roman" w:cs="Times New Roman"/>
          <w:sz w:val="24"/>
          <w:szCs w:val="24"/>
        </w:rPr>
        <w:t xml:space="preserve"> surrounding funerary practice</w:t>
      </w:r>
      <w:r w:rsidR="000754C4">
        <w:rPr>
          <w:rFonts w:ascii="Times New Roman" w:hAnsi="Times New Roman" w:cs="Times New Roman"/>
          <w:sz w:val="24"/>
          <w:szCs w:val="24"/>
        </w:rPr>
        <w:t xml:space="preserve"> in general</w:t>
      </w:r>
      <w:r w:rsidR="009458A3">
        <w:rPr>
          <w:rFonts w:ascii="Times New Roman" w:hAnsi="Times New Roman" w:cs="Times New Roman"/>
          <w:sz w:val="24"/>
          <w:szCs w:val="24"/>
        </w:rPr>
        <w:t xml:space="preserve">, </w:t>
      </w:r>
      <w:r w:rsidR="00401A26">
        <w:rPr>
          <w:rFonts w:ascii="Times New Roman" w:hAnsi="Times New Roman" w:cs="Times New Roman"/>
          <w:sz w:val="24"/>
          <w:szCs w:val="24"/>
        </w:rPr>
        <w:t>the inscriptions of t</w:t>
      </w:r>
      <w:r w:rsidR="00B41300">
        <w:rPr>
          <w:rFonts w:ascii="Times New Roman" w:hAnsi="Times New Roman" w:cs="Times New Roman"/>
          <w:sz w:val="24"/>
          <w:szCs w:val="24"/>
        </w:rPr>
        <w:t>he tombs of Pompeii were ingrained into tha</w:t>
      </w:r>
      <w:r w:rsidR="003F4A06">
        <w:rPr>
          <w:rFonts w:ascii="Times New Roman" w:hAnsi="Times New Roman" w:cs="Times New Roman"/>
          <w:sz w:val="24"/>
          <w:szCs w:val="24"/>
        </w:rPr>
        <w:t>t practice; they represented the active negotiation of identity</w:t>
      </w:r>
      <w:r w:rsidR="003B0B2C">
        <w:rPr>
          <w:rStyle w:val="FootnoteReference"/>
          <w:rFonts w:ascii="Times New Roman" w:hAnsi="Times New Roman" w:cs="Times New Roman"/>
          <w:sz w:val="24"/>
          <w:szCs w:val="24"/>
        </w:rPr>
        <w:footnoteReference w:id="15"/>
      </w:r>
      <w:r w:rsidR="003F4A06">
        <w:rPr>
          <w:rFonts w:ascii="Times New Roman" w:hAnsi="Times New Roman" w:cs="Times New Roman"/>
          <w:sz w:val="24"/>
          <w:szCs w:val="24"/>
        </w:rPr>
        <w:t xml:space="preserve"> of peoples who lived and nego</w:t>
      </w:r>
      <w:r w:rsidR="003B0B2C">
        <w:rPr>
          <w:rFonts w:ascii="Times New Roman" w:hAnsi="Times New Roman" w:cs="Times New Roman"/>
          <w:sz w:val="24"/>
          <w:szCs w:val="24"/>
        </w:rPr>
        <w:t>tiated their identity in the town</w:t>
      </w:r>
      <w:r w:rsidR="003F4A06">
        <w:rPr>
          <w:rFonts w:ascii="Times New Roman" w:hAnsi="Times New Roman" w:cs="Times New Roman"/>
          <w:sz w:val="24"/>
          <w:szCs w:val="24"/>
        </w:rPr>
        <w:t xml:space="preserve"> as a living person. </w:t>
      </w:r>
    </w:p>
    <w:p w14:paraId="778DE054" w14:textId="15E25B14" w:rsidR="000754C4" w:rsidRDefault="000754C4" w:rsidP="006E1E20">
      <w:pPr>
        <w:spacing w:line="480" w:lineRule="auto"/>
        <w:rPr>
          <w:rFonts w:ascii="Times New Roman" w:hAnsi="Times New Roman" w:cs="Times New Roman"/>
          <w:sz w:val="24"/>
          <w:szCs w:val="24"/>
        </w:rPr>
      </w:pPr>
      <w:r>
        <w:rPr>
          <w:rFonts w:ascii="Times New Roman" w:hAnsi="Times New Roman" w:cs="Times New Roman"/>
          <w:sz w:val="24"/>
          <w:szCs w:val="24"/>
        </w:rPr>
        <w:t>As with the archaeological evidence, and my research as multidisciplinary by nature, the weaknesses are what will affect my argument the most. In her 2013 article, Louise Revell references Ton Derks, who argues that “we cannot detect a person’s ethnic identity without an explicit written statement” in response to the question of whether identity can be identified from material culture alone.</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As in, we can analyse the material evidence and make assumptions about what this can tell us about the ethnicity, in this example, of the people who used them, but that we need a statement from said people </w:t>
      </w:r>
      <w:r w:rsidR="004A29B1">
        <w:rPr>
          <w:rFonts w:ascii="Times New Roman" w:hAnsi="Times New Roman" w:cs="Times New Roman"/>
          <w:sz w:val="24"/>
          <w:szCs w:val="24"/>
        </w:rPr>
        <w:t xml:space="preserve">to back this assumption up. </w:t>
      </w:r>
      <w:r w:rsidR="00062753">
        <w:rPr>
          <w:rFonts w:ascii="Times New Roman" w:hAnsi="Times New Roman" w:cs="Times New Roman"/>
          <w:sz w:val="24"/>
          <w:szCs w:val="24"/>
        </w:rPr>
        <w:t>Revell follows this up with the argument that this is still not enough: “we are often left with labels, and without the wider viewpoint, we cannot understand the processes through which these labels were given meaning”.</w:t>
      </w:r>
      <w:r w:rsidR="00062753">
        <w:rPr>
          <w:rStyle w:val="FootnoteReference"/>
          <w:rFonts w:ascii="Times New Roman" w:hAnsi="Times New Roman" w:cs="Times New Roman"/>
          <w:sz w:val="24"/>
          <w:szCs w:val="24"/>
        </w:rPr>
        <w:footnoteReference w:id="17"/>
      </w:r>
      <w:r w:rsidR="00531544">
        <w:rPr>
          <w:rFonts w:ascii="Times New Roman" w:hAnsi="Times New Roman" w:cs="Times New Roman"/>
          <w:sz w:val="24"/>
          <w:szCs w:val="24"/>
        </w:rPr>
        <w:t xml:space="preserve"> I will cover</w:t>
      </w:r>
      <w:r w:rsidR="00062753">
        <w:rPr>
          <w:rFonts w:ascii="Times New Roman" w:hAnsi="Times New Roman" w:cs="Times New Roman"/>
          <w:sz w:val="24"/>
          <w:szCs w:val="24"/>
        </w:rPr>
        <w:t xml:space="preserve"> this later in my discussion on this article in relation to identity theory, but it highlights one of the potentia</w:t>
      </w:r>
      <w:r w:rsidR="00AF2086">
        <w:rPr>
          <w:rFonts w:ascii="Times New Roman" w:hAnsi="Times New Roman" w:cs="Times New Roman"/>
          <w:sz w:val="24"/>
          <w:szCs w:val="24"/>
        </w:rPr>
        <w:t xml:space="preserve">l ways that epigraphic evidence </w:t>
      </w:r>
      <w:r w:rsidR="00DF4418">
        <w:rPr>
          <w:rFonts w:ascii="Times New Roman" w:hAnsi="Times New Roman" w:cs="Times New Roman"/>
          <w:sz w:val="24"/>
          <w:szCs w:val="24"/>
        </w:rPr>
        <w:lastRenderedPageBreak/>
        <w:t xml:space="preserve">can lack substance as a source for identity, and the need for a multidisciplinary approach to further illuminate the text. </w:t>
      </w:r>
    </w:p>
    <w:p w14:paraId="5B0710C7" w14:textId="4627A05F" w:rsidR="00EB603D" w:rsidRPr="001A41C1" w:rsidRDefault="00EB603D" w:rsidP="006E1E20">
      <w:pPr>
        <w:spacing w:line="480" w:lineRule="auto"/>
        <w:rPr>
          <w:rFonts w:ascii="Times New Roman" w:hAnsi="Times New Roman" w:cs="Times New Roman"/>
          <w:sz w:val="24"/>
          <w:szCs w:val="24"/>
        </w:rPr>
      </w:pPr>
    </w:p>
    <w:p w14:paraId="06966B5E" w14:textId="5C71C18E" w:rsidR="00DF42D1" w:rsidRDefault="001153B5" w:rsidP="006E1E20">
      <w:pPr>
        <w:spacing w:line="480" w:lineRule="auto"/>
        <w:rPr>
          <w:rFonts w:ascii="Times New Roman" w:hAnsi="Times New Roman" w:cs="Times New Roman"/>
          <w:sz w:val="24"/>
          <w:szCs w:val="24"/>
        </w:rPr>
      </w:pPr>
      <w:r>
        <w:rPr>
          <w:rFonts w:ascii="Times New Roman" w:hAnsi="Times New Roman" w:cs="Times New Roman"/>
          <w:sz w:val="24"/>
          <w:szCs w:val="24"/>
        </w:rPr>
        <w:t xml:space="preserve">Identity is something that has increased in popularity </w:t>
      </w:r>
      <w:r w:rsidR="00475DBC">
        <w:rPr>
          <w:rFonts w:ascii="Times New Roman" w:hAnsi="Times New Roman" w:cs="Times New Roman"/>
          <w:sz w:val="24"/>
          <w:szCs w:val="24"/>
        </w:rPr>
        <w:t>in scholarship in recent years, as Martin Pitts describes in his article.</w:t>
      </w:r>
      <w:r w:rsidR="00475DBC">
        <w:rPr>
          <w:rStyle w:val="FootnoteReference"/>
          <w:rFonts w:ascii="Times New Roman" w:hAnsi="Times New Roman" w:cs="Times New Roman"/>
          <w:sz w:val="24"/>
          <w:szCs w:val="24"/>
        </w:rPr>
        <w:footnoteReference w:id="18"/>
      </w:r>
      <w:r w:rsidR="00475DBC">
        <w:rPr>
          <w:rFonts w:ascii="Times New Roman" w:hAnsi="Times New Roman" w:cs="Times New Roman"/>
          <w:sz w:val="24"/>
          <w:szCs w:val="24"/>
        </w:rPr>
        <w:t xml:space="preserve"> </w:t>
      </w:r>
      <w:r w:rsidR="00745FA9">
        <w:rPr>
          <w:rFonts w:ascii="Times New Roman" w:hAnsi="Times New Roman" w:cs="Times New Roman"/>
          <w:sz w:val="24"/>
          <w:szCs w:val="24"/>
        </w:rPr>
        <w:t>The aim of this article is to analyse how a large selection of scholar</w:t>
      </w:r>
      <w:r w:rsidR="007B77A1">
        <w:rPr>
          <w:rFonts w:ascii="Times New Roman" w:hAnsi="Times New Roman" w:cs="Times New Roman"/>
          <w:sz w:val="24"/>
          <w:szCs w:val="24"/>
        </w:rPr>
        <w:t>s</w:t>
      </w:r>
      <w:r w:rsidR="00745FA9">
        <w:rPr>
          <w:rFonts w:ascii="Times New Roman" w:hAnsi="Times New Roman" w:cs="Times New Roman"/>
          <w:sz w:val="24"/>
          <w:szCs w:val="24"/>
        </w:rPr>
        <w:t xml:space="preserve"> have used identity in their research, and how we can do better moving forward. </w:t>
      </w:r>
      <w:r w:rsidR="007E3517">
        <w:rPr>
          <w:rFonts w:ascii="Times New Roman" w:hAnsi="Times New Roman" w:cs="Times New Roman"/>
          <w:sz w:val="24"/>
          <w:szCs w:val="24"/>
        </w:rPr>
        <w:t xml:space="preserve">Pitts’ suggestion for improvement involves a new approach that “emphasizes the constitution of identity through dynamic social practices instead of a direct one-to-one relationship between identity and static material culture”. </w:t>
      </w:r>
      <w:r w:rsidR="007E3517">
        <w:rPr>
          <w:rStyle w:val="FootnoteReference"/>
          <w:rFonts w:ascii="Times New Roman" w:hAnsi="Times New Roman" w:cs="Times New Roman"/>
          <w:sz w:val="24"/>
          <w:szCs w:val="24"/>
        </w:rPr>
        <w:footnoteReference w:id="19"/>
      </w:r>
      <w:r w:rsidR="007E3517">
        <w:rPr>
          <w:rFonts w:ascii="Times New Roman" w:hAnsi="Times New Roman" w:cs="Times New Roman"/>
          <w:sz w:val="24"/>
          <w:szCs w:val="24"/>
        </w:rPr>
        <w:t xml:space="preserve"> This is an idea that Revell discusses in her article, and that I will cover later in this essay, but it is important to note here before a discussion on Pitts’ article as it sets the precedent for his own theoretical framework. </w:t>
      </w:r>
    </w:p>
    <w:p w14:paraId="7207C66B" w14:textId="624E0446" w:rsidR="00CA1721" w:rsidRDefault="00CA1721" w:rsidP="006E1E20">
      <w:pPr>
        <w:spacing w:line="480" w:lineRule="auto"/>
        <w:rPr>
          <w:rFonts w:ascii="Times New Roman" w:hAnsi="Times New Roman" w:cs="Times New Roman"/>
          <w:sz w:val="24"/>
          <w:szCs w:val="24"/>
        </w:rPr>
      </w:pPr>
      <w:r>
        <w:rPr>
          <w:rFonts w:ascii="Times New Roman" w:hAnsi="Times New Roman" w:cs="Times New Roman"/>
          <w:sz w:val="24"/>
          <w:szCs w:val="24"/>
        </w:rPr>
        <w:t>Pitts describes the study of identity as being regarded as “a means of transcending the tired issue of Romanization”.</w:t>
      </w:r>
      <w:r>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He puts forward the argumen</w:t>
      </w:r>
      <w:r w:rsidR="007B77A1">
        <w:rPr>
          <w:rFonts w:ascii="Times New Roman" w:hAnsi="Times New Roman" w:cs="Times New Roman"/>
          <w:sz w:val="24"/>
          <w:szCs w:val="24"/>
        </w:rPr>
        <w:t>t, currently popular in academic thought</w:t>
      </w:r>
      <w:r>
        <w:rPr>
          <w:rFonts w:ascii="Times New Roman" w:hAnsi="Times New Roman" w:cs="Times New Roman"/>
          <w:sz w:val="24"/>
          <w:szCs w:val="24"/>
        </w:rPr>
        <w:t>, that Romanization promotes a narrow perspective on the Roman world, and that identity can provide a “means of liberating Roman archaeology from the Roman-native dichotomy” that is prevalent in the Romanization debate by promoting research into a wider v</w:t>
      </w:r>
      <w:r w:rsidR="006F7701">
        <w:rPr>
          <w:rFonts w:ascii="Times New Roman" w:hAnsi="Times New Roman" w:cs="Times New Roman"/>
          <w:sz w:val="24"/>
          <w:szCs w:val="24"/>
        </w:rPr>
        <w:t>ariety of influences on societal</w:t>
      </w:r>
      <w:r>
        <w:rPr>
          <w:rFonts w:ascii="Times New Roman" w:hAnsi="Times New Roman" w:cs="Times New Roman"/>
          <w:sz w:val="24"/>
          <w:szCs w:val="24"/>
        </w:rPr>
        <w:t xml:space="preserve"> change.</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An effective study of identity is the “implicit rejection of Romanization as a passive and blanket phenomenon”.</w:t>
      </w:r>
      <w:r>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In specific reference to the study of identity through material culture, Pitts describes how this can help us to “understand social groups and cultures that were not able or empowered to write their own </w:t>
      </w:r>
      <w:r>
        <w:rPr>
          <w:rFonts w:ascii="Times New Roman" w:hAnsi="Times New Roman" w:cs="Times New Roman"/>
          <w:sz w:val="24"/>
          <w:szCs w:val="24"/>
        </w:rPr>
        <w:lastRenderedPageBreak/>
        <w:t>histories”, written history giving us a very narrow selection of people from whom it could have come from.</w:t>
      </w:r>
      <w:r>
        <w:rPr>
          <w:rStyle w:val="FootnoteReference"/>
          <w:rFonts w:ascii="Times New Roman" w:hAnsi="Times New Roman" w:cs="Times New Roman"/>
          <w:sz w:val="24"/>
          <w:szCs w:val="24"/>
        </w:rPr>
        <w:footnoteReference w:id="23"/>
      </w:r>
      <w:r w:rsidR="00FB47E6">
        <w:rPr>
          <w:rFonts w:ascii="Times New Roman" w:hAnsi="Times New Roman" w:cs="Times New Roman"/>
          <w:sz w:val="24"/>
          <w:szCs w:val="24"/>
        </w:rPr>
        <w:t xml:space="preserve"> </w:t>
      </w:r>
    </w:p>
    <w:p w14:paraId="3CEACBBB" w14:textId="3E385297" w:rsidR="00145723" w:rsidRPr="00AE10B9" w:rsidRDefault="00FB47E6" w:rsidP="006E1E20">
      <w:pPr>
        <w:spacing w:line="480" w:lineRule="auto"/>
        <w:rPr>
          <w:rFonts w:ascii="Times New Roman" w:hAnsi="Times New Roman" w:cs="Times New Roman"/>
          <w:sz w:val="24"/>
          <w:szCs w:val="24"/>
        </w:rPr>
      </w:pPr>
      <w:r>
        <w:rPr>
          <w:rFonts w:ascii="Times New Roman" w:hAnsi="Times New Roman" w:cs="Times New Roman"/>
          <w:sz w:val="24"/>
          <w:szCs w:val="24"/>
        </w:rPr>
        <w:t xml:space="preserve">One of the main features of Pitts’ article is the issues surrounding the use of identity as a theory, and how future research can better utilise it. </w:t>
      </w:r>
      <w:r w:rsidR="008F170D">
        <w:rPr>
          <w:rFonts w:ascii="Times New Roman" w:hAnsi="Times New Roman" w:cs="Times New Roman"/>
          <w:sz w:val="24"/>
          <w:szCs w:val="24"/>
        </w:rPr>
        <w:t>Identity as a term, with its modern conception and definition,</w:t>
      </w:r>
      <w:r w:rsidR="008F170D">
        <w:rPr>
          <w:rStyle w:val="FootnoteReference"/>
          <w:rFonts w:ascii="Times New Roman" w:hAnsi="Times New Roman" w:cs="Times New Roman"/>
          <w:sz w:val="24"/>
          <w:szCs w:val="24"/>
        </w:rPr>
        <w:footnoteReference w:id="24"/>
      </w:r>
      <w:r w:rsidR="008F170D">
        <w:rPr>
          <w:rFonts w:ascii="Times New Roman" w:hAnsi="Times New Roman" w:cs="Times New Roman"/>
          <w:sz w:val="24"/>
          <w:szCs w:val="24"/>
        </w:rPr>
        <w:t xml:space="preserve"> is ambiguous, an issue</w:t>
      </w:r>
      <w:r w:rsidR="00AE10B9">
        <w:rPr>
          <w:rFonts w:ascii="Times New Roman" w:hAnsi="Times New Roman" w:cs="Times New Roman"/>
          <w:sz w:val="24"/>
          <w:szCs w:val="24"/>
        </w:rPr>
        <w:t xml:space="preserve"> for which he references Brubaker and Cooper’s 2000 article </w:t>
      </w:r>
      <w:r w:rsidR="00AE10B9">
        <w:rPr>
          <w:rFonts w:ascii="Times New Roman" w:hAnsi="Times New Roman" w:cs="Times New Roman"/>
          <w:i/>
          <w:sz w:val="24"/>
          <w:szCs w:val="24"/>
        </w:rPr>
        <w:t>Beyond Identity</w:t>
      </w:r>
      <w:r w:rsidR="00AE10B9">
        <w:rPr>
          <w:rFonts w:ascii="Times New Roman" w:hAnsi="Times New Roman" w:cs="Times New Roman"/>
          <w:sz w:val="24"/>
          <w:szCs w:val="24"/>
        </w:rPr>
        <w:t>. The term is often used as a “shallow conceptualization”, and without a change in analytical mind set, is reduced to “interchangeability with the term “Romanization””.</w:t>
      </w:r>
      <w:r w:rsidR="00AE10B9">
        <w:rPr>
          <w:rStyle w:val="FootnoteReference"/>
          <w:rFonts w:ascii="Times New Roman" w:hAnsi="Times New Roman" w:cs="Times New Roman"/>
          <w:sz w:val="24"/>
          <w:szCs w:val="24"/>
        </w:rPr>
        <w:footnoteReference w:id="25"/>
      </w:r>
      <w:r w:rsidR="00AE10B9">
        <w:rPr>
          <w:rFonts w:ascii="Times New Roman" w:hAnsi="Times New Roman" w:cs="Times New Roman"/>
          <w:sz w:val="24"/>
          <w:szCs w:val="24"/>
        </w:rPr>
        <w:t xml:space="preserve"> </w:t>
      </w:r>
      <w:r w:rsidR="008F170D">
        <w:rPr>
          <w:rFonts w:ascii="Times New Roman" w:hAnsi="Times New Roman" w:cs="Times New Roman"/>
          <w:sz w:val="24"/>
          <w:szCs w:val="24"/>
        </w:rPr>
        <w:t>He also notes a trend in scholarship to heavily focus on cultural identity, which “betrays a continued obsession with the nature of interaction between Roman and native”.</w:t>
      </w:r>
      <w:r w:rsidR="008F170D">
        <w:rPr>
          <w:rStyle w:val="FootnoteReference"/>
          <w:rFonts w:ascii="Times New Roman" w:hAnsi="Times New Roman" w:cs="Times New Roman"/>
          <w:sz w:val="24"/>
          <w:szCs w:val="24"/>
        </w:rPr>
        <w:footnoteReference w:id="26"/>
      </w:r>
      <w:r w:rsidR="00636525">
        <w:rPr>
          <w:rFonts w:ascii="Times New Roman" w:hAnsi="Times New Roman" w:cs="Times New Roman"/>
          <w:sz w:val="24"/>
          <w:szCs w:val="24"/>
        </w:rPr>
        <w:t xml:space="preserve"> It is here that a different approach is suggested: instead of focusing on one aspect of identity isolated from others, “we must study identity holistically”</w:t>
      </w:r>
      <w:r w:rsidR="0000430C">
        <w:rPr>
          <w:rFonts w:ascii="Times New Roman" w:hAnsi="Times New Roman" w:cs="Times New Roman"/>
          <w:sz w:val="24"/>
          <w:szCs w:val="24"/>
        </w:rPr>
        <w:t>.</w:t>
      </w:r>
      <w:r w:rsidR="00636525">
        <w:rPr>
          <w:rStyle w:val="FootnoteReference"/>
          <w:rFonts w:ascii="Times New Roman" w:hAnsi="Times New Roman" w:cs="Times New Roman"/>
          <w:sz w:val="24"/>
          <w:szCs w:val="24"/>
        </w:rPr>
        <w:footnoteReference w:id="27"/>
      </w:r>
      <w:r w:rsidR="0000430C">
        <w:rPr>
          <w:rFonts w:ascii="Times New Roman" w:hAnsi="Times New Roman" w:cs="Times New Roman"/>
          <w:sz w:val="24"/>
          <w:szCs w:val="24"/>
        </w:rPr>
        <w:t xml:space="preserve"> To not conduct future research in this way will, he argues, “present an unnecessarily distorted narrative”.</w:t>
      </w:r>
      <w:r w:rsidR="0000430C">
        <w:rPr>
          <w:rStyle w:val="FootnoteReference"/>
          <w:rFonts w:ascii="Times New Roman" w:hAnsi="Times New Roman" w:cs="Times New Roman"/>
          <w:sz w:val="24"/>
          <w:szCs w:val="24"/>
        </w:rPr>
        <w:footnoteReference w:id="28"/>
      </w:r>
      <w:r w:rsidR="00145723">
        <w:rPr>
          <w:rFonts w:ascii="Times New Roman" w:hAnsi="Times New Roman" w:cs="Times New Roman"/>
          <w:sz w:val="24"/>
          <w:szCs w:val="24"/>
        </w:rPr>
        <w:t>Pitts also argues that within the scholarship he surveyed, there was a lack of “substantial theoretical or methodological discussions on how best to approach identity”</w:t>
      </w:r>
      <w:r w:rsidR="007B77A1">
        <w:rPr>
          <w:rFonts w:ascii="Times New Roman" w:hAnsi="Times New Roman" w:cs="Times New Roman"/>
          <w:sz w:val="24"/>
          <w:szCs w:val="24"/>
        </w:rPr>
        <w:t>, and that this leads to equating ancient peoples with “generic combinations of material culture” in a simplistic process.</w:t>
      </w:r>
      <w:r w:rsidR="00145723">
        <w:rPr>
          <w:rStyle w:val="FootnoteReference"/>
          <w:rFonts w:ascii="Times New Roman" w:hAnsi="Times New Roman" w:cs="Times New Roman"/>
          <w:sz w:val="24"/>
          <w:szCs w:val="24"/>
        </w:rPr>
        <w:footnoteReference w:id="29"/>
      </w:r>
      <w:r w:rsidR="00145723">
        <w:rPr>
          <w:rFonts w:ascii="Times New Roman" w:hAnsi="Times New Roman" w:cs="Times New Roman"/>
          <w:sz w:val="24"/>
          <w:szCs w:val="24"/>
        </w:rPr>
        <w:t xml:space="preserve"> </w:t>
      </w:r>
    </w:p>
    <w:p w14:paraId="79A1B560" w14:textId="504B7971" w:rsidR="00DF42D1" w:rsidRDefault="00DF42D1" w:rsidP="006E1E20">
      <w:pPr>
        <w:spacing w:line="480" w:lineRule="auto"/>
        <w:rPr>
          <w:rFonts w:ascii="Times New Roman" w:hAnsi="Times New Roman" w:cs="Times New Roman"/>
          <w:sz w:val="24"/>
          <w:szCs w:val="24"/>
        </w:rPr>
      </w:pPr>
    </w:p>
    <w:p w14:paraId="7A7ECC93" w14:textId="3CD08048" w:rsidR="007B77A1" w:rsidRDefault="0076358D" w:rsidP="006E1E20">
      <w:pPr>
        <w:spacing w:line="480" w:lineRule="auto"/>
        <w:rPr>
          <w:rFonts w:ascii="Times New Roman" w:hAnsi="Times New Roman" w:cs="Times New Roman"/>
          <w:sz w:val="24"/>
          <w:szCs w:val="24"/>
        </w:rPr>
      </w:pPr>
      <w:r>
        <w:rPr>
          <w:rFonts w:ascii="Times New Roman" w:hAnsi="Times New Roman" w:cs="Times New Roman"/>
          <w:sz w:val="24"/>
          <w:szCs w:val="24"/>
        </w:rPr>
        <w:t xml:space="preserve">In her article </w:t>
      </w:r>
      <w:r>
        <w:rPr>
          <w:rFonts w:ascii="Times New Roman" w:hAnsi="Times New Roman" w:cs="Times New Roman"/>
          <w:i/>
          <w:sz w:val="24"/>
          <w:szCs w:val="24"/>
        </w:rPr>
        <w:t xml:space="preserve">The Creation of Multiple Identities in Roman </w:t>
      </w:r>
      <w:proofErr w:type="spellStart"/>
      <w:r>
        <w:rPr>
          <w:rFonts w:ascii="Times New Roman" w:hAnsi="Times New Roman" w:cs="Times New Roman"/>
          <w:i/>
          <w:sz w:val="24"/>
          <w:szCs w:val="24"/>
        </w:rPr>
        <w:t>Italica</w:t>
      </w:r>
      <w:proofErr w:type="spellEnd"/>
      <w:r>
        <w:rPr>
          <w:rFonts w:ascii="Times New Roman" w:hAnsi="Times New Roman" w:cs="Times New Roman"/>
          <w:sz w:val="24"/>
          <w:szCs w:val="24"/>
        </w:rPr>
        <w:t>, Louise Revell presents the idea that identity is produced through “repeated, significant practice”</w:t>
      </w:r>
      <w:r w:rsidR="005E354A">
        <w:rPr>
          <w:rFonts w:ascii="Times New Roman" w:hAnsi="Times New Roman" w:cs="Times New Roman"/>
          <w:sz w:val="24"/>
          <w:szCs w:val="24"/>
        </w:rPr>
        <w:t xml:space="preserve"> between an individual and their community. </w:t>
      </w:r>
      <w:r>
        <w:rPr>
          <w:rStyle w:val="FootnoteReference"/>
          <w:rFonts w:ascii="Times New Roman" w:hAnsi="Times New Roman" w:cs="Times New Roman"/>
          <w:sz w:val="24"/>
          <w:szCs w:val="24"/>
        </w:rPr>
        <w:footnoteReference w:id="30"/>
      </w:r>
      <w:r w:rsidR="005E354A">
        <w:rPr>
          <w:rFonts w:ascii="Times New Roman" w:hAnsi="Times New Roman" w:cs="Times New Roman"/>
          <w:sz w:val="24"/>
          <w:szCs w:val="24"/>
        </w:rPr>
        <w:t xml:space="preserve"> The individual may be an adult man, but this is little more than a </w:t>
      </w:r>
      <w:r w:rsidR="005E354A">
        <w:rPr>
          <w:rFonts w:ascii="Times New Roman" w:hAnsi="Times New Roman" w:cs="Times New Roman"/>
          <w:sz w:val="24"/>
          <w:szCs w:val="24"/>
        </w:rPr>
        <w:lastRenderedPageBreak/>
        <w:t xml:space="preserve">descriptive characterisation without meaningful actions performed within the societal system. </w:t>
      </w:r>
      <w:r w:rsidR="00DD4762">
        <w:rPr>
          <w:rFonts w:ascii="Times New Roman" w:hAnsi="Times New Roman" w:cs="Times New Roman"/>
          <w:sz w:val="24"/>
          <w:szCs w:val="24"/>
        </w:rPr>
        <w:t>Material culture, then, Revell argues, is a “means of negotiating” identity within a community and the people coinhabiting it by providing opportunities for “knowledgeable human actors” to engage in actions befitting any one (or combination) of their characterisations.</w:t>
      </w:r>
      <w:r w:rsidR="00DD4762">
        <w:rPr>
          <w:rStyle w:val="FootnoteReference"/>
          <w:rFonts w:ascii="Times New Roman" w:hAnsi="Times New Roman" w:cs="Times New Roman"/>
          <w:sz w:val="24"/>
          <w:szCs w:val="24"/>
        </w:rPr>
        <w:footnoteReference w:id="31"/>
      </w:r>
      <w:r w:rsidR="00D629F8">
        <w:rPr>
          <w:rFonts w:ascii="Times New Roman" w:hAnsi="Times New Roman" w:cs="Times New Roman"/>
          <w:sz w:val="24"/>
          <w:szCs w:val="24"/>
        </w:rPr>
        <w:t xml:space="preserve"> </w:t>
      </w:r>
      <w:r w:rsidR="00DD4762">
        <w:rPr>
          <w:rFonts w:ascii="Times New Roman" w:hAnsi="Times New Roman" w:cs="Times New Roman"/>
          <w:sz w:val="24"/>
          <w:szCs w:val="24"/>
        </w:rPr>
        <w:t>Revell proposes that the individual-action-object process helps bridge the intellectual gap between viewing artefact and identity as a one-to-one relationship: objects are “a resource used… in a repetitive and appropriate way”, without intrinsic meaning without these actions</w:t>
      </w:r>
      <w:r w:rsidR="00DD4762">
        <w:rPr>
          <w:rStyle w:val="FootnoteReference"/>
          <w:rFonts w:ascii="Times New Roman" w:hAnsi="Times New Roman" w:cs="Times New Roman"/>
          <w:sz w:val="24"/>
          <w:szCs w:val="24"/>
        </w:rPr>
        <w:footnoteReference w:id="32"/>
      </w:r>
      <w:r w:rsidR="00DD4762">
        <w:rPr>
          <w:rFonts w:ascii="Times New Roman" w:hAnsi="Times New Roman" w:cs="Times New Roman"/>
          <w:sz w:val="24"/>
          <w:szCs w:val="24"/>
        </w:rPr>
        <w:t>.</w:t>
      </w:r>
      <w:r w:rsidR="00E530D6">
        <w:rPr>
          <w:rFonts w:ascii="Times New Roman" w:hAnsi="Times New Roman" w:cs="Times New Roman"/>
          <w:sz w:val="24"/>
          <w:szCs w:val="24"/>
        </w:rPr>
        <w:t xml:space="preserve">This gives contextual meaning, and allows for the reality that most objects could have been used to express many different identities. </w:t>
      </w:r>
    </w:p>
    <w:p w14:paraId="25D61F20" w14:textId="565754F2" w:rsidR="00DE2E73" w:rsidRDefault="00DE2E73" w:rsidP="006E1E20">
      <w:pPr>
        <w:spacing w:line="480" w:lineRule="auto"/>
        <w:rPr>
          <w:rFonts w:ascii="Times New Roman" w:hAnsi="Times New Roman" w:cs="Times New Roman"/>
          <w:sz w:val="24"/>
          <w:szCs w:val="24"/>
        </w:rPr>
      </w:pPr>
      <w:r>
        <w:rPr>
          <w:rFonts w:ascii="Times New Roman" w:hAnsi="Times New Roman" w:cs="Times New Roman"/>
          <w:sz w:val="24"/>
          <w:szCs w:val="24"/>
        </w:rPr>
        <w:t>This theory raises interesting questions when trying to apply it to funerary evidence; a deceased person cannot perform actions with material culture to reaffirm their identity. Some individuals designed (and sometimes even built) their tombs before they died, but they could not perform any actions after death. This is not to say that Revell’s argument must not stand true in the instance of identity in death, but that perhaps looking outside of the individual to other social actors who could perform actions on their behalf</w:t>
      </w:r>
      <w:r w:rsidR="00AE52EC">
        <w:rPr>
          <w:rFonts w:ascii="Times New Roman" w:hAnsi="Times New Roman" w:cs="Times New Roman"/>
          <w:sz w:val="24"/>
          <w:szCs w:val="24"/>
        </w:rPr>
        <w:t xml:space="preserve"> would allow for an analysis in this way. The family would perform actions in the funerary process, both immediately following the death and at subsequent periods throughout the years (especially the anniversary of the death), and strangers would frequently </w:t>
      </w:r>
      <w:r w:rsidR="00156AB9">
        <w:rPr>
          <w:rFonts w:ascii="Times New Roman" w:hAnsi="Times New Roman" w:cs="Times New Roman"/>
          <w:sz w:val="24"/>
          <w:szCs w:val="24"/>
        </w:rPr>
        <w:t xml:space="preserve">pass and observe burial areas. </w:t>
      </w:r>
    </w:p>
    <w:p w14:paraId="6F62B143" w14:textId="38374004" w:rsidR="000F3755" w:rsidRDefault="000F3755" w:rsidP="006E1E20">
      <w:pPr>
        <w:spacing w:line="480" w:lineRule="auto"/>
        <w:rPr>
          <w:rFonts w:ascii="Times New Roman" w:hAnsi="Times New Roman" w:cs="Times New Roman"/>
          <w:sz w:val="24"/>
          <w:szCs w:val="24"/>
        </w:rPr>
      </w:pPr>
    </w:p>
    <w:p w14:paraId="3A9FA9DA" w14:textId="00D16C14" w:rsidR="000F3755" w:rsidRDefault="000F3755" w:rsidP="006E1E20">
      <w:pPr>
        <w:spacing w:line="480" w:lineRule="auto"/>
        <w:rPr>
          <w:rFonts w:ascii="Times New Roman" w:hAnsi="Times New Roman" w:cs="Times New Roman"/>
          <w:sz w:val="24"/>
          <w:szCs w:val="24"/>
        </w:rPr>
      </w:pPr>
      <w:r>
        <w:rPr>
          <w:rFonts w:ascii="Times New Roman" w:hAnsi="Times New Roman" w:cs="Times New Roman"/>
          <w:sz w:val="24"/>
          <w:szCs w:val="24"/>
        </w:rPr>
        <w:t xml:space="preserve">Valerie Hope’s article focuses on funerary </w:t>
      </w:r>
      <w:r>
        <w:rPr>
          <w:rFonts w:ascii="Times New Roman" w:hAnsi="Times New Roman" w:cs="Times New Roman"/>
          <w:i/>
          <w:iCs/>
          <w:sz w:val="24"/>
          <w:szCs w:val="24"/>
        </w:rPr>
        <w:t>monuments</w:t>
      </w:r>
      <w:r>
        <w:rPr>
          <w:rFonts w:ascii="Times New Roman" w:hAnsi="Times New Roman" w:cs="Times New Roman"/>
          <w:sz w:val="24"/>
          <w:szCs w:val="24"/>
        </w:rPr>
        <w:t xml:space="preserve">, which represents </w:t>
      </w:r>
      <w:r w:rsidR="00733CF7">
        <w:rPr>
          <w:rFonts w:ascii="Times New Roman" w:hAnsi="Times New Roman" w:cs="Times New Roman"/>
          <w:sz w:val="24"/>
          <w:szCs w:val="24"/>
        </w:rPr>
        <w:t xml:space="preserve">only a selection of potential forms of burial and ways of expressing identity in the ‘world of the dead’, but I will be discussing it as a way of showing one of the forms that will feature in my own research. </w:t>
      </w:r>
      <w:r w:rsidR="00AB1DDA">
        <w:rPr>
          <w:rFonts w:ascii="Times New Roman" w:hAnsi="Times New Roman" w:cs="Times New Roman"/>
          <w:sz w:val="24"/>
          <w:szCs w:val="24"/>
        </w:rPr>
        <w:t xml:space="preserve">Hope puts forward that funerary monuments provide us with “a unique opportunity to </w:t>
      </w:r>
      <w:r w:rsidR="00AB1DDA">
        <w:rPr>
          <w:rFonts w:ascii="Times New Roman" w:hAnsi="Times New Roman" w:cs="Times New Roman"/>
          <w:sz w:val="24"/>
          <w:szCs w:val="24"/>
        </w:rPr>
        <w:lastRenderedPageBreak/>
        <w:t>understand why and how people desired to be remembered”: as in, how did they perceive themselves, their identity, and in what ways did they choose to present that to the world for the future?</w:t>
      </w:r>
      <w:r w:rsidR="00AB1DDA">
        <w:rPr>
          <w:rStyle w:val="FootnoteReference"/>
          <w:rFonts w:ascii="Times New Roman" w:hAnsi="Times New Roman" w:cs="Times New Roman"/>
          <w:sz w:val="24"/>
          <w:szCs w:val="24"/>
        </w:rPr>
        <w:footnoteReference w:id="33"/>
      </w:r>
      <w:r w:rsidR="00AB1DDA">
        <w:rPr>
          <w:rFonts w:ascii="Times New Roman" w:hAnsi="Times New Roman" w:cs="Times New Roman"/>
          <w:sz w:val="24"/>
          <w:szCs w:val="24"/>
        </w:rPr>
        <w:t xml:space="preserve"> </w:t>
      </w:r>
      <w:r w:rsidR="00534FEE">
        <w:rPr>
          <w:rFonts w:ascii="Times New Roman" w:hAnsi="Times New Roman" w:cs="Times New Roman"/>
          <w:sz w:val="24"/>
          <w:szCs w:val="24"/>
        </w:rPr>
        <w:t xml:space="preserve">The funerary record provides “an indication of the cultural importance of the commemoration of the dead”, suggesting it </w:t>
      </w:r>
      <w:r w:rsidR="00744B45">
        <w:rPr>
          <w:rFonts w:ascii="Times New Roman" w:hAnsi="Times New Roman" w:cs="Times New Roman"/>
          <w:sz w:val="24"/>
          <w:szCs w:val="24"/>
        </w:rPr>
        <w:t>as a way of manipulating identity in a way similar to houses, for example.</w:t>
      </w:r>
      <w:r w:rsidR="00744B45">
        <w:rPr>
          <w:rStyle w:val="FootnoteReference"/>
          <w:rFonts w:ascii="Times New Roman" w:hAnsi="Times New Roman" w:cs="Times New Roman"/>
          <w:sz w:val="24"/>
          <w:szCs w:val="24"/>
        </w:rPr>
        <w:footnoteReference w:id="34"/>
      </w:r>
      <w:r w:rsidR="00744B45">
        <w:rPr>
          <w:rFonts w:ascii="Times New Roman" w:hAnsi="Times New Roman" w:cs="Times New Roman"/>
          <w:sz w:val="24"/>
          <w:szCs w:val="24"/>
        </w:rPr>
        <w:t xml:space="preserve"> </w:t>
      </w:r>
      <w:r w:rsidR="00DC03DB">
        <w:rPr>
          <w:rFonts w:ascii="Times New Roman" w:hAnsi="Times New Roman" w:cs="Times New Roman"/>
          <w:sz w:val="24"/>
          <w:szCs w:val="24"/>
        </w:rPr>
        <w:t>Hope mentions two types of identity that a funerary monument might seek to display: the identity of the living person, their achievements and relationships they gained in life, but also of aspirations, where in death they can become what they did not achieve in life.</w:t>
      </w:r>
      <w:r w:rsidR="00DC03DB">
        <w:rPr>
          <w:rStyle w:val="FootnoteReference"/>
          <w:rFonts w:ascii="Times New Roman" w:hAnsi="Times New Roman" w:cs="Times New Roman"/>
          <w:sz w:val="24"/>
          <w:szCs w:val="24"/>
        </w:rPr>
        <w:footnoteReference w:id="35"/>
      </w:r>
      <w:r w:rsidR="00DC03DB">
        <w:rPr>
          <w:rFonts w:ascii="Times New Roman" w:hAnsi="Times New Roman" w:cs="Times New Roman"/>
          <w:sz w:val="24"/>
          <w:szCs w:val="24"/>
        </w:rPr>
        <w:t xml:space="preserve"> </w:t>
      </w:r>
      <w:r w:rsidR="00835929">
        <w:rPr>
          <w:rFonts w:ascii="Times New Roman" w:hAnsi="Times New Roman" w:cs="Times New Roman"/>
          <w:sz w:val="24"/>
          <w:szCs w:val="24"/>
        </w:rPr>
        <w:t>A person’s entire life story is not displayed on their chosen memorial (where a memorial was possible), so what was displayed most likely represents a conscious choice by an individual, or their family, on how they perceived themselves</w:t>
      </w:r>
      <w:r w:rsidR="00C61366">
        <w:rPr>
          <w:rFonts w:ascii="Times New Roman" w:hAnsi="Times New Roman" w:cs="Times New Roman"/>
          <w:sz w:val="24"/>
          <w:szCs w:val="24"/>
        </w:rPr>
        <w:t xml:space="preserve">. It is through these choices that funerary monuments can help us to understand at least a part of the identity of a person. </w:t>
      </w:r>
    </w:p>
    <w:p w14:paraId="7D2BE3E0" w14:textId="17D1F374" w:rsidR="00592033" w:rsidRDefault="00592033" w:rsidP="006E1E20">
      <w:pPr>
        <w:spacing w:line="480" w:lineRule="auto"/>
        <w:rPr>
          <w:rFonts w:ascii="Times New Roman" w:hAnsi="Times New Roman" w:cs="Times New Roman"/>
          <w:sz w:val="24"/>
          <w:szCs w:val="24"/>
        </w:rPr>
      </w:pPr>
    </w:p>
    <w:p w14:paraId="4F8765EC" w14:textId="185DF371" w:rsidR="00FF2EA4" w:rsidRDefault="00592033" w:rsidP="00FF2EA4">
      <w:pPr>
        <w:spacing w:line="480" w:lineRule="auto"/>
        <w:rPr>
          <w:rFonts w:ascii="Times New Roman" w:hAnsi="Times New Roman" w:cs="Times New Roman"/>
          <w:sz w:val="24"/>
          <w:szCs w:val="24"/>
        </w:rPr>
      </w:pPr>
      <w:r>
        <w:rPr>
          <w:rFonts w:ascii="Times New Roman" w:hAnsi="Times New Roman" w:cs="Times New Roman"/>
          <w:sz w:val="24"/>
          <w:szCs w:val="24"/>
        </w:rPr>
        <w:t xml:space="preserve">In this essay I have discussed the main theories and methodologies that I will be using in my research into identity in Pompeii. </w:t>
      </w:r>
      <w:r w:rsidR="008E33A6">
        <w:rPr>
          <w:rFonts w:ascii="Times New Roman" w:hAnsi="Times New Roman" w:cs="Times New Roman"/>
          <w:sz w:val="24"/>
          <w:szCs w:val="24"/>
        </w:rPr>
        <w:t xml:space="preserve">I hope to have shown why a multidisciplinary approach is necessary when dealing with a complex concept such as identity. </w:t>
      </w:r>
      <w:r w:rsidR="00AF7826">
        <w:rPr>
          <w:rFonts w:ascii="Times New Roman" w:hAnsi="Times New Roman" w:cs="Times New Roman"/>
          <w:sz w:val="24"/>
          <w:szCs w:val="24"/>
        </w:rPr>
        <w:t>Life is made up of a web of experiences, actions, materials, relationships, and more, which interacted with each other to allow an individual to create and maintain a relationship within the community (and wider world) in which they lived. In death, the identity of the living person can still be seen and studied.</w:t>
      </w:r>
      <w:r w:rsidR="00CE0CC4">
        <w:rPr>
          <w:rFonts w:ascii="Times New Roman" w:hAnsi="Times New Roman" w:cs="Times New Roman"/>
          <w:sz w:val="24"/>
          <w:szCs w:val="24"/>
        </w:rPr>
        <w:t xml:space="preserve"> </w:t>
      </w:r>
      <w:r w:rsidR="00FF2EA4">
        <w:rPr>
          <w:rFonts w:ascii="Times New Roman" w:hAnsi="Times New Roman" w:cs="Times New Roman"/>
          <w:sz w:val="24"/>
          <w:szCs w:val="24"/>
        </w:rPr>
        <w:br w:type="page"/>
      </w:r>
    </w:p>
    <w:p w14:paraId="59816D3A" w14:textId="1CBA00C5" w:rsidR="00592033" w:rsidRDefault="00FF2EA4" w:rsidP="006E1E20">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Bibliography</w:t>
      </w:r>
    </w:p>
    <w:p w14:paraId="26BC4E23" w14:textId="343718B0" w:rsidR="00FF2EA4" w:rsidRDefault="00FF2EA4" w:rsidP="006E1E20">
      <w:pPr>
        <w:spacing w:line="480" w:lineRule="auto"/>
        <w:rPr>
          <w:rFonts w:ascii="Times New Roman" w:hAnsi="Times New Roman" w:cs="Times New Roman"/>
          <w:sz w:val="24"/>
          <w:szCs w:val="24"/>
        </w:rPr>
      </w:pPr>
      <w:r>
        <w:rPr>
          <w:rFonts w:ascii="Times New Roman" w:hAnsi="Times New Roman" w:cs="Times New Roman"/>
          <w:sz w:val="24"/>
          <w:szCs w:val="24"/>
          <w:u w:val="single"/>
        </w:rPr>
        <w:t>Modern Scholarship</w:t>
      </w:r>
    </w:p>
    <w:p w14:paraId="72D3997E" w14:textId="77777777" w:rsidR="009C44E5" w:rsidRDefault="009C44E5" w:rsidP="006E1E20">
      <w:pPr>
        <w:spacing w:line="480" w:lineRule="auto"/>
        <w:rPr>
          <w:rFonts w:ascii="Times New Roman" w:hAnsi="Times New Roman" w:cs="Times New Roman"/>
          <w:sz w:val="24"/>
          <w:szCs w:val="24"/>
        </w:rPr>
      </w:pPr>
      <w:r>
        <w:rPr>
          <w:rFonts w:ascii="Times New Roman" w:hAnsi="Times New Roman" w:cs="Times New Roman"/>
          <w:sz w:val="24"/>
          <w:szCs w:val="24"/>
        </w:rPr>
        <w:t xml:space="preserve">Brubaker, R. and Cooper, F. (2000) ‘Beyond Identity’, </w:t>
      </w:r>
      <w:r>
        <w:rPr>
          <w:rFonts w:ascii="Times New Roman" w:hAnsi="Times New Roman" w:cs="Times New Roman"/>
          <w:i/>
          <w:iCs/>
          <w:sz w:val="24"/>
          <w:szCs w:val="24"/>
        </w:rPr>
        <w:t>Theory and Society</w:t>
      </w:r>
      <w:r>
        <w:rPr>
          <w:rFonts w:ascii="Times New Roman" w:hAnsi="Times New Roman" w:cs="Times New Roman"/>
          <w:sz w:val="24"/>
          <w:szCs w:val="24"/>
        </w:rPr>
        <w:t>, 29(1), pp. 1-47</w:t>
      </w:r>
    </w:p>
    <w:p w14:paraId="3AB4655E" w14:textId="77777777" w:rsidR="009C44E5" w:rsidRPr="009C44E5" w:rsidRDefault="009C44E5" w:rsidP="006E1E20">
      <w:pPr>
        <w:spacing w:line="480" w:lineRule="auto"/>
        <w:rPr>
          <w:rFonts w:ascii="Times New Roman" w:hAnsi="Times New Roman" w:cs="Times New Roman"/>
          <w:sz w:val="24"/>
          <w:szCs w:val="24"/>
        </w:rPr>
      </w:pPr>
      <w:r>
        <w:rPr>
          <w:rFonts w:ascii="Times New Roman" w:hAnsi="Times New Roman" w:cs="Times New Roman"/>
          <w:sz w:val="24"/>
          <w:szCs w:val="24"/>
        </w:rPr>
        <w:t xml:space="preserve">Campbell, V. L. (2015) </w:t>
      </w:r>
      <w:r>
        <w:rPr>
          <w:rFonts w:ascii="Times New Roman" w:hAnsi="Times New Roman" w:cs="Times New Roman"/>
          <w:i/>
          <w:iCs/>
          <w:sz w:val="24"/>
          <w:szCs w:val="24"/>
        </w:rPr>
        <w:t>The Tombs of Pompeii. Organisation, Space, and Society</w:t>
      </w:r>
      <w:r>
        <w:rPr>
          <w:rFonts w:ascii="Times New Roman" w:hAnsi="Times New Roman" w:cs="Times New Roman"/>
          <w:sz w:val="24"/>
          <w:szCs w:val="24"/>
        </w:rPr>
        <w:t>. New York: Routledge</w:t>
      </w:r>
    </w:p>
    <w:p w14:paraId="35A1A4E2" w14:textId="77777777" w:rsidR="009C44E5" w:rsidRDefault="009C44E5" w:rsidP="006E1E20">
      <w:pPr>
        <w:spacing w:line="480" w:lineRule="auto"/>
        <w:rPr>
          <w:rFonts w:ascii="Times New Roman" w:hAnsi="Times New Roman" w:cs="Times New Roman"/>
          <w:sz w:val="24"/>
          <w:szCs w:val="24"/>
        </w:rPr>
      </w:pPr>
      <w:r>
        <w:rPr>
          <w:rFonts w:ascii="Times New Roman" w:hAnsi="Times New Roman" w:cs="Times New Roman"/>
          <w:sz w:val="24"/>
          <w:szCs w:val="24"/>
        </w:rPr>
        <w:t xml:space="preserve">Hope, Valerie M. (1997) ‘Constructing Roman identity: funerary monuments and social structure in the Roman world’, </w:t>
      </w:r>
      <w:r>
        <w:rPr>
          <w:rFonts w:ascii="Times New Roman" w:hAnsi="Times New Roman" w:cs="Times New Roman"/>
          <w:i/>
          <w:iCs/>
          <w:sz w:val="24"/>
          <w:szCs w:val="24"/>
        </w:rPr>
        <w:t>Mortality</w:t>
      </w:r>
      <w:r>
        <w:rPr>
          <w:rFonts w:ascii="Times New Roman" w:hAnsi="Times New Roman" w:cs="Times New Roman"/>
          <w:sz w:val="24"/>
          <w:szCs w:val="24"/>
        </w:rPr>
        <w:t xml:space="preserve"> 2(2), pp. 103-121</w:t>
      </w:r>
    </w:p>
    <w:p w14:paraId="153F54DC" w14:textId="77777777" w:rsidR="009C44E5" w:rsidRDefault="009C44E5" w:rsidP="006E1E20">
      <w:pPr>
        <w:spacing w:line="480" w:lineRule="auto"/>
        <w:rPr>
          <w:rFonts w:ascii="Times New Roman" w:hAnsi="Times New Roman" w:cs="Times New Roman"/>
          <w:sz w:val="24"/>
          <w:szCs w:val="24"/>
        </w:rPr>
      </w:pPr>
      <w:r>
        <w:rPr>
          <w:rFonts w:ascii="Times New Roman" w:hAnsi="Times New Roman" w:cs="Times New Roman"/>
          <w:sz w:val="24"/>
          <w:szCs w:val="24"/>
        </w:rPr>
        <w:t xml:space="preserve">Pitts, M. (2007) ‘The Emperor’s New Clothes? The Utility of Identity in Roman Archaeology’, </w:t>
      </w:r>
      <w:r>
        <w:rPr>
          <w:rFonts w:ascii="Times New Roman" w:hAnsi="Times New Roman" w:cs="Times New Roman"/>
          <w:i/>
          <w:iCs/>
          <w:sz w:val="24"/>
          <w:szCs w:val="24"/>
        </w:rPr>
        <w:t>American Journal of Archaeology</w:t>
      </w:r>
      <w:r>
        <w:rPr>
          <w:rFonts w:ascii="Times New Roman" w:hAnsi="Times New Roman" w:cs="Times New Roman"/>
          <w:sz w:val="24"/>
          <w:szCs w:val="24"/>
        </w:rPr>
        <w:t>, 111(4), pp. 693-713</w:t>
      </w:r>
    </w:p>
    <w:p w14:paraId="39A73ED5" w14:textId="77777777" w:rsidR="009C44E5" w:rsidRDefault="009C44E5" w:rsidP="006E1E20">
      <w:pPr>
        <w:spacing w:line="480" w:lineRule="auto"/>
        <w:rPr>
          <w:rFonts w:ascii="Times New Roman" w:hAnsi="Times New Roman" w:cs="Times New Roman"/>
          <w:sz w:val="24"/>
          <w:szCs w:val="24"/>
        </w:rPr>
      </w:pPr>
      <w:r>
        <w:rPr>
          <w:rFonts w:ascii="Times New Roman" w:hAnsi="Times New Roman" w:cs="Times New Roman"/>
          <w:sz w:val="24"/>
          <w:szCs w:val="24"/>
        </w:rPr>
        <w:t xml:space="preserve">Revell, L. (2000) ‘The Creation of Multiple Identities in Roman </w:t>
      </w:r>
      <w:proofErr w:type="spellStart"/>
      <w:r>
        <w:rPr>
          <w:rFonts w:ascii="Times New Roman" w:hAnsi="Times New Roman" w:cs="Times New Roman"/>
          <w:sz w:val="24"/>
          <w:szCs w:val="24"/>
        </w:rPr>
        <w:t>Italica</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Theoretical Roman Archaeology Journal</w:t>
      </w:r>
      <w:r>
        <w:rPr>
          <w:rFonts w:ascii="Times New Roman" w:hAnsi="Times New Roman" w:cs="Times New Roman"/>
          <w:sz w:val="24"/>
          <w:szCs w:val="24"/>
        </w:rPr>
        <w:t>, 99, pp. 1-7</w:t>
      </w:r>
    </w:p>
    <w:p w14:paraId="60225315" w14:textId="77777777" w:rsidR="009C44E5" w:rsidRDefault="009C44E5" w:rsidP="006E1E20">
      <w:pPr>
        <w:spacing w:line="480" w:lineRule="auto"/>
        <w:rPr>
          <w:rFonts w:ascii="Times New Roman" w:hAnsi="Times New Roman" w:cs="Times New Roman"/>
          <w:sz w:val="24"/>
          <w:szCs w:val="24"/>
        </w:rPr>
      </w:pPr>
      <w:r>
        <w:rPr>
          <w:rFonts w:ascii="Times New Roman" w:hAnsi="Times New Roman" w:cs="Times New Roman"/>
          <w:sz w:val="24"/>
          <w:szCs w:val="24"/>
        </w:rPr>
        <w:t xml:space="preserve">Revell, L. (2013) ‘Code-switching and Identity in the Western Provinces’, </w:t>
      </w:r>
      <w:r>
        <w:rPr>
          <w:rFonts w:ascii="Times New Roman" w:hAnsi="Times New Roman" w:cs="Times New Roman"/>
          <w:i/>
          <w:iCs/>
          <w:sz w:val="24"/>
          <w:szCs w:val="24"/>
        </w:rPr>
        <w:t>Journal on Hellenistic and Roman Material Culture</w:t>
      </w:r>
      <w:r>
        <w:rPr>
          <w:rFonts w:ascii="Times New Roman" w:hAnsi="Times New Roman" w:cs="Times New Roman"/>
          <w:sz w:val="24"/>
          <w:szCs w:val="24"/>
        </w:rPr>
        <w:t>, 2, pp. 123-141</w:t>
      </w:r>
    </w:p>
    <w:p w14:paraId="1FDA4770" w14:textId="77777777" w:rsidR="009C44E5" w:rsidRDefault="009C44E5" w:rsidP="006E1E20">
      <w:pPr>
        <w:spacing w:line="480" w:lineRule="auto"/>
        <w:rPr>
          <w:rFonts w:ascii="Times New Roman" w:hAnsi="Times New Roman" w:cs="Times New Roman"/>
          <w:sz w:val="24"/>
          <w:szCs w:val="24"/>
        </w:rPr>
      </w:pPr>
      <w:r>
        <w:rPr>
          <w:rFonts w:ascii="Times New Roman" w:hAnsi="Times New Roman" w:cs="Times New Roman"/>
          <w:sz w:val="24"/>
          <w:szCs w:val="24"/>
        </w:rPr>
        <w:t xml:space="preserve">Smith, M. and Campbell, V. L. (2019) </w:t>
      </w:r>
      <w:r>
        <w:rPr>
          <w:rFonts w:ascii="Times New Roman" w:hAnsi="Times New Roman" w:cs="Times New Roman"/>
          <w:i/>
          <w:iCs/>
          <w:sz w:val="24"/>
          <w:szCs w:val="24"/>
        </w:rPr>
        <w:t>When in Rome</w:t>
      </w:r>
      <w:r>
        <w:rPr>
          <w:rFonts w:ascii="Times New Roman" w:hAnsi="Times New Roman" w:cs="Times New Roman"/>
          <w:sz w:val="24"/>
          <w:szCs w:val="24"/>
        </w:rPr>
        <w:t xml:space="preserve">: </w:t>
      </w:r>
      <w:r>
        <w:rPr>
          <w:rFonts w:ascii="Times New Roman" w:hAnsi="Times New Roman" w:cs="Times New Roman"/>
          <w:i/>
          <w:iCs/>
          <w:sz w:val="24"/>
          <w:szCs w:val="24"/>
        </w:rPr>
        <w:t>Pompeii Tombs</w:t>
      </w:r>
      <w:r>
        <w:rPr>
          <w:rFonts w:ascii="Times New Roman" w:hAnsi="Times New Roman" w:cs="Times New Roman"/>
          <w:sz w:val="24"/>
          <w:szCs w:val="24"/>
        </w:rPr>
        <w:t xml:space="preserve"> [Podcast]. </w:t>
      </w:r>
    </w:p>
    <w:sectPr w:rsidR="009C44E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DE120" w14:textId="77777777" w:rsidR="00DC1892" w:rsidRDefault="00DC1892" w:rsidP="004111A2">
      <w:pPr>
        <w:spacing w:after="0" w:line="240" w:lineRule="auto"/>
      </w:pPr>
      <w:r>
        <w:separator/>
      </w:r>
    </w:p>
  </w:endnote>
  <w:endnote w:type="continuationSeparator" w:id="0">
    <w:p w14:paraId="7C255AE1" w14:textId="77777777" w:rsidR="00DC1892" w:rsidRDefault="00DC1892" w:rsidP="00411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3133922"/>
      <w:docPartObj>
        <w:docPartGallery w:val="Page Numbers (Bottom of Page)"/>
        <w:docPartUnique/>
      </w:docPartObj>
    </w:sdtPr>
    <w:sdtEndPr>
      <w:rPr>
        <w:noProof/>
      </w:rPr>
    </w:sdtEndPr>
    <w:sdtContent>
      <w:p w14:paraId="228B1EF8" w14:textId="1D81FAC5" w:rsidR="004E5310" w:rsidRDefault="004E53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F3C32D" w14:textId="77777777" w:rsidR="009051E6" w:rsidRDefault="009051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A7485" w14:textId="77777777" w:rsidR="00DC1892" w:rsidRDefault="00DC1892" w:rsidP="004111A2">
      <w:pPr>
        <w:spacing w:after="0" w:line="240" w:lineRule="auto"/>
      </w:pPr>
      <w:r>
        <w:separator/>
      </w:r>
    </w:p>
  </w:footnote>
  <w:footnote w:type="continuationSeparator" w:id="0">
    <w:p w14:paraId="3C3A3B64" w14:textId="77777777" w:rsidR="00DC1892" w:rsidRDefault="00DC1892" w:rsidP="004111A2">
      <w:pPr>
        <w:spacing w:after="0" w:line="240" w:lineRule="auto"/>
      </w:pPr>
      <w:r>
        <w:continuationSeparator/>
      </w:r>
    </w:p>
  </w:footnote>
  <w:footnote w:id="1">
    <w:p w14:paraId="43144D80" w14:textId="5B44CDD1" w:rsidR="004352F1" w:rsidRDefault="004352F1">
      <w:pPr>
        <w:pStyle w:val="FootnoteText"/>
      </w:pPr>
      <w:r>
        <w:rPr>
          <w:rStyle w:val="FootnoteReference"/>
        </w:rPr>
        <w:footnoteRef/>
      </w:r>
      <w:r>
        <w:t xml:space="preserve"> The living population consisting of not only surviving relatives who continued their participation in funerary practice after the initial burial ritual, but also strangers who frequented the space.</w:t>
      </w:r>
    </w:p>
  </w:footnote>
  <w:footnote w:id="2">
    <w:p w14:paraId="7DEFD11B" w14:textId="6436452B" w:rsidR="009016BC" w:rsidRDefault="009016BC">
      <w:pPr>
        <w:pStyle w:val="FootnoteText"/>
      </w:pPr>
      <w:r>
        <w:rPr>
          <w:rStyle w:val="FootnoteReference"/>
        </w:rPr>
        <w:footnoteRef/>
      </w:r>
      <w:r>
        <w:t xml:space="preserve"> </w:t>
      </w:r>
      <w:r w:rsidR="00D162CA">
        <w:t>Pitts 2007</w:t>
      </w:r>
    </w:p>
  </w:footnote>
  <w:footnote w:id="3">
    <w:p w14:paraId="02FE4906" w14:textId="6DBD9491" w:rsidR="009016BC" w:rsidRDefault="009016BC">
      <w:pPr>
        <w:pStyle w:val="FootnoteText"/>
      </w:pPr>
      <w:r>
        <w:rPr>
          <w:rStyle w:val="FootnoteReference"/>
        </w:rPr>
        <w:footnoteRef/>
      </w:r>
      <w:r>
        <w:t xml:space="preserve"> </w:t>
      </w:r>
      <w:r w:rsidR="00D162CA">
        <w:t>Revell 2000</w:t>
      </w:r>
    </w:p>
  </w:footnote>
  <w:footnote w:id="4">
    <w:p w14:paraId="6A0E856B" w14:textId="04BA6010" w:rsidR="009016BC" w:rsidRDefault="009016BC">
      <w:pPr>
        <w:pStyle w:val="FootnoteText"/>
      </w:pPr>
      <w:r>
        <w:rPr>
          <w:rStyle w:val="FootnoteReference"/>
        </w:rPr>
        <w:footnoteRef/>
      </w:r>
      <w:r>
        <w:t xml:space="preserve"> </w:t>
      </w:r>
      <w:r w:rsidR="00D162CA">
        <w:t>Hope 1997</w:t>
      </w:r>
    </w:p>
  </w:footnote>
  <w:footnote w:id="5">
    <w:p w14:paraId="5A3B16D1" w14:textId="1434C8F7" w:rsidR="00205454" w:rsidRDefault="00205454">
      <w:pPr>
        <w:pStyle w:val="FootnoteText"/>
      </w:pPr>
      <w:r>
        <w:rPr>
          <w:rStyle w:val="FootnoteReference"/>
        </w:rPr>
        <w:footnoteRef/>
      </w:r>
      <w:r>
        <w:t xml:space="preserve"> Campbell 2015: 7</w:t>
      </w:r>
    </w:p>
  </w:footnote>
  <w:footnote w:id="6">
    <w:p w14:paraId="79B294CF" w14:textId="1E900D42" w:rsidR="001A41C1" w:rsidRDefault="001A41C1">
      <w:pPr>
        <w:pStyle w:val="FootnoteText"/>
      </w:pPr>
      <w:r>
        <w:rPr>
          <w:rStyle w:val="FootnoteReference"/>
        </w:rPr>
        <w:footnoteRef/>
      </w:r>
      <w:r>
        <w:t xml:space="preserve"> Hope 1997: 104</w:t>
      </w:r>
    </w:p>
  </w:footnote>
  <w:footnote w:id="7">
    <w:p w14:paraId="5058B78C" w14:textId="4F556BB7" w:rsidR="001A41C1" w:rsidRDefault="001A41C1">
      <w:pPr>
        <w:pStyle w:val="FootnoteText"/>
      </w:pPr>
      <w:r>
        <w:rPr>
          <w:rStyle w:val="FootnoteReference"/>
        </w:rPr>
        <w:footnoteRef/>
      </w:r>
      <w:r>
        <w:t xml:space="preserve"> Campbell 2015: 2</w:t>
      </w:r>
    </w:p>
  </w:footnote>
  <w:footnote w:id="8">
    <w:p w14:paraId="47E21C04" w14:textId="11EAAF89" w:rsidR="00DF459E" w:rsidRDefault="00DF459E">
      <w:pPr>
        <w:pStyle w:val="FootnoteText"/>
      </w:pPr>
      <w:r>
        <w:rPr>
          <w:rStyle w:val="FootnoteReference"/>
        </w:rPr>
        <w:footnoteRef/>
      </w:r>
      <w:r>
        <w:t xml:space="preserve"> Campbell 2015: 2</w:t>
      </w:r>
    </w:p>
  </w:footnote>
  <w:footnote w:id="9">
    <w:p w14:paraId="590DC2BA" w14:textId="5EE9ADF7" w:rsidR="00F14BFE" w:rsidRDefault="00F14BFE">
      <w:pPr>
        <w:pStyle w:val="FootnoteText"/>
      </w:pPr>
      <w:r>
        <w:rPr>
          <w:rStyle w:val="FootnoteReference"/>
        </w:rPr>
        <w:footnoteRef/>
      </w:r>
      <w:r>
        <w:t xml:space="preserve"> Campbell 2015: 3</w:t>
      </w:r>
    </w:p>
  </w:footnote>
  <w:footnote w:id="10">
    <w:p w14:paraId="53FC5090" w14:textId="2EDEC724" w:rsidR="00F14BFE" w:rsidRDefault="00F14BFE">
      <w:pPr>
        <w:pStyle w:val="FootnoteText"/>
      </w:pPr>
      <w:r>
        <w:rPr>
          <w:rStyle w:val="FootnoteReference"/>
        </w:rPr>
        <w:footnoteRef/>
      </w:r>
      <w:r>
        <w:t xml:space="preserve"> </w:t>
      </w:r>
      <w:r w:rsidR="00BE5927">
        <w:t xml:space="preserve">Smith 2019: </w:t>
      </w:r>
      <w:r>
        <w:t xml:space="preserve">Such as in the case of some small burials found along the wall of the town, demarcated by markings on the wall; how many more similar cases might there be? </w:t>
      </w:r>
    </w:p>
  </w:footnote>
  <w:footnote w:id="11">
    <w:p w14:paraId="3D6E3447" w14:textId="2BDCFD13" w:rsidR="0009148C" w:rsidRDefault="0009148C">
      <w:pPr>
        <w:pStyle w:val="FootnoteText"/>
      </w:pPr>
      <w:r>
        <w:rPr>
          <w:rStyle w:val="FootnoteReference"/>
        </w:rPr>
        <w:footnoteRef/>
      </w:r>
      <w:r>
        <w:t xml:space="preserve"> For example, a collection of objects may be grouped together in a new setting that was not where they were originally found for the purposes of creating a ‘scene’ for tourists or high-profile guests,</w:t>
      </w:r>
    </w:p>
  </w:footnote>
  <w:footnote w:id="12">
    <w:p w14:paraId="6FA20B98" w14:textId="0F76A240" w:rsidR="0009148C" w:rsidRDefault="0009148C">
      <w:pPr>
        <w:pStyle w:val="FootnoteText"/>
      </w:pPr>
      <w:r>
        <w:rPr>
          <w:rStyle w:val="FootnoteReference"/>
        </w:rPr>
        <w:footnoteRef/>
      </w:r>
      <w:r>
        <w:t xml:space="preserve"> </w:t>
      </w:r>
      <w:r w:rsidR="00BE5927">
        <w:t xml:space="preserve">Smith 2019: </w:t>
      </w:r>
      <w:r>
        <w:t>For example, an inscription, found between two tombs, was ascribed to the wrong one by an archaeologist</w:t>
      </w:r>
    </w:p>
  </w:footnote>
  <w:footnote w:id="13">
    <w:p w14:paraId="55F59270" w14:textId="054554A9" w:rsidR="009051E6" w:rsidRDefault="009051E6">
      <w:pPr>
        <w:pStyle w:val="FootnoteText"/>
      </w:pPr>
      <w:r>
        <w:rPr>
          <w:rStyle w:val="FootnoteReference"/>
        </w:rPr>
        <w:footnoteRef/>
      </w:r>
      <w:r>
        <w:t xml:space="preserve"> Hope 1997: 107</w:t>
      </w:r>
    </w:p>
  </w:footnote>
  <w:footnote w:id="14">
    <w:p w14:paraId="01F173C9" w14:textId="1D4A1069" w:rsidR="00C56D98" w:rsidRDefault="00C56D98">
      <w:pPr>
        <w:pStyle w:val="FootnoteText"/>
      </w:pPr>
      <w:r>
        <w:rPr>
          <w:rStyle w:val="FootnoteReference"/>
        </w:rPr>
        <w:footnoteRef/>
      </w:r>
      <w:r>
        <w:t xml:space="preserve"> Hope 1997: 107</w:t>
      </w:r>
    </w:p>
  </w:footnote>
  <w:footnote w:id="15">
    <w:p w14:paraId="63C9B8BB" w14:textId="76DBDADD" w:rsidR="003B0B2C" w:rsidRDefault="003B0B2C">
      <w:pPr>
        <w:pStyle w:val="FootnoteText"/>
      </w:pPr>
      <w:r>
        <w:rPr>
          <w:rStyle w:val="FootnoteReference"/>
        </w:rPr>
        <w:footnoteRef/>
      </w:r>
      <w:r>
        <w:t xml:space="preserve"> Pitts 2007: 699</w:t>
      </w:r>
    </w:p>
  </w:footnote>
  <w:footnote w:id="16">
    <w:p w14:paraId="04931269" w14:textId="4AE6877F" w:rsidR="000754C4" w:rsidRDefault="000754C4">
      <w:pPr>
        <w:pStyle w:val="FootnoteText"/>
      </w:pPr>
      <w:r>
        <w:rPr>
          <w:rStyle w:val="FootnoteReference"/>
        </w:rPr>
        <w:footnoteRef/>
      </w:r>
      <w:r>
        <w:t xml:space="preserve"> Revell 2013: 127</w:t>
      </w:r>
    </w:p>
  </w:footnote>
  <w:footnote w:id="17">
    <w:p w14:paraId="540F7AC5" w14:textId="786543EA" w:rsidR="00062753" w:rsidRDefault="00062753">
      <w:pPr>
        <w:pStyle w:val="FootnoteText"/>
      </w:pPr>
      <w:r>
        <w:rPr>
          <w:rStyle w:val="FootnoteReference"/>
        </w:rPr>
        <w:footnoteRef/>
      </w:r>
      <w:r>
        <w:t xml:space="preserve"> Revell 2013: 127</w:t>
      </w:r>
    </w:p>
  </w:footnote>
  <w:footnote w:id="18">
    <w:p w14:paraId="48E9B1C9" w14:textId="1BFAF18D" w:rsidR="00475DBC" w:rsidRDefault="00475DBC">
      <w:pPr>
        <w:pStyle w:val="FootnoteText"/>
      </w:pPr>
      <w:r>
        <w:rPr>
          <w:rStyle w:val="FootnoteReference"/>
        </w:rPr>
        <w:footnoteRef/>
      </w:r>
      <w:r>
        <w:t xml:space="preserve"> Pitts 2007</w:t>
      </w:r>
    </w:p>
  </w:footnote>
  <w:footnote w:id="19">
    <w:p w14:paraId="1E9BC808" w14:textId="562FF39D" w:rsidR="007E3517" w:rsidRDefault="007E3517">
      <w:pPr>
        <w:pStyle w:val="FootnoteText"/>
      </w:pPr>
      <w:r>
        <w:rPr>
          <w:rStyle w:val="FootnoteReference"/>
        </w:rPr>
        <w:footnoteRef/>
      </w:r>
      <w:r>
        <w:t xml:space="preserve"> Pitts 2007: 693</w:t>
      </w:r>
    </w:p>
  </w:footnote>
  <w:footnote w:id="20">
    <w:p w14:paraId="54DC2F25" w14:textId="012EAEA2" w:rsidR="00CA1721" w:rsidRDefault="00CA1721">
      <w:pPr>
        <w:pStyle w:val="FootnoteText"/>
      </w:pPr>
      <w:r>
        <w:rPr>
          <w:rStyle w:val="FootnoteReference"/>
        </w:rPr>
        <w:footnoteRef/>
      </w:r>
      <w:r>
        <w:t xml:space="preserve"> Pitts 2007: 693</w:t>
      </w:r>
    </w:p>
  </w:footnote>
  <w:footnote w:id="21">
    <w:p w14:paraId="0A043250" w14:textId="14DB2F4D" w:rsidR="00CA1721" w:rsidRDefault="00CA1721">
      <w:pPr>
        <w:pStyle w:val="FootnoteText"/>
      </w:pPr>
      <w:r>
        <w:rPr>
          <w:rStyle w:val="FootnoteReference"/>
        </w:rPr>
        <w:footnoteRef/>
      </w:r>
      <w:r>
        <w:t xml:space="preserve"> Pitts 2007: 696</w:t>
      </w:r>
    </w:p>
  </w:footnote>
  <w:footnote w:id="22">
    <w:p w14:paraId="553B1ED6" w14:textId="3FCDFD81" w:rsidR="00CA1721" w:rsidRDefault="00CA1721">
      <w:pPr>
        <w:pStyle w:val="FootnoteText"/>
      </w:pPr>
      <w:r>
        <w:rPr>
          <w:rStyle w:val="FootnoteReference"/>
        </w:rPr>
        <w:footnoteRef/>
      </w:r>
      <w:r>
        <w:t xml:space="preserve"> Pitts 2007: 695</w:t>
      </w:r>
    </w:p>
  </w:footnote>
  <w:footnote w:id="23">
    <w:p w14:paraId="595C56C0" w14:textId="250BDF85" w:rsidR="00CA1721" w:rsidRDefault="00CA1721">
      <w:pPr>
        <w:pStyle w:val="FootnoteText"/>
      </w:pPr>
      <w:r>
        <w:rPr>
          <w:rStyle w:val="FootnoteReference"/>
        </w:rPr>
        <w:footnoteRef/>
      </w:r>
      <w:r>
        <w:t xml:space="preserve"> Pitts 2007: 700</w:t>
      </w:r>
    </w:p>
  </w:footnote>
  <w:footnote w:id="24">
    <w:p w14:paraId="5797F52F" w14:textId="1A7BB503" w:rsidR="008F170D" w:rsidRDefault="008F170D">
      <w:pPr>
        <w:pStyle w:val="FootnoteText"/>
      </w:pPr>
      <w:r>
        <w:rPr>
          <w:rStyle w:val="FootnoteReference"/>
        </w:rPr>
        <w:footnoteRef/>
      </w:r>
      <w:r>
        <w:t xml:space="preserve"> Pitts 2007: 700</w:t>
      </w:r>
    </w:p>
  </w:footnote>
  <w:footnote w:id="25">
    <w:p w14:paraId="72E7A840" w14:textId="713E5025" w:rsidR="00AE10B9" w:rsidRDefault="00AE10B9">
      <w:pPr>
        <w:pStyle w:val="FootnoteText"/>
      </w:pPr>
      <w:r>
        <w:rPr>
          <w:rStyle w:val="FootnoteReference"/>
        </w:rPr>
        <w:footnoteRef/>
      </w:r>
      <w:r>
        <w:t xml:space="preserve"> Pitts 2007: 693-694</w:t>
      </w:r>
    </w:p>
  </w:footnote>
  <w:footnote w:id="26">
    <w:p w14:paraId="52603803" w14:textId="7CBCDF8C" w:rsidR="008F170D" w:rsidRDefault="008F170D">
      <w:pPr>
        <w:pStyle w:val="FootnoteText"/>
      </w:pPr>
      <w:r>
        <w:rPr>
          <w:rStyle w:val="FootnoteReference"/>
        </w:rPr>
        <w:footnoteRef/>
      </w:r>
      <w:r>
        <w:t xml:space="preserve"> Pitts 2007: 695</w:t>
      </w:r>
    </w:p>
  </w:footnote>
  <w:footnote w:id="27">
    <w:p w14:paraId="24C4125E" w14:textId="56B59B7F" w:rsidR="00636525" w:rsidRDefault="00636525">
      <w:pPr>
        <w:pStyle w:val="FootnoteText"/>
      </w:pPr>
      <w:r>
        <w:rPr>
          <w:rStyle w:val="FootnoteReference"/>
        </w:rPr>
        <w:footnoteRef/>
      </w:r>
      <w:r>
        <w:t xml:space="preserve"> Pitts 2007: 696</w:t>
      </w:r>
    </w:p>
  </w:footnote>
  <w:footnote w:id="28">
    <w:p w14:paraId="010D98B6" w14:textId="706FA676" w:rsidR="0000430C" w:rsidRDefault="0000430C">
      <w:pPr>
        <w:pStyle w:val="FootnoteText"/>
      </w:pPr>
      <w:r>
        <w:rPr>
          <w:rStyle w:val="FootnoteReference"/>
        </w:rPr>
        <w:footnoteRef/>
      </w:r>
      <w:r>
        <w:t xml:space="preserve"> Pitts 2007: </w:t>
      </w:r>
      <w:r w:rsidR="00145723">
        <w:t>697</w:t>
      </w:r>
    </w:p>
  </w:footnote>
  <w:footnote w:id="29">
    <w:p w14:paraId="3E00BEC6" w14:textId="5C76F5CB" w:rsidR="00145723" w:rsidRDefault="00145723">
      <w:pPr>
        <w:pStyle w:val="FootnoteText"/>
      </w:pPr>
      <w:r>
        <w:rPr>
          <w:rStyle w:val="FootnoteReference"/>
        </w:rPr>
        <w:footnoteRef/>
      </w:r>
      <w:r>
        <w:t xml:space="preserve"> Pitts 2007: 699</w:t>
      </w:r>
      <w:r w:rsidR="007B77A1">
        <w:t>-700</w:t>
      </w:r>
    </w:p>
  </w:footnote>
  <w:footnote w:id="30">
    <w:p w14:paraId="2D86FE2F" w14:textId="48C66A9C" w:rsidR="0076358D" w:rsidRDefault="0076358D">
      <w:pPr>
        <w:pStyle w:val="FootnoteText"/>
      </w:pPr>
      <w:r>
        <w:rPr>
          <w:rStyle w:val="FootnoteReference"/>
        </w:rPr>
        <w:footnoteRef/>
      </w:r>
      <w:r>
        <w:t xml:space="preserve"> </w:t>
      </w:r>
      <w:r w:rsidR="003A0A8A">
        <w:t>Revell 2000:</w:t>
      </w:r>
      <w:r w:rsidR="005E354A">
        <w:t xml:space="preserve"> 1</w:t>
      </w:r>
    </w:p>
  </w:footnote>
  <w:footnote w:id="31">
    <w:p w14:paraId="10705243" w14:textId="04FBD915" w:rsidR="00DD4762" w:rsidRDefault="00DD4762">
      <w:pPr>
        <w:pStyle w:val="FootnoteText"/>
      </w:pPr>
      <w:r>
        <w:rPr>
          <w:rStyle w:val="FootnoteReference"/>
        </w:rPr>
        <w:footnoteRef/>
      </w:r>
      <w:r>
        <w:t xml:space="preserve"> Revell 2000: 1</w:t>
      </w:r>
    </w:p>
  </w:footnote>
  <w:footnote w:id="32">
    <w:p w14:paraId="53F19B7F" w14:textId="05DACCF6" w:rsidR="00DD4762" w:rsidRDefault="00DD4762">
      <w:pPr>
        <w:pStyle w:val="FootnoteText"/>
      </w:pPr>
      <w:r>
        <w:rPr>
          <w:rStyle w:val="FootnoteReference"/>
        </w:rPr>
        <w:footnoteRef/>
      </w:r>
      <w:r>
        <w:t xml:space="preserve"> Revell 2000: 1</w:t>
      </w:r>
    </w:p>
  </w:footnote>
  <w:footnote w:id="33">
    <w:p w14:paraId="453AC88C" w14:textId="51462ECA" w:rsidR="00AB1DDA" w:rsidRDefault="00AB1DDA">
      <w:pPr>
        <w:pStyle w:val="FootnoteText"/>
      </w:pPr>
      <w:r>
        <w:rPr>
          <w:rStyle w:val="FootnoteReference"/>
        </w:rPr>
        <w:footnoteRef/>
      </w:r>
      <w:r>
        <w:t xml:space="preserve"> Hope 1997: 104</w:t>
      </w:r>
    </w:p>
  </w:footnote>
  <w:footnote w:id="34">
    <w:p w14:paraId="2771D218" w14:textId="505FD3D1" w:rsidR="00744B45" w:rsidRDefault="00744B45">
      <w:pPr>
        <w:pStyle w:val="FootnoteText"/>
      </w:pPr>
      <w:r>
        <w:rPr>
          <w:rStyle w:val="FootnoteReference"/>
        </w:rPr>
        <w:footnoteRef/>
      </w:r>
      <w:r>
        <w:t xml:space="preserve"> Hope 1997: 109</w:t>
      </w:r>
    </w:p>
  </w:footnote>
  <w:footnote w:id="35">
    <w:p w14:paraId="6A5B034F" w14:textId="3987EFBB" w:rsidR="00DC03DB" w:rsidRDefault="00DC03DB">
      <w:pPr>
        <w:pStyle w:val="FootnoteText"/>
      </w:pPr>
      <w:r>
        <w:rPr>
          <w:rStyle w:val="FootnoteReference"/>
        </w:rPr>
        <w:footnoteRef/>
      </w:r>
      <w:r>
        <w:t xml:space="preserve"> Hope 1997: 113, 117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1F8AC" w14:textId="0F54DA35" w:rsidR="009051E6" w:rsidRPr="004E5310" w:rsidRDefault="004E5310">
    <w:pPr>
      <w:pStyle w:val="Header"/>
      <w:rPr>
        <w:rFonts w:ascii="Times New Roman" w:hAnsi="Times New Roman" w:cs="Times New Roman"/>
      </w:rPr>
    </w:pPr>
    <w:r w:rsidRPr="004E5310">
      <w:rPr>
        <w:rFonts w:ascii="Times New Roman" w:hAnsi="Times New Roman" w:cs="Times New Roman"/>
      </w:rPr>
      <w:tab/>
    </w:r>
    <w:r w:rsidRPr="004E5310">
      <w:rPr>
        <w:rFonts w:ascii="Times New Roman" w:hAnsi="Times New Roman" w:cs="Times New Roman"/>
      </w:rPr>
      <w:tab/>
      <w:t>Eleanor Travers 1500674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E20"/>
    <w:rsid w:val="0000430C"/>
    <w:rsid w:val="00062753"/>
    <w:rsid w:val="000635E0"/>
    <w:rsid w:val="000754C4"/>
    <w:rsid w:val="0009148C"/>
    <w:rsid w:val="000D59E4"/>
    <w:rsid w:val="000F3755"/>
    <w:rsid w:val="00105F61"/>
    <w:rsid w:val="001153B5"/>
    <w:rsid w:val="001314F9"/>
    <w:rsid w:val="00145723"/>
    <w:rsid w:val="00156AB9"/>
    <w:rsid w:val="00185BE8"/>
    <w:rsid w:val="001A41C1"/>
    <w:rsid w:val="00205454"/>
    <w:rsid w:val="002113F8"/>
    <w:rsid w:val="002A7F77"/>
    <w:rsid w:val="002B3E1E"/>
    <w:rsid w:val="003A0A8A"/>
    <w:rsid w:val="003A503F"/>
    <w:rsid w:val="003B0B2C"/>
    <w:rsid w:val="003B12C3"/>
    <w:rsid w:val="003B1EB1"/>
    <w:rsid w:val="003F4A06"/>
    <w:rsid w:val="00401A26"/>
    <w:rsid w:val="004046B9"/>
    <w:rsid w:val="004111A2"/>
    <w:rsid w:val="00416DD7"/>
    <w:rsid w:val="004352F1"/>
    <w:rsid w:val="00475DBC"/>
    <w:rsid w:val="004A29B1"/>
    <w:rsid w:val="004A3A4D"/>
    <w:rsid w:val="004E1397"/>
    <w:rsid w:val="004E5310"/>
    <w:rsid w:val="00531544"/>
    <w:rsid w:val="00534FEE"/>
    <w:rsid w:val="005665EC"/>
    <w:rsid w:val="00592033"/>
    <w:rsid w:val="005A35FF"/>
    <w:rsid w:val="005E354A"/>
    <w:rsid w:val="00624249"/>
    <w:rsid w:val="00636525"/>
    <w:rsid w:val="00667F32"/>
    <w:rsid w:val="00671F2C"/>
    <w:rsid w:val="006B46F5"/>
    <w:rsid w:val="006D7975"/>
    <w:rsid w:val="006E1E20"/>
    <w:rsid w:val="006F7701"/>
    <w:rsid w:val="0070363F"/>
    <w:rsid w:val="00733CF7"/>
    <w:rsid w:val="00744B45"/>
    <w:rsid w:val="00745FA9"/>
    <w:rsid w:val="0076358D"/>
    <w:rsid w:val="00786099"/>
    <w:rsid w:val="007B77A1"/>
    <w:rsid w:val="007E3517"/>
    <w:rsid w:val="008226B8"/>
    <w:rsid w:val="00835929"/>
    <w:rsid w:val="0086001B"/>
    <w:rsid w:val="00864ADB"/>
    <w:rsid w:val="008D2863"/>
    <w:rsid w:val="008E33A6"/>
    <w:rsid w:val="008F102C"/>
    <w:rsid w:val="008F163A"/>
    <w:rsid w:val="008F16D0"/>
    <w:rsid w:val="008F170D"/>
    <w:rsid w:val="008F7C5D"/>
    <w:rsid w:val="009016BC"/>
    <w:rsid w:val="009051E6"/>
    <w:rsid w:val="009458A3"/>
    <w:rsid w:val="00954CCF"/>
    <w:rsid w:val="00966321"/>
    <w:rsid w:val="009C44E5"/>
    <w:rsid w:val="00A148FC"/>
    <w:rsid w:val="00AB00FC"/>
    <w:rsid w:val="00AB1DDA"/>
    <w:rsid w:val="00AE10B9"/>
    <w:rsid w:val="00AE52EC"/>
    <w:rsid w:val="00AF2086"/>
    <w:rsid w:val="00AF7826"/>
    <w:rsid w:val="00B41300"/>
    <w:rsid w:val="00B87860"/>
    <w:rsid w:val="00BC17F4"/>
    <w:rsid w:val="00BE5927"/>
    <w:rsid w:val="00C30EE8"/>
    <w:rsid w:val="00C56D98"/>
    <w:rsid w:val="00C61366"/>
    <w:rsid w:val="00CA1721"/>
    <w:rsid w:val="00CD2BE3"/>
    <w:rsid w:val="00CE0CC4"/>
    <w:rsid w:val="00CE49FD"/>
    <w:rsid w:val="00D14C5A"/>
    <w:rsid w:val="00D162CA"/>
    <w:rsid w:val="00D629F8"/>
    <w:rsid w:val="00DC03DB"/>
    <w:rsid w:val="00DC1892"/>
    <w:rsid w:val="00DD4762"/>
    <w:rsid w:val="00DE2E73"/>
    <w:rsid w:val="00DF42D1"/>
    <w:rsid w:val="00DF4418"/>
    <w:rsid w:val="00DF459E"/>
    <w:rsid w:val="00E505CC"/>
    <w:rsid w:val="00E530D6"/>
    <w:rsid w:val="00E828C7"/>
    <w:rsid w:val="00EB603D"/>
    <w:rsid w:val="00EE0E1B"/>
    <w:rsid w:val="00F14BFE"/>
    <w:rsid w:val="00F20759"/>
    <w:rsid w:val="00F41EF6"/>
    <w:rsid w:val="00F70036"/>
    <w:rsid w:val="00FB47E6"/>
    <w:rsid w:val="00FF2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DD8BF"/>
  <w15:chartTrackingRefBased/>
  <w15:docId w15:val="{E7CF7EC0-1FE3-49EE-AD5E-D1628A8FE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D2863"/>
    <w:rPr>
      <w:sz w:val="16"/>
      <w:szCs w:val="16"/>
    </w:rPr>
  </w:style>
  <w:style w:type="paragraph" w:styleId="CommentText">
    <w:name w:val="annotation text"/>
    <w:basedOn w:val="Normal"/>
    <w:link w:val="CommentTextChar"/>
    <w:uiPriority w:val="99"/>
    <w:semiHidden/>
    <w:unhideWhenUsed/>
    <w:rsid w:val="008D2863"/>
    <w:pPr>
      <w:spacing w:line="240" w:lineRule="auto"/>
    </w:pPr>
    <w:rPr>
      <w:sz w:val="20"/>
      <w:szCs w:val="20"/>
    </w:rPr>
  </w:style>
  <w:style w:type="character" w:customStyle="1" w:styleId="CommentTextChar">
    <w:name w:val="Comment Text Char"/>
    <w:basedOn w:val="DefaultParagraphFont"/>
    <w:link w:val="CommentText"/>
    <w:uiPriority w:val="99"/>
    <w:semiHidden/>
    <w:rsid w:val="008D2863"/>
    <w:rPr>
      <w:sz w:val="20"/>
      <w:szCs w:val="20"/>
    </w:rPr>
  </w:style>
  <w:style w:type="paragraph" w:styleId="BalloonText">
    <w:name w:val="Balloon Text"/>
    <w:basedOn w:val="Normal"/>
    <w:link w:val="BalloonTextChar"/>
    <w:uiPriority w:val="99"/>
    <w:semiHidden/>
    <w:unhideWhenUsed/>
    <w:rsid w:val="008D28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2863"/>
    <w:rPr>
      <w:rFonts w:ascii="Segoe UI" w:hAnsi="Segoe UI" w:cs="Segoe UI"/>
      <w:sz w:val="18"/>
      <w:szCs w:val="18"/>
    </w:rPr>
  </w:style>
  <w:style w:type="paragraph" w:styleId="FootnoteText">
    <w:name w:val="footnote text"/>
    <w:basedOn w:val="Normal"/>
    <w:link w:val="FootnoteTextChar"/>
    <w:uiPriority w:val="99"/>
    <w:semiHidden/>
    <w:unhideWhenUsed/>
    <w:rsid w:val="004111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111A2"/>
    <w:rPr>
      <w:sz w:val="20"/>
      <w:szCs w:val="20"/>
    </w:rPr>
  </w:style>
  <w:style w:type="character" w:styleId="FootnoteReference">
    <w:name w:val="footnote reference"/>
    <w:basedOn w:val="DefaultParagraphFont"/>
    <w:uiPriority w:val="99"/>
    <w:semiHidden/>
    <w:unhideWhenUsed/>
    <w:rsid w:val="004111A2"/>
    <w:rPr>
      <w:vertAlign w:val="superscript"/>
    </w:rPr>
  </w:style>
  <w:style w:type="paragraph" w:styleId="Header">
    <w:name w:val="header"/>
    <w:basedOn w:val="Normal"/>
    <w:link w:val="HeaderChar"/>
    <w:uiPriority w:val="99"/>
    <w:unhideWhenUsed/>
    <w:rsid w:val="009051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1E6"/>
  </w:style>
  <w:style w:type="paragraph" w:styleId="Footer">
    <w:name w:val="footer"/>
    <w:basedOn w:val="Normal"/>
    <w:link w:val="FooterChar"/>
    <w:uiPriority w:val="99"/>
    <w:unhideWhenUsed/>
    <w:rsid w:val="009051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1E6"/>
  </w:style>
  <w:style w:type="paragraph" w:styleId="CommentSubject">
    <w:name w:val="annotation subject"/>
    <w:basedOn w:val="CommentText"/>
    <w:next w:val="CommentText"/>
    <w:link w:val="CommentSubjectChar"/>
    <w:uiPriority w:val="99"/>
    <w:semiHidden/>
    <w:unhideWhenUsed/>
    <w:rsid w:val="00EE0E1B"/>
    <w:rPr>
      <w:b/>
      <w:bCs/>
    </w:rPr>
  </w:style>
  <w:style w:type="character" w:customStyle="1" w:styleId="CommentSubjectChar">
    <w:name w:val="Comment Subject Char"/>
    <w:basedOn w:val="CommentTextChar"/>
    <w:link w:val="CommentSubject"/>
    <w:uiPriority w:val="99"/>
    <w:semiHidden/>
    <w:rsid w:val="00EE0E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EE47A-195B-4100-B8D6-D2335FDF7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9</Pages>
  <Words>2274</Words>
  <Characters>12963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Aubrey Wallbridge-cool (2200874)</dc:creator>
  <cp:keywords/>
  <dc:description/>
  <cp:lastModifiedBy>Eleanor Travers</cp:lastModifiedBy>
  <cp:revision>68</cp:revision>
  <dcterms:created xsi:type="dcterms:W3CDTF">2019-05-16T14:28:00Z</dcterms:created>
  <dcterms:modified xsi:type="dcterms:W3CDTF">2019-05-24T22:15:00Z</dcterms:modified>
</cp:coreProperties>
</file>