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94C113" w14:textId="77777777" w:rsidR="008D4E01" w:rsidRPr="009372A6" w:rsidRDefault="008D4E01" w:rsidP="009372A6">
      <w:pPr>
        <w:jc w:val="both"/>
        <w:rPr>
          <w:rFonts w:ascii="Times New Roman" w:hAnsi="Times New Roman" w:cs="Times New Roman"/>
          <w:sz w:val="30"/>
          <w:lang w:eastAsia="en-GB"/>
        </w:rPr>
      </w:pPr>
      <w:r w:rsidRPr="009372A6">
        <w:rPr>
          <w:rFonts w:ascii="Times New Roman" w:hAnsi="Times New Roman" w:cs="Times New Roman"/>
          <w:sz w:val="30"/>
          <w:lang w:eastAsia="en-GB"/>
        </w:rPr>
        <w:t>Health and Social Care Professional Practice: Component 1 Report</w:t>
      </w:r>
    </w:p>
    <w:sdt>
      <w:sdtPr>
        <w:rPr>
          <w:rFonts w:asciiTheme="minorHAnsi" w:eastAsiaTheme="minorHAnsi" w:hAnsiTheme="minorHAnsi" w:cstheme="minorBidi"/>
          <w:color w:val="auto"/>
          <w:sz w:val="22"/>
          <w:szCs w:val="22"/>
          <w:lang w:val="en-GB"/>
        </w:rPr>
        <w:id w:val="-603273135"/>
        <w:docPartObj>
          <w:docPartGallery w:val="Table of Contents"/>
          <w:docPartUnique/>
        </w:docPartObj>
      </w:sdtPr>
      <w:sdtEndPr>
        <w:rPr>
          <w:b/>
          <w:bCs/>
          <w:noProof/>
        </w:rPr>
      </w:sdtEndPr>
      <w:sdtContent>
        <w:p w14:paraId="3BBFCE65" w14:textId="77777777" w:rsidR="009372A6" w:rsidRDefault="009372A6" w:rsidP="009372A6">
          <w:pPr>
            <w:pStyle w:val="TOCHeading"/>
            <w:jc w:val="both"/>
          </w:pPr>
          <w:r>
            <w:t>Contents</w:t>
          </w:r>
        </w:p>
        <w:p w14:paraId="485DC006" w14:textId="77777777" w:rsidR="009372A6" w:rsidRDefault="009372A6" w:rsidP="009372A6">
          <w:pPr>
            <w:pStyle w:val="TOC2"/>
            <w:tabs>
              <w:tab w:val="right" w:leader="dot" w:pos="9016"/>
            </w:tabs>
            <w:jc w:val="both"/>
            <w:rPr>
              <w:noProof/>
            </w:rPr>
          </w:pPr>
          <w:r>
            <w:fldChar w:fldCharType="begin"/>
          </w:r>
          <w:r>
            <w:instrText xml:space="preserve"> TOC \o "1-3" \h \z \u </w:instrText>
          </w:r>
          <w:r>
            <w:fldChar w:fldCharType="separate"/>
          </w:r>
          <w:hyperlink w:anchor="_Toc224049354" w:history="1">
            <w:r w:rsidRPr="009C34EC">
              <w:rPr>
                <w:rStyle w:val="Hyperlink"/>
                <w:rFonts w:ascii="Times New Roman" w:eastAsia="Times New Roman" w:hAnsi="Times New Roman" w:cs="Times New Roman"/>
                <w:b/>
                <w:bCs/>
                <w:noProof/>
                <w:lang w:eastAsia="en-GB"/>
              </w:rPr>
              <w:t>Task 1  Defining Key Concepts in Practice</w:t>
            </w:r>
            <w:r>
              <w:rPr>
                <w:noProof/>
                <w:webHidden/>
              </w:rPr>
              <w:tab/>
            </w:r>
            <w:r>
              <w:rPr>
                <w:noProof/>
                <w:webHidden/>
              </w:rPr>
              <w:fldChar w:fldCharType="begin"/>
            </w:r>
            <w:r>
              <w:rPr>
                <w:noProof/>
                <w:webHidden/>
              </w:rPr>
              <w:instrText xml:space="preserve"> PAGEREF _Toc224049354 \h </w:instrText>
            </w:r>
            <w:r>
              <w:rPr>
                <w:noProof/>
                <w:webHidden/>
              </w:rPr>
            </w:r>
            <w:r>
              <w:rPr>
                <w:noProof/>
                <w:webHidden/>
              </w:rPr>
              <w:fldChar w:fldCharType="separate"/>
            </w:r>
            <w:r>
              <w:rPr>
                <w:noProof/>
                <w:webHidden/>
              </w:rPr>
              <w:t>2</w:t>
            </w:r>
            <w:r>
              <w:rPr>
                <w:noProof/>
                <w:webHidden/>
              </w:rPr>
              <w:fldChar w:fldCharType="end"/>
            </w:r>
          </w:hyperlink>
        </w:p>
        <w:p w14:paraId="4F9C7D05" w14:textId="77777777" w:rsidR="009372A6" w:rsidRDefault="009372A6" w:rsidP="009372A6">
          <w:pPr>
            <w:pStyle w:val="TOC2"/>
            <w:tabs>
              <w:tab w:val="right" w:leader="dot" w:pos="9016"/>
            </w:tabs>
            <w:jc w:val="both"/>
            <w:rPr>
              <w:noProof/>
            </w:rPr>
          </w:pPr>
          <w:hyperlink w:anchor="_Toc224049355" w:history="1">
            <w:r w:rsidRPr="009C34EC">
              <w:rPr>
                <w:rStyle w:val="Hyperlink"/>
                <w:rFonts w:ascii="Times New Roman" w:eastAsia="Times New Roman" w:hAnsi="Times New Roman" w:cs="Times New Roman"/>
                <w:b/>
                <w:bCs/>
                <w:noProof/>
                <w:lang w:eastAsia="en-GB"/>
              </w:rPr>
              <w:t>Task 2 Mind Map</w:t>
            </w:r>
            <w:r>
              <w:rPr>
                <w:noProof/>
                <w:webHidden/>
              </w:rPr>
              <w:tab/>
            </w:r>
            <w:r>
              <w:rPr>
                <w:noProof/>
                <w:webHidden/>
              </w:rPr>
              <w:fldChar w:fldCharType="begin"/>
            </w:r>
            <w:r>
              <w:rPr>
                <w:noProof/>
                <w:webHidden/>
              </w:rPr>
              <w:instrText xml:space="preserve"> PAGEREF _Toc224049355 \h </w:instrText>
            </w:r>
            <w:r>
              <w:rPr>
                <w:noProof/>
                <w:webHidden/>
              </w:rPr>
            </w:r>
            <w:r>
              <w:rPr>
                <w:noProof/>
                <w:webHidden/>
              </w:rPr>
              <w:fldChar w:fldCharType="separate"/>
            </w:r>
            <w:r>
              <w:rPr>
                <w:noProof/>
                <w:webHidden/>
              </w:rPr>
              <w:t>3</w:t>
            </w:r>
            <w:r>
              <w:rPr>
                <w:noProof/>
                <w:webHidden/>
              </w:rPr>
              <w:fldChar w:fldCharType="end"/>
            </w:r>
          </w:hyperlink>
        </w:p>
        <w:p w14:paraId="417516A9" w14:textId="77777777" w:rsidR="009372A6" w:rsidRDefault="009372A6" w:rsidP="009372A6">
          <w:pPr>
            <w:pStyle w:val="TOC2"/>
            <w:tabs>
              <w:tab w:val="right" w:leader="dot" w:pos="9016"/>
            </w:tabs>
            <w:jc w:val="both"/>
            <w:rPr>
              <w:noProof/>
            </w:rPr>
          </w:pPr>
          <w:hyperlink w:anchor="_Toc224049356" w:history="1">
            <w:r w:rsidRPr="009C34EC">
              <w:rPr>
                <w:rStyle w:val="Hyperlink"/>
                <w:rFonts w:ascii="Times New Roman" w:eastAsia="Times New Roman" w:hAnsi="Times New Roman" w:cs="Times New Roman"/>
                <w:b/>
                <w:bCs/>
                <w:noProof/>
                <w:lang w:eastAsia="en-GB"/>
              </w:rPr>
              <w:t>Task 3 Self-Reflection of Group Activity</w:t>
            </w:r>
            <w:r>
              <w:rPr>
                <w:noProof/>
                <w:webHidden/>
              </w:rPr>
              <w:tab/>
            </w:r>
            <w:r>
              <w:rPr>
                <w:noProof/>
                <w:webHidden/>
              </w:rPr>
              <w:fldChar w:fldCharType="begin"/>
            </w:r>
            <w:r>
              <w:rPr>
                <w:noProof/>
                <w:webHidden/>
              </w:rPr>
              <w:instrText xml:space="preserve"> PAGEREF _Toc224049356 \h </w:instrText>
            </w:r>
            <w:r>
              <w:rPr>
                <w:noProof/>
                <w:webHidden/>
              </w:rPr>
            </w:r>
            <w:r>
              <w:rPr>
                <w:noProof/>
                <w:webHidden/>
              </w:rPr>
              <w:fldChar w:fldCharType="separate"/>
            </w:r>
            <w:r>
              <w:rPr>
                <w:noProof/>
                <w:webHidden/>
              </w:rPr>
              <w:t>3</w:t>
            </w:r>
            <w:r>
              <w:rPr>
                <w:noProof/>
                <w:webHidden/>
              </w:rPr>
              <w:fldChar w:fldCharType="end"/>
            </w:r>
          </w:hyperlink>
        </w:p>
        <w:p w14:paraId="43F3362C" w14:textId="77777777" w:rsidR="009372A6" w:rsidRDefault="009372A6" w:rsidP="009372A6">
          <w:pPr>
            <w:pStyle w:val="TOC2"/>
            <w:tabs>
              <w:tab w:val="right" w:leader="dot" w:pos="9016"/>
            </w:tabs>
            <w:jc w:val="both"/>
            <w:rPr>
              <w:noProof/>
            </w:rPr>
          </w:pPr>
          <w:hyperlink w:anchor="_Toc224049357" w:history="1">
            <w:r w:rsidRPr="009C34EC">
              <w:rPr>
                <w:rStyle w:val="Hyperlink"/>
                <w:rFonts w:ascii="Times New Roman" w:eastAsia="Times New Roman" w:hAnsi="Times New Roman" w:cs="Times New Roman"/>
                <w:b/>
                <w:bCs/>
                <w:noProof/>
                <w:lang w:eastAsia="en-GB"/>
              </w:rPr>
              <w:t>Task 4 Case Study Analysis of a UK Innovation</w:t>
            </w:r>
            <w:r>
              <w:rPr>
                <w:noProof/>
                <w:webHidden/>
              </w:rPr>
              <w:tab/>
            </w:r>
            <w:r>
              <w:rPr>
                <w:noProof/>
                <w:webHidden/>
              </w:rPr>
              <w:fldChar w:fldCharType="begin"/>
            </w:r>
            <w:r>
              <w:rPr>
                <w:noProof/>
                <w:webHidden/>
              </w:rPr>
              <w:instrText xml:space="preserve"> PAGEREF _Toc224049357 \h </w:instrText>
            </w:r>
            <w:r>
              <w:rPr>
                <w:noProof/>
                <w:webHidden/>
              </w:rPr>
            </w:r>
            <w:r>
              <w:rPr>
                <w:noProof/>
                <w:webHidden/>
              </w:rPr>
              <w:fldChar w:fldCharType="separate"/>
            </w:r>
            <w:r>
              <w:rPr>
                <w:noProof/>
                <w:webHidden/>
              </w:rPr>
              <w:t>3</w:t>
            </w:r>
            <w:r>
              <w:rPr>
                <w:noProof/>
                <w:webHidden/>
              </w:rPr>
              <w:fldChar w:fldCharType="end"/>
            </w:r>
          </w:hyperlink>
        </w:p>
        <w:p w14:paraId="64721B96" w14:textId="77777777" w:rsidR="009372A6" w:rsidRDefault="009372A6" w:rsidP="009372A6">
          <w:pPr>
            <w:pStyle w:val="TOC2"/>
            <w:tabs>
              <w:tab w:val="right" w:leader="dot" w:pos="9016"/>
            </w:tabs>
            <w:jc w:val="both"/>
            <w:rPr>
              <w:noProof/>
            </w:rPr>
          </w:pPr>
          <w:hyperlink w:anchor="_Toc224049358" w:history="1">
            <w:r w:rsidRPr="009C34EC">
              <w:rPr>
                <w:rStyle w:val="Hyperlink"/>
                <w:rFonts w:ascii="Times New Roman" w:eastAsia="Times New Roman" w:hAnsi="Times New Roman" w:cs="Times New Roman"/>
                <w:b/>
                <w:bCs/>
                <w:noProof/>
                <w:lang w:eastAsia="en-GB"/>
              </w:rPr>
              <w:t>Task 5 – Research Task</w:t>
            </w:r>
            <w:r>
              <w:rPr>
                <w:noProof/>
                <w:webHidden/>
              </w:rPr>
              <w:tab/>
            </w:r>
            <w:r>
              <w:rPr>
                <w:noProof/>
                <w:webHidden/>
              </w:rPr>
              <w:fldChar w:fldCharType="begin"/>
            </w:r>
            <w:r>
              <w:rPr>
                <w:noProof/>
                <w:webHidden/>
              </w:rPr>
              <w:instrText xml:space="preserve"> PAGEREF _Toc224049358 \h </w:instrText>
            </w:r>
            <w:r>
              <w:rPr>
                <w:noProof/>
                <w:webHidden/>
              </w:rPr>
            </w:r>
            <w:r>
              <w:rPr>
                <w:noProof/>
                <w:webHidden/>
              </w:rPr>
              <w:fldChar w:fldCharType="separate"/>
            </w:r>
            <w:r>
              <w:rPr>
                <w:noProof/>
                <w:webHidden/>
              </w:rPr>
              <w:t>3</w:t>
            </w:r>
            <w:r>
              <w:rPr>
                <w:noProof/>
                <w:webHidden/>
              </w:rPr>
              <w:fldChar w:fldCharType="end"/>
            </w:r>
          </w:hyperlink>
        </w:p>
        <w:p w14:paraId="08992F06" w14:textId="77777777" w:rsidR="009372A6" w:rsidRDefault="009372A6" w:rsidP="009372A6">
          <w:pPr>
            <w:pStyle w:val="TOC2"/>
            <w:tabs>
              <w:tab w:val="right" w:leader="dot" w:pos="9016"/>
            </w:tabs>
            <w:jc w:val="both"/>
            <w:rPr>
              <w:noProof/>
            </w:rPr>
          </w:pPr>
          <w:hyperlink w:anchor="_Toc224049359" w:history="1">
            <w:r w:rsidRPr="009C34EC">
              <w:rPr>
                <w:rStyle w:val="Hyperlink"/>
                <w:rFonts w:ascii="Times New Roman" w:eastAsia="Times New Roman" w:hAnsi="Times New Roman" w:cs="Times New Roman"/>
                <w:b/>
                <w:bCs/>
                <w:noProof/>
                <w:lang w:eastAsia="en-GB"/>
              </w:rPr>
              <w:t>Task 6  Exploring Digital Innovation in Health and Social Care</w:t>
            </w:r>
            <w:r>
              <w:rPr>
                <w:noProof/>
                <w:webHidden/>
              </w:rPr>
              <w:tab/>
            </w:r>
            <w:r>
              <w:rPr>
                <w:noProof/>
                <w:webHidden/>
              </w:rPr>
              <w:fldChar w:fldCharType="begin"/>
            </w:r>
            <w:r>
              <w:rPr>
                <w:noProof/>
                <w:webHidden/>
              </w:rPr>
              <w:instrText xml:space="preserve"> PAGEREF _Toc224049359 \h </w:instrText>
            </w:r>
            <w:r>
              <w:rPr>
                <w:noProof/>
                <w:webHidden/>
              </w:rPr>
            </w:r>
            <w:r>
              <w:rPr>
                <w:noProof/>
                <w:webHidden/>
              </w:rPr>
              <w:fldChar w:fldCharType="separate"/>
            </w:r>
            <w:r>
              <w:rPr>
                <w:noProof/>
                <w:webHidden/>
              </w:rPr>
              <w:t>4</w:t>
            </w:r>
            <w:r>
              <w:rPr>
                <w:noProof/>
                <w:webHidden/>
              </w:rPr>
              <w:fldChar w:fldCharType="end"/>
            </w:r>
          </w:hyperlink>
        </w:p>
        <w:p w14:paraId="77ADB15F" w14:textId="77777777" w:rsidR="009372A6" w:rsidRDefault="009372A6" w:rsidP="009372A6">
          <w:pPr>
            <w:pStyle w:val="TOC2"/>
            <w:tabs>
              <w:tab w:val="right" w:leader="dot" w:pos="9016"/>
            </w:tabs>
            <w:jc w:val="both"/>
            <w:rPr>
              <w:noProof/>
            </w:rPr>
          </w:pPr>
          <w:hyperlink w:anchor="_Toc224049360" w:history="1">
            <w:r w:rsidRPr="009C34EC">
              <w:rPr>
                <w:rStyle w:val="Hyperlink"/>
                <w:rFonts w:ascii="Times New Roman" w:eastAsia="Times New Roman" w:hAnsi="Times New Roman" w:cs="Times New Roman"/>
                <w:b/>
                <w:bCs/>
                <w:noProof/>
                <w:lang w:eastAsia="en-GB"/>
              </w:rPr>
              <w:t>Task 7 Understanding the NHS Leadership Framework</w:t>
            </w:r>
            <w:r>
              <w:rPr>
                <w:noProof/>
                <w:webHidden/>
              </w:rPr>
              <w:tab/>
            </w:r>
            <w:r>
              <w:rPr>
                <w:noProof/>
                <w:webHidden/>
              </w:rPr>
              <w:fldChar w:fldCharType="begin"/>
            </w:r>
            <w:r>
              <w:rPr>
                <w:noProof/>
                <w:webHidden/>
              </w:rPr>
              <w:instrText xml:space="preserve"> PAGEREF _Toc224049360 \h </w:instrText>
            </w:r>
            <w:r>
              <w:rPr>
                <w:noProof/>
                <w:webHidden/>
              </w:rPr>
            </w:r>
            <w:r>
              <w:rPr>
                <w:noProof/>
                <w:webHidden/>
              </w:rPr>
              <w:fldChar w:fldCharType="separate"/>
            </w:r>
            <w:r>
              <w:rPr>
                <w:noProof/>
                <w:webHidden/>
              </w:rPr>
              <w:t>5</w:t>
            </w:r>
            <w:r>
              <w:rPr>
                <w:noProof/>
                <w:webHidden/>
              </w:rPr>
              <w:fldChar w:fldCharType="end"/>
            </w:r>
          </w:hyperlink>
        </w:p>
        <w:p w14:paraId="5D7A928E" w14:textId="77777777" w:rsidR="009372A6" w:rsidRDefault="009372A6" w:rsidP="009372A6">
          <w:pPr>
            <w:pStyle w:val="TOC2"/>
            <w:tabs>
              <w:tab w:val="right" w:leader="dot" w:pos="9016"/>
            </w:tabs>
            <w:jc w:val="both"/>
            <w:rPr>
              <w:noProof/>
            </w:rPr>
          </w:pPr>
          <w:hyperlink w:anchor="_Toc224049361" w:history="1">
            <w:r w:rsidRPr="009C34EC">
              <w:rPr>
                <w:rStyle w:val="Hyperlink"/>
                <w:rFonts w:ascii="Times New Roman" w:eastAsia="Times New Roman" w:hAnsi="Times New Roman" w:cs="Times New Roman"/>
                <w:b/>
                <w:bCs/>
                <w:noProof/>
                <w:lang w:eastAsia="en-GB"/>
              </w:rPr>
              <w:t>Reference</w:t>
            </w:r>
            <w:r>
              <w:rPr>
                <w:noProof/>
                <w:webHidden/>
              </w:rPr>
              <w:tab/>
            </w:r>
            <w:r>
              <w:rPr>
                <w:noProof/>
                <w:webHidden/>
              </w:rPr>
              <w:fldChar w:fldCharType="begin"/>
            </w:r>
            <w:r>
              <w:rPr>
                <w:noProof/>
                <w:webHidden/>
              </w:rPr>
              <w:instrText xml:space="preserve"> PAGEREF _Toc224049361 \h </w:instrText>
            </w:r>
            <w:r>
              <w:rPr>
                <w:noProof/>
                <w:webHidden/>
              </w:rPr>
            </w:r>
            <w:r>
              <w:rPr>
                <w:noProof/>
                <w:webHidden/>
              </w:rPr>
              <w:fldChar w:fldCharType="separate"/>
            </w:r>
            <w:r>
              <w:rPr>
                <w:noProof/>
                <w:webHidden/>
              </w:rPr>
              <w:t>6</w:t>
            </w:r>
            <w:r>
              <w:rPr>
                <w:noProof/>
                <w:webHidden/>
              </w:rPr>
              <w:fldChar w:fldCharType="end"/>
            </w:r>
          </w:hyperlink>
        </w:p>
        <w:p w14:paraId="425533F8" w14:textId="77777777" w:rsidR="009372A6" w:rsidRDefault="009372A6" w:rsidP="009372A6">
          <w:pPr>
            <w:jc w:val="both"/>
          </w:pPr>
          <w:r>
            <w:rPr>
              <w:b/>
              <w:bCs/>
              <w:noProof/>
            </w:rPr>
            <w:fldChar w:fldCharType="end"/>
          </w:r>
        </w:p>
      </w:sdtContent>
    </w:sdt>
    <w:p w14:paraId="59B77786" w14:textId="77777777" w:rsidR="009372A6" w:rsidRDefault="009372A6" w:rsidP="009372A6">
      <w:pPr>
        <w:jc w:val="both"/>
        <w:rPr>
          <w:lang w:eastAsia="en-GB"/>
        </w:rPr>
      </w:pPr>
    </w:p>
    <w:p w14:paraId="6E7145FD" w14:textId="77777777" w:rsidR="009372A6" w:rsidRDefault="009372A6" w:rsidP="009372A6">
      <w:pPr>
        <w:jc w:val="both"/>
        <w:rPr>
          <w:lang w:eastAsia="en-GB"/>
        </w:rPr>
      </w:pPr>
    </w:p>
    <w:p w14:paraId="0A96F3D9" w14:textId="77777777" w:rsidR="009372A6" w:rsidRDefault="009372A6" w:rsidP="009372A6">
      <w:pPr>
        <w:jc w:val="both"/>
        <w:rPr>
          <w:lang w:eastAsia="en-GB"/>
        </w:rPr>
      </w:pPr>
    </w:p>
    <w:p w14:paraId="5C1585C0" w14:textId="77777777" w:rsidR="009372A6" w:rsidRDefault="009372A6" w:rsidP="009372A6">
      <w:pPr>
        <w:jc w:val="both"/>
        <w:rPr>
          <w:lang w:eastAsia="en-GB"/>
        </w:rPr>
      </w:pPr>
    </w:p>
    <w:p w14:paraId="40B90040" w14:textId="77777777" w:rsidR="009372A6" w:rsidRDefault="009372A6" w:rsidP="009372A6">
      <w:pPr>
        <w:jc w:val="both"/>
        <w:rPr>
          <w:lang w:eastAsia="en-GB"/>
        </w:rPr>
      </w:pPr>
    </w:p>
    <w:p w14:paraId="144B6780" w14:textId="77777777" w:rsidR="009372A6" w:rsidRDefault="009372A6" w:rsidP="009372A6">
      <w:pPr>
        <w:jc w:val="both"/>
        <w:rPr>
          <w:lang w:eastAsia="en-GB"/>
        </w:rPr>
      </w:pPr>
    </w:p>
    <w:p w14:paraId="2BCE6195" w14:textId="77777777" w:rsidR="009372A6" w:rsidRDefault="009372A6" w:rsidP="009372A6">
      <w:pPr>
        <w:jc w:val="both"/>
        <w:rPr>
          <w:lang w:eastAsia="en-GB"/>
        </w:rPr>
      </w:pPr>
    </w:p>
    <w:p w14:paraId="278260EE" w14:textId="77777777" w:rsidR="009372A6" w:rsidRDefault="009372A6" w:rsidP="009372A6">
      <w:pPr>
        <w:jc w:val="both"/>
        <w:rPr>
          <w:lang w:eastAsia="en-GB"/>
        </w:rPr>
      </w:pPr>
    </w:p>
    <w:p w14:paraId="4FCD4F18" w14:textId="77777777" w:rsidR="009372A6" w:rsidRDefault="009372A6" w:rsidP="009372A6">
      <w:pPr>
        <w:jc w:val="both"/>
        <w:rPr>
          <w:lang w:eastAsia="en-GB"/>
        </w:rPr>
      </w:pPr>
    </w:p>
    <w:p w14:paraId="1260343F" w14:textId="77777777" w:rsidR="009372A6" w:rsidRDefault="009372A6" w:rsidP="009372A6">
      <w:pPr>
        <w:jc w:val="both"/>
        <w:rPr>
          <w:lang w:eastAsia="en-GB"/>
        </w:rPr>
      </w:pPr>
    </w:p>
    <w:p w14:paraId="0FC11747" w14:textId="77777777" w:rsidR="009372A6" w:rsidRDefault="009372A6" w:rsidP="009372A6">
      <w:pPr>
        <w:jc w:val="both"/>
        <w:rPr>
          <w:lang w:eastAsia="en-GB"/>
        </w:rPr>
      </w:pPr>
    </w:p>
    <w:p w14:paraId="7DA6AFB8" w14:textId="77777777" w:rsidR="009372A6" w:rsidRDefault="009372A6" w:rsidP="009372A6">
      <w:pPr>
        <w:jc w:val="both"/>
        <w:rPr>
          <w:lang w:eastAsia="en-GB"/>
        </w:rPr>
      </w:pPr>
    </w:p>
    <w:p w14:paraId="7EB01722" w14:textId="77777777" w:rsidR="009372A6" w:rsidRDefault="009372A6" w:rsidP="009372A6">
      <w:pPr>
        <w:jc w:val="both"/>
        <w:rPr>
          <w:lang w:eastAsia="en-GB"/>
        </w:rPr>
      </w:pPr>
    </w:p>
    <w:p w14:paraId="447465C4" w14:textId="77777777" w:rsidR="009372A6" w:rsidRDefault="009372A6" w:rsidP="009372A6">
      <w:pPr>
        <w:jc w:val="both"/>
        <w:rPr>
          <w:lang w:eastAsia="en-GB"/>
        </w:rPr>
      </w:pPr>
    </w:p>
    <w:p w14:paraId="4070F821" w14:textId="77777777" w:rsidR="009372A6" w:rsidRDefault="009372A6" w:rsidP="009372A6">
      <w:pPr>
        <w:jc w:val="both"/>
        <w:rPr>
          <w:lang w:eastAsia="en-GB"/>
        </w:rPr>
      </w:pPr>
    </w:p>
    <w:p w14:paraId="48EBE15B" w14:textId="77777777" w:rsidR="009372A6" w:rsidRDefault="009372A6" w:rsidP="009372A6">
      <w:pPr>
        <w:jc w:val="both"/>
        <w:rPr>
          <w:lang w:eastAsia="en-GB"/>
        </w:rPr>
      </w:pPr>
    </w:p>
    <w:p w14:paraId="1C3131F5" w14:textId="77777777" w:rsidR="009372A6" w:rsidRDefault="009372A6" w:rsidP="009372A6">
      <w:pPr>
        <w:jc w:val="both"/>
        <w:rPr>
          <w:lang w:eastAsia="en-GB"/>
        </w:rPr>
      </w:pPr>
    </w:p>
    <w:p w14:paraId="26564BF0" w14:textId="77777777" w:rsidR="009372A6" w:rsidRDefault="009372A6" w:rsidP="009372A6">
      <w:pPr>
        <w:jc w:val="both"/>
        <w:rPr>
          <w:lang w:eastAsia="en-GB"/>
        </w:rPr>
      </w:pPr>
    </w:p>
    <w:p w14:paraId="57ABF80C" w14:textId="77777777" w:rsidR="009372A6" w:rsidRDefault="009372A6" w:rsidP="009372A6">
      <w:pPr>
        <w:jc w:val="both"/>
        <w:rPr>
          <w:lang w:eastAsia="en-GB"/>
        </w:rPr>
      </w:pPr>
    </w:p>
    <w:p w14:paraId="7B57D799" w14:textId="77777777" w:rsidR="009372A6" w:rsidRDefault="009372A6" w:rsidP="009372A6">
      <w:pPr>
        <w:jc w:val="both"/>
        <w:rPr>
          <w:lang w:eastAsia="en-GB"/>
        </w:rPr>
      </w:pPr>
    </w:p>
    <w:p w14:paraId="73F6F05B" w14:textId="77777777" w:rsidR="009372A6" w:rsidRPr="008D4E01" w:rsidRDefault="009372A6" w:rsidP="009372A6">
      <w:pPr>
        <w:jc w:val="both"/>
        <w:rPr>
          <w:lang w:eastAsia="en-GB"/>
        </w:rPr>
      </w:pPr>
    </w:p>
    <w:p w14:paraId="636FC2ED" w14:textId="77777777" w:rsidR="008D4E01" w:rsidRPr="008D4E01" w:rsidRDefault="009372A6" w:rsidP="009372A6">
      <w:pPr>
        <w:spacing w:before="100" w:beforeAutospacing="1" w:after="100" w:afterAutospacing="1" w:line="360" w:lineRule="auto"/>
        <w:jc w:val="both"/>
        <w:outlineLvl w:val="1"/>
        <w:rPr>
          <w:rFonts w:ascii="Times New Roman" w:eastAsia="Times New Roman" w:hAnsi="Times New Roman" w:cs="Times New Roman"/>
          <w:b/>
          <w:bCs/>
          <w:sz w:val="28"/>
          <w:szCs w:val="24"/>
          <w:lang w:eastAsia="en-GB"/>
        </w:rPr>
      </w:pPr>
      <w:bookmarkStart w:id="0" w:name="_Toc224049354"/>
      <w:r w:rsidRPr="009372A6">
        <w:rPr>
          <w:rFonts w:ascii="Times New Roman" w:eastAsia="Times New Roman" w:hAnsi="Times New Roman" w:cs="Times New Roman"/>
          <w:b/>
          <w:bCs/>
          <w:sz w:val="28"/>
          <w:szCs w:val="24"/>
          <w:lang w:eastAsia="en-GB"/>
        </w:rPr>
        <w:lastRenderedPageBreak/>
        <w:t xml:space="preserve">Task 1 </w:t>
      </w:r>
      <w:r w:rsidR="008D4E01" w:rsidRPr="008D4E01">
        <w:rPr>
          <w:rFonts w:ascii="Times New Roman" w:eastAsia="Times New Roman" w:hAnsi="Times New Roman" w:cs="Times New Roman"/>
          <w:b/>
          <w:bCs/>
          <w:sz w:val="28"/>
          <w:szCs w:val="24"/>
          <w:lang w:eastAsia="en-GB"/>
        </w:rPr>
        <w:t xml:space="preserve"> Defining Key Concepts in Practice</w:t>
      </w:r>
      <w:bookmarkEnd w:id="0"/>
    </w:p>
    <w:p w14:paraId="5195DF47" w14:textId="77777777" w:rsidR="008D4E01" w:rsidRPr="008D4E01" w:rsidRDefault="008D4E01" w:rsidP="009372A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D4E01">
        <w:rPr>
          <w:rFonts w:ascii="Times New Roman" w:eastAsia="Times New Roman" w:hAnsi="Times New Roman" w:cs="Times New Roman"/>
          <w:sz w:val="24"/>
          <w:szCs w:val="24"/>
          <w:lang w:eastAsia="en-GB"/>
        </w:rPr>
        <w:t>Navigating the complexities of modern health and social care requires a foundational understanding of critical operational paradigms. Innovation, creativity, value creation, and change form the bedrock of sustainable clinical practice.</w:t>
      </w:r>
    </w:p>
    <w:p w14:paraId="7DA3972F" w14:textId="77777777" w:rsidR="008D4E01" w:rsidRPr="008D4E01" w:rsidRDefault="008D4E01" w:rsidP="009372A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D4E01">
        <w:rPr>
          <w:rFonts w:ascii="Times New Roman" w:eastAsia="Times New Roman" w:hAnsi="Times New Roman" w:cs="Times New Roman"/>
          <w:sz w:val="24"/>
          <w:szCs w:val="24"/>
          <w:lang w:eastAsia="en-GB"/>
        </w:rPr>
        <w:t>Innovation within this sector is defined as the creation and implementation of novel concepts, technologies, processes, and services that demonstrably benefit clinical outcomes and patient experiences. From an economic perspective, it acts as the primary mechanism for overcoming stringent financial limitations and addressing previously unmanageable epidemiological challenges. For example, the implementation of localised digital triage pathways acts as an innovation that optimises scarce clinical resources. Rogers’ Diffusion of Innovation Theory explains how new ideas and technologies spread through organisations and are gradually adopted by staff (Rogers, 2003).</w:t>
      </w:r>
    </w:p>
    <w:p w14:paraId="07EBD19A" w14:textId="77777777" w:rsidR="008D4E01" w:rsidRPr="008D4E01" w:rsidRDefault="008D4E01" w:rsidP="009372A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D4E01">
        <w:rPr>
          <w:rFonts w:ascii="Times New Roman" w:eastAsia="Times New Roman" w:hAnsi="Times New Roman" w:cs="Times New Roman"/>
          <w:sz w:val="24"/>
          <w:szCs w:val="24"/>
          <w:lang w:eastAsia="en-GB"/>
        </w:rPr>
        <w:t xml:space="preserve">Creativity serves as the cognitive prerequisite for such innovation. It is characterised as the ability to combine domain-specific knowledge, technical skills, and lateral thinking to generate novel, useful solutions to multifaceted problems. In clinical environments, creativity is essential because standard operating protocols often fail during unprecedented systemic crises, requiring multidisciplinary teams to rapidly redesign care delivery. A practical example is the creative restructuring of traditional hospital wards into community-led rehabilitation spaces. </w:t>
      </w:r>
      <w:proofErr w:type="spellStart"/>
      <w:r w:rsidRPr="008D4E01">
        <w:rPr>
          <w:rFonts w:ascii="Times New Roman" w:eastAsia="Times New Roman" w:hAnsi="Times New Roman" w:cs="Times New Roman"/>
          <w:sz w:val="24"/>
          <w:szCs w:val="24"/>
          <w:lang w:eastAsia="en-GB"/>
        </w:rPr>
        <w:t>Amabile’s</w:t>
      </w:r>
      <w:proofErr w:type="spellEnd"/>
      <w:r w:rsidRPr="008D4E01">
        <w:rPr>
          <w:rFonts w:ascii="Times New Roman" w:eastAsia="Times New Roman" w:hAnsi="Times New Roman" w:cs="Times New Roman"/>
          <w:sz w:val="24"/>
          <w:szCs w:val="24"/>
          <w:lang w:eastAsia="en-GB"/>
        </w:rPr>
        <w:t xml:space="preserve"> Componential Theory of Creativity states that creativity occurs when individuals combine knowledge, skills, and motivation to produce useful new ideas (</w:t>
      </w:r>
      <w:proofErr w:type="spellStart"/>
      <w:r w:rsidRPr="008D4E01">
        <w:rPr>
          <w:rFonts w:ascii="Times New Roman" w:eastAsia="Times New Roman" w:hAnsi="Times New Roman" w:cs="Times New Roman"/>
          <w:sz w:val="24"/>
          <w:szCs w:val="24"/>
          <w:lang w:eastAsia="en-GB"/>
        </w:rPr>
        <w:t>Amabile</w:t>
      </w:r>
      <w:proofErr w:type="spellEnd"/>
      <w:r w:rsidRPr="008D4E01">
        <w:rPr>
          <w:rFonts w:ascii="Times New Roman" w:eastAsia="Times New Roman" w:hAnsi="Times New Roman" w:cs="Times New Roman"/>
          <w:sz w:val="24"/>
          <w:szCs w:val="24"/>
          <w:lang w:eastAsia="en-GB"/>
        </w:rPr>
        <w:t>, 1996).</w:t>
      </w:r>
    </w:p>
    <w:p w14:paraId="7CD4A73B" w14:textId="77777777" w:rsidR="008D4E01" w:rsidRPr="008D4E01" w:rsidRDefault="008D4E01" w:rsidP="009372A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D4E01">
        <w:rPr>
          <w:rFonts w:ascii="Times New Roman" w:eastAsia="Times New Roman" w:hAnsi="Times New Roman" w:cs="Times New Roman"/>
          <w:sz w:val="24"/>
          <w:szCs w:val="24"/>
          <w:lang w:eastAsia="en-GB"/>
        </w:rPr>
        <w:t>Value creation is the ultimate objective of healthcare delivery, defined as the magnitude of positive health outcomes achieved relative to the financial costs expended. This concept is critical because it shifts the systemic focus from the sheer volume of services provided (fee-for-service) to patient-centred wellbeing and long-term financial sustainability. An example is the use of enhanced recovery after surgery (ERAS) protocols, which reduce hospital stays while accelerating patient mobility. Porter explains that value in healthcare is created when services improve patient outcomes relative to the cost of delivering care (Porter, 2010).</w:t>
      </w:r>
    </w:p>
    <w:p w14:paraId="05207BAC" w14:textId="77777777" w:rsidR="008D4E01" w:rsidRPr="008D4E01" w:rsidRDefault="008D4E01" w:rsidP="009372A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D4E01">
        <w:rPr>
          <w:rFonts w:ascii="Times New Roman" w:eastAsia="Times New Roman" w:hAnsi="Times New Roman" w:cs="Times New Roman"/>
          <w:sz w:val="24"/>
          <w:szCs w:val="24"/>
          <w:lang w:eastAsia="en-GB"/>
        </w:rPr>
        <w:t xml:space="preserve">Finally, change represents the ongoing, inevitable transition from a current organisational state to a desired future state, often triggered by external stimuli such as an ageing demographic. Understanding change management is vital because human resistance is the primary cause of </w:t>
      </w:r>
      <w:r w:rsidRPr="008D4E01">
        <w:rPr>
          <w:rFonts w:ascii="Times New Roman" w:eastAsia="Times New Roman" w:hAnsi="Times New Roman" w:cs="Times New Roman"/>
          <w:sz w:val="24"/>
          <w:szCs w:val="24"/>
          <w:lang w:eastAsia="en-GB"/>
        </w:rPr>
        <w:lastRenderedPageBreak/>
        <w:t>reorganisation failure. Transitioning from paper-based patient records to electronic systems is a quintessential example of practice change. Lewin’s Change Management Model suggests change occurs through unfreezing current practice, implementing new behaviours, and stabilising the improvement (</w:t>
      </w:r>
      <w:proofErr w:type="spellStart"/>
      <w:r w:rsidRPr="008D4E01">
        <w:rPr>
          <w:rFonts w:ascii="Times New Roman" w:eastAsia="Times New Roman" w:hAnsi="Times New Roman" w:cs="Times New Roman"/>
          <w:sz w:val="24"/>
          <w:szCs w:val="24"/>
          <w:lang w:eastAsia="en-GB"/>
        </w:rPr>
        <w:t>Burnes</w:t>
      </w:r>
      <w:proofErr w:type="spellEnd"/>
      <w:r w:rsidRPr="008D4E01">
        <w:rPr>
          <w:rFonts w:ascii="Times New Roman" w:eastAsia="Times New Roman" w:hAnsi="Times New Roman" w:cs="Times New Roman"/>
          <w:sz w:val="24"/>
          <w:szCs w:val="24"/>
          <w:lang w:eastAsia="en-GB"/>
        </w:rPr>
        <w:t>, 2017).</w:t>
      </w:r>
    </w:p>
    <w:p w14:paraId="4A3524EA" w14:textId="77777777" w:rsidR="008D4E01" w:rsidRPr="008D4E01" w:rsidRDefault="009372A6" w:rsidP="009372A6">
      <w:pPr>
        <w:spacing w:before="100" w:beforeAutospacing="1" w:after="100" w:afterAutospacing="1" w:line="360" w:lineRule="auto"/>
        <w:jc w:val="both"/>
        <w:outlineLvl w:val="1"/>
        <w:rPr>
          <w:rFonts w:ascii="Times New Roman" w:eastAsia="Times New Roman" w:hAnsi="Times New Roman" w:cs="Times New Roman"/>
          <w:b/>
          <w:bCs/>
          <w:sz w:val="28"/>
          <w:szCs w:val="24"/>
          <w:lang w:eastAsia="en-GB"/>
        </w:rPr>
      </w:pPr>
      <w:bookmarkStart w:id="1" w:name="_Toc224049355"/>
      <w:r w:rsidRPr="009372A6">
        <w:rPr>
          <w:rFonts w:ascii="Times New Roman" w:eastAsia="Times New Roman" w:hAnsi="Times New Roman" w:cs="Times New Roman"/>
          <w:b/>
          <w:bCs/>
          <w:sz w:val="28"/>
          <w:szCs w:val="24"/>
          <w:lang w:eastAsia="en-GB"/>
        </w:rPr>
        <w:t xml:space="preserve">Task 2 </w:t>
      </w:r>
      <w:r w:rsidR="008D4E01" w:rsidRPr="008D4E01">
        <w:rPr>
          <w:rFonts w:ascii="Times New Roman" w:eastAsia="Times New Roman" w:hAnsi="Times New Roman" w:cs="Times New Roman"/>
          <w:b/>
          <w:bCs/>
          <w:sz w:val="28"/>
          <w:szCs w:val="24"/>
          <w:lang w:eastAsia="en-GB"/>
        </w:rPr>
        <w:t>Mind Map</w:t>
      </w:r>
      <w:bookmarkEnd w:id="1"/>
    </w:p>
    <w:p w14:paraId="7562F902" w14:textId="77777777" w:rsidR="0058277C" w:rsidRDefault="0058277C">
      <w:pPr>
        <w:pStyle w:val="p1"/>
        <w:divId w:val="1762869030"/>
      </w:pPr>
      <w:r>
        <w:rPr>
          <w:rStyle w:val="s1"/>
        </w:rPr>
        <w:t xml:space="preserve">The problem identified in the mind map is </w:t>
      </w:r>
      <w:r>
        <w:rPr>
          <w:rStyle w:val="s2"/>
        </w:rPr>
        <w:t>staff burnout in health and social care</w:t>
      </w:r>
      <w:r>
        <w:rPr>
          <w:rStyle w:val="s1"/>
        </w:rPr>
        <w:t>, which is significant as it affects both staff wellbeing and the quality of care provided to service users. Burnout can lead to reduced motivation, increased errors, and poor communication, ultimately impacting patient safety.</w:t>
      </w:r>
    </w:p>
    <w:p w14:paraId="70F7A9E0" w14:textId="77777777" w:rsidR="0058277C" w:rsidRDefault="0058277C">
      <w:pPr>
        <w:pStyle w:val="p2"/>
        <w:divId w:val="1762869030"/>
      </w:pPr>
    </w:p>
    <w:p w14:paraId="683CE2A5" w14:textId="77777777" w:rsidR="0058277C" w:rsidRDefault="0058277C">
      <w:pPr>
        <w:pStyle w:val="p1"/>
        <w:divId w:val="1762869030"/>
      </w:pPr>
      <w:r>
        <w:rPr>
          <w:rStyle w:val="s1"/>
        </w:rPr>
        <w:t>The mind map highlights key causes such as understaffing, high workload, emotional pressure, and lack of organisational support. For example, understaffing increases workload, which leads to stress and contributes to burnout. The impacts include reduced patient safety, low staff morale, and increased staff turnover.</w:t>
      </w:r>
    </w:p>
    <w:p w14:paraId="02CFBFEB" w14:textId="77777777" w:rsidR="0058277C" w:rsidRDefault="0058277C">
      <w:pPr>
        <w:pStyle w:val="p2"/>
        <w:divId w:val="1762869030"/>
      </w:pPr>
    </w:p>
    <w:p w14:paraId="77024407" w14:textId="77777777" w:rsidR="0058277C" w:rsidRDefault="0058277C">
      <w:pPr>
        <w:pStyle w:val="p1"/>
        <w:divId w:val="1762869030"/>
      </w:pPr>
      <w:r>
        <w:rPr>
          <w:rStyle w:val="s1"/>
        </w:rPr>
        <w:t xml:space="preserve">Possible solutions include improving staffing levels, offering mental health support, and promoting better working conditions. Using a </w:t>
      </w:r>
      <w:r>
        <w:rPr>
          <w:rStyle w:val="s2"/>
        </w:rPr>
        <w:t>systems thinking approach</w:t>
      </w:r>
      <w:r>
        <w:rPr>
          <w:rStyle w:val="s1"/>
        </w:rPr>
        <w:t>, this issue is understood as part of a wider system where multiple factors interact rather than a single cause. If this issue is not addressed, it is likely to result in increased staff shortages, higher levels of burnout, and a continued decline in the overall quality and safety of care provided.</w:t>
      </w:r>
    </w:p>
    <w:p w14:paraId="73D5FE05" w14:textId="77777777" w:rsidR="008D4E01" w:rsidRPr="008D4E01" w:rsidRDefault="008D4E01" w:rsidP="009372A6">
      <w:pPr>
        <w:spacing w:after="0" w:line="360" w:lineRule="auto"/>
        <w:jc w:val="both"/>
        <w:rPr>
          <w:rFonts w:ascii="Times New Roman" w:eastAsia="Times New Roman" w:hAnsi="Times New Roman" w:cs="Times New Roman"/>
          <w:sz w:val="28"/>
          <w:szCs w:val="24"/>
          <w:lang w:eastAsia="en-GB"/>
        </w:rPr>
      </w:pPr>
    </w:p>
    <w:p w14:paraId="737EFDEC" w14:textId="77777777" w:rsidR="008D4E01" w:rsidRPr="009372A6" w:rsidRDefault="009372A6" w:rsidP="009372A6">
      <w:pPr>
        <w:spacing w:before="100" w:beforeAutospacing="1" w:after="100" w:afterAutospacing="1" w:line="360" w:lineRule="auto"/>
        <w:jc w:val="both"/>
        <w:outlineLvl w:val="1"/>
        <w:rPr>
          <w:rFonts w:ascii="Times New Roman" w:eastAsia="Times New Roman" w:hAnsi="Times New Roman" w:cs="Times New Roman"/>
          <w:b/>
          <w:bCs/>
          <w:sz w:val="28"/>
          <w:szCs w:val="24"/>
          <w:lang w:eastAsia="en-GB"/>
        </w:rPr>
      </w:pPr>
      <w:bookmarkStart w:id="2" w:name="_Toc224049356"/>
      <w:r w:rsidRPr="009372A6">
        <w:rPr>
          <w:rFonts w:ascii="Times New Roman" w:eastAsia="Times New Roman" w:hAnsi="Times New Roman" w:cs="Times New Roman"/>
          <w:b/>
          <w:bCs/>
          <w:sz w:val="28"/>
          <w:szCs w:val="24"/>
          <w:lang w:eastAsia="en-GB"/>
        </w:rPr>
        <w:t>Task 3</w:t>
      </w:r>
      <w:r w:rsidR="008D4E01" w:rsidRPr="008D4E01">
        <w:rPr>
          <w:rFonts w:ascii="Times New Roman" w:eastAsia="Times New Roman" w:hAnsi="Times New Roman" w:cs="Times New Roman"/>
          <w:b/>
          <w:bCs/>
          <w:sz w:val="28"/>
          <w:szCs w:val="24"/>
          <w:lang w:eastAsia="en-GB"/>
        </w:rPr>
        <w:t xml:space="preserve"> Self-Reflection of Group Activity</w:t>
      </w:r>
      <w:bookmarkEnd w:id="2"/>
    </w:p>
    <w:p w14:paraId="59898ADA" w14:textId="77777777" w:rsidR="00A37D97" w:rsidRDefault="00A37D97">
      <w:pPr>
        <w:pStyle w:val="p1"/>
        <w:divId w:val="1786344128"/>
      </w:pPr>
      <w:r>
        <w:rPr>
          <w:rStyle w:val="s1"/>
        </w:rPr>
        <w:t xml:space="preserve">Using </w:t>
      </w:r>
      <w:r>
        <w:rPr>
          <w:rStyle w:val="s2"/>
        </w:rPr>
        <w:t>Gibbs’ Reflective Cycle (1988)</w:t>
      </w:r>
      <w:r>
        <w:rPr>
          <w:rStyle w:val="s1"/>
        </w:rPr>
        <w:t>, this reflection explores my experience of applying convergent and divergent thinking during an activity focused on problem-solving in health and social care.</w:t>
      </w:r>
    </w:p>
    <w:p w14:paraId="0CA0A34B" w14:textId="77777777" w:rsidR="00A37D97" w:rsidRDefault="00A37D97">
      <w:pPr>
        <w:pStyle w:val="p2"/>
        <w:divId w:val="1786344128"/>
      </w:pPr>
    </w:p>
    <w:p w14:paraId="09A51C69" w14:textId="77777777" w:rsidR="00A37D97" w:rsidRDefault="00A37D97">
      <w:pPr>
        <w:pStyle w:val="p1"/>
        <w:divId w:val="1786344128"/>
      </w:pPr>
      <w:r>
        <w:rPr>
          <w:rStyle w:val="s1"/>
        </w:rPr>
        <w:t>Divergent thinking involves generating a wide range of ideas, whereas convergent thinking focuses on narrowing these ideas down to select the most appropriate solution. During the activity, I applied divergent thinking by considering multiple possible approaches to addressing staff burnout, including increasing staffing levels and improving wellbeing support. For example, I suggested improving staffing levels as a potential solution, which helped move the discussion towards a more practical and realistic outcome. I then used convergent thinking to evaluate these ideas and identify the most effective option.</w:t>
      </w:r>
    </w:p>
    <w:p w14:paraId="1E3FA969" w14:textId="77777777" w:rsidR="00A37D97" w:rsidRDefault="00A37D97">
      <w:pPr>
        <w:pStyle w:val="p2"/>
        <w:divId w:val="1786344128"/>
      </w:pPr>
    </w:p>
    <w:p w14:paraId="0B52DCA4" w14:textId="77777777" w:rsidR="00A37D97" w:rsidRDefault="00A37D97">
      <w:pPr>
        <w:pStyle w:val="p1"/>
        <w:divId w:val="1786344128"/>
      </w:pPr>
      <w:r>
        <w:rPr>
          <w:rStyle w:val="s1"/>
        </w:rPr>
        <w:t>I found divergent thinking more natural, as it allowed for creativity and open discussion. However, I found convergent thinking more challenging, as it required critical evaluation and decision-making. This highlighted the importance of balancing creativity with practical judgement in professional settings.</w:t>
      </w:r>
    </w:p>
    <w:p w14:paraId="04E73B9A" w14:textId="77777777" w:rsidR="00A37D97" w:rsidRDefault="00A37D97">
      <w:pPr>
        <w:pStyle w:val="p2"/>
        <w:divId w:val="1786344128"/>
      </w:pPr>
    </w:p>
    <w:p w14:paraId="35E62304" w14:textId="77777777" w:rsidR="00A37D97" w:rsidRDefault="00A37D97">
      <w:pPr>
        <w:pStyle w:val="p1"/>
        <w:divId w:val="1786344128"/>
      </w:pPr>
      <w:r>
        <w:rPr>
          <w:rStyle w:val="s1"/>
        </w:rPr>
        <w:t>From this experience, I learned that both thinking styles are essential for effective problem-solving and teamwork. Reflection, as highlighted by Gibbs (1988), supports the development of professional skills through evaluating experience.</w:t>
      </w:r>
    </w:p>
    <w:p w14:paraId="58DA2067" w14:textId="77777777" w:rsidR="00A37D97" w:rsidRDefault="00A37D97">
      <w:pPr>
        <w:pStyle w:val="p2"/>
        <w:divId w:val="1786344128"/>
      </w:pPr>
    </w:p>
    <w:p w14:paraId="4319E1FD" w14:textId="77777777" w:rsidR="00A37D97" w:rsidRDefault="00A37D97">
      <w:pPr>
        <w:pStyle w:val="p1"/>
        <w:divId w:val="1786344128"/>
      </w:pPr>
      <w:r>
        <w:rPr>
          <w:rStyle w:val="s1"/>
        </w:rPr>
        <w:t>In future, I would aim to be more confident in decision-making and contribute more actively when selecting solutions.</w:t>
      </w:r>
    </w:p>
    <w:p w14:paraId="69E04D87" w14:textId="77777777" w:rsidR="003C538A" w:rsidRPr="009372A6" w:rsidRDefault="003C538A" w:rsidP="009372A6">
      <w:pPr>
        <w:spacing w:line="360" w:lineRule="auto"/>
        <w:jc w:val="both"/>
        <w:rPr>
          <w:sz w:val="28"/>
          <w:szCs w:val="24"/>
        </w:rPr>
      </w:pPr>
    </w:p>
    <w:p w14:paraId="5D0B2B8D" w14:textId="77777777" w:rsidR="008D4E01" w:rsidRPr="008D4E01" w:rsidRDefault="009372A6" w:rsidP="009372A6">
      <w:pPr>
        <w:spacing w:before="100" w:beforeAutospacing="1" w:after="100" w:afterAutospacing="1" w:line="360" w:lineRule="auto"/>
        <w:jc w:val="both"/>
        <w:outlineLvl w:val="1"/>
        <w:rPr>
          <w:rFonts w:ascii="Times New Roman" w:eastAsia="Times New Roman" w:hAnsi="Times New Roman" w:cs="Times New Roman"/>
          <w:b/>
          <w:bCs/>
          <w:sz w:val="28"/>
          <w:szCs w:val="24"/>
          <w:lang w:eastAsia="en-GB"/>
        </w:rPr>
      </w:pPr>
      <w:bookmarkStart w:id="3" w:name="_Toc224049357"/>
      <w:r w:rsidRPr="009372A6">
        <w:rPr>
          <w:rFonts w:ascii="Times New Roman" w:eastAsia="Times New Roman" w:hAnsi="Times New Roman" w:cs="Times New Roman"/>
          <w:b/>
          <w:bCs/>
          <w:sz w:val="28"/>
          <w:szCs w:val="24"/>
          <w:lang w:eastAsia="en-GB"/>
        </w:rPr>
        <w:t xml:space="preserve">Task 4 </w:t>
      </w:r>
      <w:r w:rsidR="008D4E01" w:rsidRPr="008D4E01">
        <w:rPr>
          <w:rFonts w:ascii="Times New Roman" w:eastAsia="Times New Roman" w:hAnsi="Times New Roman" w:cs="Times New Roman"/>
          <w:b/>
          <w:bCs/>
          <w:sz w:val="28"/>
          <w:szCs w:val="24"/>
          <w:lang w:eastAsia="en-GB"/>
        </w:rPr>
        <w:t>Case Study Analysis of a UK Innovation</w:t>
      </w:r>
      <w:bookmarkEnd w:id="3"/>
    </w:p>
    <w:p w14:paraId="1092B590" w14:textId="77777777" w:rsidR="008D4E01" w:rsidRPr="008D4E01" w:rsidRDefault="008D4E01" w:rsidP="009372A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D4E01">
        <w:rPr>
          <w:rFonts w:ascii="Times New Roman" w:eastAsia="Times New Roman" w:hAnsi="Times New Roman" w:cs="Times New Roman"/>
          <w:sz w:val="24"/>
          <w:szCs w:val="24"/>
          <w:lang w:eastAsia="en-GB"/>
        </w:rPr>
        <w:t xml:space="preserve">The deployment of </w:t>
      </w:r>
      <w:r w:rsidRPr="009372A6">
        <w:rPr>
          <w:rFonts w:ascii="Times New Roman" w:eastAsia="Times New Roman" w:hAnsi="Times New Roman" w:cs="Times New Roman"/>
          <w:b/>
          <w:bCs/>
          <w:sz w:val="24"/>
          <w:szCs w:val="24"/>
          <w:lang w:eastAsia="en-GB"/>
        </w:rPr>
        <w:t>NHS Virtual Wards (Hospital at Home)</w:t>
      </w:r>
      <w:r w:rsidRPr="008D4E01">
        <w:rPr>
          <w:rFonts w:ascii="Times New Roman" w:eastAsia="Times New Roman" w:hAnsi="Times New Roman" w:cs="Times New Roman"/>
          <w:sz w:val="24"/>
          <w:szCs w:val="24"/>
          <w:lang w:eastAsia="en-GB"/>
        </w:rPr>
        <w:t xml:space="preserve"> represents a paradigm-shifting innovation within the UK healthcare sector. Creativity was applied in the conceptualisation of this initiative by reimagining the architectural boundaries of acute care; developers creatively transformed the patient’s home environment into an acute monitoring space utilising Bluetooth-enabled wearables and digital platforms.</w:t>
      </w:r>
    </w:p>
    <w:p w14:paraId="674C1A05" w14:textId="77777777" w:rsidR="008D4E01" w:rsidRPr="008D4E01" w:rsidRDefault="008D4E01" w:rsidP="009372A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D4E01">
        <w:rPr>
          <w:rFonts w:ascii="Times New Roman" w:eastAsia="Times New Roman" w:hAnsi="Times New Roman" w:cs="Times New Roman"/>
          <w:sz w:val="24"/>
          <w:szCs w:val="24"/>
          <w:lang w:eastAsia="en-GB"/>
        </w:rPr>
        <w:t>This innovation aimed to address the severe, systemic shortage of acute inpatient bed capacity and the resulting bottlenecks in urgent and emergency care. By facilitating early discharge and providing an alternative to admission, virtual wards relieve critical operational pressures.</w:t>
      </w:r>
    </w:p>
    <w:p w14:paraId="6D8F214F" w14:textId="77777777" w:rsidR="008D4E01" w:rsidRPr="008D4E01" w:rsidRDefault="008D4E01" w:rsidP="009372A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D4E01">
        <w:rPr>
          <w:rFonts w:ascii="Times New Roman" w:eastAsia="Times New Roman" w:hAnsi="Times New Roman" w:cs="Times New Roman"/>
          <w:sz w:val="24"/>
          <w:szCs w:val="24"/>
          <w:lang w:eastAsia="en-GB"/>
        </w:rPr>
        <w:t>The value created for patients includes the psychological comfort of recovering in a familiar environment and a significantly reduced risk of hospital-acquired infections. For the NHS, value is realised through optimised hospital real estate and reduced care delivery costs. Evidence of positive outcomes indicates that the nationwide rollout of over 10,000 virtual beds has successfully prevented unnecessary emergency admissions while maintaining safe, high-quality care. Rogers’ Diffusion of Innovation Theory explains how new healthcare ideas are adopted over time when they are seen as useful, easy to use, and beneficial to staff and patients (Rogers, 2003).</w:t>
      </w:r>
    </w:p>
    <w:p w14:paraId="26FDB854" w14:textId="77777777" w:rsidR="008D4E01" w:rsidRPr="008D4E01" w:rsidRDefault="009372A6" w:rsidP="009372A6">
      <w:pPr>
        <w:spacing w:before="100" w:beforeAutospacing="1" w:after="100" w:afterAutospacing="1" w:line="360" w:lineRule="auto"/>
        <w:jc w:val="both"/>
        <w:outlineLvl w:val="1"/>
        <w:rPr>
          <w:rFonts w:ascii="Times New Roman" w:eastAsia="Times New Roman" w:hAnsi="Times New Roman" w:cs="Times New Roman"/>
          <w:b/>
          <w:bCs/>
          <w:sz w:val="28"/>
          <w:szCs w:val="24"/>
          <w:lang w:eastAsia="en-GB"/>
        </w:rPr>
      </w:pPr>
      <w:bookmarkStart w:id="4" w:name="_Toc224049358"/>
      <w:r w:rsidRPr="009372A6">
        <w:rPr>
          <w:rFonts w:ascii="Times New Roman" w:eastAsia="Times New Roman" w:hAnsi="Times New Roman" w:cs="Times New Roman"/>
          <w:b/>
          <w:bCs/>
          <w:sz w:val="28"/>
          <w:szCs w:val="24"/>
          <w:lang w:eastAsia="en-GB"/>
        </w:rPr>
        <w:t xml:space="preserve">Task 5 </w:t>
      </w:r>
      <w:r w:rsidR="008D4E01" w:rsidRPr="008D4E01">
        <w:rPr>
          <w:rFonts w:ascii="Times New Roman" w:eastAsia="Times New Roman" w:hAnsi="Times New Roman" w:cs="Times New Roman"/>
          <w:b/>
          <w:bCs/>
          <w:sz w:val="28"/>
          <w:szCs w:val="24"/>
          <w:lang w:eastAsia="en-GB"/>
        </w:rPr>
        <w:t>Research Task</w:t>
      </w:r>
      <w:bookmarkEnd w:id="4"/>
    </w:p>
    <w:p w14:paraId="6E954641" w14:textId="77777777" w:rsidR="008D4E01" w:rsidRPr="008D4E01" w:rsidRDefault="008D4E01" w:rsidP="009372A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D4E01">
        <w:rPr>
          <w:rFonts w:ascii="Times New Roman" w:eastAsia="Times New Roman" w:hAnsi="Times New Roman" w:cs="Times New Roman"/>
          <w:sz w:val="24"/>
          <w:szCs w:val="24"/>
          <w:lang w:eastAsia="en-GB"/>
        </w:rPr>
        <w:lastRenderedPageBreak/>
        <w:t xml:space="preserve">A critical current issue in health and social care is the pervasive crisis of </w:t>
      </w:r>
      <w:r w:rsidRPr="009372A6">
        <w:rPr>
          <w:rFonts w:ascii="Times New Roman" w:eastAsia="Times New Roman" w:hAnsi="Times New Roman" w:cs="Times New Roman"/>
          <w:bCs/>
          <w:sz w:val="24"/>
          <w:szCs w:val="24"/>
          <w:lang w:eastAsia="en-GB"/>
        </w:rPr>
        <w:t>NHS staff burnout</w:t>
      </w:r>
      <w:r w:rsidRPr="008D4E01">
        <w:rPr>
          <w:rFonts w:ascii="Times New Roman" w:eastAsia="Times New Roman" w:hAnsi="Times New Roman" w:cs="Times New Roman"/>
          <w:sz w:val="24"/>
          <w:szCs w:val="24"/>
          <w:lang w:eastAsia="en-GB"/>
        </w:rPr>
        <w:t>, which threatens systemic sustainability and patient safety. An analysis by Oliver (2024) of the NHS staff survey reveals that a severe lack of adequate staffing leaves the workforce unable to manage conflicting demands safely. The research highlights that unrealistic time pressures and a deteriorating workplace culture—characterised by harassment and a lack of psychological safety regarding the duty of candour—result in profound moral distress and emotional exhaustion.</w:t>
      </w:r>
    </w:p>
    <w:p w14:paraId="6FB52059" w14:textId="77777777" w:rsidR="008D4E01" w:rsidRPr="008D4E01" w:rsidRDefault="008D4E01" w:rsidP="009372A6">
      <w:pPr>
        <w:spacing w:before="100" w:beforeAutospacing="1" w:after="100" w:afterAutospacing="1" w:line="360" w:lineRule="auto"/>
        <w:jc w:val="both"/>
        <w:rPr>
          <w:rFonts w:ascii="Times New Roman" w:eastAsia="Times New Roman" w:hAnsi="Times New Roman" w:cs="Times New Roman"/>
          <w:sz w:val="24"/>
          <w:szCs w:val="24"/>
          <w:lang w:eastAsia="en-GB"/>
        </w:rPr>
      </w:pPr>
      <w:r w:rsidRPr="008D4E01">
        <w:rPr>
          <w:rFonts w:ascii="Times New Roman" w:eastAsia="Times New Roman" w:hAnsi="Times New Roman" w:cs="Times New Roman"/>
          <w:sz w:val="24"/>
          <w:szCs w:val="24"/>
          <w:lang w:eastAsia="en-GB"/>
        </w:rPr>
        <w:t xml:space="preserve">Corroborating these findings, a comprehensive review by </w:t>
      </w:r>
      <w:proofErr w:type="spellStart"/>
      <w:r w:rsidRPr="008D4E01">
        <w:rPr>
          <w:rFonts w:ascii="Times New Roman" w:eastAsia="Times New Roman" w:hAnsi="Times New Roman" w:cs="Times New Roman"/>
          <w:sz w:val="24"/>
          <w:szCs w:val="24"/>
          <w:lang w:eastAsia="en-GB"/>
        </w:rPr>
        <w:t>Teo</w:t>
      </w:r>
      <w:proofErr w:type="spellEnd"/>
      <w:r w:rsidRPr="008D4E01">
        <w:rPr>
          <w:rFonts w:ascii="Times New Roman" w:eastAsia="Times New Roman" w:hAnsi="Times New Roman" w:cs="Times New Roman"/>
          <w:sz w:val="24"/>
          <w:szCs w:val="24"/>
          <w:lang w:eastAsia="en-GB"/>
        </w:rPr>
        <w:t xml:space="preserve"> et al. (2025) emphasises that burnout is fundamentally driven by structural deficiencies rather than a lack of individual psychological resilience. The authors identify that chronic understaffing and highly inflexible rostering create a dangerous culture of "presenteeism," where clinicians are forced to work while ill. </w:t>
      </w:r>
      <w:proofErr w:type="spellStart"/>
      <w:r w:rsidRPr="008D4E01">
        <w:rPr>
          <w:rFonts w:ascii="Times New Roman" w:eastAsia="Times New Roman" w:hAnsi="Times New Roman" w:cs="Times New Roman"/>
          <w:sz w:val="24"/>
          <w:szCs w:val="24"/>
          <w:lang w:eastAsia="en-GB"/>
        </w:rPr>
        <w:t>Teo</w:t>
      </w:r>
      <w:proofErr w:type="spellEnd"/>
      <w:r w:rsidRPr="008D4E01">
        <w:rPr>
          <w:rFonts w:ascii="Times New Roman" w:eastAsia="Times New Roman" w:hAnsi="Times New Roman" w:cs="Times New Roman"/>
          <w:sz w:val="24"/>
          <w:szCs w:val="24"/>
          <w:lang w:eastAsia="en-GB"/>
        </w:rPr>
        <w:t xml:space="preserve"> et al. argue that relying on individual resilience training is an inadequate intervention when the root causes are systemic operational failures and a lack of institutional support.</w:t>
      </w:r>
    </w:p>
    <w:p w14:paraId="12A6F663" w14:textId="77777777" w:rsidR="008D4E01" w:rsidRPr="008D4E01" w:rsidRDefault="009372A6" w:rsidP="009372A6">
      <w:pPr>
        <w:spacing w:before="100" w:beforeAutospacing="1" w:after="100" w:afterAutospacing="1" w:line="360" w:lineRule="auto"/>
        <w:jc w:val="both"/>
        <w:outlineLvl w:val="1"/>
        <w:rPr>
          <w:rFonts w:ascii="Times New Roman" w:eastAsia="Times New Roman" w:hAnsi="Times New Roman" w:cs="Times New Roman"/>
          <w:b/>
          <w:bCs/>
          <w:sz w:val="24"/>
          <w:szCs w:val="24"/>
          <w:lang w:eastAsia="en-GB"/>
        </w:rPr>
      </w:pPr>
      <w:bookmarkStart w:id="5" w:name="_Toc224049359"/>
      <w:r w:rsidRPr="009372A6">
        <w:rPr>
          <w:rFonts w:ascii="Times New Roman" w:eastAsia="Times New Roman" w:hAnsi="Times New Roman" w:cs="Times New Roman"/>
          <w:b/>
          <w:bCs/>
          <w:sz w:val="28"/>
          <w:szCs w:val="24"/>
          <w:lang w:eastAsia="en-GB"/>
        </w:rPr>
        <w:t xml:space="preserve">Task 6 </w:t>
      </w:r>
      <w:r w:rsidR="008D4E01" w:rsidRPr="008D4E01">
        <w:rPr>
          <w:rFonts w:ascii="Times New Roman" w:eastAsia="Times New Roman" w:hAnsi="Times New Roman" w:cs="Times New Roman"/>
          <w:b/>
          <w:bCs/>
          <w:sz w:val="28"/>
          <w:szCs w:val="24"/>
          <w:lang w:eastAsia="en-GB"/>
        </w:rPr>
        <w:t xml:space="preserve"> Exploring Digital Innovation in Health and Social Care</w:t>
      </w:r>
      <w:bookmarkEnd w:id="5"/>
    </w:p>
    <w:p w14:paraId="2A46F7C7" w14:textId="77777777" w:rsidR="003C538A" w:rsidRPr="009372A6" w:rsidRDefault="003C538A" w:rsidP="009372A6">
      <w:pPr>
        <w:spacing w:line="360" w:lineRule="auto"/>
        <w:jc w:val="both"/>
        <w:rPr>
          <w:rFonts w:ascii="Times New Roman" w:hAnsi="Times New Roman" w:cs="Times New Roman"/>
          <w:sz w:val="24"/>
          <w:szCs w:val="24"/>
        </w:rPr>
      </w:pPr>
      <w:r w:rsidRPr="009372A6">
        <w:rPr>
          <w:rFonts w:ascii="Times New Roman" w:hAnsi="Times New Roman" w:cs="Times New Roman"/>
          <w:sz w:val="24"/>
          <w:szCs w:val="24"/>
        </w:rPr>
        <w:t>The Technology Acceptance Model (TAM) explains that people are more likely to adopt digital healthcare technologies when they perceive them as both useful and easy to use (Davis, 1989). This model is important in modern healthcare because the success of digital tools often depends on whether patients and professionals feel confident using them in everyday practice.</w:t>
      </w:r>
    </w:p>
    <w:p w14:paraId="7F9C4F87" w14:textId="77777777" w:rsidR="003C538A" w:rsidRPr="009372A6" w:rsidRDefault="003C538A" w:rsidP="009372A6">
      <w:pPr>
        <w:spacing w:line="360" w:lineRule="auto"/>
        <w:jc w:val="both"/>
        <w:rPr>
          <w:rFonts w:ascii="Times New Roman" w:hAnsi="Times New Roman" w:cs="Times New Roman"/>
          <w:sz w:val="24"/>
          <w:szCs w:val="24"/>
        </w:rPr>
      </w:pPr>
      <w:r w:rsidRPr="009372A6">
        <w:rPr>
          <w:rFonts w:ascii="Times New Roman" w:hAnsi="Times New Roman" w:cs="Times New Roman"/>
          <w:sz w:val="24"/>
          <w:szCs w:val="24"/>
        </w:rPr>
        <w:t>One significant benefit of wearable health technologies, such as smartwatches and continuous monitoring devices, is their ability to provide real-time and continuous monitoring of physiological data outside traditional clinical environments. These devices can track indicators such as heart rate, physical activity, sleep patterns, and sometimes blood oxygen levels. For individuals with chronic health conditions, such as type 2 diabetes, cardiovascular disease, or hypertension, this constant monitoring can help detect early signs of deterioration before serious complications occur. For example, some smartwatches can identify irregular heart rhythms that may indicate conditions such as atrial fibrillation. Early detection allows healthcare professionals to intervene sooner, reducing hospital admissions and improving long-term health outcomes. Additionally, wearable technologies empower patients by encouraging self-management and greater engagement with their own health, which can improve adherence to treatment plans and lifestyle changes.</w:t>
      </w:r>
    </w:p>
    <w:p w14:paraId="2AA3DDC3" w14:textId="77777777" w:rsidR="003C538A" w:rsidRPr="009372A6" w:rsidRDefault="003C538A" w:rsidP="009372A6">
      <w:pPr>
        <w:spacing w:line="360" w:lineRule="auto"/>
        <w:jc w:val="both"/>
        <w:rPr>
          <w:rFonts w:ascii="Times New Roman" w:hAnsi="Times New Roman" w:cs="Times New Roman"/>
          <w:sz w:val="24"/>
          <w:szCs w:val="24"/>
        </w:rPr>
      </w:pPr>
      <w:r w:rsidRPr="009372A6">
        <w:rPr>
          <w:rFonts w:ascii="Times New Roman" w:hAnsi="Times New Roman" w:cs="Times New Roman"/>
          <w:sz w:val="24"/>
          <w:szCs w:val="24"/>
        </w:rPr>
        <w:lastRenderedPageBreak/>
        <w:t>Electronic Health Records (EHRs) play a crucial role in improving communication and collaboration between healthcare providers. Traditionally, patient information was stored in paper records that were difficult to share between different departments or organisations. EHR systems centralise patient data, including medical history, medications, test results, and treatment plans, in a secure digital format that can be accessed by authorised healthcare professionals. This improves coordination between multidisciplinary teams such as doctors, nurses, pharmacists, and specialists. For example, when a patient moves from primary care to hospital care, clinicians can quickly access accurate information about allergies, previous diagnoses, and medications. This reduces the risk of medical errors, duplication of tests, and delays in treatment. According to HealthIT.gov (2022), EHR systems improve the quality and efficiency of healthcare delivery by enabling real-time data sharing and better clinical decision-making across healthcare organisations.</w:t>
      </w:r>
    </w:p>
    <w:p w14:paraId="6B7F5515" w14:textId="77777777" w:rsidR="008D4E01" w:rsidRPr="009372A6" w:rsidRDefault="003C538A" w:rsidP="009372A6">
      <w:pPr>
        <w:spacing w:line="360" w:lineRule="auto"/>
        <w:jc w:val="both"/>
        <w:rPr>
          <w:rFonts w:ascii="Times New Roman" w:hAnsi="Times New Roman" w:cs="Times New Roman"/>
          <w:sz w:val="24"/>
          <w:szCs w:val="24"/>
        </w:rPr>
      </w:pPr>
      <w:r w:rsidRPr="009372A6">
        <w:rPr>
          <w:rFonts w:ascii="Times New Roman" w:hAnsi="Times New Roman" w:cs="Times New Roman"/>
          <w:sz w:val="24"/>
          <w:szCs w:val="24"/>
        </w:rPr>
        <w:t>Digital technology also plays a major role in preventative care and health promotion, helping healthcare systems shift from reactive treatment to proactive health management. One example is the NHS Digital Diabetes Prevention Programme, which uses mobile applications and online platforms to support individuals at risk of developing type 2 diabetes. Participants receive digital coaching, educational content, and tools for tracking physical activity, diet, and weight management. These digital interventions encourage healthier lifestyle behaviours and allow participants to monitor their progress over time. Evidence shows that participants in such programmes often experience reductions in weight and improved blood glucose levels, which can significantly delay or prevent the onset of diabetes. By providing accessible and scalable support, digital health technologies enable healthcare providers to reach larger populations and promote long-term health improvement.</w:t>
      </w:r>
    </w:p>
    <w:p w14:paraId="0EEFFF44" w14:textId="77777777" w:rsidR="008D4E01" w:rsidRPr="008D4E01" w:rsidRDefault="009372A6" w:rsidP="009372A6">
      <w:pPr>
        <w:spacing w:before="100" w:beforeAutospacing="1" w:after="100" w:afterAutospacing="1" w:line="360" w:lineRule="auto"/>
        <w:jc w:val="both"/>
        <w:outlineLvl w:val="1"/>
        <w:rPr>
          <w:rFonts w:ascii="Times New Roman" w:eastAsia="Times New Roman" w:hAnsi="Times New Roman" w:cs="Times New Roman"/>
          <w:b/>
          <w:bCs/>
          <w:sz w:val="28"/>
          <w:szCs w:val="24"/>
          <w:lang w:eastAsia="en-GB"/>
        </w:rPr>
      </w:pPr>
      <w:bookmarkStart w:id="6" w:name="_Toc224049360"/>
      <w:r w:rsidRPr="009372A6">
        <w:rPr>
          <w:rFonts w:ascii="Times New Roman" w:eastAsia="Times New Roman" w:hAnsi="Times New Roman" w:cs="Times New Roman"/>
          <w:b/>
          <w:bCs/>
          <w:sz w:val="28"/>
          <w:szCs w:val="24"/>
          <w:lang w:eastAsia="en-GB"/>
        </w:rPr>
        <w:t xml:space="preserve">Task 7 </w:t>
      </w:r>
      <w:r w:rsidR="008D4E01" w:rsidRPr="008D4E01">
        <w:rPr>
          <w:rFonts w:ascii="Times New Roman" w:eastAsia="Times New Roman" w:hAnsi="Times New Roman" w:cs="Times New Roman"/>
          <w:b/>
          <w:bCs/>
          <w:sz w:val="28"/>
          <w:szCs w:val="24"/>
          <w:lang w:eastAsia="en-GB"/>
        </w:rPr>
        <w:t>Understanding the NHS Leadership Framework</w:t>
      </w:r>
      <w:bookmarkEnd w:id="6"/>
    </w:p>
    <w:p w14:paraId="2820981D" w14:textId="77777777" w:rsidR="008D4E01" w:rsidRPr="009372A6" w:rsidRDefault="008D4E01" w:rsidP="009372A6">
      <w:pPr>
        <w:spacing w:line="360" w:lineRule="auto"/>
        <w:jc w:val="both"/>
        <w:rPr>
          <w:rFonts w:ascii="Times New Roman" w:hAnsi="Times New Roman" w:cs="Times New Roman"/>
          <w:sz w:val="24"/>
          <w:szCs w:val="24"/>
        </w:rPr>
      </w:pPr>
      <w:r w:rsidRPr="009372A6">
        <w:rPr>
          <w:rFonts w:ascii="Times New Roman" w:hAnsi="Times New Roman" w:cs="Times New Roman"/>
          <w:sz w:val="24"/>
          <w:szCs w:val="24"/>
        </w:rPr>
        <w:t xml:space="preserve">The NHS Healthcare Leadership Model is a structured behavioural framework designed to assist clinical and non-clinical staff in developing their leadership capabilities, regardless of formal seniority. The framework is constructed around nine core dimensions, including inspiring shared purpose, engaging the team, and developing capability. It functions as a diagnostic tool, providing specific questions that allow individuals to explore their motivations and developmental areas. This framework is vitally important in health and social care because it institutionalises the philosophy of collective leadership. It shifts organisational culture away from rigid, status-driven hierarchies towards collaborative environments that prioritise </w:t>
      </w:r>
      <w:r w:rsidRPr="009372A6">
        <w:rPr>
          <w:rFonts w:ascii="Times New Roman" w:hAnsi="Times New Roman" w:cs="Times New Roman"/>
          <w:sz w:val="24"/>
          <w:szCs w:val="24"/>
        </w:rPr>
        <w:lastRenderedPageBreak/>
        <w:t>compassionate patient care, continuous quality improvement, and systemic psychological safety.</w:t>
      </w:r>
    </w:p>
    <w:p w14:paraId="05786429" w14:textId="77777777" w:rsidR="008D4E01" w:rsidRPr="009372A6" w:rsidRDefault="008D4E01" w:rsidP="009372A6">
      <w:pPr>
        <w:spacing w:line="360" w:lineRule="auto"/>
        <w:jc w:val="both"/>
        <w:rPr>
          <w:rFonts w:ascii="Times New Roman" w:hAnsi="Times New Roman" w:cs="Times New Roman"/>
          <w:sz w:val="24"/>
          <w:szCs w:val="24"/>
        </w:rPr>
      </w:pPr>
      <w:r w:rsidRPr="009372A6">
        <w:rPr>
          <w:rFonts w:ascii="Times New Roman" w:hAnsi="Times New Roman" w:cs="Times New Roman"/>
          <w:sz w:val="24"/>
          <w:szCs w:val="24"/>
        </w:rPr>
        <w:t>The specific leadership behaviour of "Leading with care" is fundamental for encouraging creativity and improving service user care. This dimension requires leaders to understand the unique qualities of their team and proactively provide a secure, nurturing environment. Creativity inherently involves risk-taking and divergent thinking. By leading with care, a leader cultivates psychological safety, ensuring staff feel empowered to propose unorthodox clinical pathways without fear of punitive action. When staff feel genuinely supported, their cognitive resources are freed to focus on innovating complex processes.</w:t>
      </w:r>
    </w:p>
    <w:p w14:paraId="76A72147" w14:textId="77777777" w:rsidR="008D4E01" w:rsidRPr="009372A6" w:rsidRDefault="008D4E01" w:rsidP="009372A6">
      <w:pPr>
        <w:spacing w:line="360" w:lineRule="auto"/>
        <w:jc w:val="both"/>
        <w:rPr>
          <w:rFonts w:ascii="Times New Roman" w:hAnsi="Times New Roman" w:cs="Times New Roman"/>
          <w:sz w:val="24"/>
          <w:szCs w:val="24"/>
        </w:rPr>
      </w:pPr>
      <w:r w:rsidRPr="009372A6">
        <w:rPr>
          <w:rFonts w:ascii="Times New Roman" w:hAnsi="Times New Roman" w:cs="Times New Roman"/>
          <w:sz w:val="24"/>
          <w:szCs w:val="24"/>
        </w:rPr>
        <w:t xml:space="preserve">Reflecting longitudinally on the module reveals a profound evolution in the practitioner’s understanding of creativity and value creation. Initially, innovation was perceived as isolated technological breakthroughs driven by unique individuals. However, engagement with systems thinking methodologies and cognitive frameworks shifted this perspective; true value creation is now understood as a systemic output requiring meticulous organisational design. Activities differentiating convergent and divergent thinking highlighted that creativity must be actively managed and protected through supportive leadership structures. This learning will directly shape future professional practice by instilling a commitment to evidence-based, compassionate management. Future practice will prioritise psychological safety to ensure teams can navigate complex adaptive systems effectively. Transformational leadership suggests leaders inspire staff through vision, encouragement, and support, helping teams adopt new ideas and improve practice (Bass &amp; </w:t>
      </w:r>
      <w:proofErr w:type="spellStart"/>
      <w:r w:rsidRPr="009372A6">
        <w:rPr>
          <w:rFonts w:ascii="Times New Roman" w:hAnsi="Times New Roman" w:cs="Times New Roman"/>
          <w:sz w:val="24"/>
          <w:szCs w:val="24"/>
        </w:rPr>
        <w:t>Avolio</w:t>
      </w:r>
      <w:proofErr w:type="spellEnd"/>
      <w:r w:rsidRPr="009372A6">
        <w:rPr>
          <w:rFonts w:ascii="Times New Roman" w:hAnsi="Times New Roman" w:cs="Times New Roman"/>
          <w:sz w:val="24"/>
          <w:szCs w:val="24"/>
        </w:rPr>
        <w:t>, 1994).</w:t>
      </w:r>
    </w:p>
    <w:p w14:paraId="04B49D54" w14:textId="77777777" w:rsidR="008D4E01" w:rsidRPr="008D4E01" w:rsidRDefault="008D4E01" w:rsidP="009372A6">
      <w:pPr>
        <w:spacing w:before="100" w:beforeAutospacing="1" w:after="100" w:afterAutospacing="1" w:line="360" w:lineRule="auto"/>
        <w:jc w:val="both"/>
        <w:outlineLvl w:val="1"/>
        <w:rPr>
          <w:rFonts w:ascii="Times New Roman" w:eastAsia="Times New Roman" w:hAnsi="Times New Roman" w:cs="Times New Roman"/>
          <w:b/>
          <w:bCs/>
          <w:sz w:val="28"/>
          <w:szCs w:val="24"/>
          <w:lang w:eastAsia="en-GB"/>
        </w:rPr>
      </w:pPr>
      <w:bookmarkStart w:id="7" w:name="_Toc224049361"/>
      <w:r w:rsidRPr="008D4E01">
        <w:rPr>
          <w:rFonts w:ascii="Times New Roman" w:eastAsia="Times New Roman" w:hAnsi="Times New Roman" w:cs="Times New Roman"/>
          <w:b/>
          <w:bCs/>
          <w:sz w:val="28"/>
          <w:szCs w:val="24"/>
          <w:lang w:eastAsia="en-GB"/>
        </w:rPr>
        <w:t>Reference</w:t>
      </w:r>
      <w:bookmarkEnd w:id="7"/>
      <w:r w:rsidRPr="008D4E01">
        <w:rPr>
          <w:rFonts w:ascii="Times New Roman" w:eastAsia="Times New Roman" w:hAnsi="Times New Roman" w:cs="Times New Roman"/>
          <w:b/>
          <w:bCs/>
          <w:sz w:val="28"/>
          <w:szCs w:val="24"/>
          <w:lang w:eastAsia="en-GB"/>
        </w:rPr>
        <w:t xml:space="preserve"> </w:t>
      </w:r>
    </w:p>
    <w:p w14:paraId="20044EA6" w14:textId="77777777" w:rsidR="009372A6" w:rsidRPr="009372A6" w:rsidRDefault="009372A6" w:rsidP="009372A6">
      <w:pPr>
        <w:pStyle w:val="NormalWeb"/>
        <w:numPr>
          <w:ilvl w:val="0"/>
          <w:numId w:val="1"/>
        </w:numPr>
        <w:spacing w:line="360" w:lineRule="auto"/>
        <w:jc w:val="both"/>
      </w:pPr>
      <w:proofErr w:type="spellStart"/>
      <w:r w:rsidRPr="009372A6">
        <w:t>Amabile</w:t>
      </w:r>
      <w:proofErr w:type="spellEnd"/>
      <w:r w:rsidRPr="009372A6">
        <w:t xml:space="preserve">, T.M. (1996) </w:t>
      </w:r>
      <w:r w:rsidRPr="009372A6">
        <w:rPr>
          <w:rStyle w:val="Emphasis"/>
        </w:rPr>
        <w:t>Creativity in context.</w:t>
      </w:r>
      <w:r w:rsidRPr="009372A6">
        <w:t xml:space="preserve"> Boulder, CO: Westview Press.</w:t>
      </w:r>
    </w:p>
    <w:p w14:paraId="6049F372" w14:textId="77777777" w:rsidR="009372A6" w:rsidRPr="009372A6" w:rsidRDefault="009372A6" w:rsidP="009372A6">
      <w:pPr>
        <w:pStyle w:val="NormalWeb"/>
        <w:numPr>
          <w:ilvl w:val="0"/>
          <w:numId w:val="1"/>
        </w:numPr>
        <w:spacing w:line="360" w:lineRule="auto"/>
        <w:jc w:val="both"/>
      </w:pPr>
      <w:r w:rsidRPr="009372A6">
        <w:t xml:space="preserve">Bass, B.M. and </w:t>
      </w:r>
      <w:proofErr w:type="spellStart"/>
      <w:r w:rsidRPr="009372A6">
        <w:t>Avolio</w:t>
      </w:r>
      <w:proofErr w:type="spellEnd"/>
      <w:r w:rsidRPr="009372A6">
        <w:t xml:space="preserve">, B.J. (1994) </w:t>
      </w:r>
      <w:r w:rsidRPr="009372A6">
        <w:rPr>
          <w:rStyle w:val="Emphasis"/>
        </w:rPr>
        <w:t>Improving organisational effectiveness through transformational leadership.</w:t>
      </w:r>
      <w:r w:rsidRPr="009372A6">
        <w:t xml:space="preserve"> Thousand Oaks, CA: Sage.</w:t>
      </w:r>
    </w:p>
    <w:p w14:paraId="100D3EA6" w14:textId="77777777" w:rsidR="009372A6" w:rsidRPr="009372A6" w:rsidRDefault="009372A6" w:rsidP="009372A6">
      <w:pPr>
        <w:pStyle w:val="NormalWeb"/>
        <w:numPr>
          <w:ilvl w:val="0"/>
          <w:numId w:val="1"/>
        </w:numPr>
        <w:spacing w:line="360" w:lineRule="auto"/>
        <w:jc w:val="both"/>
      </w:pPr>
      <w:proofErr w:type="spellStart"/>
      <w:r w:rsidRPr="009372A6">
        <w:t>Burnes</w:t>
      </w:r>
      <w:proofErr w:type="spellEnd"/>
      <w:r w:rsidRPr="009372A6">
        <w:t xml:space="preserve">, B. (2017) </w:t>
      </w:r>
      <w:r w:rsidRPr="009372A6">
        <w:rPr>
          <w:rStyle w:val="Emphasis"/>
        </w:rPr>
        <w:t>Managing change.</w:t>
      </w:r>
      <w:r w:rsidRPr="009372A6">
        <w:t xml:space="preserve"> 7th </w:t>
      </w:r>
      <w:proofErr w:type="spellStart"/>
      <w:r w:rsidRPr="009372A6">
        <w:t>edn</w:t>
      </w:r>
      <w:proofErr w:type="spellEnd"/>
      <w:r w:rsidRPr="009372A6">
        <w:t>. Harlow: Pearson.</w:t>
      </w:r>
    </w:p>
    <w:p w14:paraId="67291ECC" w14:textId="77777777" w:rsidR="009372A6" w:rsidRPr="009372A6" w:rsidRDefault="009372A6" w:rsidP="009372A6">
      <w:pPr>
        <w:pStyle w:val="NormalWeb"/>
        <w:numPr>
          <w:ilvl w:val="0"/>
          <w:numId w:val="1"/>
        </w:numPr>
        <w:spacing w:line="360" w:lineRule="auto"/>
        <w:jc w:val="both"/>
      </w:pPr>
      <w:r w:rsidRPr="009372A6">
        <w:t xml:space="preserve">Davis, F.D. (1989) ‘Perceived usefulness, perceived ease of use, and user acceptance of information technology’, </w:t>
      </w:r>
      <w:r w:rsidRPr="009372A6">
        <w:rPr>
          <w:rStyle w:val="Emphasis"/>
        </w:rPr>
        <w:t>MIS Quarterly</w:t>
      </w:r>
      <w:r w:rsidRPr="009372A6">
        <w:t>, 13(3), pp. 319–340.</w:t>
      </w:r>
    </w:p>
    <w:p w14:paraId="2F8F76AA" w14:textId="77777777" w:rsidR="009372A6" w:rsidRPr="009372A6" w:rsidRDefault="009372A6" w:rsidP="009372A6">
      <w:pPr>
        <w:pStyle w:val="NormalWeb"/>
        <w:numPr>
          <w:ilvl w:val="0"/>
          <w:numId w:val="1"/>
        </w:numPr>
        <w:spacing w:line="360" w:lineRule="auto"/>
        <w:jc w:val="both"/>
      </w:pPr>
      <w:proofErr w:type="spellStart"/>
      <w:r w:rsidRPr="009372A6">
        <w:t>Greenhalgh</w:t>
      </w:r>
      <w:proofErr w:type="spellEnd"/>
      <w:r w:rsidRPr="009372A6">
        <w:t xml:space="preserve">, T., </w:t>
      </w:r>
      <w:proofErr w:type="spellStart"/>
      <w:r w:rsidRPr="009372A6">
        <w:t>Wherton</w:t>
      </w:r>
      <w:proofErr w:type="spellEnd"/>
      <w:r w:rsidRPr="009372A6">
        <w:t xml:space="preserve">, J., </w:t>
      </w:r>
      <w:proofErr w:type="spellStart"/>
      <w:r w:rsidRPr="009372A6">
        <w:t>Papoutsi</w:t>
      </w:r>
      <w:proofErr w:type="spellEnd"/>
      <w:r w:rsidRPr="009372A6">
        <w:t xml:space="preserve">, C., Lynch, J., Hughes, G., A’Court, C., Hinder, S., </w:t>
      </w:r>
      <w:proofErr w:type="spellStart"/>
      <w:r w:rsidRPr="009372A6">
        <w:t>Fahy</w:t>
      </w:r>
      <w:proofErr w:type="spellEnd"/>
      <w:r w:rsidRPr="009372A6">
        <w:t xml:space="preserve">, N., Procter, R. and Shaw, S. (2017) ‘Beyond adoption: a new framework for theorising and evaluating </w:t>
      </w:r>
      <w:proofErr w:type="spellStart"/>
      <w:r w:rsidRPr="009372A6">
        <w:t>nonadoption</w:t>
      </w:r>
      <w:proofErr w:type="spellEnd"/>
      <w:r w:rsidRPr="009372A6">
        <w:t xml:space="preserve">, abandonment, scale-up, spread, and sustainability of health and care technologies’, </w:t>
      </w:r>
      <w:r w:rsidRPr="009372A6">
        <w:rPr>
          <w:rStyle w:val="Emphasis"/>
        </w:rPr>
        <w:t>Journal of Medical Internet Research</w:t>
      </w:r>
      <w:r w:rsidRPr="009372A6">
        <w:t>, 19(11), e367.</w:t>
      </w:r>
    </w:p>
    <w:p w14:paraId="2DC82995" w14:textId="77777777" w:rsidR="009372A6" w:rsidRPr="009372A6" w:rsidRDefault="009372A6" w:rsidP="009372A6">
      <w:pPr>
        <w:pStyle w:val="NormalWeb"/>
        <w:numPr>
          <w:ilvl w:val="0"/>
          <w:numId w:val="1"/>
        </w:numPr>
        <w:spacing w:line="360" w:lineRule="auto"/>
        <w:jc w:val="both"/>
      </w:pPr>
      <w:r w:rsidRPr="009372A6">
        <w:t xml:space="preserve">Meadows, D.H. (2008) </w:t>
      </w:r>
      <w:r w:rsidRPr="009372A6">
        <w:rPr>
          <w:rStyle w:val="Emphasis"/>
        </w:rPr>
        <w:t>Thinking in systems: a primer.</w:t>
      </w:r>
      <w:r w:rsidRPr="009372A6">
        <w:t xml:space="preserve"> White River Junction, VT: Chelsea Green Publishing.</w:t>
      </w:r>
    </w:p>
    <w:p w14:paraId="72EFFA17" w14:textId="77777777" w:rsidR="009372A6" w:rsidRPr="009372A6" w:rsidRDefault="009372A6" w:rsidP="009372A6">
      <w:pPr>
        <w:pStyle w:val="NormalWeb"/>
        <w:numPr>
          <w:ilvl w:val="0"/>
          <w:numId w:val="1"/>
        </w:numPr>
        <w:spacing w:line="360" w:lineRule="auto"/>
        <w:jc w:val="both"/>
      </w:pPr>
      <w:r w:rsidRPr="009372A6">
        <w:t xml:space="preserve">NHS England (2023) </w:t>
      </w:r>
      <w:r w:rsidRPr="009372A6">
        <w:rPr>
          <w:rStyle w:val="Emphasis"/>
        </w:rPr>
        <w:t>Virtual wards: operational framework.</w:t>
      </w:r>
      <w:r w:rsidRPr="009372A6">
        <w:t xml:space="preserve"> Available at: </w:t>
      </w:r>
      <w:hyperlink r:id="rId6" w:tgtFrame="_new" w:history="1">
        <w:r w:rsidRPr="009372A6">
          <w:rPr>
            <w:rStyle w:val="Hyperlink"/>
          </w:rPr>
          <w:t>https://www.england.nhs.uk</w:t>
        </w:r>
      </w:hyperlink>
      <w:r w:rsidRPr="009372A6">
        <w:t xml:space="preserve"> (Accessed: 10 March 2026).</w:t>
      </w:r>
    </w:p>
    <w:p w14:paraId="7B5A30B3" w14:textId="77777777" w:rsidR="009372A6" w:rsidRPr="009372A6" w:rsidRDefault="009372A6" w:rsidP="009372A6">
      <w:pPr>
        <w:pStyle w:val="NormalWeb"/>
        <w:numPr>
          <w:ilvl w:val="0"/>
          <w:numId w:val="1"/>
        </w:numPr>
        <w:spacing w:line="360" w:lineRule="auto"/>
        <w:jc w:val="both"/>
      </w:pPr>
      <w:r w:rsidRPr="009372A6">
        <w:t xml:space="preserve">Oliver, D. (2024) ‘The NHS staff survey 2023 has depressing findings and worrying implications’, </w:t>
      </w:r>
      <w:r w:rsidRPr="009372A6">
        <w:rPr>
          <w:rStyle w:val="Emphasis"/>
        </w:rPr>
        <w:t>BMJ</w:t>
      </w:r>
      <w:r w:rsidRPr="009372A6">
        <w:t>, 384.</w:t>
      </w:r>
    </w:p>
    <w:p w14:paraId="4E0B35E4" w14:textId="77777777" w:rsidR="009372A6" w:rsidRPr="009372A6" w:rsidRDefault="009372A6" w:rsidP="009372A6">
      <w:pPr>
        <w:pStyle w:val="NormalWeb"/>
        <w:numPr>
          <w:ilvl w:val="0"/>
          <w:numId w:val="1"/>
        </w:numPr>
        <w:spacing w:line="360" w:lineRule="auto"/>
        <w:jc w:val="both"/>
      </w:pPr>
      <w:r w:rsidRPr="009372A6">
        <w:t xml:space="preserve">Porter, M.E. (2010) ‘What is value in health care?’, </w:t>
      </w:r>
      <w:r w:rsidRPr="009372A6">
        <w:rPr>
          <w:rStyle w:val="Emphasis"/>
        </w:rPr>
        <w:t>New England Journal of Medicine</w:t>
      </w:r>
      <w:r w:rsidRPr="009372A6">
        <w:t>, 363(26), pp. 2477–2481.</w:t>
      </w:r>
    </w:p>
    <w:p w14:paraId="1F1F5734" w14:textId="77777777" w:rsidR="009372A6" w:rsidRPr="009372A6" w:rsidRDefault="009372A6" w:rsidP="009372A6">
      <w:pPr>
        <w:pStyle w:val="NormalWeb"/>
        <w:numPr>
          <w:ilvl w:val="0"/>
          <w:numId w:val="1"/>
        </w:numPr>
        <w:spacing w:line="360" w:lineRule="auto"/>
        <w:jc w:val="both"/>
      </w:pPr>
      <w:r w:rsidRPr="009372A6">
        <w:t xml:space="preserve">Rogers, E.M. (2003) </w:t>
      </w:r>
      <w:r w:rsidRPr="009372A6">
        <w:rPr>
          <w:rStyle w:val="Emphasis"/>
        </w:rPr>
        <w:t>Diffusion of innovations.</w:t>
      </w:r>
      <w:r w:rsidRPr="009372A6">
        <w:t xml:space="preserve"> 5th </w:t>
      </w:r>
      <w:proofErr w:type="spellStart"/>
      <w:r w:rsidRPr="009372A6">
        <w:t>edn</w:t>
      </w:r>
      <w:proofErr w:type="spellEnd"/>
      <w:r w:rsidRPr="009372A6">
        <w:t>. New York: Free Press.</w:t>
      </w:r>
    </w:p>
    <w:p w14:paraId="10612489" w14:textId="77777777" w:rsidR="009372A6" w:rsidRPr="009372A6" w:rsidRDefault="009372A6" w:rsidP="009372A6">
      <w:pPr>
        <w:pStyle w:val="NormalWeb"/>
        <w:numPr>
          <w:ilvl w:val="0"/>
          <w:numId w:val="1"/>
        </w:numPr>
        <w:spacing w:line="360" w:lineRule="auto"/>
        <w:jc w:val="both"/>
      </w:pPr>
      <w:proofErr w:type="spellStart"/>
      <w:r w:rsidRPr="009372A6">
        <w:t>Teo</w:t>
      </w:r>
      <w:proofErr w:type="spellEnd"/>
      <w:r w:rsidRPr="009372A6">
        <w:t xml:space="preserve">, S.M., Moore, S. and Rao, S. (2025) ‘The paradox of care: burnout among healthcare workers’, </w:t>
      </w:r>
      <w:r w:rsidRPr="009372A6">
        <w:rPr>
          <w:rStyle w:val="Emphasis"/>
        </w:rPr>
        <w:t>Public Health Reviews</w:t>
      </w:r>
      <w:r w:rsidRPr="009372A6">
        <w:t>, 46.</w:t>
      </w:r>
    </w:p>
    <w:p w14:paraId="79C3498C" w14:textId="77777777" w:rsidR="009372A6" w:rsidRPr="009372A6" w:rsidRDefault="009372A6" w:rsidP="009372A6">
      <w:pPr>
        <w:pStyle w:val="NormalWeb"/>
        <w:numPr>
          <w:ilvl w:val="0"/>
          <w:numId w:val="1"/>
        </w:numPr>
        <w:spacing w:line="360" w:lineRule="auto"/>
        <w:jc w:val="both"/>
      </w:pPr>
      <w:proofErr w:type="spellStart"/>
      <w:r w:rsidRPr="009372A6">
        <w:t>Topol</w:t>
      </w:r>
      <w:proofErr w:type="spellEnd"/>
      <w:r w:rsidRPr="009372A6">
        <w:t xml:space="preserve">, E. (2019) </w:t>
      </w:r>
      <w:r w:rsidRPr="009372A6">
        <w:rPr>
          <w:rStyle w:val="Emphasis"/>
        </w:rPr>
        <w:t>Deep medicine: how artificial intelligence can make healthcare human again.</w:t>
      </w:r>
      <w:r w:rsidRPr="009372A6">
        <w:t xml:space="preserve"> New York: Basic Books.</w:t>
      </w:r>
    </w:p>
    <w:p w14:paraId="53E97F63" w14:textId="77777777" w:rsidR="009372A6" w:rsidRPr="009372A6" w:rsidRDefault="009372A6" w:rsidP="009372A6">
      <w:pPr>
        <w:pStyle w:val="NormalWeb"/>
        <w:numPr>
          <w:ilvl w:val="0"/>
          <w:numId w:val="1"/>
        </w:numPr>
        <w:spacing w:line="360" w:lineRule="auto"/>
        <w:jc w:val="both"/>
      </w:pPr>
      <w:proofErr w:type="spellStart"/>
      <w:r w:rsidRPr="009372A6">
        <w:t>Wachter</w:t>
      </w:r>
      <w:proofErr w:type="spellEnd"/>
      <w:r w:rsidRPr="009372A6">
        <w:t xml:space="preserve">, R. (2015) </w:t>
      </w:r>
      <w:r w:rsidRPr="009372A6">
        <w:rPr>
          <w:rStyle w:val="Emphasis"/>
        </w:rPr>
        <w:t>Making IT work: harnessing the power of health information technology to improve care in England.</w:t>
      </w:r>
      <w:r w:rsidRPr="009372A6">
        <w:t xml:space="preserve"> London: National Advisory Group on Health Information Technology.</w:t>
      </w:r>
    </w:p>
    <w:p w14:paraId="3FC8D8A6" w14:textId="77777777" w:rsidR="009372A6" w:rsidRPr="009372A6" w:rsidRDefault="009372A6" w:rsidP="009372A6">
      <w:pPr>
        <w:pStyle w:val="NormalWeb"/>
        <w:numPr>
          <w:ilvl w:val="0"/>
          <w:numId w:val="1"/>
        </w:numPr>
        <w:spacing w:line="360" w:lineRule="auto"/>
        <w:jc w:val="both"/>
      </w:pPr>
      <w:r w:rsidRPr="009372A6">
        <w:t xml:space="preserve">World Health Organization (2021) </w:t>
      </w:r>
      <w:r w:rsidRPr="009372A6">
        <w:rPr>
          <w:rStyle w:val="Emphasis"/>
        </w:rPr>
        <w:t>Global strategy on digital health 2020–2025.</w:t>
      </w:r>
      <w:r w:rsidRPr="009372A6">
        <w:t xml:space="preserve"> Geneva: World Health Organization.</w:t>
      </w:r>
    </w:p>
    <w:p w14:paraId="172C306C" w14:textId="77777777" w:rsidR="00C066EB" w:rsidRPr="009372A6" w:rsidRDefault="00C066EB" w:rsidP="009372A6">
      <w:pPr>
        <w:pStyle w:val="NormalWeb"/>
        <w:spacing w:line="360" w:lineRule="auto"/>
        <w:jc w:val="both"/>
      </w:pPr>
    </w:p>
    <w:sectPr w:rsidR="00C066EB" w:rsidRPr="009372A6" w:rsidSect="009372A6">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E7A28"/>
    <w:multiLevelType w:val="hybridMultilevel"/>
    <w:tmpl w:val="42FAB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8720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4E01"/>
    <w:rsid w:val="00092807"/>
    <w:rsid w:val="003C538A"/>
    <w:rsid w:val="00456E2D"/>
    <w:rsid w:val="0049106C"/>
    <w:rsid w:val="00576C3B"/>
    <w:rsid w:val="0058277C"/>
    <w:rsid w:val="00680BE2"/>
    <w:rsid w:val="008D4E01"/>
    <w:rsid w:val="009372A6"/>
    <w:rsid w:val="00A37D97"/>
    <w:rsid w:val="00B6269B"/>
    <w:rsid w:val="00BB15F1"/>
    <w:rsid w:val="00C066EB"/>
    <w:rsid w:val="00C63BFE"/>
    <w:rsid w:val="00C8784C"/>
    <w:rsid w:val="00DC5102"/>
    <w:rsid w:val="00FB5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2C86C"/>
  <w15:chartTrackingRefBased/>
  <w15:docId w15:val="{87BAC6AE-FA77-417C-8E0D-94AB3C0C0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D4E0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D4E0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4E0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D4E01"/>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8D4E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D4E01"/>
    <w:rPr>
      <w:b/>
      <w:bCs/>
    </w:rPr>
  </w:style>
  <w:style w:type="character" w:styleId="Emphasis">
    <w:name w:val="Emphasis"/>
    <w:basedOn w:val="DefaultParagraphFont"/>
    <w:uiPriority w:val="20"/>
    <w:qFormat/>
    <w:rsid w:val="008D4E01"/>
    <w:rPr>
      <w:i/>
      <w:iCs/>
    </w:rPr>
  </w:style>
  <w:style w:type="table" w:styleId="TableGrid">
    <w:name w:val="Table Grid"/>
    <w:basedOn w:val="TableNormal"/>
    <w:uiPriority w:val="39"/>
    <w:rsid w:val="003C53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72A6"/>
    <w:rPr>
      <w:color w:val="0000FF"/>
      <w:u w:val="single"/>
    </w:rPr>
  </w:style>
  <w:style w:type="paragraph" w:styleId="TOCHeading">
    <w:name w:val="TOC Heading"/>
    <w:basedOn w:val="Heading1"/>
    <w:next w:val="Normal"/>
    <w:uiPriority w:val="39"/>
    <w:unhideWhenUsed/>
    <w:qFormat/>
    <w:rsid w:val="009372A6"/>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9372A6"/>
    <w:pPr>
      <w:spacing w:after="100"/>
      <w:ind w:left="220"/>
    </w:pPr>
  </w:style>
  <w:style w:type="paragraph" w:customStyle="1" w:styleId="p1">
    <w:name w:val="p1"/>
    <w:basedOn w:val="Normal"/>
    <w:rsid w:val="0009280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1">
    <w:name w:val="s1"/>
    <w:basedOn w:val="DefaultParagraphFont"/>
    <w:rsid w:val="00092807"/>
  </w:style>
  <w:style w:type="character" w:customStyle="1" w:styleId="s2">
    <w:name w:val="s2"/>
    <w:basedOn w:val="DefaultParagraphFont"/>
    <w:rsid w:val="00092807"/>
  </w:style>
  <w:style w:type="paragraph" w:customStyle="1" w:styleId="p2">
    <w:name w:val="p2"/>
    <w:basedOn w:val="Normal"/>
    <w:rsid w:val="00092807"/>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760698">
      <w:bodyDiv w:val="1"/>
      <w:marLeft w:val="0"/>
      <w:marRight w:val="0"/>
      <w:marTop w:val="0"/>
      <w:marBottom w:val="0"/>
      <w:divBdr>
        <w:top w:val="none" w:sz="0" w:space="0" w:color="auto"/>
        <w:left w:val="none" w:sz="0" w:space="0" w:color="auto"/>
        <w:bottom w:val="none" w:sz="0" w:space="0" w:color="auto"/>
        <w:right w:val="none" w:sz="0" w:space="0" w:color="auto"/>
      </w:divBdr>
    </w:div>
    <w:div w:id="170611565">
      <w:bodyDiv w:val="1"/>
      <w:marLeft w:val="0"/>
      <w:marRight w:val="0"/>
      <w:marTop w:val="0"/>
      <w:marBottom w:val="0"/>
      <w:divBdr>
        <w:top w:val="none" w:sz="0" w:space="0" w:color="auto"/>
        <w:left w:val="none" w:sz="0" w:space="0" w:color="auto"/>
        <w:bottom w:val="none" w:sz="0" w:space="0" w:color="auto"/>
        <w:right w:val="none" w:sz="0" w:space="0" w:color="auto"/>
      </w:divBdr>
    </w:div>
    <w:div w:id="226110724">
      <w:bodyDiv w:val="1"/>
      <w:marLeft w:val="0"/>
      <w:marRight w:val="0"/>
      <w:marTop w:val="0"/>
      <w:marBottom w:val="0"/>
      <w:divBdr>
        <w:top w:val="none" w:sz="0" w:space="0" w:color="auto"/>
        <w:left w:val="none" w:sz="0" w:space="0" w:color="auto"/>
        <w:bottom w:val="none" w:sz="0" w:space="0" w:color="auto"/>
        <w:right w:val="none" w:sz="0" w:space="0" w:color="auto"/>
      </w:divBdr>
      <w:divsChild>
        <w:div w:id="1017733501">
          <w:marLeft w:val="0"/>
          <w:marRight w:val="0"/>
          <w:marTop w:val="0"/>
          <w:marBottom w:val="0"/>
          <w:divBdr>
            <w:top w:val="none" w:sz="0" w:space="0" w:color="auto"/>
            <w:left w:val="none" w:sz="0" w:space="0" w:color="auto"/>
            <w:bottom w:val="none" w:sz="0" w:space="0" w:color="auto"/>
            <w:right w:val="none" w:sz="0" w:space="0" w:color="auto"/>
          </w:divBdr>
          <w:divsChild>
            <w:div w:id="141728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115105">
      <w:bodyDiv w:val="1"/>
      <w:marLeft w:val="0"/>
      <w:marRight w:val="0"/>
      <w:marTop w:val="0"/>
      <w:marBottom w:val="0"/>
      <w:divBdr>
        <w:top w:val="none" w:sz="0" w:space="0" w:color="auto"/>
        <w:left w:val="none" w:sz="0" w:space="0" w:color="auto"/>
        <w:bottom w:val="none" w:sz="0" w:space="0" w:color="auto"/>
        <w:right w:val="none" w:sz="0" w:space="0" w:color="auto"/>
      </w:divBdr>
      <w:divsChild>
        <w:div w:id="1639334023">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753090419">
      <w:bodyDiv w:val="1"/>
      <w:marLeft w:val="0"/>
      <w:marRight w:val="0"/>
      <w:marTop w:val="0"/>
      <w:marBottom w:val="0"/>
      <w:divBdr>
        <w:top w:val="none" w:sz="0" w:space="0" w:color="auto"/>
        <w:left w:val="none" w:sz="0" w:space="0" w:color="auto"/>
        <w:bottom w:val="none" w:sz="0" w:space="0" w:color="auto"/>
        <w:right w:val="none" w:sz="0" w:space="0" w:color="auto"/>
      </w:divBdr>
      <w:divsChild>
        <w:div w:id="425082448">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180512098">
      <w:bodyDiv w:val="1"/>
      <w:marLeft w:val="0"/>
      <w:marRight w:val="0"/>
      <w:marTop w:val="0"/>
      <w:marBottom w:val="0"/>
      <w:divBdr>
        <w:top w:val="none" w:sz="0" w:space="0" w:color="auto"/>
        <w:left w:val="none" w:sz="0" w:space="0" w:color="auto"/>
        <w:bottom w:val="none" w:sz="0" w:space="0" w:color="auto"/>
        <w:right w:val="none" w:sz="0" w:space="0" w:color="auto"/>
      </w:divBdr>
    </w:div>
    <w:div w:id="1762869030">
      <w:bodyDiv w:val="1"/>
      <w:marLeft w:val="0"/>
      <w:marRight w:val="0"/>
      <w:marTop w:val="0"/>
      <w:marBottom w:val="0"/>
      <w:divBdr>
        <w:top w:val="none" w:sz="0" w:space="0" w:color="auto"/>
        <w:left w:val="none" w:sz="0" w:space="0" w:color="auto"/>
        <w:bottom w:val="none" w:sz="0" w:space="0" w:color="auto"/>
        <w:right w:val="none" w:sz="0" w:space="0" w:color="auto"/>
      </w:divBdr>
    </w:div>
    <w:div w:id="1766001239">
      <w:bodyDiv w:val="1"/>
      <w:marLeft w:val="0"/>
      <w:marRight w:val="0"/>
      <w:marTop w:val="0"/>
      <w:marBottom w:val="0"/>
      <w:divBdr>
        <w:top w:val="none" w:sz="0" w:space="0" w:color="auto"/>
        <w:left w:val="none" w:sz="0" w:space="0" w:color="auto"/>
        <w:bottom w:val="none" w:sz="0" w:space="0" w:color="auto"/>
        <w:right w:val="none" w:sz="0" w:space="0" w:color="auto"/>
      </w:divBdr>
    </w:div>
    <w:div w:id="1786344128">
      <w:bodyDiv w:val="1"/>
      <w:marLeft w:val="0"/>
      <w:marRight w:val="0"/>
      <w:marTop w:val="0"/>
      <w:marBottom w:val="0"/>
      <w:divBdr>
        <w:top w:val="none" w:sz="0" w:space="0" w:color="auto"/>
        <w:left w:val="none" w:sz="0" w:space="0" w:color="auto"/>
        <w:bottom w:val="none" w:sz="0" w:space="0" w:color="auto"/>
        <w:right w:val="none" w:sz="0" w:space="0" w:color="auto"/>
      </w:divBdr>
    </w:div>
    <w:div w:id="1844666129">
      <w:bodyDiv w:val="1"/>
      <w:marLeft w:val="0"/>
      <w:marRight w:val="0"/>
      <w:marTop w:val="0"/>
      <w:marBottom w:val="0"/>
      <w:divBdr>
        <w:top w:val="none" w:sz="0" w:space="0" w:color="auto"/>
        <w:left w:val="none" w:sz="0" w:space="0" w:color="auto"/>
        <w:bottom w:val="none" w:sz="0" w:space="0" w:color="auto"/>
        <w:right w:val="none" w:sz="0" w:space="0" w:color="auto"/>
      </w:divBdr>
    </w:div>
    <w:div w:id="2142310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ngland.nhs.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0EC96D-4070-41AF-9F4D-0B46BC65DA4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2540</Words>
  <Characters>14478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obaid ullah</dc:creator>
  <cp:keywords/>
  <dc:description/>
  <cp:lastModifiedBy>Toniece Lee</cp:lastModifiedBy>
  <cp:revision>2</cp:revision>
  <dcterms:created xsi:type="dcterms:W3CDTF">2026-04-14T21:50:00Z</dcterms:created>
  <dcterms:modified xsi:type="dcterms:W3CDTF">2026-04-14T21:50:00Z</dcterms:modified>
</cp:coreProperties>
</file>