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14B072A">
      <w:pPr>
        <w:spacing w:line="360" w:lineRule="auto"/>
        <w:jc w:val="center"/>
        <w:rPr>
          <w:rFonts w:hint="default" w:ascii="Arial Regular" w:hAnsi="Arial Regular" w:cs="Arial Regular"/>
          <w:color w:val="000000" w:themeColor="text1"/>
          <w:sz w:val="24"/>
          <w:szCs w:val="24"/>
          <w:lang w:val="en-US"/>
          <w14:textFill>
            <w14:solidFill>
              <w14:schemeClr w14:val="tx1"/>
            </w14:solidFill>
          </w14:textFill>
        </w:rPr>
      </w:pPr>
      <w:r>
        <w:rPr>
          <w:rFonts w:hint="default" w:ascii="Arial Regular" w:hAnsi="Arial Regular" w:cs="Arial Regular"/>
          <w:color w:val="000000" w:themeColor="text1"/>
          <w:sz w:val="24"/>
          <w:szCs w:val="24"/>
          <w:lang w:val="en-US"/>
          <w14:textFill>
            <w14:solidFill>
              <w14:schemeClr w14:val="tx1"/>
            </w14:solidFill>
          </w14:textFill>
        </w:rPr>
        <w:t>TRINITY SAINT DAVID UNIVERSITY OF WALES</w:t>
      </w:r>
    </w:p>
    <w:p w14:paraId="4182A2D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7E7249BC">
      <w:pPr>
        <w:spacing w:after="160" w:line="360" w:lineRule="auto"/>
        <w:jc w:val="center"/>
        <w:rPr>
          <w:rFonts w:hint="default" w:ascii="Arial Regular" w:hAnsi="Arial Regular" w:eastAsia="Arial" w:cs="Arial Regular"/>
          <w:b/>
          <w:bCs/>
          <w:color w:val="000000" w:themeColor="text1"/>
          <w:sz w:val="24"/>
          <w:szCs w:val="24"/>
          <w14:textFill>
            <w14:solidFill>
              <w14:schemeClr w14:val="tx1"/>
            </w14:solidFill>
          </w14:textFill>
        </w:rPr>
      </w:pPr>
      <w:r>
        <w:rPr>
          <w:rFonts w:hint="default" w:ascii="Arial Regular" w:hAnsi="Arial Regular" w:eastAsia="Arial" w:cs="Arial Regular"/>
          <w:b/>
          <w:bCs/>
          <w:color w:val="000000" w:themeColor="text1"/>
          <w:sz w:val="24"/>
          <w:szCs w:val="24"/>
          <w14:textFill>
            <w14:solidFill>
              <w14:schemeClr w14:val="tx1"/>
            </w14:solidFill>
          </w14:textFill>
        </w:rPr>
        <w:t xml:space="preserve"> HEALTH AND SOCIAL CARE</w:t>
      </w:r>
      <w:r>
        <w:rPr>
          <w:rFonts w:hint="default" w:ascii="Arial Regular" w:hAnsi="Arial Regular" w:cs="Arial Regular"/>
          <w:b/>
          <w:bCs/>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b/>
          <w:bCs/>
          <w:color w:val="000000" w:themeColor="text1"/>
          <w:sz w:val="24"/>
          <w:szCs w:val="24"/>
          <w14:textFill>
            <w14:solidFill>
              <w14:schemeClr w14:val="tx1"/>
            </w14:solidFill>
          </w14:textFill>
        </w:rPr>
        <w:t>LEVEL 4</w:t>
      </w:r>
    </w:p>
    <w:p w14:paraId="07FE7152">
      <w:pPr>
        <w:spacing w:after="160" w:line="360" w:lineRule="auto"/>
        <w:jc w:val="center"/>
        <w:rPr>
          <w:rFonts w:hint="default" w:ascii="Arial Regular" w:hAnsi="Arial Regular" w:eastAsia="Arial" w:cs="Arial Regular"/>
          <w:b/>
          <w:bCs/>
          <w:color w:val="000000" w:themeColor="text1"/>
          <w:sz w:val="24"/>
          <w:szCs w:val="24"/>
          <w14:textFill>
            <w14:solidFill>
              <w14:schemeClr w14:val="tx1"/>
            </w14:solidFill>
          </w14:textFill>
        </w:rPr>
      </w:pPr>
    </w:p>
    <w:p w14:paraId="6C55D967">
      <w:pPr>
        <w:spacing w:after="160" w:line="360" w:lineRule="auto"/>
        <w:jc w:val="center"/>
        <w:rPr>
          <w:rFonts w:hint="default" w:ascii="Arial Regular" w:hAnsi="Arial Regular" w:eastAsia="Arial" w:cs="Arial Regular"/>
          <w:b/>
          <w:bCs/>
          <w:color w:val="000000" w:themeColor="text1"/>
          <w:sz w:val="24"/>
          <w:szCs w:val="24"/>
          <w:lang w:val="en-US"/>
          <w14:textFill>
            <w14:solidFill>
              <w14:schemeClr w14:val="tx1"/>
            </w14:solidFill>
          </w14:textFill>
        </w:rPr>
      </w:pPr>
    </w:p>
    <w:p w14:paraId="6DC53C8C">
      <w:pPr>
        <w:spacing w:after="160" w:line="360" w:lineRule="auto"/>
        <w:jc w:val="center"/>
        <w:rPr>
          <w:rFonts w:hint="default" w:ascii="Arial Regular" w:hAnsi="Arial Regular" w:eastAsia="Arial" w:cs="Arial Regular"/>
          <w:b/>
          <w:bCs/>
          <w:color w:val="000000" w:themeColor="text1"/>
          <w:sz w:val="24"/>
          <w:szCs w:val="24"/>
          <w:lang w:val="en-US"/>
          <w14:textFill>
            <w14:solidFill>
              <w14:schemeClr w14:val="tx1"/>
            </w14:solidFill>
          </w14:textFill>
        </w:rPr>
      </w:pPr>
    </w:p>
    <w:p w14:paraId="196528F7">
      <w:pPr>
        <w:spacing w:after="200" w:line="360" w:lineRule="auto"/>
        <w:jc w:val="center"/>
        <w:rPr>
          <w:rFonts w:hint="default" w:ascii="Arial Regular" w:hAnsi="Arial Regular" w:eastAsia="Arial" w:cs="Arial Regular"/>
          <w:b/>
          <w:bCs/>
          <w:color w:val="000000" w:themeColor="text1"/>
          <w:sz w:val="24"/>
          <w:szCs w:val="24"/>
          <w14:textFill>
            <w14:solidFill>
              <w14:schemeClr w14:val="tx1"/>
            </w14:solidFill>
          </w14:textFill>
        </w:rPr>
      </w:pPr>
      <w:r>
        <w:rPr>
          <w:rFonts w:hint="default" w:ascii="Arial Regular" w:hAnsi="Arial Regular" w:eastAsia="Arial" w:cs="Arial Regular"/>
          <w:b/>
          <w:bCs/>
          <w:color w:val="000000" w:themeColor="text1"/>
          <w:sz w:val="24"/>
          <w:szCs w:val="24"/>
          <w14:textFill>
            <w14:solidFill>
              <w14:schemeClr w14:val="tx1"/>
            </w14:solidFill>
          </w14:textFill>
        </w:rPr>
        <w:t>Research Project Assessment</w:t>
      </w:r>
    </w:p>
    <w:p w14:paraId="37CC8AD2">
      <w:pPr>
        <w:spacing w:after="200" w:line="360" w:lineRule="auto"/>
        <w:jc w:val="center"/>
        <w:rPr>
          <w:rFonts w:hint="default" w:ascii="Arial Regular" w:hAnsi="Arial Regular" w:eastAsia="Arial" w:cs="Arial Regular"/>
          <w:b/>
          <w:bCs/>
          <w:color w:val="000000" w:themeColor="text1"/>
          <w:sz w:val="24"/>
          <w:szCs w:val="24"/>
          <w14:textFill>
            <w14:solidFill>
              <w14:schemeClr w14:val="tx1"/>
            </w14:solidFill>
          </w14:textFill>
        </w:rPr>
      </w:pPr>
    </w:p>
    <w:p w14:paraId="3BB8A167">
      <w:pPr>
        <w:spacing w:after="200" w:line="360" w:lineRule="auto"/>
        <w:jc w:val="center"/>
        <w:rPr>
          <w:rFonts w:hint="default" w:ascii="Arial Regular" w:hAnsi="Arial Regular" w:eastAsia="Arial" w:cs="Arial Regular"/>
          <w:b/>
          <w:bCs/>
          <w:color w:val="000000" w:themeColor="text1"/>
          <w:sz w:val="24"/>
          <w:szCs w:val="24"/>
          <w14:textFill>
            <w14:solidFill>
              <w14:schemeClr w14:val="tx1"/>
            </w14:solidFill>
          </w14:textFill>
        </w:rPr>
      </w:pPr>
    </w:p>
    <w:p w14:paraId="09B7DC03">
      <w:pPr>
        <w:spacing w:after="160" w:line="360" w:lineRule="auto"/>
        <w:jc w:val="center"/>
        <w:rPr>
          <w:rFonts w:hint="default" w:ascii="Arial Regular" w:hAnsi="Arial Regular" w:eastAsia="Arial" w:cs="Arial Regular"/>
          <w:b/>
          <w:bCs/>
          <w:color w:val="000000" w:themeColor="text1"/>
          <w:sz w:val="24"/>
          <w:szCs w:val="24"/>
          <w14:textFill>
            <w14:solidFill>
              <w14:schemeClr w14:val="tx1"/>
            </w14:solidFill>
          </w14:textFill>
        </w:rPr>
      </w:pPr>
      <w:r>
        <w:rPr>
          <w:rFonts w:hint="default" w:ascii="Arial Regular" w:hAnsi="Arial Regular" w:eastAsia="Arial" w:cs="Arial Regular"/>
          <w:b/>
          <w:bCs/>
          <w:color w:val="000000" w:themeColor="text1"/>
          <w:sz w:val="24"/>
          <w:szCs w:val="24"/>
          <w14:textFill>
            <w14:solidFill>
              <w14:schemeClr w14:val="tx1"/>
            </w14:solidFill>
          </w14:textFill>
        </w:rPr>
        <w:t>The Impact of Midwifery Shortages on Postnatal Mental Health</w:t>
      </w:r>
    </w:p>
    <w:p w14:paraId="3F3B6A24">
      <w:pPr>
        <w:spacing w:after="160" w:line="360" w:lineRule="auto"/>
        <w:jc w:val="center"/>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b/>
          <w:bCs/>
          <w:color w:val="000000" w:themeColor="text1"/>
          <w:sz w:val="24"/>
          <w:szCs w:val="24"/>
          <w14:textFill>
            <w14:solidFill>
              <w14:schemeClr w14:val="tx1"/>
            </w14:solidFill>
          </w14:textFill>
        </w:rPr>
        <w:t xml:space="preserve"> Outcomes for Women in the UK</w:t>
      </w:r>
    </w:p>
    <w:p w14:paraId="69AAA010">
      <w:pPr>
        <w:spacing w:after="80" w:line="360" w:lineRule="auto"/>
        <w:jc w:val="center"/>
        <w:rPr>
          <w:rFonts w:hint="default" w:ascii="Arial Regular" w:hAnsi="Arial Regular" w:eastAsia="Arial"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Mental Health / Postnatal Depression Angle</w:t>
      </w:r>
    </w:p>
    <w:p w14:paraId="01614BB0">
      <w:pPr>
        <w:spacing w:after="80" w:line="360" w:lineRule="auto"/>
        <w:jc w:val="center"/>
        <w:rPr>
          <w:rFonts w:hint="default" w:ascii="Arial Regular" w:hAnsi="Arial Regular" w:eastAsia="Arial" w:cs="Arial Regular"/>
          <w:color w:val="000000" w:themeColor="text1"/>
          <w:sz w:val="24"/>
          <w:szCs w:val="24"/>
          <w14:textFill>
            <w14:solidFill>
              <w14:schemeClr w14:val="tx1"/>
            </w14:solidFill>
          </w14:textFill>
        </w:rPr>
      </w:pPr>
    </w:p>
    <w:p w14:paraId="1B396A24">
      <w:pPr>
        <w:spacing w:after="80" w:line="360" w:lineRule="auto"/>
        <w:jc w:val="center"/>
        <w:rPr>
          <w:rFonts w:hint="default" w:ascii="Arial Regular" w:hAnsi="Arial Regular" w:eastAsia="Arial" w:cs="Arial Regular"/>
          <w:color w:val="000000" w:themeColor="text1"/>
          <w:sz w:val="24"/>
          <w:szCs w:val="24"/>
          <w14:textFill>
            <w14:solidFill>
              <w14:schemeClr w14:val="tx1"/>
            </w14:solidFill>
          </w14:textFill>
        </w:rPr>
      </w:pPr>
    </w:p>
    <w:p w14:paraId="746DC699">
      <w:pPr>
        <w:spacing w:after="80" w:line="360" w:lineRule="auto"/>
        <w:jc w:val="center"/>
        <w:rPr>
          <w:rFonts w:hint="default" w:ascii="Arial Regular" w:hAnsi="Arial Regular" w:eastAsia="Arial" w:cs="Arial Regular"/>
          <w:color w:val="000000" w:themeColor="text1"/>
          <w:sz w:val="24"/>
          <w:szCs w:val="24"/>
          <w14:textFill>
            <w14:solidFill>
              <w14:schemeClr w14:val="tx1"/>
            </w14:solidFill>
          </w14:textFill>
        </w:rPr>
      </w:pPr>
    </w:p>
    <w:p w14:paraId="5715112B">
      <w:pPr>
        <w:spacing w:after="80" w:line="360" w:lineRule="auto"/>
        <w:jc w:val="left"/>
        <w:rPr>
          <w:rFonts w:hint="default" w:ascii="Arial Regular" w:hAnsi="Arial Regular" w:eastAsia="Arial" w:cs="Arial Regular"/>
          <w:color w:val="000000" w:themeColor="text1"/>
          <w:sz w:val="24"/>
          <w:szCs w:val="24"/>
          <w14:textFill>
            <w14:solidFill>
              <w14:schemeClr w14:val="tx1"/>
            </w14:solidFill>
          </w14:textFill>
        </w:rPr>
      </w:pPr>
    </w:p>
    <w:p w14:paraId="30DAAC72">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7D2A02AA">
      <w:pPr>
        <w:pBdr>
          <w:top w:val="none" w:color="auto" w:sz="0" w:space="1"/>
          <w:left w:val="none" w:color="auto" w:sz="0" w:space="4"/>
          <w:bottom w:val="none" w:color="CCCCCC" w:sz="0" w:space="0"/>
          <w:right w:val="none" w:color="auto" w:sz="0" w:space="4"/>
          <w:between w:val="none" w:color="auto" w:sz="0" w:space="0"/>
        </w:pBdr>
        <w:spacing w:before="280" w:after="280" w:line="360" w:lineRule="auto"/>
        <w:jc w:val="both"/>
        <w:rPr>
          <w:rFonts w:hint="default" w:ascii="Arial Regular" w:hAnsi="Arial Regular" w:cs="Arial Regular"/>
          <w:color w:val="000000" w:themeColor="text1"/>
          <w:sz w:val="24"/>
          <w:szCs w:val="24"/>
          <w14:textFill>
            <w14:solidFill>
              <w14:schemeClr w14:val="tx1"/>
            </w14:solidFill>
          </w14:textFill>
        </w:rPr>
      </w:pPr>
    </w:p>
    <w:p w14:paraId="2C03B1D0">
      <w:pPr>
        <w:pBdr>
          <w:top w:val="none" w:color="auto" w:sz="0" w:space="1"/>
          <w:left w:val="none" w:color="auto" w:sz="0" w:space="4"/>
          <w:bottom w:val="none" w:color="2E6DA4" w:sz="0" w:space="4"/>
          <w:right w:val="none" w:color="auto" w:sz="0" w:space="4"/>
          <w:between w:val="none" w:color="auto" w:sz="0" w:space="0"/>
        </w:pBdr>
        <w:spacing w:before="400" w:after="140" w:line="240" w:lineRule="auto"/>
        <w:jc w:val="both"/>
        <w:rPr>
          <w:rFonts w:hint="default" w:ascii="Arial Regular" w:hAnsi="Arial Regular" w:cs="Arial Regular"/>
          <w:b/>
          <w:bCs/>
          <w:color w:val="000000" w:themeColor="text1"/>
          <w:sz w:val="24"/>
          <w:szCs w:val="24"/>
          <w:lang w:val="en-US"/>
          <w14:textFill>
            <w14:solidFill>
              <w14:schemeClr w14:val="tx1"/>
            </w14:solidFill>
          </w14:textFill>
        </w:rPr>
      </w:pPr>
      <w:r>
        <w:rPr>
          <w:rFonts w:hint="default" w:ascii="Arial Regular" w:hAnsi="Arial Regular" w:cs="Arial Regular"/>
          <w:b/>
          <w:bCs/>
          <w:color w:val="000000" w:themeColor="text1"/>
          <w:sz w:val="24"/>
          <w:szCs w:val="24"/>
          <w:lang w:val="en-US"/>
          <w14:textFill>
            <w14:solidFill>
              <w14:schemeClr w14:val="tx1"/>
            </w14:solidFill>
          </w14:textFill>
        </w:rPr>
        <w:t>Student Name: Joselyne NDOOLE</w:t>
      </w:r>
    </w:p>
    <w:p w14:paraId="23245E71">
      <w:pPr>
        <w:pBdr>
          <w:top w:val="none" w:color="auto" w:sz="0" w:space="1"/>
          <w:left w:val="none" w:color="auto" w:sz="0" w:space="4"/>
          <w:bottom w:val="none" w:color="2E6DA4" w:sz="0" w:space="4"/>
          <w:right w:val="none" w:color="auto" w:sz="0" w:space="4"/>
          <w:between w:val="none" w:color="auto" w:sz="0" w:space="0"/>
        </w:pBdr>
        <w:spacing w:before="400" w:after="140" w:line="240" w:lineRule="auto"/>
        <w:jc w:val="both"/>
        <w:rPr>
          <w:rFonts w:hint="default" w:ascii="Arial Regular" w:hAnsi="Arial Regular" w:cs="Arial Regular"/>
          <w:b/>
          <w:bCs/>
          <w:color w:val="000000" w:themeColor="text1"/>
          <w:sz w:val="24"/>
          <w:szCs w:val="24"/>
          <w:lang w:val="en-US"/>
          <w14:textFill>
            <w14:solidFill>
              <w14:schemeClr w14:val="tx1"/>
            </w14:solidFill>
          </w14:textFill>
        </w:rPr>
      </w:pPr>
      <w:r>
        <w:rPr>
          <w:rFonts w:hint="default" w:ascii="Arial Regular" w:hAnsi="Arial Regular" w:cs="Arial Regular"/>
          <w:b/>
          <w:bCs/>
          <w:color w:val="000000" w:themeColor="text1"/>
          <w:sz w:val="24"/>
          <w:szCs w:val="24"/>
          <w:lang w:val="en-US"/>
          <w14:textFill>
            <w14:solidFill>
              <w14:schemeClr w14:val="tx1"/>
            </w14:solidFill>
          </w14:textFill>
        </w:rPr>
        <w:t xml:space="preserve">ID: </w:t>
      </w:r>
      <w:r>
        <w:rPr>
          <w:rFonts w:hint="default" w:ascii="Arial Regular" w:hAnsi="Arial Regular"/>
          <w:b/>
          <w:bCs/>
          <w:color w:val="000000" w:themeColor="text1"/>
          <w:sz w:val="24"/>
          <w:szCs w:val="24"/>
          <w:lang w:val="en-US"/>
          <w14:textFill>
            <w14:solidFill>
              <w14:schemeClr w14:val="tx1"/>
            </w14:solidFill>
          </w14:textFill>
        </w:rPr>
        <w:t>2515328</w:t>
      </w:r>
    </w:p>
    <w:p w14:paraId="2EA8AAA4">
      <w:pPr>
        <w:pBdr>
          <w:top w:val="none" w:color="auto" w:sz="0" w:space="1"/>
          <w:left w:val="none" w:color="auto" w:sz="0" w:space="4"/>
          <w:bottom w:val="none" w:color="2E6DA4" w:sz="0" w:space="4"/>
          <w:right w:val="none" w:color="auto" w:sz="0" w:space="4"/>
          <w:between w:val="none" w:color="auto" w:sz="0" w:space="0"/>
        </w:pBdr>
        <w:spacing w:before="400" w:after="140" w:line="240" w:lineRule="auto"/>
        <w:jc w:val="both"/>
        <w:rPr>
          <w:rFonts w:hint="default" w:ascii="Arial Regular" w:hAnsi="Arial Regular" w:cs="Arial Regular"/>
          <w:b/>
          <w:bCs/>
          <w:color w:val="000000" w:themeColor="text1"/>
          <w:sz w:val="24"/>
          <w:szCs w:val="24"/>
          <w:lang w:val="en-US"/>
          <w14:textFill>
            <w14:solidFill>
              <w14:schemeClr w14:val="tx1"/>
            </w14:solidFill>
          </w14:textFill>
        </w:rPr>
      </w:pPr>
      <w:r>
        <w:rPr>
          <w:rFonts w:hint="default" w:ascii="Arial Regular" w:hAnsi="Arial Regular" w:cs="Arial Regular"/>
          <w:b/>
          <w:bCs/>
          <w:color w:val="000000" w:themeColor="text1"/>
          <w:sz w:val="24"/>
          <w:szCs w:val="24"/>
          <w:lang w:val="en-US"/>
          <w14:textFill>
            <w14:solidFill>
              <w14:schemeClr w14:val="tx1"/>
            </w14:solidFill>
          </w14:textFill>
        </w:rPr>
        <w:t>Date: April 2026</w:t>
      </w:r>
    </w:p>
    <w:p w14:paraId="717B9A61">
      <w:pPr>
        <w:pBdr>
          <w:top w:val="none" w:color="auto" w:sz="0" w:space="1"/>
          <w:left w:val="none" w:color="auto" w:sz="0" w:space="4"/>
          <w:bottom w:val="none" w:color="2E6DA4" w:sz="0" w:space="4"/>
          <w:right w:val="none" w:color="auto" w:sz="0" w:space="4"/>
          <w:between w:val="none" w:color="auto" w:sz="0" w:space="0"/>
        </w:pBdr>
        <w:spacing w:before="400" w:after="140" w:line="240" w:lineRule="auto"/>
        <w:jc w:val="both"/>
        <w:rPr>
          <w:rFonts w:hint="default" w:ascii="Arial Regular" w:hAnsi="Arial Regular" w:cs="Arial Regular"/>
          <w:b/>
          <w:bCs/>
          <w:color w:val="000000" w:themeColor="text1"/>
          <w:sz w:val="24"/>
          <w:szCs w:val="24"/>
          <w:lang w:val="en-US"/>
          <w14:textFill>
            <w14:solidFill>
              <w14:schemeClr w14:val="tx1"/>
            </w14:solidFill>
          </w14:textFill>
        </w:rPr>
      </w:pPr>
      <w:r>
        <w:rPr>
          <w:rFonts w:hint="default" w:ascii="Arial Regular" w:hAnsi="Arial Regular" w:cs="Arial Regular"/>
          <w:b/>
          <w:bCs/>
          <w:color w:val="000000" w:themeColor="text1"/>
          <w:sz w:val="24"/>
          <w:szCs w:val="24"/>
          <w:lang w:val="en-US"/>
          <w14:textFill>
            <w14:solidFill>
              <w14:schemeClr w14:val="tx1"/>
            </w14:solidFill>
          </w14:textFill>
        </w:rPr>
        <w:t>Lecture: Kwame Assa-Agyei</w:t>
      </w:r>
    </w:p>
    <w:p w14:paraId="1547CE79">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3CFD2FA5">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2DD9696D">
      <w:pPr>
        <w:spacing w:before="0" w:beforeLines="0" w:after="0" w:afterLines="0" w:line="360" w:lineRule="auto"/>
        <w:ind w:left="0" w:leftChars="0" w:right="0" w:rightChars="0" w:firstLine="0" w:firstLineChars="0"/>
        <w:jc w:val="left"/>
        <w:rPr>
          <w:rFonts w:hint="default" w:ascii="Arial Regular" w:hAnsi="Arial Regular" w:eastAsia="SimSun" w:cs="Arial Regular"/>
          <w:b/>
          <w:bCs/>
          <w:sz w:val="24"/>
          <w:szCs w:val="24"/>
        </w:rPr>
        <w:sectPr>
          <w:headerReference r:id="rId3" w:type="default"/>
          <w:pgSz w:w="11906" w:h="16838"/>
          <w:pgMar w:top="1200" w:right="1200" w:bottom="1200" w:left="1200" w:header="708" w:footer="708" w:gutter="0"/>
          <w:pgBorders w:display="firstPage">
            <w:top w:val="thickThinMediumGap" w:color="215968" w:sz="36" w:space="1"/>
            <w:left w:val="thickThinMediumGap" w:color="215968" w:sz="36" w:space="4"/>
            <w:bottom w:val="thickThinMediumGap" w:color="215968" w:sz="36" w:space="1"/>
            <w:right w:val="thickThinMediumGap" w:color="215968" w:sz="36" w:space="4"/>
          </w:pgBorders>
          <w:pgNumType w:fmt="decimal"/>
          <w:cols w:space="720" w:num="1"/>
          <w:docGrid w:linePitch="360" w:charSpace="0"/>
        </w:sectPr>
      </w:pPr>
    </w:p>
    <w:sdt>
      <w:sdtPr>
        <w:rPr>
          <w:rFonts w:hint="default" w:ascii="Arial Regular" w:hAnsi="Arial Regular" w:eastAsia="SimSun" w:cs="Arial Regular"/>
          <w:b/>
          <w:bCs/>
          <w:sz w:val="24"/>
          <w:szCs w:val="24"/>
        </w:rPr>
        <w:id w:val="934714803"/>
        <w15:color w:val="DBDBDB"/>
        <w:docPartObj>
          <w:docPartGallery w:val="Table of Contents"/>
          <w:docPartUnique/>
        </w:docPartObj>
      </w:sdtPr>
      <w:sdtEndPr>
        <w:rPr>
          <w:rFonts w:hint="default" w:ascii="Arial Regular" w:hAnsi="Arial Regular" w:eastAsia="Arial" w:cs="Arial Regular"/>
          <w:b/>
          <w:bCs/>
          <w:color w:val="000000" w:themeColor="text1"/>
          <w:sz w:val="24"/>
          <w:szCs w:val="24"/>
          <w14:textFill>
            <w14:solidFill>
              <w14:schemeClr w14:val="tx1"/>
            </w14:solidFill>
          </w14:textFill>
        </w:rPr>
      </w:sdtEndPr>
      <w:sdtContent>
        <w:p w14:paraId="3DD16756">
          <w:pPr>
            <w:spacing w:before="0" w:beforeLines="0" w:after="0" w:afterLines="0" w:line="360" w:lineRule="auto"/>
            <w:ind w:left="0" w:leftChars="0" w:right="0" w:rightChars="0" w:firstLine="0" w:firstLineChars="0"/>
            <w:jc w:val="left"/>
            <w:rPr>
              <w:rFonts w:hint="default" w:ascii="Arial Regular" w:hAnsi="Arial Regular" w:eastAsia="SimSun" w:cs="Arial Regular"/>
              <w:b/>
              <w:bCs/>
              <w:sz w:val="24"/>
              <w:szCs w:val="24"/>
              <w:lang w:val="en-US"/>
            </w:rPr>
          </w:pPr>
          <w:r>
            <w:rPr>
              <w:rFonts w:hint="default" w:ascii="Arial Regular" w:hAnsi="Arial Regular" w:eastAsia="SimSun" w:cs="Arial Regular"/>
              <w:b/>
              <w:bCs/>
              <w:sz w:val="24"/>
              <w:szCs w:val="24"/>
              <w:lang w:val="en-US"/>
            </w:rPr>
            <w:t>Table of content</w:t>
          </w:r>
          <w:bookmarkStart w:id="41" w:name="_GoBack"/>
          <w:bookmarkEnd w:id="41"/>
        </w:p>
        <w:p w14:paraId="2597B82D">
          <w:pPr>
            <w:spacing w:before="0" w:beforeLines="0" w:after="0" w:afterLines="0" w:line="360" w:lineRule="auto"/>
            <w:ind w:left="0" w:leftChars="0" w:right="0" w:rightChars="0" w:firstLine="0" w:firstLineChars="0"/>
            <w:jc w:val="left"/>
            <w:rPr>
              <w:rFonts w:hint="default" w:ascii="Arial Regular" w:hAnsi="Arial Regular" w:eastAsia="SimSun" w:cs="Arial Regular"/>
              <w:sz w:val="24"/>
              <w:szCs w:val="24"/>
              <w:lang w:val="en-US"/>
            </w:rPr>
          </w:pPr>
        </w:p>
        <w:p w14:paraId="19C5E040">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
              <w:bCs/>
              <w:color w:val="000000" w:themeColor="text1"/>
              <w:sz w:val="24"/>
              <w:szCs w:val="24"/>
              <w14:textFill>
                <w14:solidFill>
                  <w14:schemeClr w14:val="tx1"/>
                </w14:solidFill>
              </w14:textFill>
            </w:rPr>
            <w:fldChar w:fldCharType="begin"/>
          </w:r>
          <w:r>
            <w:rPr>
              <w:rFonts w:hint="default" w:ascii="Arial Regular" w:hAnsi="Arial Regular" w:eastAsia="Arial" w:cs="Arial Regular"/>
              <w:b/>
              <w:bCs/>
              <w:color w:val="000000" w:themeColor="text1"/>
              <w:sz w:val="24"/>
              <w:szCs w:val="24"/>
              <w14:textFill>
                <w14:solidFill>
                  <w14:schemeClr w14:val="tx1"/>
                </w14:solidFill>
              </w14:textFill>
            </w:rPr>
            <w:instrText xml:space="preserve">TOC \o "1-2" \h \u </w:instrText>
          </w:r>
          <w:r>
            <w:rPr>
              <w:rFonts w:hint="default" w:ascii="Arial Regular" w:hAnsi="Arial Regular" w:eastAsia="Arial" w:cs="Arial Regular"/>
              <w:b/>
              <w:bCs/>
              <w:color w:val="000000" w:themeColor="text1"/>
              <w:sz w:val="24"/>
              <w:szCs w:val="24"/>
              <w14:textFill>
                <w14:solidFill>
                  <w14:schemeClr w14:val="tx1"/>
                </w14:solidFill>
              </w14:textFill>
            </w:rPr>
            <w:fldChar w:fldCharType="separate"/>
          </w: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_Toc2096406722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Introduction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_Toc2096406722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2411117D">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_Toc543580325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Task 1: Selection of a Research Topic</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_Toc543580325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08F75151">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_Toc559087937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1.1 </w:t>
          </w:r>
          <w:r>
            <w:rPr>
              <w:rFonts w:hint="default" w:ascii="Arial Regular" w:hAnsi="Arial Regular" w:cs="Arial Regular"/>
              <w:sz w:val="24"/>
              <w:szCs w:val="24"/>
            </w:rPr>
            <w:t>Identifying the Current Issue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_Toc559087937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19CC1A4D">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_Toc1350001534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1.2 </w:t>
          </w:r>
          <w:r>
            <w:rPr>
              <w:rFonts w:hint="default" w:ascii="Arial Regular" w:hAnsi="Arial Regular" w:cs="Arial Regular"/>
              <w:sz w:val="24"/>
              <w:szCs w:val="24"/>
            </w:rPr>
            <w:t>Who is Affected and Why It Matters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_Toc1350001534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120E2CCA">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_Toc1311051383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1.3 </w:t>
          </w:r>
          <w:r>
            <w:rPr>
              <w:rFonts w:hint="default" w:ascii="Arial Regular" w:hAnsi="Arial Regular" w:cs="Arial Regular"/>
              <w:sz w:val="24"/>
              <w:szCs w:val="24"/>
            </w:rPr>
            <w:t>Why I Chose This Topic</w:t>
          </w:r>
          <w:r>
            <w:rPr>
              <w:rFonts w:hint="default" w:ascii="Arial Regular" w:hAnsi="Arial Regular" w:cs="Arial Regular"/>
              <w:sz w:val="24"/>
              <w:szCs w:val="24"/>
              <w:lang w:val="en-US"/>
            </w:rPr>
            <w:t xml:space="preserve">: </w:t>
          </w:r>
          <w:r>
            <w:rPr>
              <w:rFonts w:hint="default" w:ascii="Arial Regular" w:hAnsi="Arial Regular" w:cs="Arial Regular"/>
              <w:sz w:val="24"/>
              <w:szCs w:val="24"/>
            </w:rPr>
            <w:t>Personal Reflection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_Toc1311051383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11B14FCD">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_Toc1658375861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Task 2</w:t>
          </w:r>
          <w:r>
            <w:rPr>
              <w:rFonts w:hint="default" w:ascii="Arial Regular" w:hAnsi="Arial Regular" w:cs="Arial Regular"/>
              <w:sz w:val="24"/>
              <w:szCs w:val="24"/>
              <w:lang w:val="en-US"/>
            </w:rPr>
            <w:t xml:space="preserve">: </w:t>
          </w:r>
          <w:r>
            <w:rPr>
              <w:rFonts w:hint="default" w:ascii="Arial Regular" w:hAnsi="Arial Regular" w:cs="Arial Regular"/>
              <w:sz w:val="24"/>
              <w:szCs w:val="24"/>
            </w:rPr>
            <w:t>Evaluating Information Sources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_Toc1658375861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569247E9">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_Toc132841414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2.1 </w:t>
          </w:r>
          <w:r>
            <w:rPr>
              <w:rFonts w:hint="default" w:ascii="Arial Regular" w:hAnsi="Arial Regular" w:cs="Arial Regular"/>
              <w:sz w:val="24"/>
              <w:szCs w:val="24"/>
            </w:rPr>
            <w:t>Source 1: Nuffield Trust</w:t>
          </w:r>
          <w:r>
            <w:rPr>
              <w:rFonts w:hint="default" w:ascii="Arial Regular" w:hAnsi="Arial Regular" w:cs="Arial Regular"/>
              <w:sz w:val="24"/>
              <w:szCs w:val="24"/>
              <w:lang w:val="en-US"/>
            </w:rPr>
            <w:t xml:space="preserve">: </w:t>
          </w:r>
          <w:r>
            <w:rPr>
              <w:rFonts w:hint="default" w:ascii="Arial Regular" w:hAnsi="Arial Regular" w:cs="Arial Regular"/>
              <w:sz w:val="24"/>
              <w:szCs w:val="24"/>
            </w:rPr>
            <w:t>Maternity Care Report (2024)</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_Toc132841414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29A1EF9D">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_Toc1430135865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2.2 </w:t>
          </w:r>
          <w:r>
            <w:rPr>
              <w:rFonts w:hint="default" w:ascii="Arial Regular" w:hAnsi="Arial Regular" w:cs="Arial Regular"/>
              <w:sz w:val="24"/>
              <w:szCs w:val="24"/>
            </w:rPr>
            <w:t>Source 2: Royal College of Midwives</w:t>
          </w:r>
          <w:r>
            <w:rPr>
              <w:rFonts w:hint="default" w:ascii="Arial Regular" w:hAnsi="Arial Regular" w:cs="Arial Regular"/>
              <w:sz w:val="24"/>
              <w:szCs w:val="24"/>
              <w:lang w:val="en-US"/>
            </w:rPr>
            <w:t xml:space="preserve">: </w:t>
          </w:r>
          <w:r>
            <w:rPr>
              <w:rFonts w:hint="default" w:ascii="Arial Regular" w:hAnsi="Arial Regular" w:cs="Arial Regular"/>
              <w:sz w:val="24"/>
              <w:szCs w:val="24"/>
            </w:rPr>
            <w:t>Perinatal Mental Health Roadmap (2023)</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_Toc1430135865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185C1EF2">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_Toc1656505831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2.3 </w:t>
          </w:r>
          <w:r>
            <w:rPr>
              <w:rFonts w:hint="default" w:ascii="Arial Regular" w:hAnsi="Arial Regular" w:cs="Arial Regular"/>
              <w:sz w:val="24"/>
              <w:szCs w:val="24"/>
            </w:rPr>
            <w:t>Source 3: BMC Health Services Research</w:t>
          </w:r>
          <w:r>
            <w:rPr>
              <w:rFonts w:hint="default" w:ascii="Arial Regular" w:hAnsi="Arial Regular" w:cs="Arial Regular"/>
              <w:sz w:val="24"/>
              <w:szCs w:val="24"/>
              <w:lang w:val="en-US"/>
            </w:rPr>
            <w:t xml:space="preserve">: </w:t>
          </w:r>
          <w:r>
            <w:rPr>
              <w:rFonts w:hint="default" w:ascii="Arial Regular" w:hAnsi="Arial Regular" w:cs="Arial Regular"/>
              <w:sz w:val="24"/>
              <w:szCs w:val="24"/>
            </w:rPr>
            <w:t>Midwifery Staffing and Harmful Incidents (2024)</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_Toc1656505831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4</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47FBE54A">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_Toc915501909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2.4 </w:t>
          </w:r>
          <w:r>
            <w:rPr>
              <w:rFonts w:hint="default" w:ascii="Arial Regular" w:hAnsi="Arial Regular" w:cs="Arial Regular"/>
              <w:sz w:val="24"/>
              <w:szCs w:val="24"/>
            </w:rPr>
            <w:t>Summary of Gaps in Current Research</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_Toc915501909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4</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7B97109B">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_Toc120253808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Task 3</w:t>
          </w:r>
          <w:r>
            <w:rPr>
              <w:rFonts w:hint="default" w:ascii="Arial Regular" w:hAnsi="Arial Regular" w:cs="Arial Regular"/>
              <w:sz w:val="24"/>
              <w:szCs w:val="24"/>
              <w:lang w:val="en-US"/>
            </w:rPr>
            <w:t xml:space="preserve">: </w:t>
          </w:r>
          <w:r>
            <w:rPr>
              <w:rFonts w:hint="default" w:ascii="Arial Regular" w:hAnsi="Arial Regular" w:cs="Arial Regular"/>
              <w:sz w:val="24"/>
              <w:szCs w:val="24"/>
            </w:rPr>
            <w:t>Research Methodologies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_Toc120253808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5</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61AAD4E9">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_Toc323639229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3.1 </w:t>
          </w:r>
          <w:r>
            <w:rPr>
              <w:rFonts w:hint="default" w:ascii="Arial Regular" w:hAnsi="Arial Regular" w:cs="Arial Regular"/>
              <w:sz w:val="24"/>
              <w:szCs w:val="24"/>
            </w:rPr>
            <w:t>Defining the Three Main Research Approaches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_Toc323639229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5</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758B2CB6">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_Toc1975927599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3.2 </w:t>
          </w:r>
          <w:r>
            <w:rPr>
              <w:rFonts w:hint="default" w:ascii="Arial Regular" w:hAnsi="Arial Regular" w:cs="Arial Regular"/>
              <w:sz w:val="24"/>
              <w:szCs w:val="24"/>
            </w:rPr>
            <w:t>Chosen Methodology: Mixed</w:t>
          </w:r>
          <w:r>
            <w:rPr>
              <w:rFonts w:hint="default" w:ascii="Arial Regular" w:hAnsi="Arial Regular" w:cs="Arial Regular"/>
              <w:sz w:val="24"/>
              <w:szCs w:val="24"/>
              <w:lang w:val="en-US"/>
            </w:rPr>
            <w:t xml:space="preserve"> </w:t>
          </w:r>
          <w:r>
            <w:rPr>
              <w:rFonts w:hint="default" w:ascii="Arial Regular" w:hAnsi="Arial Regular" w:cs="Arial Regular"/>
              <w:sz w:val="24"/>
              <w:szCs w:val="24"/>
            </w:rPr>
            <w:t>Methods</w:t>
          </w:r>
          <w:r>
            <w:rPr>
              <w:rFonts w:hint="default" w:ascii="Arial Regular" w:hAnsi="Arial Regular" w:cs="Arial Regular"/>
              <w:sz w:val="24"/>
              <w:szCs w:val="24"/>
              <w:lang w:val="en-US"/>
            </w:rPr>
            <w:t xml:space="preserve">: </w:t>
          </w:r>
          <w:r>
            <w:rPr>
              <w:rFonts w:hint="default" w:ascii="Arial Regular" w:hAnsi="Arial Regular" w:cs="Arial Regular"/>
              <w:sz w:val="24"/>
              <w:szCs w:val="24"/>
            </w:rPr>
            <w:t>What This Would Look Like in Practice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_Toc1975927599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5</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79EB90C4">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_Toc728039185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Task 4</w:t>
          </w:r>
          <w:r>
            <w:rPr>
              <w:rFonts w:hint="default" w:ascii="Arial Regular" w:hAnsi="Arial Regular" w:cs="Arial Regular"/>
              <w:sz w:val="24"/>
              <w:szCs w:val="24"/>
              <w:lang w:val="en-US"/>
            </w:rPr>
            <w:t xml:space="preserve">: </w:t>
          </w:r>
          <w:r>
            <w:rPr>
              <w:rFonts w:hint="default" w:ascii="Arial Regular" w:hAnsi="Arial Regular" w:cs="Arial Regular"/>
              <w:sz w:val="24"/>
              <w:szCs w:val="24"/>
            </w:rPr>
            <w:t>Data Collection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_Toc728039185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6A7D1B60">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_Toc1940245336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4.1 </w:t>
          </w:r>
          <w:r>
            <w:rPr>
              <w:rFonts w:hint="default" w:ascii="Arial Regular" w:hAnsi="Arial Regular" w:cs="Arial Regular"/>
              <w:sz w:val="24"/>
              <w:szCs w:val="24"/>
            </w:rPr>
            <w:t>Primary Data vs Secondary Data</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_Toc1940245336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13C6D190">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_Toc164182457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4.2 </w:t>
          </w:r>
          <w:r>
            <w:rPr>
              <w:rFonts w:hint="default" w:ascii="Arial Regular" w:hAnsi="Arial Regular" w:cs="Arial Regular"/>
              <w:sz w:val="24"/>
              <w:szCs w:val="24"/>
            </w:rPr>
            <w:t>Advantages: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_Toc164182457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2B99E426">
          <w:pPr>
            <w:pStyle w:val="21"/>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_Toc2045552051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lang w:val="en-US"/>
            </w:rPr>
            <w:t xml:space="preserve">4.3 </w:t>
          </w:r>
          <w:r>
            <w:rPr>
              <w:rFonts w:hint="default" w:ascii="Arial Regular" w:hAnsi="Arial Regular" w:cs="Arial Regular"/>
              <w:sz w:val="24"/>
              <w:szCs w:val="24"/>
            </w:rPr>
            <w:t>Challenges: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_Toc2045552051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7ECDA9FD">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_Toc527616334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Conclusion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_Toc527616334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5AB570B6">
          <w:pPr>
            <w:pStyle w:val="20"/>
            <w:tabs>
              <w:tab w:val="right" w:leader="dot" w:pos="9506"/>
            </w:tabs>
            <w:spacing w:line="360" w:lineRule="auto"/>
            <w:rPr>
              <w:rFonts w:hint="default" w:ascii="Arial Regular" w:hAnsi="Arial Regular" w:cs="Arial Regular"/>
              <w:sz w:val="24"/>
              <w:szCs w:val="24"/>
            </w:rPr>
          </w:pPr>
          <w:r>
            <w:rPr>
              <w:rFonts w:hint="default" w:ascii="Arial Regular" w:hAnsi="Arial Regular" w:eastAsia="Arial" w:cs="Arial Regular"/>
              <w:bCs/>
              <w:color w:val="000000" w:themeColor="text1"/>
              <w:sz w:val="24"/>
              <w:szCs w:val="24"/>
              <w14:textFill>
                <w14:solidFill>
                  <w14:schemeClr w14:val="tx1"/>
                </w14:solidFill>
              </w14:textFill>
            </w:rPr>
            <w:fldChar w:fldCharType="begin"/>
          </w:r>
          <w:r>
            <w:rPr>
              <w:rFonts w:hint="default" w:ascii="Arial Regular" w:hAnsi="Arial Regular" w:eastAsia="Arial" w:cs="Arial Regular"/>
              <w:bCs/>
              <w:sz w:val="24"/>
              <w:szCs w:val="24"/>
            </w:rPr>
            <w:instrText xml:space="preserve"> HYPERLINK \l _Toc687747075 </w:instrText>
          </w:r>
          <w:r>
            <w:rPr>
              <w:rFonts w:hint="default" w:ascii="Arial Regular" w:hAnsi="Arial Regular" w:eastAsia="Arial" w:cs="Arial Regular"/>
              <w:bCs/>
              <w:sz w:val="24"/>
              <w:szCs w:val="24"/>
            </w:rPr>
            <w:fldChar w:fldCharType="separate"/>
          </w:r>
          <w:r>
            <w:rPr>
              <w:rFonts w:hint="default" w:ascii="Arial Regular" w:hAnsi="Arial Regular" w:cs="Arial Regular"/>
              <w:sz w:val="24"/>
              <w:szCs w:val="24"/>
            </w:rPr>
            <w:t>References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_Toc687747075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8</w:t>
          </w:r>
          <w:r>
            <w:rPr>
              <w:rFonts w:hint="default" w:ascii="Arial Regular" w:hAnsi="Arial Regular" w:cs="Arial Regular"/>
              <w:sz w:val="24"/>
              <w:szCs w:val="24"/>
            </w:rPr>
            <w:fldChar w:fldCharType="end"/>
          </w:r>
          <w:r>
            <w:rPr>
              <w:rFonts w:hint="default" w:ascii="Arial Regular" w:hAnsi="Arial Regular" w:eastAsia="Arial" w:cs="Arial Regular"/>
              <w:bCs/>
              <w:color w:val="000000" w:themeColor="text1"/>
              <w:sz w:val="24"/>
              <w:szCs w:val="24"/>
              <w14:textFill>
                <w14:solidFill>
                  <w14:schemeClr w14:val="tx1"/>
                </w14:solidFill>
              </w14:textFill>
            </w:rPr>
            <w:fldChar w:fldCharType="end"/>
          </w:r>
        </w:p>
        <w:p w14:paraId="3AF26FB0">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r>
            <w:rPr>
              <w:rFonts w:hint="default" w:ascii="Arial Regular" w:hAnsi="Arial Regular" w:eastAsia="Arial" w:cs="Arial Regular"/>
              <w:bCs/>
              <w:color w:val="000000" w:themeColor="text1"/>
              <w:sz w:val="24"/>
              <w:szCs w:val="24"/>
              <w14:textFill>
                <w14:solidFill>
                  <w14:schemeClr w14:val="tx1"/>
                </w14:solidFill>
              </w14:textFill>
            </w:rPr>
            <w:fldChar w:fldCharType="end"/>
          </w:r>
        </w:p>
      </w:sdtContent>
    </w:sdt>
    <w:p w14:paraId="334AF0E3">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2"/>
          <w:szCs w:val="24"/>
          <w14:textFill>
            <w14:solidFill>
              <w14:schemeClr w14:val="tx1"/>
            </w14:solidFill>
          </w14:textFill>
        </w:rPr>
      </w:pPr>
    </w:p>
    <w:p w14:paraId="716F7750">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2"/>
          <w:szCs w:val="24"/>
          <w14:textFill>
            <w14:solidFill>
              <w14:schemeClr w14:val="tx1"/>
            </w14:solidFill>
          </w14:textFill>
        </w:rPr>
      </w:pPr>
    </w:p>
    <w:p w14:paraId="73EAD7CB">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2"/>
          <w:szCs w:val="24"/>
          <w14:textFill>
            <w14:solidFill>
              <w14:schemeClr w14:val="tx1"/>
            </w14:solidFill>
          </w14:textFill>
        </w:rPr>
      </w:pPr>
    </w:p>
    <w:p w14:paraId="3CBCF0D7">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2"/>
          <w:szCs w:val="24"/>
          <w14:textFill>
            <w14:solidFill>
              <w14:schemeClr w14:val="tx1"/>
            </w14:solidFill>
          </w14:textFill>
        </w:rPr>
      </w:pPr>
    </w:p>
    <w:p w14:paraId="06EFD0E3">
      <w:pPr>
        <w:pBdr>
          <w:top w:val="none" w:color="auto" w:sz="0" w:space="1"/>
          <w:left w:val="none" w:color="auto" w:sz="0" w:space="4"/>
          <w:bottom w:val="none" w:color="2E6DA4" w:sz="0" w:space="4"/>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2"/>
          <w:szCs w:val="24"/>
          <w14:textFill>
            <w14:solidFill>
              <w14:schemeClr w14:val="tx1"/>
            </w14:solidFill>
          </w14:textFill>
        </w:rPr>
      </w:pPr>
    </w:p>
    <w:p w14:paraId="10A0D5B4">
      <w:pPr>
        <w:pStyle w:val="2"/>
        <w:numPr>
          <w:ilvl w:val="0"/>
          <w:numId w:val="1"/>
        </w:numPr>
        <w:bidi w:val="0"/>
        <w:rPr>
          <w:rFonts w:hint="default"/>
        </w:rPr>
        <w:sectPr>
          <w:footerReference r:id="rId4" w:type="default"/>
          <w:pgSz w:w="11906" w:h="16838"/>
          <w:pgMar w:top="1200" w:right="1200" w:bottom="1200" w:left="1200" w:header="708" w:footer="708" w:gutter="0"/>
          <w:pgBorders w:display="firstPage">
            <w:top w:val="none" w:sz="0" w:space="0"/>
            <w:left w:val="none" w:sz="0" w:space="0"/>
            <w:bottom w:val="none" w:sz="0" w:space="0"/>
            <w:right w:val="none" w:sz="0" w:space="0"/>
          </w:pgBorders>
          <w:pgNumType w:fmt="decimal" w:start="2"/>
          <w:cols w:space="720" w:num="1"/>
          <w:docGrid w:linePitch="360" w:charSpace="0"/>
        </w:sectPr>
      </w:pPr>
      <w:bookmarkStart w:id="0" w:name="_Toc820928504"/>
    </w:p>
    <w:p w14:paraId="0FE4B308">
      <w:pPr>
        <w:pStyle w:val="2"/>
        <w:numPr>
          <w:numId w:val="0"/>
        </w:numPr>
        <w:bidi w:val="0"/>
        <w:rPr>
          <w:rFonts w:hint="default"/>
        </w:rPr>
      </w:pPr>
      <w:bookmarkStart w:id="1" w:name="_Toc2096406722"/>
      <w:r>
        <w:rPr>
          <w:rFonts w:hint="default"/>
        </w:rPr>
        <w:t>Introduction</w:t>
      </w:r>
      <w:bookmarkEnd w:id="0"/>
      <w:bookmarkEnd w:id="1"/>
    </w:p>
    <w:p w14:paraId="168306FD">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This report examines the impact of midwifery shortages on women's mental health before, during labour, and after childbirth in the UK, with particular emphasis on postnatal depression (PND). Insufficient midwifery staffing leaves women without essential support, thereby increasing the risk of severe mental illness. Suicide remains a leading cause of maternal death in the postnatal year (MBRRACE-UK, 2023), while only 16% of midwives report feeling adequately staffed (RCM, 2023; Nuffield Trust, 2024). With up to one in five mothers experiencing perinatal mental illness (NHS England, 2024), this constitutes an urgent public health crisis. The report addresses four key areas: topic selection, source evaluation, research methodology, and data collection.</w:t>
      </w:r>
    </w:p>
    <w:p w14:paraId="546B423F">
      <w:pPr>
        <w:pStyle w:val="2"/>
        <w:numPr>
          <w:numId w:val="0"/>
        </w:numPr>
        <w:bidi w:val="0"/>
        <w:rPr>
          <w:rFonts w:hint="default"/>
        </w:rPr>
      </w:pPr>
      <w:bookmarkStart w:id="2" w:name="_Toc1910418400"/>
      <w:bookmarkStart w:id="3" w:name="_Toc543580325"/>
      <w:r>
        <w:rPr>
          <w:rFonts w:hint="default"/>
        </w:rPr>
        <w:t>Task 1: Selection of a Research Topic</w:t>
      </w:r>
      <w:bookmarkEnd w:id="2"/>
      <w:bookmarkEnd w:id="3"/>
    </w:p>
    <w:p w14:paraId="3D54E2E3">
      <w:pPr>
        <w:pStyle w:val="3"/>
        <w:bidi w:val="0"/>
        <w:spacing w:line="360" w:lineRule="auto"/>
        <w:rPr>
          <w:rFonts w:hint="default"/>
        </w:rPr>
      </w:pPr>
      <w:bookmarkStart w:id="4" w:name="_Toc1374042503"/>
      <w:bookmarkStart w:id="5" w:name="_Toc559087937"/>
      <w:r>
        <w:rPr>
          <w:rFonts w:hint="default"/>
          <w:lang w:val="en-US"/>
        </w:rPr>
        <w:t xml:space="preserve">1.1 </w:t>
      </w:r>
      <w:r>
        <w:rPr>
          <w:rFonts w:hint="default"/>
        </w:rPr>
        <w:t>Identifying the Current Issue</w:t>
      </w:r>
      <w:bookmarkEnd w:id="4"/>
      <w:bookmarkEnd w:id="5"/>
    </w:p>
    <w:p w14:paraId="72538383">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A shortage of midwives has been identified across the NHS in the UK, resulting in the withdrawal of essential postnatal support for many new mothers. Inadequate staffing increases vulnerability to serious mental health conditions, including postnatal depression (PND) and postpartum psychosis. Up to one in five mothers are affected by perinatal mental illness (NHS England, 2024), yet many do not receive the necessary support. Only 16% of midwives report feeling adequately staffed (Nuffield Trust, 2024), and mental health screening is consequently limited (RCM, 2023). There is broad consensus that increased investment in midwifery is urgently required.</w:t>
      </w:r>
    </w:p>
    <w:p w14:paraId="6807AD5C">
      <w:pPr>
        <w:pStyle w:val="3"/>
        <w:bidi w:val="0"/>
        <w:spacing w:line="360" w:lineRule="auto"/>
        <w:rPr>
          <w:rFonts w:hint="default"/>
        </w:rPr>
      </w:pPr>
      <w:bookmarkStart w:id="6" w:name="_Toc1640691730"/>
      <w:bookmarkStart w:id="7" w:name="_Toc1350001534"/>
      <w:r>
        <w:rPr>
          <w:rFonts w:hint="default"/>
          <w:lang w:val="en-US"/>
        </w:rPr>
        <w:t xml:space="preserve">1.2 </w:t>
      </w:r>
      <w:r>
        <w:rPr>
          <w:rFonts w:hint="default"/>
        </w:rPr>
        <w:t>Who is Affected and Why It Matters</w:t>
      </w:r>
      <w:bookmarkEnd w:id="6"/>
      <w:bookmarkEnd w:id="7"/>
    </w:p>
    <w:p w14:paraId="51201236">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Midwifery shortages have been shown to affect a broad population across the UK. New mothers are particularly impacted, with those from Black, Asian, and minority ethnic communities facing heightened risks in maternity care (MBRRACE-UK, 2023). Infants are also affected, as maternal postnatal depression has been linked to delays in development and emotional wellbeing. Within the NHS, midwives experience significant workload pressures and burnout, leading to the departure of experienced staff. NHS Trusts face increasing complaints and legal claims. Untreated perinatal mental illness is estimated to cost the UK economy £8.1 billion annually (RCM, 2023).</w:t>
      </w:r>
      <w:bookmarkStart w:id="8" w:name="_Toc1415878630"/>
    </w:p>
    <w:p w14:paraId="679DAFCF">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p>
    <w:p w14:paraId="3E9E97B8">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p>
    <w:p w14:paraId="43E9D08C">
      <w:pPr>
        <w:pStyle w:val="3"/>
        <w:bidi w:val="0"/>
        <w:spacing w:line="360" w:lineRule="auto"/>
        <w:rPr>
          <w:rFonts w:hint="default"/>
        </w:rPr>
      </w:pPr>
      <w:bookmarkStart w:id="9" w:name="_Toc1311051383"/>
      <w:r>
        <w:rPr>
          <w:rFonts w:hint="default"/>
          <w:lang w:val="en-US"/>
        </w:rPr>
        <w:t xml:space="preserve">1.3 </w:t>
      </w:r>
      <w:r>
        <w:rPr>
          <w:rFonts w:hint="default"/>
        </w:rPr>
        <w:t>Why I Chose This Topic</w:t>
      </w:r>
      <w:r>
        <w:rPr>
          <w:rFonts w:hint="default"/>
          <w:lang w:val="en-US"/>
        </w:rPr>
        <w:t xml:space="preserve">: </w:t>
      </w:r>
      <w:r>
        <w:rPr>
          <w:rFonts w:hint="default"/>
        </w:rPr>
        <w:t>Personal Reflection</w:t>
      </w:r>
      <w:bookmarkEnd w:id="8"/>
      <w:bookmarkEnd w:id="9"/>
    </w:p>
    <w:p w14:paraId="07CEEE14">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This topic was selected because postnatal mental health is regarded as equally important as physical health, yet it is frequently deprioritised within NHS maternity services. Access to specialist maternal mental health care varies by geographic location, resulting in inequitable support across the UK (Maternal Mental Health Alliance, 2024). Estimates suggest that the addition of fewer than 350 specialist midwives could significantly improve national outcomes (RCM, 2023), but sufficient investment has not occurred. This subject holds both personal and professional relevance, as understanding structural failures within health systems is essential for developing as a reflective and effective Health and Social Care practitioner.</w:t>
      </w:r>
    </w:p>
    <w:p w14:paraId="6152CB61">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p>
    <w:p w14:paraId="01D1E1B2">
      <w:pPr>
        <w:pStyle w:val="2"/>
        <w:numPr>
          <w:numId w:val="0"/>
        </w:numPr>
        <w:bidi w:val="0"/>
        <w:spacing w:line="360" w:lineRule="auto"/>
        <w:rPr>
          <w:rFonts w:hint="default"/>
        </w:rPr>
      </w:pPr>
      <w:bookmarkStart w:id="10" w:name="_Toc405842003"/>
      <w:bookmarkStart w:id="11" w:name="_Toc1658375861"/>
      <w:r>
        <w:rPr>
          <w:rFonts w:hint="default"/>
        </w:rPr>
        <w:t>Task 2</w:t>
      </w:r>
      <w:r>
        <w:rPr>
          <w:rFonts w:hint="default"/>
          <w:lang w:val="en-US"/>
        </w:rPr>
        <w:t xml:space="preserve">: </w:t>
      </w:r>
      <w:r>
        <w:rPr>
          <w:rFonts w:hint="default"/>
        </w:rPr>
        <w:t>Evaluating Information Sources</w:t>
      </w:r>
      <w:bookmarkEnd w:id="10"/>
      <w:bookmarkEnd w:id="11"/>
    </w:p>
    <w:p w14:paraId="5908EDB6">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Three credible and current sources were identified and evaluated to support this research project, each selected for its distinct perspective on the topic.</w:t>
      </w:r>
    </w:p>
    <w:p w14:paraId="0823240C">
      <w:pPr>
        <w:pStyle w:val="3"/>
        <w:bidi w:val="0"/>
        <w:spacing w:line="360" w:lineRule="auto"/>
        <w:rPr>
          <w:rFonts w:hint="default"/>
        </w:rPr>
      </w:pPr>
      <w:bookmarkStart w:id="12" w:name="_Toc578481549"/>
      <w:bookmarkStart w:id="13" w:name="_Toc132841414"/>
      <w:r>
        <w:rPr>
          <w:rFonts w:hint="default"/>
          <w:lang w:val="en-US"/>
        </w:rPr>
        <w:t xml:space="preserve">2.1 </w:t>
      </w:r>
      <w:r>
        <w:rPr>
          <w:rFonts w:hint="default"/>
        </w:rPr>
        <w:t>Source 1: Nuffield Trust</w:t>
      </w:r>
      <w:r>
        <w:rPr>
          <w:rFonts w:hint="default"/>
          <w:lang w:val="en-US"/>
        </w:rPr>
        <w:t xml:space="preserve">: </w:t>
      </w:r>
      <w:r>
        <w:rPr>
          <w:rFonts w:hint="default"/>
        </w:rPr>
        <w:t>Maternity Care Report (2024)</w:t>
      </w:r>
      <w:bookmarkEnd w:id="12"/>
      <w:bookmarkEnd w:id="13"/>
    </w:p>
    <w:p w14:paraId="2260D782">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The Nuffield Trust provides one of the most authoritative overviews of NHS maternity services in England. This source is highly relevant due to its use of official NHS data, including findings from the CQC Maternity Survey and the NHS Staff Survey. Notable statistics include only 16% of midwives feeling adequately staffed, the lowest among NHS workforce groups, and only 42% of women reporting sufficient discussion of mental health at their postnatal GP check-up. Emergency baby admissions increased by 46% over nine years. Limitations include the focus on England alone and the absence of individual women's emotional experiences. Additionally, a gap exists between staffing data and specific mental health diagnosis rates.</w:t>
      </w:r>
    </w:p>
    <w:p w14:paraId="11582662">
      <w:pPr>
        <w:pStyle w:val="3"/>
        <w:bidi w:val="0"/>
        <w:spacing w:line="360" w:lineRule="auto"/>
        <w:rPr>
          <w:rFonts w:hint="default"/>
        </w:rPr>
      </w:pPr>
      <w:bookmarkStart w:id="14" w:name="_Toc880924074"/>
      <w:bookmarkStart w:id="15" w:name="_Toc1430135865"/>
      <w:r>
        <w:rPr>
          <w:rFonts w:hint="default"/>
          <w:lang w:val="en-US"/>
        </w:rPr>
        <w:t xml:space="preserve">2.2 </w:t>
      </w:r>
      <w:r>
        <w:rPr>
          <w:rFonts w:hint="default"/>
        </w:rPr>
        <w:t>Source 2: Royal College of Midwives</w:t>
      </w:r>
      <w:r>
        <w:rPr>
          <w:rFonts w:hint="default"/>
          <w:lang w:val="en-US"/>
        </w:rPr>
        <w:t xml:space="preserve">: </w:t>
      </w:r>
      <w:r>
        <w:rPr>
          <w:rFonts w:hint="default"/>
        </w:rPr>
        <w:t>Perinatal Mental Health Roadmap (2023)</w:t>
      </w:r>
      <w:bookmarkEnd w:id="14"/>
      <w:bookmarkEnd w:id="15"/>
    </w:p>
    <w:p w14:paraId="2B451D5D">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The Royal College of Midwives Perinatal Mental Health Roadmap (2023) was developed in collaboration with clinical experts, service users, and the Maternal Mental Health Alliance. This source is valuable due to its foundation in firsthand professional knowledge of maternity care. The principle of parity of esteem, which advocates for mental health to be treated as equally important as physical health, is emphasized throughout the document. The report notes that perinatal mental illness affects up to one in five new and expectant mothers in the UK, yet there is no routinely funded provision for supporting women with common mental health problems during standard maternity appointments. It is estimated that fewer than 350 additional specialist midwives could significantly improve outcomes nationally (RCM, 2023). However, the document serves partly as a lobbying tool, potentially presenting the issue with heightened urgency. Furthermore, no long-term data have been collected to demonstrate whether the recommended changes would reduce PND diagnosis rates in practice.</w:t>
      </w:r>
    </w:p>
    <w:p w14:paraId="2B43AA79">
      <w:pPr>
        <w:pStyle w:val="3"/>
        <w:bidi w:val="0"/>
        <w:spacing w:line="360" w:lineRule="auto"/>
        <w:rPr>
          <w:rFonts w:hint="default"/>
        </w:rPr>
      </w:pPr>
      <w:bookmarkStart w:id="16" w:name="_Toc938649300"/>
      <w:bookmarkStart w:id="17" w:name="_Toc1656505831"/>
      <w:r>
        <w:rPr>
          <w:rFonts w:hint="default"/>
          <w:lang w:val="en-US"/>
        </w:rPr>
        <w:t xml:space="preserve">2.3 </w:t>
      </w:r>
      <w:r>
        <w:rPr>
          <w:rFonts w:hint="default"/>
        </w:rPr>
        <w:t>Source 3: BMC Health Services Research</w:t>
      </w:r>
      <w:r>
        <w:rPr>
          <w:rFonts w:hint="default"/>
          <w:lang w:val="en-US"/>
        </w:rPr>
        <w:t xml:space="preserve">: </w:t>
      </w:r>
      <w:r>
        <w:rPr>
          <w:rFonts w:hint="default"/>
        </w:rPr>
        <w:t>Midwifery Staffing and Harmful Incidents (2024)</w:t>
      </w:r>
      <w:bookmarkEnd w:id="16"/>
      <w:bookmarkEnd w:id="17"/>
    </w:p>
    <w:p w14:paraId="30357EB9">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The third source is a peer-reviewed academic article published in BMC Health Services Research (Dall'Ora et al., 2024). This study employed a cross-sectional research design, collecting data over a fixed period from three NHS maternity services in England. Daily midwifery staffing levels were compared with the number of harmful clinical incidents reported across labour wards, maternity theatres, and postnatal areas. The study identified a statistically significant association between lower staffing levels and higher rates of harmful incidents, based on more than 1,700 days of NHS data. Appropriate staffing has consistently been identified as essential for minimizing harm in maternity care (Dall'Ora et al., 2024). Although the study measured physical harm rather than mental health outcomes, it is widely acknowledged that traumatic and unsupported birth experiences are major triggers for postnatal depression and birth-related PTSD. Limitations include data collection only up to February 2020, inclusion of only three NHS Trusts, and the absence of direct assessment of mental health outcomes, which represents a gap for future research.</w:t>
      </w:r>
    </w:p>
    <w:p w14:paraId="02CAB666">
      <w:pPr>
        <w:pStyle w:val="3"/>
        <w:bidi w:val="0"/>
        <w:spacing w:line="360" w:lineRule="auto"/>
        <w:rPr>
          <w:rFonts w:hint="default"/>
        </w:rPr>
      </w:pPr>
      <w:bookmarkStart w:id="18" w:name="_Toc463914238"/>
      <w:bookmarkStart w:id="19" w:name="_Toc915501909"/>
      <w:r>
        <w:rPr>
          <w:rFonts w:hint="default"/>
          <w:lang w:val="en-US"/>
        </w:rPr>
        <w:t xml:space="preserve">2.4 </w:t>
      </w:r>
      <w:r>
        <w:rPr>
          <w:rFonts w:hint="default"/>
        </w:rPr>
        <w:t>Summary of Gaps in Current Research</w:t>
      </w:r>
      <w:bookmarkEnd w:id="18"/>
      <w:bookmarkEnd w:id="19"/>
    </w:p>
    <w:p w14:paraId="51299EB5">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Several significant gaps have been identified in the current evidence base across the three reviewed sources. Most UK research has focused exclusively on England, leaving Scotland, Wales, and Northern Ireland underrepresented. Women's personal experiences are often omitted, with quantitative data prioritized over individual accounts. There are limited direct links established between staffing levels and specific postnatal mental health outcomes, such as PND diagnosis rates. The experiences of Black, Asian, and minority ethnic women remain significantly under-researched. Additionally, most published data predates the post-COVID workforce crisis, highlighting the urgent need for more current evidence.</w:t>
      </w:r>
    </w:p>
    <w:p w14:paraId="1892742D">
      <w:pPr>
        <w:pStyle w:val="2"/>
        <w:numPr>
          <w:numId w:val="0"/>
        </w:numPr>
        <w:bidi w:val="0"/>
        <w:spacing w:line="360" w:lineRule="auto"/>
        <w:rPr>
          <w:rFonts w:hint="default"/>
        </w:rPr>
      </w:pPr>
      <w:bookmarkStart w:id="20" w:name="_Toc1640959456"/>
      <w:bookmarkStart w:id="21" w:name="_Toc120253808"/>
      <w:r>
        <w:rPr>
          <w:rFonts w:hint="default"/>
        </w:rPr>
        <w:t>Task 3</w:t>
      </w:r>
      <w:r>
        <w:rPr>
          <w:rFonts w:hint="default"/>
          <w:lang w:val="en-US"/>
        </w:rPr>
        <w:t xml:space="preserve">: </w:t>
      </w:r>
      <w:r>
        <w:rPr>
          <w:rFonts w:hint="default"/>
        </w:rPr>
        <w:t>Research Methodologies</w:t>
      </w:r>
      <w:bookmarkEnd w:id="20"/>
      <w:bookmarkEnd w:id="21"/>
    </w:p>
    <w:p w14:paraId="78E158BF">
      <w:pPr>
        <w:pStyle w:val="3"/>
        <w:bidi w:val="0"/>
        <w:spacing w:line="360" w:lineRule="auto"/>
        <w:rPr>
          <w:rFonts w:hint="default"/>
        </w:rPr>
      </w:pPr>
      <w:bookmarkStart w:id="22" w:name="_Toc1620582218"/>
      <w:bookmarkStart w:id="23" w:name="_Toc323639229"/>
      <w:r>
        <w:rPr>
          <w:rFonts w:hint="default"/>
          <w:lang w:val="en-US"/>
        </w:rPr>
        <w:t xml:space="preserve">3.1 </w:t>
      </w:r>
      <w:r>
        <w:rPr>
          <w:rFonts w:hint="default"/>
        </w:rPr>
        <w:t>Defining the Three Main Research Approaches</w:t>
      </w:r>
      <w:bookmarkEnd w:id="22"/>
      <w:bookmarkEnd w:id="23"/>
    </w:p>
    <w:p w14:paraId="68D67A67">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Research methodology refers to the approach used to investigate and answer a research question. In health and social care research, three primary approaches are recognized: quantitative, qualitative, and mixed-methods. Quantitative research is appropriate for collecting numerical and measurable data, such as the number of PND diagnoses or midwife-to-birth ratios across NHS Trusts. Qualitative research is used to explore feelings, experiences, and personal accounts, for example, through interviews with mothers about their postnatal care. Mixed-methods research combines both approaches, capturing both statistical trends and personal meaning. A mixed-methods approach has been selected for this project, as it is most suitable for a topic that is both statistically significant and deeply personal. This methodology has been employed in relevant studies, including those published in the British Journal of Midwifery (2024) and the RCM Perinatal Mental Health Roadmap (2023), and aligns with NHS England's research values, which emphasize the importance of considering patient experience alongside clinical data.</w:t>
      </w:r>
    </w:p>
    <w:p w14:paraId="451D37BB">
      <w:pPr>
        <w:pStyle w:val="3"/>
        <w:bidi w:val="0"/>
        <w:spacing w:line="360" w:lineRule="auto"/>
        <w:rPr>
          <w:rFonts w:hint="default"/>
        </w:rPr>
      </w:pPr>
      <w:bookmarkStart w:id="24" w:name="_Toc590243025"/>
      <w:bookmarkStart w:id="25" w:name="_Toc1975927599"/>
      <w:r>
        <w:rPr>
          <w:rFonts w:hint="default"/>
          <w:lang w:val="en-US"/>
        </w:rPr>
        <w:t xml:space="preserve">3.2 </w:t>
      </w:r>
      <w:r>
        <w:rPr>
          <w:rFonts w:hint="default"/>
        </w:rPr>
        <w:t>Chosen Methodology: Mixed</w:t>
      </w:r>
      <w:r>
        <w:rPr>
          <w:rFonts w:hint="default"/>
          <w:lang w:val="en-US"/>
        </w:rPr>
        <w:t xml:space="preserve"> </w:t>
      </w:r>
      <w:r>
        <w:rPr>
          <w:rFonts w:hint="default"/>
        </w:rPr>
        <w:t>Methods</w:t>
      </w:r>
      <w:r>
        <w:rPr>
          <w:rFonts w:hint="default"/>
          <w:lang w:val="en-US"/>
        </w:rPr>
        <w:t xml:space="preserve">: </w:t>
      </w:r>
      <w:r>
        <w:rPr>
          <w:rFonts w:hint="default"/>
        </w:rPr>
        <w:t>What This Would Look Like in Practice</w:t>
      </w:r>
      <w:bookmarkEnd w:id="24"/>
      <w:bookmarkEnd w:id="25"/>
    </w:p>
    <w:p w14:paraId="585F7A05">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For this research project, the mixed methods approach would work as follows:</w:t>
      </w:r>
    </w:p>
    <w:p w14:paraId="43F85F3F">
      <w:pPr>
        <w:pStyle w:val="4"/>
        <w:keepNext w:val="0"/>
        <w:keepLines w:val="0"/>
        <w:widowControl/>
        <w:suppressLineNumbers w:val="0"/>
        <w:spacing w:before="210"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bookmarkStart w:id="26" w:name="_Toc987555682"/>
      <w:r>
        <w:rPr>
          <w:rFonts w:hint="default" w:ascii="Arial Regular" w:hAnsi="Arial Regular" w:cs="Arial Regular"/>
          <w:b/>
          <w:bCs/>
          <w:color w:val="000000" w:themeColor="text1"/>
          <w:sz w:val="24"/>
          <w:szCs w:val="24"/>
          <w14:textFill>
            <w14:solidFill>
              <w14:schemeClr w14:val="tx1"/>
            </w14:solidFill>
          </w14:textFill>
        </w:rPr>
        <w:t>•  </w:t>
      </w:r>
      <w:r>
        <w:rPr>
          <w:rFonts w:hint="default" w:ascii="Arial Regular" w:hAnsi="Arial Regular" w:cs="Arial Regular"/>
          <w:color w:val="000000" w:themeColor="text1"/>
          <w:sz w:val="24"/>
          <w:szCs w:val="24"/>
          <w14:textFill>
            <w14:solidFill>
              <w14:schemeClr w14:val="tx1"/>
            </w14:solidFill>
          </w14:textFill>
        </w:rPr>
        <w:t>Quantitative strand: Collecting and analysing NHS Digital workforce data (midwives per Trust) and comparing it with local perinatal mental health referral rates or PND diagnosis data across matched regions to look for a statistically significant relationship.</w:t>
      </w:r>
      <w:bookmarkEnd w:id="26"/>
    </w:p>
    <w:p w14:paraId="7D906889">
      <w:pPr>
        <w:pStyle w:val="4"/>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bookmarkStart w:id="27" w:name="_Toc2094723358"/>
      <w:r>
        <w:rPr>
          <w:rFonts w:hint="default" w:ascii="Arial Regular" w:hAnsi="Arial Regular" w:cs="Arial Regular"/>
          <w:b/>
          <w:bCs/>
          <w:color w:val="000000" w:themeColor="text1"/>
          <w:sz w:val="24"/>
          <w:szCs w:val="24"/>
          <w14:textFill>
            <w14:solidFill>
              <w14:schemeClr w14:val="tx1"/>
            </w14:solidFill>
          </w14:textFill>
        </w:rPr>
        <w:t>•  </w:t>
      </w:r>
      <w:r>
        <w:rPr>
          <w:rFonts w:hint="default" w:ascii="Arial Regular" w:hAnsi="Arial Regular" w:cs="Arial Regular"/>
          <w:color w:val="000000" w:themeColor="text1"/>
          <w:sz w:val="24"/>
          <w:szCs w:val="24"/>
          <w14:textFill>
            <w14:solidFill>
              <w14:schemeClr w14:val="tx1"/>
            </w14:solidFill>
          </w14:textFill>
        </w:rPr>
        <w:t>Qualitative strand: Develop a brief, anonymous online survey (approximately 10 open-ended questions) for new and recent mothers, inquiring about the frequency of postnatal midwifery contact, whether mental health was discussed, and the level of support received. This approach captures lived experiences in participants' own words.</w:t>
      </w:r>
      <w:bookmarkEnd w:id="27"/>
    </w:p>
    <w:p w14:paraId="0C1389D3">
      <w:pPr>
        <w:pStyle w:val="4"/>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bookmarkStart w:id="28" w:name="_Toc168568988"/>
      <w:r>
        <w:rPr>
          <w:rFonts w:hint="default" w:ascii="Arial Regular" w:hAnsi="Arial Regular" w:cs="Arial Regular"/>
          <w:b/>
          <w:bCs/>
          <w:color w:val="000000" w:themeColor="text1"/>
          <w:sz w:val="24"/>
          <w:szCs w:val="24"/>
          <w14:textFill>
            <w14:solidFill>
              <w14:schemeClr w14:val="tx1"/>
            </w14:solidFill>
          </w14:textFill>
        </w:rPr>
        <w:t>•  </w:t>
      </w:r>
      <w:r>
        <w:rPr>
          <w:rFonts w:hint="default" w:ascii="Arial Regular" w:hAnsi="Arial Regular" w:cs="Arial Regular"/>
          <w:color w:val="000000" w:themeColor="text1"/>
          <w:sz w:val="24"/>
          <w:szCs w:val="24"/>
          <w14:textFill>
            <w14:solidFill>
              <w14:schemeClr w14:val="tx1"/>
            </w14:solidFill>
          </w14:textFill>
        </w:rPr>
        <w:t>Together, these two strands would address the following questions: Is there a statistically measurable link between midwifery staffing levels and postnatal mental health outcomes? What are the lived experiences of the women affected?</w:t>
      </w:r>
      <w:bookmarkEnd w:id="28"/>
    </w:p>
    <w:p w14:paraId="60E6DBE6">
      <w:pPr>
        <w:rPr>
          <w:rFonts w:hint="default"/>
        </w:rPr>
      </w:pPr>
    </w:p>
    <w:p w14:paraId="557A37D7">
      <w:pPr>
        <w:pStyle w:val="2"/>
        <w:numPr>
          <w:numId w:val="0"/>
        </w:numPr>
        <w:bidi w:val="0"/>
        <w:rPr>
          <w:rFonts w:hint="default"/>
        </w:rPr>
      </w:pPr>
      <w:bookmarkStart w:id="29" w:name="_Toc608050923"/>
      <w:bookmarkStart w:id="30" w:name="_Toc728039185"/>
      <w:r>
        <w:rPr>
          <w:rFonts w:hint="default"/>
        </w:rPr>
        <w:t>Task 4</w:t>
      </w:r>
      <w:r>
        <w:rPr>
          <w:rFonts w:hint="default"/>
          <w:lang w:val="en-US"/>
        </w:rPr>
        <w:t xml:space="preserve">: </w:t>
      </w:r>
      <w:r>
        <w:rPr>
          <w:rFonts w:hint="default"/>
        </w:rPr>
        <w:t>Data Collection</w:t>
      </w:r>
      <w:bookmarkEnd w:id="29"/>
      <w:bookmarkEnd w:id="30"/>
    </w:p>
    <w:p w14:paraId="360C5CA5">
      <w:pPr>
        <w:pStyle w:val="3"/>
        <w:bidi w:val="0"/>
        <w:spacing w:line="360" w:lineRule="auto"/>
        <w:rPr>
          <w:rFonts w:hint="default"/>
        </w:rPr>
      </w:pPr>
      <w:bookmarkStart w:id="31" w:name="_Toc1784670435"/>
      <w:bookmarkStart w:id="32" w:name="_Toc1940245336"/>
      <w:r>
        <w:rPr>
          <w:rFonts w:hint="default"/>
          <w:lang w:val="en-US"/>
        </w:rPr>
        <w:t xml:space="preserve">4.1 </w:t>
      </w:r>
      <w:r>
        <w:rPr>
          <w:rFonts w:hint="default"/>
        </w:rPr>
        <w:t>Primary Data vs Secondary Data</w:t>
      </w:r>
      <w:bookmarkEnd w:id="31"/>
      <w:bookmarkEnd w:id="32"/>
    </w:p>
    <w:p w14:paraId="61A2BEC2">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Primary data is described as new information collected directly by the researcher through methods such as surveys, interviews, or observations. Secondary data is defined as information that has already been gathered by others, such as NHS workforce statistics, government reports, and peer reviewed journal articles.</w:t>
      </w:r>
    </w:p>
    <w:p w14:paraId="0AEB1E70">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For this research project, secondary data has been selected as the primary source, utilising the Nuffield Trust (2024), the RCM Perinatal Mental Health Roadmap (2023), and Dall'Ora et al. (2024). These sources are validated, nationally representative, and methodologically robust. A small, anonymous online survey is also planned to supplement these sources, capturing the lived experiences of new and recent mothers. This blended approach, as used by the Maternal Mental Health Alliance (2024), is considered both realistic and appropriate for a Level 4 student.</w:t>
      </w:r>
    </w:p>
    <w:p w14:paraId="420374D8">
      <w:pPr>
        <w:pStyle w:val="3"/>
        <w:bidi w:val="0"/>
        <w:spacing w:line="360" w:lineRule="auto"/>
        <w:rPr>
          <w:rFonts w:hint="default"/>
        </w:rPr>
      </w:pPr>
      <w:bookmarkStart w:id="33" w:name="_Toc1051903396"/>
      <w:bookmarkStart w:id="34" w:name="_Toc164182457"/>
      <w:r>
        <w:rPr>
          <w:rFonts w:hint="default"/>
          <w:lang w:val="en-US"/>
        </w:rPr>
        <w:t xml:space="preserve">4.2 </w:t>
      </w:r>
      <w:r>
        <w:rPr>
          <w:rFonts w:hint="default"/>
        </w:rPr>
        <w:t>Advantages:</w:t>
      </w:r>
      <w:bookmarkEnd w:id="33"/>
      <w:bookmarkEnd w:id="34"/>
    </w:p>
    <w:p w14:paraId="1954FBB4">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Secondary data has already been validated and peer-reviewed, strengthening the credibility of findings.</w:t>
      </w:r>
    </w:p>
    <w:p w14:paraId="29739CE9">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Trends over time can be tracked using official NHS datasets.</w:t>
      </w:r>
    </w:p>
    <w:p w14:paraId="5B0F5342">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Personal experiences are captured through the inclusion of a small primary survey.</w:t>
      </w:r>
    </w:p>
    <w:p w14:paraId="3B37AC01">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The approach is considered ethical and proportionate for a Level 4 project.</w:t>
      </w:r>
    </w:p>
    <w:p w14:paraId="03DDDAF4">
      <w:pPr>
        <w:pStyle w:val="3"/>
        <w:bidi w:val="0"/>
        <w:spacing w:line="360" w:lineRule="auto"/>
        <w:rPr>
          <w:rFonts w:hint="default"/>
        </w:rPr>
      </w:pPr>
      <w:bookmarkStart w:id="35" w:name="_Toc1254994468"/>
      <w:bookmarkStart w:id="36" w:name="_Toc2045552051"/>
      <w:r>
        <w:rPr>
          <w:rFonts w:hint="default"/>
          <w:lang w:val="en-US"/>
        </w:rPr>
        <w:t xml:space="preserve">4.3 </w:t>
      </w:r>
      <w:r>
        <w:rPr>
          <w:rFonts w:hint="default"/>
        </w:rPr>
        <w:t>Challenges:</w:t>
      </w:r>
      <w:bookmarkEnd w:id="35"/>
      <w:bookmarkEnd w:id="36"/>
    </w:p>
    <w:p w14:paraId="34628257">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Secondary data may not perfectly match the specific research question being explored.</w:t>
      </w:r>
    </w:p>
    <w:p w14:paraId="0B58217C">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Some NHS data is only available at the national level, making detailed regional comparisons difficult.</w:t>
      </w:r>
    </w:p>
    <w:p w14:paraId="2470F1CC">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The primary survey would be small and self-selected, meaning vulnerable or isolated mothers may not be represented.</w:t>
      </w:r>
    </w:p>
    <w:p w14:paraId="6C95544E">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 Important ethical considerations around consent and emotional safety have been identified, requiring careful planning.</w:t>
      </w:r>
    </w:p>
    <w:p w14:paraId="6AA6DEF4">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p>
    <w:p w14:paraId="1D510F64">
      <w:pPr>
        <w:keepNext w:val="0"/>
        <w:keepLines w:val="0"/>
        <w:widowControl/>
        <w:suppressLineNumbers w:val="0"/>
        <w:spacing w:before="105" w:beforeAutospacing="0" w:after="105" w:afterAutospacing="0" w:line="360" w:lineRule="auto"/>
        <w:jc w:val="both"/>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pPr>
    </w:p>
    <w:p w14:paraId="2F838FDD">
      <w:pPr>
        <w:pStyle w:val="2"/>
        <w:numPr>
          <w:numId w:val="0"/>
        </w:numPr>
        <w:bidi w:val="0"/>
        <w:spacing w:line="360" w:lineRule="auto"/>
        <w:rPr>
          <w:rFonts w:hint="default"/>
        </w:rPr>
      </w:pPr>
      <w:bookmarkStart w:id="37" w:name="_Toc107642842"/>
      <w:bookmarkStart w:id="38" w:name="_Toc527616334"/>
      <w:r>
        <w:rPr>
          <w:rFonts w:hint="default"/>
        </w:rPr>
        <w:t>Conclusion</w:t>
      </w:r>
      <w:bookmarkEnd w:id="37"/>
      <w:bookmarkEnd w:id="38"/>
    </w:p>
    <w:p w14:paraId="0FCA415C">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This report demonstrates that midwifery shortages in the UK directly harm the postnatal mental health of new mothers. Inadequate staffing increases vulnerability to postnatal depression, anxiety, birth trauma, and, in the most severe cases, suicide. Perinatal mental illness is estimated to cost the UK economy £8.1 billion annually (RCM, 2023), underscoring the need for investment in midwifery as both a moral and economic priority.</w:t>
      </w:r>
    </w:p>
    <w:p w14:paraId="20F21E97">
      <w:pPr>
        <w:keepNext w:val="0"/>
        <w:keepLines w:val="0"/>
        <w:widowControl/>
        <w:suppressLineNumbers w:val="0"/>
        <w:spacing w:before="105" w:beforeAutospacing="0" w:after="105" w:afterAutospacing="0" w:line="360" w:lineRule="auto"/>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SimSun" w:cs="Arial Regular"/>
          <w:color w:val="000000" w:themeColor="text1"/>
          <w:kern w:val="0"/>
          <w:sz w:val="24"/>
          <w:szCs w:val="24"/>
          <w:lang w:val="en-US" w:eastAsia="zh-CN" w:bidi="ar"/>
          <w14:textFill>
            <w14:solidFill>
              <w14:schemeClr w14:val="tx1"/>
            </w14:solidFill>
          </w14:textFill>
        </w:rPr>
        <w:t>Evidence from three key sources, the Nuffield Trust (2024), the RCM (2023), and Dall'Ora et al. (2024) have highlighted significant gaps in current research. A mixed-methods approach, combining secondary data with a small primary survey, is recommended for further study. Postnatal mental health should be recognized as a fundamental component of safe maternity care.</w:t>
      </w:r>
    </w:p>
    <w:p w14:paraId="688E4753">
      <w:pPr>
        <w:spacing w:before="60" w:after="120" w:line="360" w:lineRule="auto"/>
        <w:ind w:left="360"/>
        <w:jc w:val="both"/>
        <w:rPr>
          <w:rFonts w:hint="default" w:ascii="Arial Regular" w:hAnsi="Arial Regular" w:cs="Arial Regular"/>
          <w:color w:val="000000" w:themeColor="text1"/>
          <w:sz w:val="24"/>
          <w:szCs w:val="24"/>
          <w14:textFill>
            <w14:solidFill>
              <w14:schemeClr w14:val="tx1"/>
            </w14:solidFill>
          </w14:textFill>
        </w:rPr>
      </w:pPr>
    </w:p>
    <w:p w14:paraId="3016CACB">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3A21F917">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14E3DF29">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5421CECB">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52E00F01">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482E82C6">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143CC04A">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441D09C5">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71E99F87">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7592D75A">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216459A7">
      <w:pPr>
        <w:pBdr>
          <w:top w:val="none" w:color="auto" w:sz="0" w:space="1"/>
          <w:left w:val="none" w:color="auto" w:sz="0" w:space="4"/>
          <w:bottom w:val="none" w:color="auto" w:sz="0" w:space="1"/>
          <w:right w:val="none" w:color="auto" w:sz="0" w:space="4"/>
          <w:between w:val="none" w:color="auto" w:sz="0" w:space="0"/>
        </w:pBdr>
        <w:spacing w:before="400" w:after="140" w:line="360" w:lineRule="auto"/>
        <w:jc w:val="both"/>
        <w:rPr>
          <w:rFonts w:hint="default" w:ascii="Arial Regular" w:hAnsi="Arial Regular" w:eastAsia="Arial" w:cs="Arial Regular"/>
          <w:b/>
          <w:bCs/>
          <w:color w:val="000000" w:themeColor="text1"/>
          <w:sz w:val="24"/>
          <w:szCs w:val="24"/>
          <w14:textFill>
            <w14:solidFill>
              <w14:schemeClr w14:val="tx1"/>
            </w14:solidFill>
          </w14:textFill>
        </w:rPr>
      </w:pPr>
    </w:p>
    <w:p w14:paraId="069AD196">
      <w:pPr>
        <w:pStyle w:val="2"/>
        <w:numPr>
          <w:numId w:val="0"/>
        </w:numPr>
        <w:bidi w:val="0"/>
        <w:spacing w:line="360" w:lineRule="auto"/>
        <w:rPr>
          <w:rFonts w:hint="default" w:ascii="Arial Regular" w:hAnsi="Arial Regular" w:cs="Arial Regular"/>
          <w:color w:val="000000" w:themeColor="text1"/>
          <w:sz w:val="24"/>
          <w:szCs w:val="24"/>
          <w14:textFill>
            <w14:solidFill>
              <w14:schemeClr w14:val="tx1"/>
            </w14:solidFill>
          </w14:textFill>
        </w:rPr>
      </w:pPr>
      <w:bookmarkStart w:id="39" w:name="_Toc972014720"/>
      <w:bookmarkStart w:id="40" w:name="_Toc687747075"/>
      <w:r>
        <w:rPr>
          <w:rFonts w:hint="default"/>
        </w:rPr>
        <w:t>References</w:t>
      </w:r>
      <w:bookmarkEnd w:id="39"/>
      <w:bookmarkEnd w:id="40"/>
    </w:p>
    <w:p w14:paraId="55599536">
      <w:pPr>
        <w:numPr>
          <w:ilvl w:val="0"/>
          <w:numId w:val="2"/>
        </w:numPr>
        <w:spacing w:before="80" w:after="80" w:line="360" w:lineRule="auto"/>
        <w:ind w:left="720" w:hanging="72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British Journal of Midwif</w:t>
      </w:r>
      <w:r>
        <w:rPr>
          <w:rFonts w:hint="default" w:ascii="Arial Regular" w:hAnsi="Arial Regular" w:eastAsia="Arial" w:cs="Arial Regular"/>
          <w:i w:val="0"/>
          <w:iCs w:val="0"/>
          <w:color w:val="000000" w:themeColor="text1"/>
          <w:sz w:val="24"/>
          <w:szCs w:val="24"/>
          <w14:textFill>
            <w14:solidFill>
              <w14:schemeClr w14:val="tx1"/>
            </w14:solidFill>
          </w14:textFill>
        </w:rPr>
        <w:t xml:space="preserve">ery (2024) </w:t>
      </w:r>
      <w:r>
        <w:rPr>
          <w:rFonts w:hint="default" w:ascii="Arial Italic" w:hAnsi="Arial Italic" w:eastAsia="Arial" w:cs="Arial Italic"/>
          <w:i/>
          <w:iCs/>
          <w:color w:val="000000" w:themeColor="text1"/>
          <w:sz w:val="24"/>
          <w:szCs w:val="24"/>
          <w14:textFill>
            <w14:solidFill>
              <w14:schemeClr w14:val="tx1"/>
            </w14:solidFill>
          </w14:textFill>
        </w:rPr>
        <w:t>Increased rates of perinatal mental illness following COVID-19: the call for sufficient midwifery provision</w:t>
      </w:r>
      <w:r>
        <w:rPr>
          <w:rFonts w:hint="default" w:ascii="Arial Regular" w:hAnsi="Arial Regular" w:eastAsia="Arial" w:cs="Arial Regular"/>
          <w:i w:val="0"/>
          <w:iCs w:val="0"/>
          <w:color w:val="000000" w:themeColor="text1"/>
          <w:sz w:val="24"/>
          <w:szCs w:val="24"/>
          <w14:textFill>
            <w14:solidFill>
              <w14:schemeClr w14:val="tx1"/>
            </w14:solidFill>
          </w14:textFill>
        </w:rPr>
        <w:t xml:space="preserve">, </w:t>
      </w:r>
      <w:r>
        <w:rPr>
          <w:rFonts w:hint="default" w:ascii="Arial Italic" w:hAnsi="Arial Italic" w:eastAsia="Arial" w:cs="Arial Italic"/>
          <w:i w:val="0"/>
          <w:iCs w:val="0"/>
          <w:color w:val="000000" w:themeColor="text1"/>
          <w:sz w:val="24"/>
          <w:szCs w:val="24"/>
          <w14:textFill>
            <w14:solidFill>
              <w14:schemeClr w14:val="tx1"/>
            </w14:solidFill>
          </w14:textFill>
        </w:rPr>
        <w:t>British Journal of Midwifery</w:t>
      </w:r>
      <w:r>
        <w:rPr>
          <w:rFonts w:hint="default" w:ascii="Arial Regular" w:hAnsi="Arial Regular" w:eastAsia="Arial" w:cs="Arial Regular"/>
          <w:i w:val="0"/>
          <w:iCs w:val="0"/>
          <w:color w:val="000000" w:themeColor="text1"/>
          <w:sz w:val="24"/>
          <w:szCs w:val="24"/>
          <w14:textFill>
            <w14:solidFill>
              <w14:schemeClr w14:val="tx1"/>
            </w14:solidFill>
          </w14:textFill>
        </w:rPr>
        <w:t xml:space="preserve">, 32(3). Available at: </w:t>
      </w:r>
      <w:r>
        <w:rPr>
          <w:rFonts w:hint="default" w:ascii="Arial Regular" w:hAnsi="Arial Regular" w:eastAsia="Arial" w:cs="Arial Regular"/>
          <w:i w:val="0"/>
          <w:iCs w:val="0"/>
          <w:color w:val="000000" w:themeColor="text1"/>
          <w:sz w:val="24"/>
          <w:szCs w:val="24"/>
          <w14:textFill>
            <w14:solidFill>
              <w14:schemeClr w14:val="tx1"/>
            </w14:solidFill>
          </w14:textFill>
        </w:rPr>
        <w:fldChar w:fldCharType="begin"/>
      </w:r>
      <w:r>
        <w:rPr>
          <w:rFonts w:hint="default" w:ascii="Arial Regular" w:hAnsi="Arial Regular" w:eastAsia="Arial" w:cs="Arial Regular"/>
          <w:i w:val="0"/>
          <w:iCs w:val="0"/>
          <w:color w:val="000000" w:themeColor="text1"/>
          <w:sz w:val="24"/>
          <w:szCs w:val="24"/>
          <w14:textFill>
            <w14:solidFill>
              <w14:schemeClr w14:val="tx1"/>
            </w14:solidFill>
          </w14:textFill>
        </w:rPr>
        <w:instrText xml:space="preserve"> HYPERLINK "https://www.britishjournalofmidwifery.com" </w:instrText>
      </w:r>
      <w:r>
        <w:rPr>
          <w:rFonts w:hint="default" w:ascii="Arial Regular" w:hAnsi="Arial Regular" w:eastAsia="Arial" w:cs="Arial Regular"/>
          <w:i w:val="0"/>
          <w:iCs w:val="0"/>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i w:val="0"/>
          <w:iCs w:val="0"/>
          <w:sz w:val="24"/>
          <w:szCs w:val="24"/>
        </w:rPr>
        <w:t>https://www.britishjournalofmidwifery.com</w:t>
      </w:r>
      <w:r>
        <w:rPr>
          <w:rFonts w:hint="default" w:ascii="Arial Regular" w:hAnsi="Arial Regular" w:eastAsia="Arial" w:cs="Arial Regular"/>
          <w:i w:val="0"/>
          <w:iCs w:val="0"/>
          <w:color w:val="000000" w:themeColor="text1"/>
          <w:sz w:val="24"/>
          <w:szCs w:val="24"/>
          <w14:textFill>
            <w14:solidFill>
              <w14:schemeClr w14:val="tx1"/>
            </w14:solidFill>
          </w14:textFill>
        </w:rPr>
        <w:fldChar w:fldCharType="end"/>
      </w:r>
      <w:r>
        <w:rPr>
          <w:rFonts w:hint="default" w:ascii="Arial Regular" w:hAnsi="Arial Regular" w:cs="Arial Regular"/>
          <w:i w:val="0"/>
          <w:iCs w:val="0"/>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i w:val="0"/>
          <w:iCs w:val="0"/>
          <w:color w:val="000000" w:themeColor="text1"/>
          <w:sz w:val="24"/>
          <w:szCs w:val="24"/>
          <w14:textFill>
            <w14:solidFill>
              <w14:schemeClr w14:val="tx1"/>
            </w14:solidFill>
          </w14:textFill>
        </w:rPr>
        <w:t xml:space="preserve"> </w:t>
      </w:r>
      <w:r>
        <w:rPr>
          <w:rFonts w:hint="default" w:ascii="Arial Regular" w:hAnsi="Arial Regular" w:cs="Arial Regular"/>
          <w:i w:val="0"/>
          <w:iCs w:val="0"/>
          <w:color w:val="000000" w:themeColor="text1"/>
          <w:sz w:val="24"/>
          <w:szCs w:val="24"/>
          <w:lang w:val="en-US"/>
          <w14:textFill>
            <w14:solidFill>
              <w14:schemeClr w14:val="tx1"/>
            </w14:solidFill>
          </w14:textFill>
        </w:rPr>
        <w:t>(accessed:</w:t>
      </w:r>
      <w:r>
        <w:rPr>
          <w:rFonts w:hint="default" w:ascii="Arial Regular" w:hAnsi="Arial Regular" w:eastAsia="Arial" w:cs="Arial Regular"/>
          <w:i w:val="0"/>
          <w:iCs w:val="0"/>
          <w:color w:val="000000" w:themeColor="text1"/>
          <w:sz w:val="24"/>
          <w:szCs w:val="24"/>
          <w14:textFill>
            <w14:solidFill>
              <w14:schemeClr w14:val="tx1"/>
            </w14:solidFill>
          </w14:textFill>
        </w:rPr>
        <w:t xml:space="preserve"> </w:t>
      </w:r>
      <w:r>
        <w:rPr>
          <w:rFonts w:hint="default" w:ascii="Arial Regular" w:hAnsi="Arial Regular" w:cs="Arial Regular"/>
          <w:i w:val="0"/>
          <w:iCs w:val="0"/>
          <w:color w:val="000000" w:themeColor="text1"/>
          <w:sz w:val="24"/>
          <w:szCs w:val="24"/>
          <w:lang w:val="en-US"/>
          <w14:textFill>
            <w14:solidFill>
              <w14:schemeClr w14:val="tx1"/>
            </w14:solidFill>
          </w14:textFill>
        </w:rPr>
        <w:t>09</w:t>
      </w:r>
      <w:r>
        <w:rPr>
          <w:rFonts w:hint="default" w:ascii="Arial Regular" w:hAnsi="Arial Regular" w:cs="Arial Regular"/>
          <w:i w:val="0"/>
          <w:iCs w:val="0"/>
          <w:color w:val="000000" w:themeColor="text1"/>
          <w:sz w:val="24"/>
          <w:szCs w:val="24"/>
          <w:vertAlign w:val="superscript"/>
          <w:lang w:val="en-US"/>
          <w14:textFill>
            <w14:solidFill>
              <w14:schemeClr w14:val="tx1"/>
            </w14:solidFill>
          </w14:textFill>
        </w:rPr>
        <w:t>th</w:t>
      </w:r>
      <w:r>
        <w:rPr>
          <w:rFonts w:hint="default" w:ascii="Arial Regular" w:hAnsi="Arial Regular" w:cs="Arial Regular"/>
          <w:i w:val="0"/>
          <w:iCs w:val="0"/>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4476B7A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1D3C5335">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Dall'Ora, C.</w:t>
      </w:r>
      <w:r>
        <w:rPr>
          <w:rFonts w:hint="default" w:ascii="Arial Regular" w:hAnsi="Arial Regular" w:cs="Arial Regular"/>
          <w:color w:val="000000" w:themeColor="text1"/>
          <w:sz w:val="24"/>
          <w:szCs w:val="24"/>
          <w:lang w:val="en-US"/>
          <w14:textFill>
            <w14:solidFill>
              <w14:schemeClr w14:val="tx1"/>
            </w14:solidFill>
          </w14:textFill>
        </w:rPr>
        <w:t xml:space="preserve"> et al. </w:t>
      </w:r>
      <w:r>
        <w:rPr>
          <w:rFonts w:hint="default" w:ascii="Arial Regular" w:hAnsi="Arial Regular" w:eastAsia="Arial" w:cs="Arial Regular"/>
          <w:color w:val="000000" w:themeColor="text1"/>
          <w:sz w:val="24"/>
          <w:szCs w:val="24"/>
          <w14:textFill>
            <w14:solidFill>
              <w14:schemeClr w14:val="tx1"/>
            </w14:solidFill>
          </w14:textFill>
        </w:rPr>
        <w:t xml:space="preserve">(2024) </w:t>
      </w:r>
      <w:r>
        <w:rPr>
          <w:rFonts w:hint="default" w:ascii="Arial Italic" w:hAnsi="Arial Italic" w:eastAsia="Arial" w:cs="Arial Italic"/>
          <w:i/>
          <w:iCs/>
          <w:color w:val="000000" w:themeColor="text1"/>
          <w:sz w:val="24"/>
          <w:szCs w:val="24"/>
          <w14:textFill>
            <w14:solidFill>
              <w14:schemeClr w14:val="tx1"/>
            </w14:solidFill>
          </w14:textFill>
        </w:rPr>
        <w:t xml:space="preserve">The association between midwifery staffing and </w:t>
      </w:r>
      <w:r>
        <w:rPr>
          <w:rFonts w:hint="default" w:ascii="Arial Italic" w:hAnsi="Arial Italic" w:cs="Arial Italic"/>
          <w:i/>
          <w:iCs/>
          <w:color w:val="000000" w:themeColor="text1"/>
          <w:sz w:val="24"/>
          <w:szCs w:val="24"/>
          <w:lang w:val="en-US"/>
          <w14:textFill>
            <w14:solidFill>
              <w14:schemeClr w14:val="tx1"/>
            </w14:solidFill>
          </w14:textFill>
        </w:rPr>
        <w:t xml:space="preserve">reported </w:t>
      </w:r>
      <w:r>
        <w:rPr>
          <w:rFonts w:hint="default" w:ascii="Arial Italic" w:hAnsi="Arial Italic" w:eastAsia="Arial" w:cs="Arial Italic"/>
          <w:i/>
          <w:iCs/>
          <w:color w:val="000000" w:themeColor="text1"/>
          <w:sz w:val="24"/>
          <w:szCs w:val="24"/>
          <w14:textFill>
            <w14:solidFill>
              <w14:schemeClr w14:val="tx1"/>
            </w14:solidFill>
          </w14:textFill>
        </w:rPr>
        <w:t xml:space="preserve">harmful incidents: </w:t>
      </w:r>
      <w:r>
        <w:rPr>
          <w:rFonts w:hint="default" w:ascii="Arial Italic" w:hAnsi="Arial Italic" w:cs="Arial Italic"/>
          <w:i/>
          <w:iCs/>
          <w:color w:val="000000" w:themeColor="text1"/>
          <w:sz w:val="24"/>
          <w:szCs w:val="24"/>
          <w:lang w:val="en-US"/>
          <w14:textFill>
            <w14:solidFill>
              <w14:schemeClr w14:val="tx1"/>
            </w14:solidFill>
          </w14:textFill>
        </w:rPr>
        <w:t>A</w:t>
      </w:r>
      <w:r>
        <w:rPr>
          <w:rFonts w:hint="default" w:ascii="Arial Italic" w:hAnsi="Arial Italic" w:eastAsia="Arial" w:cs="Arial Italic"/>
          <w:i/>
          <w:iCs/>
          <w:color w:val="000000" w:themeColor="text1"/>
          <w:sz w:val="24"/>
          <w:szCs w:val="24"/>
          <w14:textFill>
            <w14:solidFill>
              <w14:schemeClr w14:val="tx1"/>
            </w14:solidFill>
          </w14:textFill>
        </w:rPr>
        <w:t xml:space="preserve"> cross-sectional analysis of routinely collected data</w:t>
      </w:r>
      <w:r>
        <w:rPr>
          <w:rFonts w:hint="default" w:ascii="Arial Regular" w:hAnsi="Arial Regular" w:eastAsia="Arial" w:cs="Arial Regular"/>
          <w:color w:val="000000" w:themeColor="text1"/>
          <w:sz w:val="24"/>
          <w:szCs w:val="24"/>
          <w14:textFill>
            <w14:solidFill>
              <w14:schemeClr w14:val="tx1"/>
            </w14:solidFill>
          </w14:textFill>
        </w:rPr>
        <w:t xml:space="preserve">, BMC Health Services Research, 24, p.391.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"https://doi.org/10.1186/s12913-024-10812-8"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https://doi.org/10.1186/s12913-024-10812-8</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09</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57F6C005">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582FBCC1">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Kasaven, L.</w:t>
      </w:r>
      <w:r>
        <w:rPr>
          <w:rFonts w:hint="default" w:ascii="Arial Regular" w:hAnsi="Arial Regular" w:cs="Arial Regular"/>
          <w:color w:val="000000" w:themeColor="text1"/>
          <w:sz w:val="24"/>
          <w:szCs w:val="24"/>
          <w:lang w:val="en-US"/>
          <w14:textFill>
            <w14:solidFill>
              <w14:schemeClr w14:val="tx1"/>
            </w14:solidFill>
          </w14:textFill>
        </w:rPr>
        <w:t xml:space="preserve"> et al.</w:t>
      </w:r>
      <w:r>
        <w:rPr>
          <w:rFonts w:hint="default" w:ascii="Arial Regular" w:hAnsi="Arial Regular" w:eastAsia="Arial" w:cs="Arial Regular"/>
          <w:color w:val="000000" w:themeColor="text1"/>
          <w:sz w:val="24"/>
          <w:szCs w:val="24"/>
          <w14:textFill>
            <w14:solidFill>
              <w14:schemeClr w14:val="tx1"/>
            </w14:solidFill>
          </w14:textFill>
        </w:rPr>
        <w:t xml:space="preserve"> (2023) </w:t>
      </w:r>
      <w:r>
        <w:rPr>
          <w:rFonts w:hint="default" w:ascii="Arial Italic" w:hAnsi="Arial Italic" w:eastAsia="Arial" w:cs="Arial Italic"/>
          <w:i/>
          <w:iCs/>
          <w:color w:val="000000" w:themeColor="text1"/>
          <w:sz w:val="24"/>
          <w:szCs w:val="24"/>
          <w14:textFill>
            <w14:solidFill>
              <w14:schemeClr w14:val="tx1"/>
            </w14:solidFill>
          </w14:textFill>
        </w:rPr>
        <w:t>The impact of the COVID-19 pandemic on perinatal services and maternal mental health in the UK</w:t>
      </w:r>
      <w:r>
        <w:rPr>
          <w:rFonts w:hint="default" w:ascii="Arial Regular" w:hAnsi="Arial Regular" w:eastAsia="Arial" w:cs="Arial Regular"/>
          <w:color w:val="000000" w:themeColor="text1"/>
          <w:sz w:val="24"/>
          <w:szCs w:val="24"/>
          <w14:textFill>
            <w14:solidFill>
              <w14:schemeClr w14:val="tx1"/>
            </w14:solidFill>
          </w14:textFill>
        </w:rPr>
        <w:t xml:space="preserve">, British Journal of Psychiatry Open, 9(1). https://doi.org/10.1192/bjo.2022.632 </w:t>
      </w:r>
      <w:r>
        <w:rPr>
          <w:rFonts w:hint="default" w:ascii="Arial Regular" w:hAnsi="Arial Regular" w:cs="Arial Regular"/>
          <w:color w:val="000000" w:themeColor="text1"/>
          <w:sz w:val="24"/>
          <w:szCs w:val="24"/>
          <w:lang w:val="en-US"/>
          <w14:textFill>
            <w14:solidFill>
              <w14:schemeClr w14:val="tx1"/>
            </w14:solidFill>
          </w14:textFill>
        </w:rPr>
        <w:t xml:space="preserve">(accessed: 12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22CC63E9">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570FAEDA">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Maternal Mental Health Alliance (2024) </w:t>
      </w:r>
      <w:r>
        <w:rPr>
          <w:rFonts w:hint="default" w:ascii="Arial Italic" w:hAnsi="Arial Italic" w:eastAsia="Arial" w:cs="Arial Italic"/>
          <w:i/>
          <w:iCs/>
          <w:color w:val="000000" w:themeColor="text1"/>
          <w:sz w:val="24"/>
          <w:szCs w:val="24"/>
          <w14:textFill>
            <w14:solidFill>
              <w14:schemeClr w14:val="tx1"/>
            </w14:solidFill>
          </w14:textFill>
        </w:rPr>
        <w:t>Women in England are suffering due to patchy Maternal Mental Health Service provision</w:t>
      </w:r>
      <w:r>
        <w:rPr>
          <w:rFonts w:hint="default" w:ascii="Arial Regular" w:hAnsi="Arial Regular" w:eastAsia="Arial" w:cs="Arial Regular"/>
          <w:color w:val="000000" w:themeColor="text1"/>
          <w:sz w:val="24"/>
          <w:szCs w:val="24"/>
          <w14:textFill>
            <w14:solidFill>
              <w14:schemeClr w14:val="tx1"/>
            </w14:solidFill>
          </w14:textFill>
        </w:rPr>
        <w:t xml:space="preserve">. London: MMHA. Available at: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"https://maternalmentalhealthalliance.org"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https://maternalmentalhealthalliance.org</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10</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272C7C7D">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2EEBE90D">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MBRRACE-UK (2023) </w:t>
      </w:r>
      <w:r>
        <w:rPr>
          <w:rFonts w:hint="default" w:ascii="Arial Italic" w:hAnsi="Arial Italic" w:eastAsia="Arial" w:cs="Arial Italic"/>
          <w:i/>
          <w:iCs/>
          <w:color w:val="000000" w:themeColor="text1"/>
          <w:sz w:val="24"/>
          <w:szCs w:val="24"/>
          <w14:textFill>
            <w14:solidFill>
              <w14:schemeClr w14:val="tx1"/>
            </w14:solidFill>
          </w14:textFill>
        </w:rPr>
        <w:t>Saving Lives, Improving Mothers</w:t>
      </w:r>
      <w:r>
        <w:rPr>
          <w:rFonts w:hint="default" w:ascii="Arial Italic" w:hAnsi="Arial Italic" w:cs="Arial Italic"/>
          <w:i/>
          <w:iCs/>
          <w:color w:val="000000" w:themeColor="text1"/>
          <w:sz w:val="24"/>
          <w:szCs w:val="24"/>
          <w:lang w:val="en-US"/>
          <w14:textFill>
            <w14:solidFill>
              <w14:schemeClr w14:val="tx1"/>
            </w14:solidFill>
          </w14:textFill>
        </w:rPr>
        <w:t>,</w:t>
      </w:r>
      <w:r>
        <w:rPr>
          <w:rFonts w:hint="default" w:ascii="Arial Regular" w:hAnsi="Arial Regular" w:eastAsia="Arial" w:cs="Arial Regular"/>
          <w:color w:val="000000" w:themeColor="text1"/>
          <w:sz w:val="24"/>
          <w:szCs w:val="24"/>
          <w14:textFill>
            <w14:solidFill>
              <w14:schemeClr w14:val="tx1"/>
            </w14:solidFill>
          </w14:textFill>
        </w:rPr>
        <w:t xml:space="preserve"> Care: Lessons Learned to Inform Maternity Care from the UK and Ireland Confidential Enquiries into Maternal Deaths and Morbidity 2019-21. Oxford: National Perinatal Epidemiology Unit, University of Oxford.</w:t>
      </w:r>
    </w:p>
    <w:p w14:paraId="4CB26F64">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7E87F499">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NHS England (2024) </w:t>
      </w:r>
      <w:r>
        <w:rPr>
          <w:rFonts w:hint="default" w:ascii="Arial Italic" w:hAnsi="Arial Italic" w:eastAsia="Arial" w:cs="Arial Italic"/>
          <w:i/>
          <w:iCs/>
          <w:color w:val="000000" w:themeColor="text1"/>
          <w:sz w:val="24"/>
          <w:szCs w:val="24"/>
          <w14:textFill>
            <w14:solidFill>
              <w14:schemeClr w14:val="tx1"/>
            </w14:solidFill>
          </w14:textFill>
        </w:rPr>
        <w:t>Record numbers of women accessing perinatal mental health support</w:t>
      </w:r>
      <w:r>
        <w:rPr>
          <w:rFonts w:hint="default" w:ascii="Arial Regular" w:hAnsi="Arial Regular" w:eastAsia="Arial" w:cs="Arial Regular"/>
          <w:color w:val="000000" w:themeColor="text1"/>
          <w:sz w:val="24"/>
          <w:szCs w:val="24"/>
          <w14:textFill>
            <w14:solidFill>
              <w14:schemeClr w14:val="tx1"/>
            </w14:solidFill>
          </w14:textFill>
        </w:rPr>
        <w:t xml:space="preserve">. Available at: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"https://www.england.nhs.uk/2024/05/record-numbers-of-women-accessing-perinatal-mental-health-support/"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https://www.england.nhs.uk/2024/05/record-numbers-of-women-accessing-perinatal-mental-health-support/</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10</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2452D5E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2A6AB150">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Nuffield Trust (2024) </w:t>
      </w:r>
      <w:r>
        <w:rPr>
          <w:rFonts w:hint="default" w:ascii="Arial Italic" w:hAnsi="Arial Italic" w:eastAsia="Arial" w:cs="Arial Italic"/>
          <w:i/>
          <w:iCs/>
          <w:color w:val="000000" w:themeColor="text1"/>
          <w:sz w:val="24"/>
          <w:szCs w:val="24"/>
          <w14:textFill>
            <w14:solidFill>
              <w14:schemeClr w14:val="tx1"/>
            </w14:solidFill>
          </w14:textFill>
        </w:rPr>
        <w:t>Maternity Care</w:t>
      </w:r>
      <w:r>
        <w:rPr>
          <w:rFonts w:hint="default" w:ascii="Arial Regular" w:hAnsi="Arial Regular" w:eastAsia="Arial" w:cs="Arial Regular"/>
          <w:color w:val="000000" w:themeColor="text1"/>
          <w:sz w:val="24"/>
          <w:szCs w:val="24"/>
          <w14:textFill>
            <w14:solidFill>
              <w14:schemeClr w14:val="tx1"/>
            </w14:solidFill>
          </w14:textFill>
        </w:rPr>
        <w:t xml:space="preserve">. London: Nuffield Trust. Available at: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"https://www.nuffieldtrust.org.uk/resource/maternity-care"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https://www.nuffieldtrust.org.uk/resource/maternity-care</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10</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09CADF8F">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010AC6B5">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Oxford Brookes University / NIHR Policy Research Unit in Maternal and Neonatal Health and Care (2024) </w:t>
      </w:r>
      <w:r>
        <w:rPr>
          <w:rFonts w:hint="default" w:ascii="Arial Italic" w:hAnsi="Arial Italic" w:eastAsia="Arial" w:cs="Arial Italic"/>
          <w:i/>
          <w:iCs/>
          <w:color w:val="000000" w:themeColor="text1"/>
          <w:sz w:val="24"/>
          <w:szCs w:val="24"/>
          <w14:textFill>
            <w14:solidFill>
              <w14:schemeClr w14:val="tx1"/>
            </w14:solidFill>
          </w14:textFill>
        </w:rPr>
        <w:t>Postnatal care provided by UK midwifery units and the impact of the COVID-19 pandemic: a survey using the UK Midwifery Study System (UKMidSS)</w:t>
      </w:r>
      <w:r>
        <w:rPr>
          <w:rFonts w:hint="default" w:ascii="Arial Regular" w:hAnsi="Arial Regular" w:eastAsia="Arial" w:cs="Arial Regular"/>
          <w:color w:val="000000" w:themeColor="text1"/>
          <w:sz w:val="24"/>
          <w:szCs w:val="24"/>
          <w14:textFill>
            <w14:solidFill>
              <w14:schemeClr w14:val="tx1"/>
            </w14:solidFill>
          </w14:textFill>
        </w:rPr>
        <w:t xml:space="preserve">, PLOS ONE, published online May 2024.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"https://doi.org/10.1371/journal.pone.0302015"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https://doi.org/10.1371/journal.pone.0302015</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12</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25C4389A">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3E4E0789">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Royal College of Midwives (2023) </w:t>
      </w:r>
      <w:r>
        <w:rPr>
          <w:rFonts w:hint="default" w:ascii="Arial Italic" w:hAnsi="Arial Italic" w:eastAsia="Arial" w:cs="Arial Italic"/>
          <w:i/>
          <w:iCs/>
          <w:color w:val="000000" w:themeColor="text1"/>
          <w:sz w:val="24"/>
          <w:szCs w:val="24"/>
          <w14:textFill>
            <w14:solidFill>
              <w14:schemeClr w14:val="tx1"/>
            </w14:solidFill>
          </w14:textFill>
        </w:rPr>
        <w:t>Strengthening Perinatal Mental Health</w:t>
      </w:r>
      <w:r>
        <w:rPr>
          <w:rFonts w:hint="default" w:ascii="Arial Regular" w:hAnsi="Arial Regular" w:eastAsia="Arial" w:cs="Arial Regular"/>
          <w:color w:val="000000" w:themeColor="text1"/>
          <w:sz w:val="24"/>
          <w:szCs w:val="24"/>
          <w14:textFill>
            <w14:solidFill>
              <w14:schemeClr w14:val="tx1"/>
            </w14:solidFill>
          </w14:textFill>
        </w:rPr>
        <w:t xml:space="preserve">: A Roadmap to the Right Support at the Right Time. London: RCM. Available at: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"https://www.rcm.org.uk/media/6976/rcm-perinatal-mental-health-report-2023.pdf"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https://www.rcm.org.uk/media/6976/rcm-perinatal-mental-health-report-2023.pdf</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12</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p w14:paraId="2E74057B">
      <w:pPr>
        <w:spacing w:line="360" w:lineRule="auto"/>
        <w:jc w:val="both"/>
        <w:rPr>
          <w:rFonts w:hint="default" w:ascii="Arial Regular" w:hAnsi="Arial Regular" w:cs="Arial Regular"/>
          <w:color w:val="000000" w:themeColor="text1"/>
          <w:sz w:val="24"/>
          <w:szCs w:val="24"/>
          <w14:textFill>
            <w14:solidFill>
              <w14:schemeClr w14:val="tx1"/>
            </w14:solidFill>
          </w14:textFill>
        </w:rPr>
      </w:pPr>
    </w:p>
    <w:p w14:paraId="3CB726C7">
      <w:pPr>
        <w:numPr>
          <w:ilvl w:val="0"/>
          <w:numId w:val="2"/>
        </w:numPr>
        <w:spacing w:before="80" w:after="80" w:line="360" w:lineRule="auto"/>
        <w:ind w:left="720" w:leftChars="0" w:hanging="720" w:firstLineChars="0"/>
        <w:jc w:val="both"/>
        <w:rPr>
          <w:rFonts w:hint="default" w:ascii="Arial Regular" w:hAnsi="Arial Regular" w:cs="Arial Regular"/>
          <w:color w:val="000000" w:themeColor="text1"/>
          <w:sz w:val="24"/>
          <w:szCs w:val="24"/>
          <w14:textFill>
            <w14:solidFill>
              <w14:schemeClr w14:val="tx1"/>
            </w14:solidFill>
          </w14:textFill>
        </w:rPr>
      </w:pPr>
      <w:r>
        <w:rPr>
          <w:rFonts w:hint="default" w:ascii="Arial Regular" w:hAnsi="Arial Regular" w:eastAsia="Arial" w:cs="Arial Regular"/>
          <w:color w:val="000000" w:themeColor="text1"/>
          <w:sz w:val="24"/>
          <w:szCs w:val="24"/>
          <w14:textFill>
            <w14:solidFill>
              <w14:schemeClr w14:val="tx1"/>
            </w14:solidFill>
          </w14:textFill>
        </w:rPr>
        <w:t xml:space="preserve">Royal College of Midwives (2022) </w:t>
      </w:r>
      <w:r>
        <w:rPr>
          <w:rFonts w:hint="default" w:ascii="Arial Italic" w:hAnsi="Arial Italic" w:eastAsia="Arial" w:cs="Arial Italic"/>
          <w:i/>
          <w:iCs/>
          <w:color w:val="000000" w:themeColor="text1"/>
          <w:sz w:val="24"/>
          <w:szCs w:val="24"/>
          <w14:textFill>
            <w14:solidFill>
              <w14:schemeClr w14:val="tx1"/>
            </w14:solidFill>
          </w14:textFill>
        </w:rPr>
        <w:t>Addressing the Impact of Staffing Shortages</w:t>
      </w:r>
      <w:r>
        <w:rPr>
          <w:rFonts w:hint="default" w:ascii="Arial Regular" w:hAnsi="Arial Regular" w:eastAsia="Arial" w:cs="Arial Regular"/>
          <w:color w:val="000000" w:themeColor="text1"/>
          <w:sz w:val="24"/>
          <w:szCs w:val="24"/>
          <w14:textFill>
            <w14:solidFill>
              <w14:schemeClr w14:val="tx1"/>
            </w14:solidFill>
          </w14:textFill>
        </w:rPr>
        <w:t xml:space="preserve">. London: RCM. Available at: </w:t>
      </w:r>
      <w:r>
        <w:rPr>
          <w:rFonts w:hint="default" w:ascii="Arial Regular" w:hAnsi="Arial Regular" w:eastAsia="Arial" w:cs="Arial Regular"/>
          <w:color w:val="000000" w:themeColor="text1"/>
          <w:sz w:val="24"/>
          <w:szCs w:val="24"/>
          <w14:textFill>
            <w14:solidFill>
              <w14:schemeClr w14:val="tx1"/>
            </w14:solidFill>
          </w14:textFill>
        </w:rPr>
        <w:fldChar w:fldCharType="begin"/>
      </w:r>
      <w:r>
        <w:rPr>
          <w:rFonts w:hint="default" w:ascii="Arial Regular" w:hAnsi="Arial Regular" w:eastAsia="Arial" w:cs="Arial Regular"/>
          <w:color w:val="000000" w:themeColor="text1"/>
          <w:sz w:val="24"/>
          <w:szCs w:val="24"/>
          <w14:textFill>
            <w14:solidFill>
              <w14:schemeClr w14:val="tx1"/>
            </w14:solidFill>
          </w14:textFill>
        </w:rPr>
        <w:instrText xml:space="preserve"> HYPERLINK "https://www.rcm.org.uk/news-views/rcm-opinion/2022/addressing-the-impact-of-staffing-shortages/" </w:instrText>
      </w:r>
      <w:r>
        <w:rPr>
          <w:rFonts w:hint="default" w:ascii="Arial Regular" w:hAnsi="Arial Regular" w:eastAsia="Arial" w:cs="Arial Regular"/>
          <w:color w:val="000000" w:themeColor="text1"/>
          <w:sz w:val="24"/>
          <w:szCs w:val="24"/>
          <w14:textFill>
            <w14:solidFill>
              <w14:schemeClr w14:val="tx1"/>
            </w14:solidFill>
          </w14:textFill>
        </w:rPr>
        <w:fldChar w:fldCharType="separate"/>
      </w:r>
      <w:r>
        <w:rPr>
          <w:rStyle w:val="16"/>
          <w:rFonts w:hint="default" w:ascii="Arial Regular" w:hAnsi="Arial Regular" w:eastAsia="Arial" w:cs="Arial Regular"/>
          <w:sz w:val="24"/>
          <w:szCs w:val="24"/>
        </w:rPr>
        <w:t>https://www.rcm.org.uk/news-views/rcm-opinion/2022/addressing-the-impact-of-staffing-shortages/</w:t>
      </w:r>
      <w:r>
        <w:rPr>
          <w:rFonts w:hint="default" w:ascii="Arial Regular" w:hAnsi="Arial Regular" w:eastAsia="Arial" w:cs="Arial Regular"/>
          <w:color w:val="000000" w:themeColor="text1"/>
          <w:sz w:val="24"/>
          <w:szCs w:val="24"/>
          <w14:textFill>
            <w14:solidFill>
              <w14:schemeClr w14:val="tx1"/>
            </w14:solidFill>
          </w14:textFill>
        </w:rPr>
        <w:fldChar w:fldCharType="end"/>
      </w:r>
      <w:r>
        <w:rPr>
          <w:rFonts w:hint="default" w:ascii="Arial Regular" w:hAnsi="Arial Regular" w:cs="Arial Regular"/>
          <w:color w:val="000000" w:themeColor="text1"/>
          <w:sz w:val="24"/>
          <w:szCs w:val="24"/>
          <w:lang w:val="en-US"/>
          <w14:textFill>
            <w14:solidFill>
              <w14:schemeClr w14:val="tx1"/>
            </w14:solidFill>
          </w14:textFill>
        </w:rPr>
        <w:t xml:space="preserve"> </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(accessed:</w:t>
      </w:r>
      <w:r>
        <w:rPr>
          <w:rFonts w:hint="default" w:ascii="Arial Regular" w:hAnsi="Arial Regular" w:eastAsia="Arial" w:cs="Arial Regular"/>
          <w:color w:val="000000" w:themeColor="text1"/>
          <w:sz w:val="24"/>
          <w:szCs w:val="24"/>
          <w14:textFill>
            <w14:solidFill>
              <w14:schemeClr w14:val="tx1"/>
            </w14:solidFill>
          </w14:textFill>
        </w:rPr>
        <w:t xml:space="preserve"> </w:t>
      </w:r>
      <w:r>
        <w:rPr>
          <w:rFonts w:hint="default" w:ascii="Arial Regular" w:hAnsi="Arial Regular" w:cs="Arial Regular"/>
          <w:color w:val="000000" w:themeColor="text1"/>
          <w:sz w:val="24"/>
          <w:szCs w:val="24"/>
          <w:lang w:val="en-US"/>
          <w14:textFill>
            <w14:solidFill>
              <w14:schemeClr w14:val="tx1"/>
            </w14:solidFill>
          </w14:textFill>
        </w:rPr>
        <w:t>12</w:t>
      </w:r>
      <w:r>
        <w:rPr>
          <w:rFonts w:hint="default" w:ascii="Arial Regular" w:hAnsi="Arial Regular" w:cs="Arial Regular"/>
          <w:color w:val="000000" w:themeColor="text1"/>
          <w:sz w:val="24"/>
          <w:szCs w:val="24"/>
          <w:vertAlign w:val="superscript"/>
          <w:lang w:val="en-US"/>
          <w14:textFill>
            <w14:solidFill>
              <w14:schemeClr w14:val="tx1"/>
            </w14:solidFill>
          </w14:textFill>
        </w:rPr>
        <w:t>th</w:t>
      </w:r>
      <w:r>
        <w:rPr>
          <w:rFonts w:hint="default" w:ascii="Arial Regular" w:hAnsi="Arial Regular" w:cs="Arial Regular"/>
          <w:color w:val="000000" w:themeColor="text1"/>
          <w:sz w:val="24"/>
          <w:szCs w:val="24"/>
          <w:lang w:val="en-US"/>
          <w14:textFill>
            <w14:solidFill>
              <w14:schemeClr w14:val="tx1"/>
            </w14:solidFill>
          </w14:textFill>
        </w:rPr>
        <w:t xml:space="preserve"> April </w:t>
      </w:r>
      <w:r>
        <w:rPr>
          <w:rFonts w:hint="default" w:ascii="Arial Regular" w:hAnsi="Arial Regular" w:eastAsia="Arial" w:cs="Arial Regular"/>
          <w:color w:val="000000" w:themeColor="text1"/>
          <w:sz w:val="24"/>
          <w:szCs w:val="24"/>
          <w14:textFill>
            <w14:solidFill>
              <w14:schemeClr w14:val="tx1"/>
            </w14:solidFill>
          </w14:textFill>
        </w:rPr>
        <w:t>202</w:t>
      </w:r>
      <w:r>
        <w:rPr>
          <w:rFonts w:hint="default" w:ascii="Arial Regular" w:hAnsi="Arial Regular" w:cs="Arial Regular"/>
          <w:color w:val="000000" w:themeColor="text1"/>
          <w:sz w:val="24"/>
          <w:szCs w:val="24"/>
          <w:lang w:val="en-US"/>
          <w14:textFill>
            <w14:solidFill>
              <w14:schemeClr w14:val="tx1"/>
            </w14:solidFill>
          </w14:textFill>
        </w:rPr>
        <w:t>6)</w:t>
      </w:r>
      <w:r>
        <w:rPr>
          <w:rFonts w:hint="default" w:ascii="Arial Regular" w:hAnsi="Arial Regular" w:eastAsia="Arial" w:cs="Arial Regular"/>
          <w:color w:val="000000" w:themeColor="text1"/>
          <w:sz w:val="24"/>
          <w:szCs w:val="24"/>
          <w14:textFill>
            <w14:solidFill>
              <w14:schemeClr w14:val="tx1"/>
            </w14:solidFill>
          </w14:textFill>
        </w:rPr>
        <w:t>.</w:t>
      </w:r>
    </w:p>
    <w:sectPr>
      <w:footerReference r:id="rId5" w:type="default"/>
      <w:pgSz w:w="11906" w:h="16838"/>
      <w:pgMar w:top="1200" w:right="1200" w:bottom="1200" w:left="1200" w:header="708" w:footer="708" w:gutter="0"/>
      <w:pgBorders w:display="firstPage">
        <w:top w:val="none" w:sz="0" w:space="0"/>
        <w:left w:val="none" w:sz="0" w:space="0"/>
        <w:bottom w:val="none" w:sz="0" w:space="0"/>
        <w:right w:val="none" w:sz="0" w:space="0"/>
      </w:pgBorders>
      <w:pgNumType w:fmt="decimal" w:start="2"/>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汉仪书宋二KW"/>
    <w:panose1 w:val="02010600030101010101"/>
    <w:charset w:val="86"/>
    <w:family w:val="auto"/>
    <w:pitch w:val="default"/>
    <w:sig w:usb0="00000000" w:usb1="00000000" w:usb2="00000016" w:usb3="00000000" w:csb0="00040001" w:csb1="00000000"/>
  </w:font>
  <w:font w:name="Arial Regular">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iragino Sans GB">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Avenir Book">
    <w:panose1 w:val="02000503020000020003"/>
    <w:charset w:val="00"/>
    <w:family w:val="auto"/>
    <w:pitch w:val="default"/>
    <w:sig w:usb0="800000AF" w:usb1="5000204A" w:usb2="00000000" w:usb3="00000000" w:csb0="0000009B"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E7152C4">
    <w:pP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BD96B76">
    <w:pPr>
      <w:jc w:val="cente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9101B56">
                          <w:pPr>
                            <w:jc w:val="center"/>
                          </w:pPr>
                          <w:r>
                            <w:rPr>
                              <w:rFonts w:ascii="Arial" w:hAnsi="Arial" w:eastAsia="Arial" w:cs="Arial"/>
                              <w:color w:val="888888"/>
                              <w:sz w:val="16"/>
                              <w:szCs w:val="16"/>
                            </w:rPr>
                            <w:t xml:space="preserve">Page </w:t>
                          </w:r>
                          <w:r>
                            <w:rPr>
                              <w:rFonts w:ascii="Arial" w:hAnsi="Arial" w:eastAsia="Arial" w:cs="Arial"/>
                              <w:color w:val="888888"/>
                              <w:sz w:val="16"/>
                              <w:szCs w:val="16"/>
                            </w:rPr>
                            <w:fldChar w:fldCharType="begin"/>
                          </w:r>
                          <w:r>
                            <w:rPr>
                              <w:rFonts w:ascii="Arial" w:hAnsi="Arial" w:eastAsia="Arial" w:cs="Arial"/>
                              <w:color w:val="888888"/>
                              <w:sz w:val="16"/>
                              <w:szCs w:val="16"/>
                            </w:rPr>
                            <w:instrText xml:space="preserve">PAGE</w:instrText>
                          </w:r>
                          <w:r>
                            <w:rPr>
                              <w:rFonts w:ascii="Arial" w:hAnsi="Arial" w:eastAsia="Arial" w:cs="Arial"/>
                              <w:color w:val="888888"/>
                              <w:sz w:val="16"/>
                              <w:szCs w:val="16"/>
                            </w:rPr>
                            <w:fldChar w:fldCharType="separate"/>
                          </w:r>
                          <w:r>
                            <w:rPr>
                              <w:rFonts w:ascii="Arial" w:hAnsi="Arial" w:eastAsia="Arial" w:cs="Arial"/>
                              <w:color w:val="888888"/>
                              <w:sz w:val="16"/>
                              <w:szCs w:val="16"/>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19101B56">
                    <w:pPr>
                      <w:jc w:val="center"/>
                    </w:pPr>
                    <w:r>
                      <w:rPr>
                        <w:rFonts w:ascii="Arial" w:hAnsi="Arial" w:eastAsia="Arial" w:cs="Arial"/>
                        <w:color w:val="888888"/>
                        <w:sz w:val="16"/>
                        <w:szCs w:val="16"/>
                      </w:rPr>
                      <w:t xml:space="preserve">Page </w:t>
                    </w:r>
                    <w:r>
                      <w:rPr>
                        <w:rFonts w:ascii="Arial" w:hAnsi="Arial" w:eastAsia="Arial" w:cs="Arial"/>
                        <w:color w:val="888888"/>
                        <w:sz w:val="16"/>
                        <w:szCs w:val="16"/>
                      </w:rPr>
                      <w:fldChar w:fldCharType="begin"/>
                    </w:r>
                    <w:r>
                      <w:rPr>
                        <w:rFonts w:ascii="Arial" w:hAnsi="Arial" w:eastAsia="Arial" w:cs="Arial"/>
                        <w:color w:val="888888"/>
                        <w:sz w:val="16"/>
                        <w:szCs w:val="16"/>
                      </w:rPr>
                      <w:instrText xml:space="preserve">PAGE</w:instrText>
                    </w:r>
                    <w:r>
                      <w:rPr>
                        <w:rFonts w:ascii="Arial" w:hAnsi="Arial" w:eastAsia="Arial" w:cs="Arial"/>
                        <w:color w:val="888888"/>
                        <w:sz w:val="16"/>
                        <w:szCs w:val="16"/>
                      </w:rPr>
                      <w:fldChar w:fldCharType="separate"/>
                    </w:r>
                    <w:r>
                      <w:rPr>
                        <w:rFonts w:ascii="Arial" w:hAnsi="Arial" w:eastAsia="Arial" w:cs="Arial"/>
                        <w:color w:val="888888"/>
                        <w:sz w:val="16"/>
                        <w:szCs w:val="16"/>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6C5EF89">
    <w:pP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EE3F03"/>
    <w:multiLevelType w:val="singleLevel"/>
    <w:tmpl w:val="E7EE3F03"/>
    <w:lvl w:ilvl="0" w:tentative="0">
      <w:start w:val="1"/>
      <w:numFmt w:val="decimal"/>
      <w:suff w:val="space"/>
      <w:lvlText w:val="%1."/>
      <w:lvlJc w:val="left"/>
    </w:lvl>
  </w:abstractNum>
  <w:abstractNum w:abstractNumId="1">
    <w:nsid w:val="5E788016"/>
    <w:multiLevelType w:val="singleLevel"/>
    <w:tmpl w:val="5E788016"/>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2"/>
  <w:displayBackgroundShape w:val="1"/>
  <w:bordersDoNotSurroundHeader w:val="0"/>
  <w:bordersDoNotSurroundFooter w:val="0"/>
  <w:documentProtection w:enforcement="0"/>
  <w:displayHorizontalDrawingGridEvery w:val="1"/>
  <w:displayVerticalDrawingGridEvery w:val="1"/>
  <w:noPunctuationKerning w:val="1"/>
  <w:compat>
    <w:doNotExpandShiftReturn/>
    <w:doNotWrapTextWithPunct/>
    <w:doNotUseEastAsianBreakRules/>
    <w:doNotUseIndentAsNumberingTabStop/>
    <w:compatSetting w:name="compatibilityMode" w:uri="http://schemas.microsoft.com/office/word" w:val="15"/>
  </w:compat>
  <w:rsids>
    <w:rsidRoot w:val="00000000"/>
    <w:rsid w:val="0FBF8857"/>
    <w:rsid w:val="1F8FC617"/>
    <w:rsid w:val="30EBF2C8"/>
    <w:rsid w:val="3BFFCC90"/>
    <w:rsid w:val="3E353EE1"/>
    <w:rsid w:val="3E593211"/>
    <w:rsid w:val="3E77D6CC"/>
    <w:rsid w:val="3F9ED107"/>
    <w:rsid w:val="3FEBBAA6"/>
    <w:rsid w:val="4BDCFC61"/>
    <w:rsid w:val="4EFC7080"/>
    <w:rsid w:val="57D191A6"/>
    <w:rsid w:val="5DFBC2A6"/>
    <w:rsid w:val="5DFF8ED9"/>
    <w:rsid w:val="5EF7984A"/>
    <w:rsid w:val="5FA69552"/>
    <w:rsid w:val="67FAFA69"/>
    <w:rsid w:val="6B5B5CB8"/>
    <w:rsid w:val="6CFFC33E"/>
    <w:rsid w:val="6DBF65D0"/>
    <w:rsid w:val="6F7F86D1"/>
    <w:rsid w:val="71DB3F42"/>
    <w:rsid w:val="73FF9F0A"/>
    <w:rsid w:val="77ECA829"/>
    <w:rsid w:val="79F9D360"/>
    <w:rsid w:val="7BDBB7AF"/>
    <w:rsid w:val="7C75E647"/>
    <w:rsid w:val="7DF9F573"/>
    <w:rsid w:val="7DFD334A"/>
    <w:rsid w:val="7F6682EE"/>
    <w:rsid w:val="7FEE0334"/>
    <w:rsid w:val="7FEF3E13"/>
    <w:rsid w:val="7FFA9A9C"/>
    <w:rsid w:val="8FEF2978"/>
    <w:rsid w:val="9F790EFF"/>
    <w:rsid w:val="9FFBBE0A"/>
    <w:rsid w:val="ABFB37D1"/>
    <w:rsid w:val="B7FF27B0"/>
    <w:rsid w:val="BAFBBDC4"/>
    <w:rsid w:val="BF6FFB17"/>
    <w:rsid w:val="BFE91D1E"/>
    <w:rsid w:val="CD9D45D8"/>
    <w:rsid w:val="CFF79F8B"/>
    <w:rsid w:val="CFF7E91A"/>
    <w:rsid w:val="D51D06DC"/>
    <w:rsid w:val="D971AF7B"/>
    <w:rsid w:val="DF3F0316"/>
    <w:rsid w:val="DF5BE72A"/>
    <w:rsid w:val="DFFF0BC9"/>
    <w:rsid w:val="ED960BC1"/>
    <w:rsid w:val="EEF60422"/>
    <w:rsid w:val="EF4D7143"/>
    <w:rsid w:val="EF7FC88E"/>
    <w:rsid w:val="EFFC34C2"/>
    <w:rsid w:val="EFFFB1E0"/>
    <w:rsid w:val="F3EDDE16"/>
    <w:rsid w:val="F5B8B6FE"/>
    <w:rsid w:val="F7E563B8"/>
    <w:rsid w:val="F7FB99F6"/>
    <w:rsid w:val="FAFBAEA1"/>
    <w:rsid w:val="FBFF308E"/>
    <w:rsid w:val="FDDF0902"/>
    <w:rsid w:val="FDEF2E34"/>
    <w:rsid w:val="FECB645F"/>
    <w:rsid w:val="FF6F920C"/>
    <w:rsid w:val="FFAD00CC"/>
    <w:rsid w:val="FFDE1828"/>
    <w:rsid w:val="FFF7D26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iPriority="99" w:name="footnote text"/>
    <w:lsdException w:qFormat="1"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qFormat="1" w:uiPriority="99" w:name="endnote reference"/>
    <w:lsdException w:qFormat="1" w:uiPriority="99"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Arial" w:cs="Arial"/>
      <w:sz w:val="22"/>
      <w:szCs w:val="22"/>
    </w:rPr>
  </w:style>
  <w:style w:type="paragraph" w:styleId="2">
    <w:name w:val="heading 1"/>
    <w:next w:val="1"/>
    <w:qFormat/>
    <w:uiPriority w:val="0"/>
    <w:pPr>
      <w:spacing w:before="240" w:after="240"/>
      <w:outlineLvl w:val="0"/>
    </w:pPr>
    <w:rPr>
      <w:rFonts w:ascii="Arial" w:hAnsi="Arial" w:eastAsia="Arial" w:cs="Arial"/>
      <w:b/>
      <w:color w:val="000000" w:themeColor="text1"/>
      <w:sz w:val="24"/>
      <w:szCs w:val="24"/>
      <w14:textFill>
        <w14:solidFill>
          <w14:schemeClr w14:val="tx1"/>
        </w14:solidFill>
      </w14:textFill>
    </w:rPr>
  </w:style>
  <w:style w:type="paragraph" w:styleId="3">
    <w:name w:val="heading 2"/>
    <w:next w:val="1"/>
    <w:qFormat/>
    <w:uiPriority w:val="0"/>
    <w:pPr>
      <w:spacing w:before="240" w:after="240"/>
      <w:outlineLvl w:val="1"/>
    </w:pPr>
    <w:rPr>
      <w:rFonts w:ascii="Arial" w:hAnsi="Arial" w:eastAsia="Arial" w:cs="Arial"/>
      <w:b/>
      <w:color w:val="000000" w:themeColor="text1"/>
      <w:sz w:val="24"/>
      <w:szCs w:val="24"/>
      <w14:textFill>
        <w14:solidFill>
          <w14:schemeClr w14:val="tx1"/>
        </w14:solidFill>
      </w14:textFill>
    </w:rPr>
  </w:style>
  <w:style w:type="paragraph" w:styleId="4">
    <w:name w:val="heading 3"/>
    <w:next w:val="1"/>
    <w:qFormat/>
    <w:uiPriority w:val="0"/>
    <w:rPr>
      <w:rFonts w:ascii="Arial" w:hAnsi="Arial" w:eastAsia="Arial" w:cs="Arial"/>
      <w:color w:val="1F4D78"/>
      <w:sz w:val="24"/>
      <w:szCs w:val="24"/>
    </w:rPr>
  </w:style>
  <w:style w:type="paragraph" w:styleId="5">
    <w:name w:val="heading 4"/>
    <w:next w:val="1"/>
    <w:qFormat/>
    <w:uiPriority w:val="0"/>
    <w:rPr>
      <w:rFonts w:ascii="Arial" w:hAnsi="Arial" w:eastAsia="Arial" w:cs="Arial"/>
      <w:i/>
      <w:iCs/>
      <w:color w:val="2E74B5"/>
      <w:sz w:val="22"/>
      <w:szCs w:val="22"/>
    </w:rPr>
  </w:style>
  <w:style w:type="paragraph" w:styleId="6">
    <w:name w:val="heading 5"/>
    <w:next w:val="1"/>
    <w:qFormat/>
    <w:uiPriority w:val="0"/>
    <w:rPr>
      <w:rFonts w:ascii="Arial" w:hAnsi="Arial" w:eastAsia="Arial" w:cs="Arial"/>
      <w:color w:val="2E74B5"/>
      <w:sz w:val="22"/>
      <w:szCs w:val="22"/>
    </w:rPr>
  </w:style>
  <w:style w:type="paragraph" w:styleId="7">
    <w:name w:val="heading 6"/>
    <w:next w:val="1"/>
    <w:qFormat/>
    <w:uiPriority w:val="0"/>
    <w:rPr>
      <w:rFonts w:ascii="Arial" w:hAnsi="Arial" w:eastAsia="Arial" w:cs="Arial"/>
      <w:color w:val="1F4D78"/>
      <w:sz w:val="22"/>
      <w:szCs w:val="22"/>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10">
    <w:name w:val="annotation text"/>
    <w:basedOn w:val="1"/>
    <w:qFormat/>
    <w:uiPriority w:val="0"/>
    <w:pPr>
      <w:jc w:val="left"/>
    </w:pPr>
  </w:style>
  <w:style w:type="character" w:styleId="11">
    <w:name w:val="endnote reference"/>
    <w:semiHidden/>
    <w:unhideWhenUsed/>
    <w:qFormat/>
    <w:uiPriority w:val="99"/>
    <w:rPr>
      <w:vertAlign w:val="superscript"/>
    </w:rPr>
  </w:style>
  <w:style w:type="paragraph" w:styleId="12">
    <w:name w:val="endnote text"/>
    <w:link w:val="24"/>
    <w:semiHidden/>
    <w:unhideWhenUsed/>
    <w:qFormat/>
    <w:uiPriority w:val="99"/>
    <w:pPr>
      <w:spacing w:after="0" w:line="240" w:lineRule="auto"/>
    </w:pPr>
    <w:rPr>
      <w:rFonts w:ascii="Arial" w:hAnsi="Arial" w:eastAsia="Arial" w:cs="Arial"/>
      <w:sz w:val="20"/>
      <w:szCs w:val="20"/>
    </w:rPr>
  </w:style>
  <w:style w:type="paragraph" w:styleId="13">
    <w:name w:val="footer"/>
    <w:basedOn w:val="1"/>
    <w:qFormat/>
    <w:uiPriority w:val="0"/>
    <w:pPr>
      <w:tabs>
        <w:tab w:val="center" w:pos="4153"/>
        <w:tab w:val="right" w:pos="8306"/>
      </w:tabs>
      <w:snapToGrid w:val="0"/>
      <w:jc w:val="left"/>
    </w:pPr>
    <w:rPr>
      <w:sz w:val="18"/>
      <w:szCs w:val="18"/>
    </w:rPr>
  </w:style>
  <w:style w:type="character" w:styleId="14">
    <w:name w:val="footnote reference"/>
    <w:semiHidden/>
    <w:unhideWhenUsed/>
    <w:qFormat/>
    <w:uiPriority w:val="99"/>
    <w:rPr>
      <w:vertAlign w:val="superscript"/>
    </w:rPr>
  </w:style>
  <w:style w:type="paragraph" w:styleId="15">
    <w:name w:val="footnote text"/>
    <w:link w:val="23"/>
    <w:semiHidden/>
    <w:unhideWhenUsed/>
    <w:qFormat/>
    <w:uiPriority w:val="99"/>
    <w:pPr>
      <w:spacing w:after="0" w:line="240" w:lineRule="auto"/>
    </w:pPr>
    <w:rPr>
      <w:rFonts w:ascii="Arial" w:hAnsi="Arial" w:eastAsia="Arial" w:cs="Arial"/>
      <w:sz w:val="20"/>
      <w:szCs w:val="20"/>
    </w:rPr>
  </w:style>
  <w:style w:type="character" w:styleId="16">
    <w:name w:val="Hyperlink"/>
    <w:unhideWhenUsed/>
    <w:qFormat/>
    <w:uiPriority w:val="99"/>
    <w:rPr>
      <w:color w:val="0563C1"/>
      <w:u w:val="single"/>
    </w:rPr>
  </w:style>
  <w:style w:type="paragraph" w:styleId="17">
    <w:name w:val="Normal (Web)"/>
    <w:basedOn w:val="1"/>
    <w:qFormat/>
    <w:uiPriority w:val="0"/>
    <w:rPr>
      <w:sz w:val="24"/>
      <w:szCs w:val="24"/>
    </w:rPr>
  </w:style>
  <w:style w:type="character" w:styleId="18">
    <w:name w:val="Strong"/>
    <w:basedOn w:val="8"/>
    <w:qFormat/>
    <w:uiPriority w:val="0"/>
    <w:rPr>
      <w:b/>
      <w:bCs/>
    </w:rPr>
  </w:style>
  <w:style w:type="paragraph" w:styleId="19">
    <w:name w:val="Title"/>
    <w:qFormat/>
    <w:uiPriority w:val="0"/>
    <w:rPr>
      <w:rFonts w:ascii="Arial" w:hAnsi="Arial" w:eastAsia="Arial" w:cs="Arial"/>
      <w:sz w:val="56"/>
      <w:szCs w:val="56"/>
    </w:rPr>
  </w:style>
  <w:style w:type="paragraph" w:styleId="20">
    <w:name w:val="toc 1"/>
    <w:basedOn w:val="1"/>
    <w:next w:val="1"/>
    <w:qFormat/>
    <w:uiPriority w:val="0"/>
  </w:style>
  <w:style w:type="paragraph" w:styleId="21">
    <w:name w:val="toc 2"/>
    <w:basedOn w:val="1"/>
    <w:next w:val="1"/>
    <w:qFormat/>
    <w:uiPriority w:val="0"/>
    <w:pPr>
      <w:ind w:left="420" w:leftChars="200"/>
    </w:pPr>
  </w:style>
  <w:style w:type="paragraph" w:styleId="22">
    <w:name w:val="List Paragraph"/>
    <w:qFormat/>
    <w:uiPriority w:val="0"/>
    <w:rPr>
      <w:rFonts w:ascii="Arial" w:hAnsi="Arial" w:eastAsia="Arial" w:cs="Arial"/>
      <w:sz w:val="22"/>
      <w:szCs w:val="22"/>
    </w:rPr>
  </w:style>
  <w:style w:type="character" w:customStyle="1" w:styleId="23">
    <w:name w:val="Footnote Text Char"/>
    <w:link w:val="15"/>
    <w:semiHidden/>
    <w:unhideWhenUsed/>
    <w:qFormat/>
    <w:uiPriority w:val="99"/>
    <w:rPr>
      <w:sz w:val="20"/>
      <w:szCs w:val="20"/>
    </w:rPr>
  </w:style>
  <w:style w:type="character" w:customStyle="1" w:styleId="24">
    <w:name w:val="Endnote Text Char"/>
    <w:link w:val="12"/>
    <w:semiHidden/>
    <w:unhideWhenUsed/>
    <w:qFormat/>
    <w:uiPriority w:val="99"/>
    <w:rPr>
      <w:sz w:val="20"/>
      <w:szCs w:val="20"/>
    </w:rPr>
  </w:style>
  <w:style w:type="paragraph" w:customStyle="1" w:styleId="25">
    <w:name w:val="WPSOffice手动目录 1"/>
    <w:qFormat/>
    <w:uiPriority w:val="0"/>
    <w:pPr>
      <w:ind w:leftChars="0"/>
    </w:pPr>
    <w:rPr>
      <w:rFonts w:ascii="Times New Roman" w:hAnsi="Times New Roman" w:eastAsia="SimSun" w:cs="Times New Roman"/>
      <w:sz w:val="20"/>
      <w:szCs w:val="20"/>
    </w:rPr>
  </w:style>
  <w:style w:type="paragraph" w:customStyle="1" w:styleId="26">
    <w:name w:val="WPSOffice手动目录 2"/>
    <w:qFormat/>
    <w:uiPriority w:val="0"/>
    <w:pPr>
      <w:ind w:leftChars="200"/>
    </w:pPr>
    <w:rPr>
      <w:rFonts w:ascii="Times New Roman" w:hAnsi="Times New Roman" w:eastAsia="SimSun" w:cs="Times New Roman"/>
      <w:sz w:val="20"/>
      <w:szCs w:val="20"/>
    </w:rPr>
  </w:style>
  <w:style w:type="paragraph" w:customStyle="1" w:styleId="27">
    <w:name w:val="WPSOffice手动目录 3"/>
    <w:qFormat/>
    <w:uiPriority w:val="0"/>
    <w:pPr>
      <w:ind w:leftChars="4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10</Pages>
  <TotalTime>0</TotalTime>
  <ScaleCrop>false</ScaleCrop>
  <LinksUpToDate>false</LinksUpToDate>
  <Application>WPS Office_6.11.0.8608_F1E327BC-269C-435d-A152-05C5408002CA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2026-04-10T02:20:00Z</dcterms:created>
  <dc:creator>Un-named</dc:creator>
  <cp:lastModifiedBy>Ciniaga Badesire</cp:lastModifiedBy>
  <dcterms:modified xsi:type="dcterms:W3CDTF">2026-04-21T11:18:40Z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1033-6.11.0.8608</vt:lpwstr>
  </property>
  <property fmtid="{D5CDD505-2E9C-101B-9397-08002B2CF9AE}" pid="3" name="ICV">
    <vt:lpwstr>75A1F02ADA4A6AE348D6CE6938D6C7B2_42</vt:lpwstr>
  </property>
</Properties>
</file>